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bookmarkStart w:id="0" w:name="_Hlk21261980"/>
    <w:bookmarkEnd w:id="0"/>
    <w:p w14:paraId="56235FAA" w14:textId="77777777" w:rsidR="008F75C3" w:rsidRDefault="006614AC">
      <w:pPr>
        <w:spacing w:line="360" w:lineRule="auto"/>
        <w:ind w:leftChars="-45" w:left="-94" w:rightChars="-159" w:right="-334"/>
        <w:jc w:val="left"/>
        <w:rPr>
          <w:b/>
          <w:bCs/>
          <w:sz w:val="32"/>
          <w:szCs w:val="32"/>
        </w:rPr>
      </w:pPr>
      <w:r>
        <w:rPr>
          <w:b/>
          <w:bCs/>
          <w:noProof/>
          <w:sz w:val="32"/>
          <w:szCs w:val="32"/>
        </w:rPr>
        <mc:AlternateContent>
          <mc:Choice Requires="wps">
            <w:drawing>
              <wp:anchor distT="0" distB="0" distL="114300" distR="114300" simplePos="0" relativeHeight="251662336" behindDoc="0" locked="0" layoutInCell="1" allowOverlap="1" wp14:anchorId="76353E2A" wp14:editId="739ECF36">
                <wp:simplePos x="0" y="0"/>
                <wp:positionH relativeFrom="column">
                  <wp:posOffset>-116840</wp:posOffset>
                </wp:positionH>
                <wp:positionV relativeFrom="paragraph">
                  <wp:posOffset>1867535</wp:posOffset>
                </wp:positionV>
                <wp:extent cx="6293485" cy="13970"/>
                <wp:effectExtent l="0" t="19050" r="50800" b="43180"/>
                <wp:wrapNone/>
                <wp:docPr id="24" name="直线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6293223" cy="14160"/>
                        </a:xfrm>
                        <a:prstGeom prst="line">
                          <a:avLst/>
                        </a:prstGeom>
                        <a:noFill/>
                        <a:ln w="57150" cmpd="thickThin">
                          <a:solidFill>
                            <a:srgbClr val="000000"/>
                          </a:solidFill>
                          <a:round/>
                        </a:ln>
                      </wps:spPr>
                      <wps:bodyPr/>
                    </wps:wsp>
                  </a:graphicData>
                </a:graphic>
              </wp:anchor>
            </w:drawing>
          </mc:Choice>
          <mc:Fallback xmlns:wpsCustomData="http://www.wps.cn/officeDocument/2013/wpsCustomData">
            <w:pict>
              <v:line id="直线 5" o:spid="_x0000_s1026" o:spt="20" style="position:absolute;left:0pt;flip:y;margin-left:-9.2pt;margin-top:147.05pt;height:1.1pt;width:495.55pt;z-index:251662336;mso-width-relative:page;mso-height-relative:page;" filled="f" stroked="t" coordsize="21600,21600" o:gfxdata="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">
                <v:fill on="f" focussize="0,0"/>
                <v:stroke weight="4.5pt" color="#000000" linestyle="thickThin" joinstyle="round"/>
                <v:imagedata o:title=""/>
                <o:lock v:ext="edit" aspectratio="f"/>
              </v:line>
            </w:pict>
          </mc:Fallback>
        </mc:AlternateContent>
      </w:r>
      <w:r>
        <w:rPr>
          <w:b/>
          <w:bCs/>
          <w:noProof/>
          <w:sz w:val="32"/>
          <w:szCs w:val="32"/>
        </w:rPr>
        <w:drawing>
          <wp:anchor distT="0" distB="0" distL="114300" distR="114300" simplePos="0" relativeHeight="251659264" behindDoc="0" locked="0" layoutInCell="1" allowOverlap="1" wp14:anchorId="2E80317F" wp14:editId="06F797C0">
            <wp:simplePos x="0" y="0"/>
            <wp:positionH relativeFrom="column">
              <wp:posOffset>0</wp:posOffset>
            </wp:positionH>
            <wp:positionV relativeFrom="paragraph">
              <wp:posOffset>99060</wp:posOffset>
            </wp:positionV>
            <wp:extent cx="1257300" cy="1257300"/>
            <wp:effectExtent l="0" t="0" r="0" b="0"/>
            <wp:wrapTopAndBottom/>
            <wp:docPr id="2" name="图片 2" descr="徽标（白边）"/>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descr="徽标（白边）"/>
                    <pic:cNvPicPr>
                      <a:picLocks noChangeAspect="1" noChangeArrowheads="1"/>
                    </pic:cNvPicPr>
                  </pic:nvPicPr>
                  <pic:blipFill>
                    <a:blip r:embed="rId9" cstate="print"/>
                    <a:srcRect/>
                    <a:stretch>
                      <a:fillRect/>
                    </a:stretch>
                  </pic:blipFill>
                  <pic:spPr>
                    <a:xfrm>
                      <a:off x="0" y="0"/>
                      <a:ext cx="1257300" cy="1257300"/>
                    </a:xfrm>
                    <a:prstGeom prst="rect">
                      <a:avLst/>
                    </a:prstGeom>
                    <a:noFill/>
                    <a:ln w="9525">
                      <a:noFill/>
                      <a:miter lim="800000"/>
                      <a:headEnd/>
                      <a:tailEnd/>
                    </a:ln>
                  </pic:spPr>
                </pic:pic>
              </a:graphicData>
            </a:graphic>
          </wp:anchor>
        </w:drawing>
      </w:r>
      <w:r>
        <w:rPr>
          <w:b/>
          <w:bCs/>
          <w:noProof/>
          <w:sz w:val="32"/>
          <w:szCs w:val="32"/>
        </w:rPr>
        <w:drawing>
          <wp:anchor distT="0" distB="0" distL="114300" distR="114300" simplePos="0" relativeHeight="251660288" behindDoc="0" locked="0" layoutInCell="1" allowOverlap="1" wp14:anchorId="63856695" wp14:editId="0FBD4710">
            <wp:simplePos x="0" y="0"/>
            <wp:positionH relativeFrom="column">
              <wp:posOffset>1714500</wp:posOffset>
            </wp:positionH>
            <wp:positionV relativeFrom="paragraph">
              <wp:posOffset>693420</wp:posOffset>
            </wp:positionV>
            <wp:extent cx="3200400" cy="805180"/>
            <wp:effectExtent l="0" t="0" r="0" b="0"/>
            <wp:wrapTopAndBottom/>
            <wp:docPr id="3" name="图片 3" descr="信息简报"/>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descr="信息简报"/>
                    <pic:cNvPicPr>
                      <a:picLocks noChangeAspect="1" noChangeArrowheads="1"/>
                    </pic:cNvPicPr>
                  </pic:nvPicPr>
                  <pic:blipFill>
                    <a:blip r:embed="rId10" cstate="print"/>
                    <a:srcRect l="11453" t="15935" r="17537" b="12360"/>
                    <a:stretch>
                      <a:fillRect/>
                    </a:stretch>
                  </pic:blipFill>
                  <pic:spPr>
                    <a:xfrm>
                      <a:off x="0" y="0"/>
                      <a:ext cx="3200400" cy="805180"/>
                    </a:xfrm>
                    <a:prstGeom prst="rect">
                      <a:avLst/>
                    </a:prstGeom>
                    <a:noFill/>
                    <a:ln w="9525">
                      <a:noFill/>
                      <a:miter lim="800000"/>
                      <a:headEnd/>
                      <a:tailEnd/>
                    </a:ln>
                  </pic:spPr>
                </pic:pic>
              </a:graphicData>
            </a:graphic>
          </wp:anchor>
        </w:drawing>
      </w:r>
      <w:r>
        <w:rPr>
          <w:b/>
          <w:bCs/>
          <w:noProof/>
          <w:sz w:val="32"/>
          <w:szCs w:val="32"/>
        </w:rPr>
        <w:drawing>
          <wp:anchor distT="0" distB="0" distL="114300" distR="114300" simplePos="0" relativeHeight="251661312" behindDoc="0" locked="0" layoutInCell="1" allowOverlap="1" wp14:anchorId="6B5BD79F" wp14:editId="3D6BF269">
            <wp:simplePos x="0" y="0"/>
            <wp:positionH relativeFrom="column">
              <wp:posOffset>914400</wp:posOffset>
            </wp:positionH>
            <wp:positionV relativeFrom="paragraph">
              <wp:posOffset>0</wp:posOffset>
            </wp:positionV>
            <wp:extent cx="5029200" cy="783590"/>
            <wp:effectExtent l="0" t="0" r="0" b="0"/>
            <wp:wrapNone/>
            <wp:docPr id="4" name="图片 4" descr="福建省水产饲料研究会 - 刘中一题—红色"/>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4" descr="福建省水产饲料研究会 - 刘中一题—红色"/>
                    <pic:cNvPicPr>
                      <a:picLocks noChangeAspect="1" noChangeArrowheads="1"/>
                    </pic:cNvPicPr>
                  </pic:nvPicPr>
                  <pic:blipFill>
                    <a:blip r:embed="rId11" cstate="print"/>
                    <a:srcRect/>
                    <a:stretch>
                      <a:fillRect/>
                    </a:stretch>
                  </pic:blipFill>
                  <pic:spPr>
                    <a:xfrm>
                      <a:off x="0" y="0"/>
                      <a:ext cx="5029200" cy="783590"/>
                    </a:xfrm>
                    <a:prstGeom prst="rect">
                      <a:avLst/>
                    </a:prstGeom>
                    <a:noFill/>
                    <a:ln w="9525">
                      <a:noFill/>
                      <a:miter lim="800000"/>
                      <a:headEnd/>
                      <a:tailEnd/>
                    </a:ln>
                  </pic:spPr>
                </pic:pic>
              </a:graphicData>
            </a:graphic>
          </wp:anchor>
        </w:drawing>
      </w:r>
      <w:r>
        <w:rPr>
          <w:b/>
          <w:bCs/>
          <w:sz w:val="32"/>
          <w:szCs w:val="32"/>
        </w:rPr>
        <w:t xml:space="preserve">B-2088184-5       </w:t>
      </w:r>
      <w:r>
        <w:rPr>
          <w:b/>
          <w:bCs/>
          <w:sz w:val="32"/>
          <w:szCs w:val="32"/>
        </w:rPr>
        <w:t>第</w:t>
      </w:r>
      <w:r>
        <w:rPr>
          <w:b/>
          <w:bCs/>
          <w:sz w:val="32"/>
          <w:szCs w:val="32"/>
        </w:rPr>
        <w:t>23</w:t>
      </w:r>
      <w:r>
        <w:rPr>
          <w:b/>
          <w:bCs/>
          <w:sz w:val="32"/>
          <w:szCs w:val="32"/>
        </w:rPr>
        <w:t>期</w:t>
      </w:r>
      <w:r>
        <w:rPr>
          <w:b/>
          <w:bCs/>
          <w:sz w:val="32"/>
          <w:szCs w:val="32"/>
        </w:rPr>
        <w:t xml:space="preserve">   (</w:t>
      </w:r>
      <w:r>
        <w:rPr>
          <w:b/>
          <w:bCs/>
          <w:sz w:val="32"/>
          <w:szCs w:val="32"/>
        </w:rPr>
        <w:t>总第</w:t>
      </w:r>
      <w:r>
        <w:rPr>
          <w:b/>
          <w:bCs/>
          <w:sz w:val="32"/>
          <w:szCs w:val="32"/>
        </w:rPr>
        <w:t>349</w:t>
      </w:r>
      <w:r>
        <w:rPr>
          <w:b/>
          <w:bCs/>
          <w:sz w:val="32"/>
          <w:szCs w:val="32"/>
        </w:rPr>
        <w:t>期</w:t>
      </w:r>
      <w:r>
        <w:rPr>
          <w:b/>
          <w:bCs/>
          <w:sz w:val="32"/>
          <w:szCs w:val="32"/>
        </w:rPr>
        <w:t>)     2021</w:t>
      </w:r>
      <w:r>
        <w:rPr>
          <w:b/>
          <w:bCs/>
          <w:sz w:val="32"/>
          <w:szCs w:val="32"/>
        </w:rPr>
        <w:t>年</w:t>
      </w:r>
      <w:r>
        <w:rPr>
          <w:b/>
          <w:bCs/>
          <w:sz w:val="32"/>
          <w:szCs w:val="32"/>
        </w:rPr>
        <w:t>12</w:t>
      </w:r>
      <w:r>
        <w:rPr>
          <w:b/>
          <w:bCs/>
          <w:sz w:val="32"/>
          <w:szCs w:val="32"/>
        </w:rPr>
        <w:t>月</w:t>
      </w:r>
      <w:r>
        <w:rPr>
          <w:b/>
          <w:bCs/>
          <w:sz w:val="32"/>
          <w:szCs w:val="32"/>
        </w:rPr>
        <w:t>15</w:t>
      </w:r>
      <w:r>
        <w:rPr>
          <w:b/>
          <w:bCs/>
          <w:sz w:val="32"/>
          <w:szCs w:val="32"/>
        </w:rPr>
        <w:t>日</w:t>
      </w:r>
    </w:p>
    <w:sdt>
      <w:sdtPr>
        <w:rPr>
          <w:rFonts w:ascii="Times New Roman" w:eastAsia="宋体" w:hAnsi="Times New Roman" w:cs="Times New Roman"/>
          <w:color w:val="auto"/>
          <w:kern w:val="2"/>
          <w:sz w:val="21"/>
          <w:szCs w:val="24"/>
          <w:lang w:val="zh-CN"/>
        </w:rPr>
        <w:id w:val="623499347"/>
        <w:docPartObj>
          <w:docPartGallery w:val="Table of Contents"/>
          <w:docPartUnique/>
        </w:docPartObj>
      </w:sdtPr>
      <w:sdtEndPr>
        <w:rPr>
          <w:b/>
          <w:bCs/>
        </w:rPr>
      </w:sdtEndPr>
      <w:sdtContent>
        <w:p w14:paraId="2619E309" w14:textId="77777777" w:rsidR="008F75C3" w:rsidRDefault="006614AC" w:rsidP="00F7352A">
          <w:pPr>
            <w:pStyle w:val="TOC10"/>
            <w:spacing w:line="300" w:lineRule="exact"/>
            <w:jc w:val="center"/>
            <w:rPr>
              <w:rFonts w:ascii="Times New Roman" w:eastAsia="黑体" w:hAnsi="Times New Roman" w:cs="Times New Roman"/>
              <w:b/>
              <w:bCs/>
              <w:color w:val="000000" w:themeColor="text1"/>
            </w:rPr>
          </w:pPr>
          <w:r>
            <w:rPr>
              <w:rFonts w:ascii="Times New Roman" w:eastAsia="黑体" w:hAnsi="Times New Roman" w:cs="Times New Roman"/>
              <w:b/>
              <w:bCs/>
              <w:color w:val="000000" w:themeColor="text1"/>
              <w:lang w:val="zh-CN"/>
            </w:rPr>
            <w:t>目录</w:t>
          </w:r>
        </w:p>
        <w:p w14:paraId="7309C87F" w14:textId="277B54D7" w:rsidR="00F7352A" w:rsidRPr="00F7352A" w:rsidRDefault="006614AC" w:rsidP="00F7352A">
          <w:pPr>
            <w:pStyle w:val="TOC1"/>
            <w:spacing w:line="300" w:lineRule="exact"/>
            <w:rPr>
              <w:rFonts w:asciiTheme="minorHAnsi" w:eastAsiaTheme="minorEastAsia" w:hAnsiTheme="minorHAnsi" w:cstheme="minorBidi"/>
              <w:b w:val="0"/>
              <w:bCs w:val="0"/>
              <w:noProof/>
              <w:szCs w:val="22"/>
            </w:rPr>
          </w:pPr>
          <w:r w:rsidRPr="00F7352A">
            <w:fldChar w:fldCharType="begin"/>
          </w:r>
          <w:r w:rsidRPr="00F7352A">
            <w:instrText xml:space="preserve"> TOC \o "1-3" \h \z \u </w:instrText>
          </w:r>
          <w:r w:rsidRPr="00F7352A">
            <w:fldChar w:fldCharType="separate"/>
          </w:r>
          <w:hyperlink w:anchor="_Toc90390743" w:history="1">
            <w:r w:rsidR="00F7352A" w:rsidRPr="00F7352A">
              <w:rPr>
                <w:rStyle w:val="af2"/>
                <w:noProof/>
              </w:rPr>
              <w:t>本会动态</w:t>
            </w:r>
            <w:r w:rsidR="00F7352A" w:rsidRPr="00F7352A">
              <w:rPr>
                <w:noProof/>
                <w:webHidden/>
              </w:rPr>
              <w:tab/>
            </w:r>
            <w:r w:rsidR="00F7352A" w:rsidRPr="00F7352A">
              <w:rPr>
                <w:noProof/>
                <w:webHidden/>
              </w:rPr>
              <w:fldChar w:fldCharType="begin"/>
            </w:r>
            <w:r w:rsidR="00F7352A" w:rsidRPr="00F7352A">
              <w:rPr>
                <w:noProof/>
                <w:webHidden/>
              </w:rPr>
              <w:instrText xml:space="preserve"> PAGEREF _Toc90390743 \h </w:instrText>
            </w:r>
            <w:r w:rsidR="00F7352A" w:rsidRPr="00F7352A">
              <w:rPr>
                <w:noProof/>
                <w:webHidden/>
              </w:rPr>
            </w:r>
            <w:r w:rsidR="00F7352A" w:rsidRPr="00F7352A">
              <w:rPr>
                <w:noProof/>
                <w:webHidden/>
              </w:rPr>
              <w:fldChar w:fldCharType="separate"/>
            </w:r>
            <w:r w:rsidR="00F7352A" w:rsidRPr="00F7352A">
              <w:rPr>
                <w:noProof/>
                <w:webHidden/>
              </w:rPr>
              <w:t>1</w:t>
            </w:r>
            <w:r w:rsidR="00F7352A" w:rsidRPr="00F7352A">
              <w:rPr>
                <w:noProof/>
                <w:webHidden/>
              </w:rPr>
              <w:fldChar w:fldCharType="end"/>
            </w:r>
          </w:hyperlink>
        </w:p>
        <w:p w14:paraId="595DB7FB" w14:textId="4E08B88F" w:rsidR="00F7352A" w:rsidRPr="00F7352A" w:rsidRDefault="00F7352A" w:rsidP="00F7352A">
          <w:pPr>
            <w:pStyle w:val="TOC2"/>
            <w:tabs>
              <w:tab w:val="right" w:leader="dot" w:pos="9402"/>
            </w:tabs>
            <w:spacing w:line="300" w:lineRule="exact"/>
            <w:rPr>
              <w:rFonts w:asciiTheme="minorHAnsi" w:eastAsiaTheme="minorEastAsia" w:hAnsiTheme="minorHAnsi" w:cstheme="minorBidi"/>
              <w:noProof/>
              <w:szCs w:val="22"/>
            </w:rPr>
          </w:pPr>
          <w:hyperlink w:anchor="_Toc90390744" w:history="1">
            <w:r w:rsidRPr="00F7352A">
              <w:rPr>
                <w:rStyle w:val="af2"/>
                <w:rFonts w:eastAsia="黑体"/>
                <w:noProof/>
              </w:rPr>
              <w:t>本会渔用配合饲料标准委员会组织参加鱼粉新版标准宣贯会</w:t>
            </w:r>
            <w:r w:rsidRPr="00F7352A">
              <w:rPr>
                <w:noProof/>
                <w:webHidden/>
              </w:rPr>
              <w:tab/>
            </w:r>
            <w:r w:rsidRPr="00F7352A">
              <w:rPr>
                <w:noProof/>
                <w:webHidden/>
              </w:rPr>
              <w:fldChar w:fldCharType="begin"/>
            </w:r>
            <w:r w:rsidRPr="00F7352A">
              <w:rPr>
                <w:noProof/>
                <w:webHidden/>
              </w:rPr>
              <w:instrText xml:space="preserve"> PAGEREF _Toc90390744 \h </w:instrText>
            </w:r>
            <w:r w:rsidRPr="00F7352A">
              <w:rPr>
                <w:noProof/>
                <w:webHidden/>
              </w:rPr>
            </w:r>
            <w:r w:rsidRPr="00F7352A">
              <w:rPr>
                <w:noProof/>
                <w:webHidden/>
              </w:rPr>
              <w:fldChar w:fldCharType="separate"/>
            </w:r>
            <w:r w:rsidRPr="00F7352A">
              <w:rPr>
                <w:noProof/>
                <w:webHidden/>
              </w:rPr>
              <w:t>1</w:t>
            </w:r>
            <w:r w:rsidRPr="00F7352A">
              <w:rPr>
                <w:noProof/>
                <w:webHidden/>
              </w:rPr>
              <w:fldChar w:fldCharType="end"/>
            </w:r>
          </w:hyperlink>
        </w:p>
        <w:p w14:paraId="7B67FE28" w14:textId="42DCFF02" w:rsidR="00F7352A" w:rsidRPr="00F7352A" w:rsidRDefault="00F7352A" w:rsidP="00F7352A">
          <w:pPr>
            <w:pStyle w:val="TOC2"/>
            <w:tabs>
              <w:tab w:val="right" w:leader="dot" w:pos="9402"/>
            </w:tabs>
            <w:spacing w:line="300" w:lineRule="exact"/>
            <w:rPr>
              <w:rFonts w:asciiTheme="minorHAnsi" w:eastAsiaTheme="minorEastAsia" w:hAnsiTheme="minorHAnsi" w:cstheme="minorBidi"/>
              <w:noProof/>
              <w:szCs w:val="22"/>
            </w:rPr>
          </w:pPr>
          <w:hyperlink w:anchor="_Toc90390745" w:history="1">
            <w:r w:rsidRPr="00F7352A">
              <w:rPr>
                <w:rStyle w:val="af2"/>
                <w:rFonts w:eastAsia="黑体"/>
                <w:noProof/>
              </w:rPr>
              <w:t>本会合作论文获宁夏第十六届自然科学优秀论文评选二等奖</w:t>
            </w:r>
            <w:r w:rsidRPr="00F7352A">
              <w:rPr>
                <w:noProof/>
                <w:webHidden/>
              </w:rPr>
              <w:tab/>
            </w:r>
            <w:r w:rsidRPr="00F7352A">
              <w:rPr>
                <w:noProof/>
                <w:webHidden/>
              </w:rPr>
              <w:fldChar w:fldCharType="begin"/>
            </w:r>
            <w:r w:rsidRPr="00F7352A">
              <w:rPr>
                <w:noProof/>
                <w:webHidden/>
              </w:rPr>
              <w:instrText xml:space="preserve"> PAGEREF _Toc90390745 \h </w:instrText>
            </w:r>
            <w:r w:rsidRPr="00F7352A">
              <w:rPr>
                <w:noProof/>
                <w:webHidden/>
              </w:rPr>
            </w:r>
            <w:r w:rsidRPr="00F7352A">
              <w:rPr>
                <w:noProof/>
                <w:webHidden/>
              </w:rPr>
              <w:fldChar w:fldCharType="separate"/>
            </w:r>
            <w:r w:rsidRPr="00F7352A">
              <w:rPr>
                <w:noProof/>
                <w:webHidden/>
              </w:rPr>
              <w:t>2</w:t>
            </w:r>
            <w:r w:rsidRPr="00F7352A">
              <w:rPr>
                <w:noProof/>
                <w:webHidden/>
              </w:rPr>
              <w:fldChar w:fldCharType="end"/>
            </w:r>
          </w:hyperlink>
        </w:p>
        <w:p w14:paraId="5F8E4CE6" w14:textId="1BD035E5" w:rsidR="00F7352A" w:rsidRPr="00F7352A" w:rsidRDefault="00F7352A" w:rsidP="00F7352A">
          <w:pPr>
            <w:pStyle w:val="TOC2"/>
            <w:tabs>
              <w:tab w:val="right" w:leader="dot" w:pos="9402"/>
            </w:tabs>
            <w:spacing w:line="300" w:lineRule="exact"/>
            <w:rPr>
              <w:rFonts w:asciiTheme="minorHAnsi" w:eastAsiaTheme="minorEastAsia" w:hAnsiTheme="minorHAnsi" w:cstheme="minorBidi"/>
              <w:noProof/>
              <w:szCs w:val="22"/>
            </w:rPr>
          </w:pPr>
          <w:hyperlink w:anchor="_Toc90390746" w:history="1">
            <w:r w:rsidRPr="00F7352A">
              <w:rPr>
                <w:rStyle w:val="af2"/>
                <w:rFonts w:eastAsia="黑体"/>
                <w:noProof/>
                <w:spacing w:val="-11"/>
              </w:rPr>
              <w:t>本会常务理事单位厦门惠盈动物药业有限公司通过新版兽药</w:t>
            </w:r>
            <w:r w:rsidRPr="00F7352A">
              <w:rPr>
                <w:rStyle w:val="af2"/>
                <w:rFonts w:eastAsia="黑体"/>
                <w:noProof/>
                <w:spacing w:val="-11"/>
              </w:rPr>
              <w:t>GMP</w:t>
            </w:r>
            <w:r w:rsidRPr="00F7352A">
              <w:rPr>
                <w:rStyle w:val="af2"/>
                <w:rFonts w:eastAsia="黑体"/>
                <w:noProof/>
                <w:spacing w:val="-11"/>
              </w:rPr>
              <w:t>验收</w:t>
            </w:r>
            <w:r w:rsidRPr="00F7352A">
              <w:rPr>
                <w:noProof/>
                <w:webHidden/>
              </w:rPr>
              <w:tab/>
            </w:r>
            <w:r w:rsidRPr="00F7352A">
              <w:rPr>
                <w:noProof/>
                <w:webHidden/>
              </w:rPr>
              <w:fldChar w:fldCharType="begin"/>
            </w:r>
            <w:r w:rsidRPr="00F7352A">
              <w:rPr>
                <w:noProof/>
                <w:webHidden/>
              </w:rPr>
              <w:instrText xml:space="preserve"> PAGEREF _Toc90390746 \h </w:instrText>
            </w:r>
            <w:r w:rsidRPr="00F7352A">
              <w:rPr>
                <w:noProof/>
                <w:webHidden/>
              </w:rPr>
            </w:r>
            <w:r w:rsidRPr="00F7352A">
              <w:rPr>
                <w:noProof/>
                <w:webHidden/>
              </w:rPr>
              <w:fldChar w:fldCharType="separate"/>
            </w:r>
            <w:r w:rsidRPr="00F7352A">
              <w:rPr>
                <w:noProof/>
                <w:webHidden/>
              </w:rPr>
              <w:t>3</w:t>
            </w:r>
            <w:r w:rsidRPr="00F7352A">
              <w:rPr>
                <w:noProof/>
                <w:webHidden/>
              </w:rPr>
              <w:fldChar w:fldCharType="end"/>
            </w:r>
          </w:hyperlink>
        </w:p>
        <w:p w14:paraId="712903DF" w14:textId="6CC9113C" w:rsidR="00F7352A" w:rsidRPr="00F7352A" w:rsidRDefault="00F7352A" w:rsidP="00F7352A">
          <w:pPr>
            <w:pStyle w:val="TOC1"/>
            <w:spacing w:line="300" w:lineRule="exact"/>
            <w:rPr>
              <w:rFonts w:asciiTheme="minorHAnsi" w:eastAsiaTheme="minorEastAsia" w:hAnsiTheme="minorHAnsi" w:cstheme="minorBidi"/>
              <w:b w:val="0"/>
              <w:bCs w:val="0"/>
              <w:noProof/>
              <w:szCs w:val="22"/>
            </w:rPr>
          </w:pPr>
          <w:hyperlink w:anchor="_Toc90390747" w:history="1">
            <w:r w:rsidRPr="00F7352A">
              <w:rPr>
                <w:rStyle w:val="af2"/>
                <w:noProof/>
              </w:rPr>
              <w:t>重要资讯</w:t>
            </w:r>
            <w:r w:rsidRPr="00F7352A">
              <w:rPr>
                <w:noProof/>
                <w:webHidden/>
              </w:rPr>
              <w:tab/>
            </w:r>
            <w:r w:rsidRPr="00F7352A">
              <w:rPr>
                <w:noProof/>
                <w:webHidden/>
              </w:rPr>
              <w:fldChar w:fldCharType="begin"/>
            </w:r>
            <w:r w:rsidRPr="00F7352A">
              <w:rPr>
                <w:noProof/>
                <w:webHidden/>
              </w:rPr>
              <w:instrText xml:space="preserve"> PAGEREF _Toc90390747 \h </w:instrText>
            </w:r>
            <w:r w:rsidRPr="00F7352A">
              <w:rPr>
                <w:noProof/>
                <w:webHidden/>
              </w:rPr>
            </w:r>
            <w:r w:rsidRPr="00F7352A">
              <w:rPr>
                <w:noProof/>
                <w:webHidden/>
              </w:rPr>
              <w:fldChar w:fldCharType="separate"/>
            </w:r>
            <w:r w:rsidRPr="00F7352A">
              <w:rPr>
                <w:noProof/>
                <w:webHidden/>
              </w:rPr>
              <w:t>3</w:t>
            </w:r>
            <w:r w:rsidRPr="00F7352A">
              <w:rPr>
                <w:noProof/>
                <w:webHidden/>
              </w:rPr>
              <w:fldChar w:fldCharType="end"/>
            </w:r>
          </w:hyperlink>
        </w:p>
        <w:p w14:paraId="4D866691" w14:textId="1786020F" w:rsidR="00F7352A" w:rsidRPr="00F7352A" w:rsidRDefault="00F7352A" w:rsidP="00F7352A">
          <w:pPr>
            <w:pStyle w:val="TOC2"/>
            <w:tabs>
              <w:tab w:val="right" w:leader="dot" w:pos="9402"/>
            </w:tabs>
            <w:spacing w:line="300" w:lineRule="exact"/>
            <w:rPr>
              <w:rFonts w:asciiTheme="minorHAnsi" w:eastAsiaTheme="minorEastAsia" w:hAnsiTheme="minorHAnsi" w:cstheme="minorBidi"/>
              <w:noProof/>
              <w:szCs w:val="22"/>
            </w:rPr>
          </w:pPr>
          <w:hyperlink w:anchor="_Toc90390748" w:history="1">
            <w:r w:rsidRPr="00F7352A">
              <w:rPr>
                <w:rStyle w:val="af2"/>
                <w:rFonts w:eastAsia="黑体"/>
                <w:noProof/>
              </w:rPr>
              <w:t>农业农村部渔业渔政管理局公示首批国家级水产健康养殖和生态养殖示范区名单</w:t>
            </w:r>
            <w:r w:rsidRPr="00F7352A">
              <w:rPr>
                <w:noProof/>
                <w:webHidden/>
              </w:rPr>
              <w:tab/>
            </w:r>
            <w:r w:rsidRPr="00F7352A">
              <w:rPr>
                <w:noProof/>
                <w:webHidden/>
              </w:rPr>
              <w:fldChar w:fldCharType="begin"/>
            </w:r>
            <w:r w:rsidRPr="00F7352A">
              <w:rPr>
                <w:noProof/>
                <w:webHidden/>
              </w:rPr>
              <w:instrText xml:space="preserve"> PAGEREF _Toc90390748 \h </w:instrText>
            </w:r>
            <w:r w:rsidRPr="00F7352A">
              <w:rPr>
                <w:noProof/>
                <w:webHidden/>
              </w:rPr>
            </w:r>
            <w:r w:rsidRPr="00F7352A">
              <w:rPr>
                <w:noProof/>
                <w:webHidden/>
              </w:rPr>
              <w:fldChar w:fldCharType="separate"/>
            </w:r>
            <w:r w:rsidRPr="00F7352A">
              <w:rPr>
                <w:noProof/>
                <w:webHidden/>
              </w:rPr>
              <w:t>3</w:t>
            </w:r>
            <w:r w:rsidRPr="00F7352A">
              <w:rPr>
                <w:noProof/>
                <w:webHidden/>
              </w:rPr>
              <w:fldChar w:fldCharType="end"/>
            </w:r>
          </w:hyperlink>
        </w:p>
        <w:p w14:paraId="38199986" w14:textId="184644DE" w:rsidR="00F7352A" w:rsidRPr="00F7352A" w:rsidRDefault="00F7352A" w:rsidP="00F7352A">
          <w:pPr>
            <w:pStyle w:val="TOC2"/>
            <w:tabs>
              <w:tab w:val="right" w:leader="dot" w:pos="9402"/>
            </w:tabs>
            <w:spacing w:line="300" w:lineRule="exact"/>
            <w:rPr>
              <w:rFonts w:asciiTheme="minorHAnsi" w:eastAsiaTheme="minorEastAsia" w:hAnsiTheme="minorHAnsi" w:cstheme="minorBidi"/>
              <w:noProof/>
              <w:szCs w:val="22"/>
            </w:rPr>
          </w:pPr>
          <w:hyperlink w:anchor="_Toc90390749" w:history="1">
            <w:r w:rsidRPr="00F7352A">
              <w:rPr>
                <w:rStyle w:val="af2"/>
                <w:rFonts w:eastAsia="黑体"/>
                <w:noProof/>
              </w:rPr>
              <w:t>农业农村部印发《长江生物多样性保护实施方案（</w:t>
            </w:r>
            <w:r w:rsidRPr="00F7352A">
              <w:rPr>
                <w:rStyle w:val="af2"/>
                <w:rFonts w:eastAsia="黑体"/>
                <w:noProof/>
              </w:rPr>
              <w:t>2021-2025</w:t>
            </w:r>
            <w:r w:rsidRPr="00F7352A">
              <w:rPr>
                <w:rStyle w:val="af2"/>
                <w:rFonts w:eastAsia="黑体"/>
                <w:noProof/>
              </w:rPr>
              <w:t>年）》</w:t>
            </w:r>
            <w:r w:rsidRPr="00F7352A">
              <w:rPr>
                <w:noProof/>
                <w:webHidden/>
              </w:rPr>
              <w:tab/>
            </w:r>
            <w:r w:rsidRPr="00F7352A">
              <w:rPr>
                <w:noProof/>
                <w:webHidden/>
              </w:rPr>
              <w:fldChar w:fldCharType="begin"/>
            </w:r>
            <w:r w:rsidRPr="00F7352A">
              <w:rPr>
                <w:noProof/>
                <w:webHidden/>
              </w:rPr>
              <w:instrText xml:space="preserve"> PAGEREF _Toc90390749 \h </w:instrText>
            </w:r>
            <w:r w:rsidRPr="00F7352A">
              <w:rPr>
                <w:noProof/>
                <w:webHidden/>
              </w:rPr>
            </w:r>
            <w:r w:rsidRPr="00F7352A">
              <w:rPr>
                <w:noProof/>
                <w:webHidden/>
              </w:rPr>
              <w:fldChar w:fldCharType="separate"/>
            </w:r>
            <w:r w:rsidRPr="00F7352A">
              <w:rPr>
                <w:noProof/>
                <w:webHidden/>
              </w:rPr>
              <w:t>5</w:t>
            </w:r>
            <w:r w:rsidRPr="00F7352A">
              <w:rPr>
                <w:noProof/>
                <w:webHidden/>
              </w:rPr>
              <w:fldChar w:fldCharType="end"/>
            </w:r>
          </w:hyperlink>
        </w:p>
        <w:p w14:paraId="49238325" w14:textId="72BC2BFD" w:rsidR="00F7352A" w:rsidRPr="00F7352A" w:rsidRDefault="00F7352A" w:rsidP="00F7352A">
          <w:pPr>
            <w:pStyle w:val="TOC2"/>
            <w:tabs>
              <w:tab w:val="right" w:leader="dot" w:pos="9402"/>
            </w:tabs>
            <w:spacing w:line="300" w:lineRule="exact"/>
            <w:rPr>
              <w:rFonts w:asciiTheme="minorHAnsi" w:eastAsiaTheme="minorEastAsia" w:hAnsiTheme="minorHAnsi" w:cstheme="minorBidi"/>
              <w:noProof/>
              <w:szCs w:val="22"/>
            </w:rPr>
          </w:pPr>
          <w:hyperlink w:anchor="_Toc90390750" w:history="1">
            <w:r w:rsidRPr="00F7352A">
              <w:rPr>
                <w:rStyle w:val="af2"/>
                <w:rFonts w:eastAsia="黑体"/>
                <w:noProof/>
              </w:rPr>
              <w:t>农业农村部部署长江流域水生生物资源监测和完整性指数评价工作</w:t>
            </w:r>
            <w:r w:rsidRPr="00F7352A">
              <w:rPr>
                <w:noProof/>
                <w:webHidden/>
              </w:rPr>
              <w:tab/>
            </w:r>
            <w:r w:rsidRPr="00F7352A">
              <w:rPr>
                <w:noProof/>
                <w:webHidden/>
              </w:rPr>
              <w:fldChar w:fldCharType="begin"/>
            </w:r>
            <w:r w:rsidRPr="00F7352A">
              <w:rPr>
                <w:noProof/>
                <w:webHidden/>
              </w:rPr>
              <w:instrText xml:space="preserve"> PAGEREF _Toc90390750 \h </w:instrText>
            </w:r>
            <w:r w:rsidRPr="00F7352A">
              <w:rPr>
                <w:noProof/>
                <w:webHidden/>
              </w:rPr>
            </w:r>
            <w:r w:rsidRPr="00F7352A">
              <w:rPr>
                <w:noProof/>
                <w:webHidden/>
              </w:rPr>
              <w:fldChar w:fldCharType="separate"/>
            </w:r>
            <w:r w:rsidRPr="00F7352A">
              <w:rPr>
                <w:noProof/>
                <w:webHidden/>
              </w:rPr>
              <w:t>5</w:t>
            </w:r>
            <w:r w:rsidRPr="00F7352A">
              <w:rPr>
                <w:noProof/>
                <w:webHidden/>
              </w:rPr>
              <w:fldChar w:fldCharType="end"/>
            </w:r>
          </w:hyperlink>
        </w:p>
        <w:p w14:paraId="726AF7A2" w14:textId="190B6A86" w:rsidR="00F7352A" w:rsidRPr="00F7352A" w:rsidRDefault="00F7352A" w:rsidP="00F7352A">
          <w:pPr>
            <w:pStyle w:val="TOC2"/>
            <w:tabs>
              <w:tab w:val="right" w:leader="dot" w:pos="9402"/>
            </w:tabs>
            <w:spacing w:line="300" w:lineRule="exact"/>
            <w:rPr>
              <w:rFonts w:asciiTheme="minorHAnsi" w:eastAsiaTheme="minorEastAsia" w:hAnsiTheme="minorHAnsi" w:cstheme="minorBidi"/>
              <w:noProof/>
              <w:szCs w:val="22"/>
            </w:rPr>
          </w:pPr>
          <w:hyperlink w:anchor="_Toc90390751" w:history="1">
            <w:r w:rsidRPr="00F7352A">
              <w:rPr>
                <w:rStyle w:val="af2"/>
                <w:rFonts w:eastAsia="黑体"/>
                <w:noProof/>
              </w:rPr>
              <w:t>农业农村部就植物替代蛋白新技术拓宽食用蛋白来源建议作出答复</w:t>
            </w:r>
            <w:r w:rsidRPr="00F7352A">
              <w:rPr>
                <w:noProof/>
                <w:webHidden/>
              </w:rPr>
              <w:tab/>
            </w:r>
            <w:r w:rsidRPr="00F7352A">
              <w:rPr>
                <w:noProof/>
                <w:webHidden/>
              </w:rPr>
              <w:fldChar w:fldCharType="begin"/>
            </w:r>
            <w:r w:rsidRPr="00F7352A">
              <w:rPr>
                <w:noProof/>
                <w:webHidden/>
              </w:rPr>
              <w:instrText xml:space="preserve"> PAGEREF _Toc90390751 \h </w:instrText>
            </w:r>
            <w:r w:rsidRPr="00F7352A">
              <w:rPr>
                <w:noProof/>
                <w:webHidden/>
              </w:rPr>
            </w:r>
            <w:r w:rsidRPr="00F7352A">
              <w:rPr>
                <w:noProof/>
                <w:webHidden/>
              </w:rPr>
              <w:fldChar w:fldCharType="separate"/>
            </w:r>
            <w:r w:rsidRPr="00F7352A">
              <w:rPr>
                <w:noProof/>
                <w:webHidden/>
              </w:rPr>
              <w:t>6</w:t>
            </w:r>
            <w:r w:rsidRPr="00F7352A">
              <w:rPr>
                <w:noProof/>
                <w:webHidden/>
              </w:rPr>
              <w:fldChar w:fldCharType="end"/>
            </w:r>
          </w:hyperlink>
        </w:p>
        <w:p w14:paraId="0CAAEFDA" w14:textId="6FFAA324" w:rsidR="00F7352A" w:rsidRPr="00F7352A" w:rsidRDefault="00F7352A" w:rsidP="00F7352A">
          <w:pPr>
            <w:pStyle w:val="TOC2"/>
            <w:tabs>
              <w:tab w:val="right" w:leader="dot" w:pos="9402"/>
            </w:tabs>
            <w:spacing w:line="300" w:lineRule="exact"/>
            <w:rPr>
              <w:rFonts w:asciiTheme="minorHAnsi" w:eastAsiaTheme="minorEastAsia" w:hAnsiTheme="minorHAnsi" w:cstheme="minorBidi"/>
              <w:noProof/>
              <w:szCs w:val="22"/>
            </w:rPr>
          </w:pPr>
          <w:hyperlink w:anchor="_Toc90390752" w:history="1">
            <w:r w:rsidRPr="00F7352A">
              <w:rPr>
                <w:rStyle w:val="af2"/>
                <w:rFonts w:eastAsia="黑体"/>
                <w:noProof/>
              </w:rPr>
              <w:t>我国首个海洋牧场建设领域的国家标准发布</w:t>
            </w:r>
            <w:r w:rsidRPr="00F7352A">
              <w:rPr>
                <w:noProof/>
                <w:webHidden/>
              </w:rPr>
              <w:tab/>
            </w:r>
            <w:r w:rsidRPr="00F7352A">
              <w:rPr>
                <w:noProof/>
                <w:webHidden/>
              </w:rPr>
              <w:fldChar w:fldCharType="begin"/>
            </w:r>
            <w:r w:rsidRPr="00F7352A">
              <w:rPr>
                <w:noProof/>
                <w:webHidden/>
              </w:rPr>
              <w:instrText xml:space="preserve"> PAGEREF _Toc90390752 \h </w:instrText>
            </w:r>
            <w:r w:rsidRPr="00F7352A">
              <w:rPr>
                <w:noProof/>
                <w:webHidden/>
              </w:rPr>
            </w:r>
            <w:r w:rsidRPr="00F7352A">
              <w:rPr>
                <w:noProof/>
                <w:webHidden/>
              </w:rPr>
              <w:fldChar w:fldCharType="separate"/>
            </w:r>
            <w:r w:rsidRPr="00F7352A">
              <w:rPr>
                <w:noProof/>
                <w:webHidden/>
              </w:rPr>
              <w:t>7</w:t>
            </w:r>
            <w:r w:rsidRPr="00F7352A">
              <w:rPr>
                <w:noProof/>
                <w:webHidden/>
              </w:rPr>
              <w:fldChar w:fldCharType="end"/>
            </w:r>
          </w:hyperlink>
        </w:p>
        <w:p w14:paraId="14C02430" w14:textId="0068DDEE" w:rsidR="00F7352A" w:rsidRPr="00F7352A" w:rsidRDefault="00F7352A" w:rsidP="00F7352A">
          <w:pPr>
            <w:pStyle w:val="TOC1"/>
            <w:spacing w:line="300" w:lineRule="exact"/>
            <w:rPr>
              <w:rFonts w:asciiTheme="minorHAnsi" w:eastAsiaTheme="minorEastAsia" w:hAnsiTheme="minorHAnsi" w:cstheme="minorBidi"/>
              <w:b w:val="0"/>
              <w:bCs w:val="0"/>
              <w:noProof/>
              <w:szCs w:val="22"/>
            </w:rPr>
          </w:pPr>
          <w:hyperlink w:anchor="_Toc90390753" w:history="1">
            <w:r w:rsidRPr="00F7352A">
              <w:rPr>
                <w:rStyle w:val="af2"/>
                <w:noProof/>
              </w:rPr>
              <w:t>行业资讯</w:t>
            </w:r>
            <w:r w:rsidRPr="00F7352A">
              <w:rPr>
                <w:noProof/>
                <w:webHidden/>
              </w:rPr>
              <w:tab/>
            </w:r>
            <w:r w:rsidRPr="00F7352A">
              <w:rPr>
                <w:noProof/>
                <w:webHidden/>
              </w:rPr>
              <w:fldChar w:fldCharType="begin"/>
            </w:r>
            <w:r w:rsidRPr="00F7352A">
              <w:rPr>
                <w:noProof/>
                <w:webHidden/>
              </w:rPr>
              <w:instrText xml:space="preserve"> PAGEREF _Toc90390753 \h </w:instrText>
            </w:r>
            <w:r w:rsidRPr="00F7352A">
              <w:rPr>
                <w:noProof/>
                <w:webHidden/>
              </w:rPr>
            </w:r>
            <w:r w:rsidRPr="00F7352A">
              <w:rPr>
                <w:noProof/>
                <w:webHidden/>
              </w:rPr>
              <w:fldChar w:fldCharType="separate"/>
            </w:r>
            <w:r w:rsidRPr="00F7352A">
              <w:rPr>
                <w:noProof/>
                <w:webHidden/>
              </w:rPr>
              <w:t>8</w:t>
            </w:r>
            <w:r w:rsidRPr="00F7352A">
              <w:rPr>
                <w:noProof/>
                <w:webHidden/>
              </w:rPr>
              <w:fldChar w:fldCharType="end"/>
            </w:r>
          </w:hyperlink>
        </w:p>
        <w:p w14:paraId="2A38FC70" w14:textId="353AD0F6" w:rsidR="00F7352A" w:rsidRPr="00F7352A" w:rsidRDefault="00F7352A" w:rsidP="00F7352A">
          <w:pPr>
            <w:pStyle w:val="TOC2"/>
            <w:tabs>
              <w:tab w:val="right" w:leader="dot" w:pos="9402"/>
            </w:tabs>
            <w:spacing w:line="300" w:lineRule="exact"/>
            <w:rPr>
              <w:rFonts w:asciiTheme="minorHAnsi" w:eastAsiaTheme="minorEastAsia" w:hAnsiTheme="minorHAnsi" w:cstheme="minorBidi"/>
              <w:noProof/>
              <w:szCs w:val="22"/>
            </w:rPr>
          </w:pPr>
          <w:hyperlink w:anchor="_Toc90390754" w:history="1">
            <w:r w:rsidRPr="00F7352A">
              <w:rPr>
                <w:rStyle w:val="af2"/>
                <w:rFonts w:eastAsia="黑体"/>
                <w:noProof/>
              </w:rPr>
              <w:t>海南省水产技术推广站正式揭牌成立</w:t>
            </w:r>
            <w:r w:rsidRPr="00F7352A">
              <w:rPr>
                <w:noProof/>
                <w:webHidden/>
              </w:rPr>
              <w:tab/>
            </w:r>
            <w:r w:rsidRPr="00F7352A">
              <w:rPr>
                <w:noProof/>
                <w:webHidden/>
              </w:rPr>
              <w:fldChar w:fldCharType="begin"/>
            </w:r>
            <w:r w:rsidRPr="00F7352A">
              <w:rPr>
                <w:noProof/>
                <w:webHidden/>
              </w:rPr>
              <w:instrText xml:space="preserve"> PAGEREF _Toc90390754 \h </w:instrText>
            </w:r>
            <w:r w:rsidRPr="00F7352A">
              <w:rPr>
                <w:noProof/>
                <w:webHidden/>
              </w:rPr>
            </w:r>
            <w:r w:rsidRPr="00F7352A">
              <w:rPr>
                <w:noProof/>
                <w:webHidden/>
              </w:rPr>
              <w:fldChar w:fldCharType="separate"/>
            </w:r>
            <w:r w:rsidRPr="00F7352A">
              <w:rPr>
                <w:noProof/>
                <w:webHidden/>
              </w:rPr>
              <w:t>8</w:t>
            </w:r>
            <w:r w:rsidRPr="00F7352A">
              <w:rPr>
                <w:noProof/>
                <w:webHidden/>
              </w:rPr>
              <w:fldChar w:fldCharType="end"/>
            </w:r>
          </w:hyperlink>
        </w:p>
        <w:p w14:paraId="67391499" w14:textId="59375150" w:rsidR="00F7352A" w:rsidRPr="00F7352A" w:rsidRDefault="00F7352A" w:rsidP="00F7352A">
          <w:pPr>
            <w:pStyle w:val="TOC2"/>
            <w:tabs>
              <w:tab w:val="right" w:leader="dot" w:pos="9402"/>
            </w:tabs>
            <w:spacing w:line="300" w:lineRule="exact"/>
            <w:rPr>
              <w:rFonts w:asciiTheme="minorHAnsi" w:eastAsiaTheme="minorEastAsia" w:hAnsiTheme="minorHAnsi" w:cstheme="minorBidi"/>
              <w:noProof/>
              <w:szCs w:val="22"/>
            </w:rPr>
          </w:pPr>
          <w:hyperlink w:anchor="_Toc90390755" w:history="1">
            <w:r w:rsidRPr="00F7352A">
              <w:rPr>
                <w:rStyle w:val="af2"/>
                <w:rFonts w:eastAsia="黑体"/>
                <w:noProof/>
              </w:rPr>
              <w:t>丁香酚残留量测定国家标准发布</w:t>
            </w:r>
            <w:r w:rsidRPr="00F7352A">
              <w:rPr>
                <w:noProof/>
                <w:webHidden/>
              </w:rPr>
              <w:tab/>
            </w:r>
            <w:r w:rsidRPr="00F7352A">
              <w:rPr>
                <w:noProof/>
                <w:webHidden/>
              </w:rPr>
              <w:fldChar w:fldCharType="begin"/>
            </w:r>
            <w:r w:rsidRPr="00F7352A">
              <w:rPr>
                <w:noProof/>
                <w:webHidden/>
              </w:rPr>
              <w:instrText xml:space="preserve"> PAGEREF _Toc90390755 \h </w:instrText>
            </w:r>
            <w:r w:rsidRPr="00F7352A">
              <w:rPr>
                <w:noProof/>
                <w:webHidden/>
              </w:rPr>
            </w:r>
            <w:r w:rsidRPr="00F7352A">
              <w:rPr>
                <w:noProof/>
                <w:webHidden/>
              </w:rPr>
              <w:fldChar w:fldCharType="separate"/>
            </w:r>
            <w:r w:rsidRPr="00F7352A">
              <w:rPr>
                <w:noProof/>
                <w:webHidden/>
              </w:rPr>
              <w:t>10</w:t>
            </w:r>
            <w:r w:rsidRPr="00F7352A">
              <w:rPr>
                <w:noProof/>
                <w:webHidden/>
              </w:rPr>
              <w:fldChar w:fldCharType="end"/>
            </w:r>
          </w:hyperlink>
        </w:p>
        <w:p w14:paraId="13D82F77" w14:textId="5D135E4D" w:rsidR="00F7352A" w:rsidRPr="00F7352A" w:rsidRDefault="00F7352A" w:rsidP="00F7352A">
          <w:pPr>
            <w:pStyle w:val="TOC2"/>
            <w:tabs>
              <w:tab w:val="right" w:leader="dot" w:pos="9402"/>
            </w:tabs>
            <w:spacing w:line="300" w:lineRule="exact"/>
            <w:rPr>
              <w:rFonts w:asciiTheme="minorHAnsi" w:eastAsiaTheme="minorEastAsia" w:hAnsiTheme="minorHAnsi" w:cstheme="minorBidi"/>
              <w:noProof/>
              <w:szCs w:val="22"/>
            </w:rPr>
          </w:pPr>
          <w:hyperlink w:anchor="_Toc90390756" w:history="1">
            <w:r w:rsidRPr="00F7352A">
              <w:rPr>
                <w:rStyle w:val="af2"/>
                <w:rFonts w:eastAsia="黑体"/>
                <w:noProof/>
              </w:rPr>
              <w:t>广东省农业农村厅发布《珠三角百万亩养殖池塘升级改造绿色发展三年行动方案》</w:t>
            </w:r>
            <w:r w:rsidRPr="00F7352A">
              <w:rPr>
                <w:noProof/>
                <w:webHidden/>
              </w:rPr>
              <w:tab/>
            </w:r>
            <w:r w:rsidRPr="00F7352A">
              <w:rPr>
                <w:noProof/>
                <w:webHidden/>
              </w:rPr>
              <w:fldChar w:fldCharType="begin"/>
            </w:r>
            <w:r w:rsidRPr="00F7352A">
              <w:rPr>
                <w:noProof/>
                <w:webHidden/>
              </w:rPr>
              <w:instrText xml:space="preserve"> PAGEREF _Toc90390756 \h </w:instrText>
            </w:r>
            <w:r w:rsidRPr="00F7352A">
              <w:rPr>
                <w:noProof/>
                <w:webHidden/>
              </w:rPr>
            </w:r>
            <w:r w:rsidRPr="00F7352A">
              <w:rPr>
                <w:noProof/>
                <w:webHidden/>
              </w:rPr>
              <w:fldChar w:fldCharType="separate"/>
            </w:r>
            <w:r w:rsidRPr="00F7352A">
              <w:rPr>
                <w:noProof/>
                <w:webHidden/>
              </w:rPr>
              <w:t>10</w:t>
            </w:r>
            <w:r w:rsidRPr="00F7352A">
              <w:rPr>
                <w:noProof/>
                <w:webHidden/>
              </w:rPr>
              <w:fldChar w:fldCharType="end"/>
            </w:r>
          </w:hyperlink>
        </w:p>
        <w:p w14:paraId="67A1A1B3" w14:textId="51123936" w:rsidR="00F7352A" w:rsidRPr="00F7352A" w:rsidRDefault="00F7352A" w:rsidP="00F7352A">
          <w:pPr>
            <w:pStyle w:val="TOC2"/>
            <w:tabs>
              <w:tab w:val="right" w:leader="dot" w:pos="9402"/>
            </w:tabs>
            <w:spacing w:line="300" w:lineRule="exact"/>
            <w:rPr>
              <w:rFonts w:asciiTheme="minorHAnsi" w:eastAsiaTheme="minorEastAsia" w:hAnsiTheme="minorHAnsi" w:cstheme="minorBidi"/>
              <w:noProof/>
              <w:szCs w:val="22"/>
            </w:rPr>
          </w:pPr>
          <w:hyperlink w:anchor="_Toc90390757" w:history="1">
            <w:r w:rsidRPr="00F7352A">
              <w:rPr>
                <w:rStyle w:val="af2"/>
                <w:rFonts w:eastAsia="黑体"/>
                <w:noProof/>
              </w:rPr>
              <w:t>水产饲料原料价格近期普遍上涨</w:t>
            </w:r>
            <w:r w:rsidRPr="00F7352A">
              <w:rPr>
                <w:noProof/>
                <w:webHidden/>
              </w:rPr>
              <w:tab/>
            </w:r>
            <w:r w:rsidRPr="00F7352A">
              <w:rPr>
                <w:noProof/>
                <w:webHidden/>
              </w:rPr>
              <w:fldChar w:fldCharType="begin"/>
            </w:r>
            <w:r w:rsidRPr="00F7352A">
              <w:rPr>
                <w:noProof/>
                <w:webHidden/>
              </w:rPr>
              <w:instrText xml:space="preserve"> PAGEREF _Toc90390757 \h </w:instrText>
            </w:r>
            <w:r w:rsidRPr="00F7352A">
              <w:rPr>
                <w:noProof/>
                <w:webHidden/>
              </w:rPr>
            </w:r>
            <w:r w:rsidRPr="00F7352A">
              <w:rPr>
                <w:noProof/>
                <w:webHidden/>
              </w:rPr>
              <w:fldChar w:fldCharType="separate"/>
            </w:r>
            <w:r w:rsidRPr="00F7352A">
              <w:rPr>
                <w:noProof/>
                <w:webHidden/>
              </w:rPr>
              <w:t>11</w:t>
            </w:r>
            <w:r w:rsidRPr="00F7352A">
              <w:rPr>
                <w:noProof/>
                <w:webHidden/>
              </w:rPr>
              <w:fldChar w:fldCharType="end"/>
            </w:r>
          </w:hyperlink>
        </w:p>
        <w:p w14:paraId="3EC53614" w14:textId="7ADAA5EC" w:rsidR="00F7352A" w:rsidRPr="00F7352A" w:rsidRDefault="00F7352A" w:rsidP="00F7352A">
          <w:pPr>
            <w:pStyle w:val="TOC1"/>
            <w:spacing w:line="300" w:lineRule="exact"/>
            <w:rPr>
              <w:rFonts w:asciiTheme="minorHAnsi" w:eastAsiaTheme="minorEastAsia" w:hAnsiTheme="minorHAnsi" w:cstheme="minorBidi"/>
              <w:b w:val="0"/>
              <w:bCs w:val="0"/>
              <w:noProof/>
              <w:szCs w:val="22"/>
            </w:rPr>
          </w:pPr>
          <w:hyperlink w:anchor="_Toc90390758" w:history="1">
            <w:r w:rsidRPr="00F7352A">
              <w:rPr>
                <w:rStyle w:val="af2"/>
                <w:noProof/>
              </w:rPr>
              <w:t>典型案例</w:t>
            </w:r>
            <w:r w:rsidRPr="00F7352A">
              <w:rPr>
                <w:noProof/>
                <w:webHidden/>
              </w:rPr>
              <w:tab/>
            </w:r>
            <w:r w:rsidRPr="00F7352A">
              <w:rPr>
                <w:noProof/>
                <w:webHidden/>
              </w:rPr>
              <w:fldChar w:fldCharType="begin"/>
            </w:r>
            <w:r w:rsidRPr="00F7352A">
              <w:rPr>
                <w:noProof/>
                <w:webHidden/>
              </w:rPr>
              <w:instrText xml:space="preserve"> PAGEREF _Toc90390758 \h </w:instrText>
            </w:r>
            <w:r w:rsidRPr="00F7352A">
              <w:rPr>
                <w:noProof/>
                <w:webHidden/>
              </w:rPr>
            </w:r>
            <w:r w:rsidRPr="00F7352A">
              <w:rPr>
                <w:noProof/>
                <w:webHidden/>
              </w:rPr>
              <w:fldChar w:fldCharType="separate"/>
            </w:r>
            <w:r w:rsidRPr="00F7352A">
              <w:rPr>
                <w:noProof/>
                <w:webHidden/>
              </w:rPr>
              <w:t>12</w:t>
            </w:r>
            <w:r w:rsidRPr="00F7352A">
              <w:rPr>
                <w:noProof/>
                <w:webHidden/>
              </w:rPr>
              <w:fldChar w:fldCharType="end"/>
            </w:r>
          </w:hyperlink>
        </w:p>
        <w:p w14:paraId="2EB8863E" w14:textId="7F82DE66" w:rsidR="00F7352A" w:rsidRPr="00F7352A" w:rsidRDefault="00F7352A" w:rsidP="00F7352A">
          <w:pPr>
            <w:pStyle w:val="TOC2"/>
            <w:tabs>
              <w:tab w:val="right" w:leader="dot" w:pos="9402"/>
            </w:tabs>
            <w:spacing w:line="300" w:lineRule="exact"/>
            <w:rPr>
              <w:rFonts w:asciiTheme="minorHAnsi" w:eastAsiaTheme="minorEastAsia" w:hAnsiTheme="minorHAnsi" w:cstheme="minorBidi"/>
              <w:noProof/>
              <w:szCs w:val="22"/>
            </w:rPr>
          </w:pPr>
          <w:hyperlink w:anchor="_Toc90390759" w:history="1">
            <w:r w:rsidRPr="00F7352A">
              <w:rPr>
                <w:rStyle w:val="af2"/>
                <w:rFonts w:eastAsia="黑体"/>
                <w:noProof/>
              </w:rPr>
              <w:t>随意挖虾塘毁坏农用地，面临刑事处罚</w:t>
            </w:r>
            <w:r w:rsidRPr="00F7352A">
              <w:rPr>
                <w:noProof/>
                <w:webHidden/>
              </w:rPr>
              <w:tab/>
            </w:r>
            <w:r w:rsidRPr="00F7352A">
              <w:rPr>
                <w:noProof/>
                <w:webHidden/>
              </w:rPr>
              <w:fldChar w:fldCharType="begin"/>
            </w:r>
            <w:r w:rsidRPr="00F7352A">
              <w:rPr>
                <w:noProof/>
                <w:webHidden/>
              </w:rPr>
              <w:instrText xml:space="preserve"> PAGEREF _Toc90390759 \h </w:instrText>
            </w:r>
            <w:r w:rsidRPr="00F7352A">
              <w:rPr>
                <w:noProof/>
                <w:webHidden/>
              </w:rPr>
            </w:r>
            <w:r w:rsidRPr="00F7352A">
              <w:rPr>
                <w:noProof/>
                <w:webHidden/>
              </w:rPr>
              <w:fldChar w:fldCharType="separate"/>
            </w:r>
            <w:r w:rsidRPr="00F7352A">
              <w:rPr>
                <w:noProof/>
                <w:webHidden/>
              </w:rPr>
              <w:t>12</w:t>
            </w:r>
            <w:r w:rsidRPr="00F7352A">
              <w:rPr>
                <w:noProof/>
                <w:webHidden/>
              </w:rPr>
              <w:fldChar w:fldCharType="end"/>
            </w:r>
          </w:hyperlink>
        </w:p>
        <w:p w14:paraId="7802BE5A" w14:textId="75B93006" w:rsidR="00F7352A" w:rsidRPr="00F7352A" w:rsidRDefault="00F7352A" w:rsidP="00F7352A">
          <w:pPr>
            <w:pStyle w:val="TOC1"/>
            <w:spacing w:line="300" w:lineRule="exact"/>
            <w:rPr>
              <w:rFonts w:asciiTheme="minorHAnsi" w:eastAsiaTheme="minorEastAsia" w:hAnsiTheme="minorHAnsi" w:cstheme="minorBidi"/>
              <w:b w:val="0"/>
              <w:bCs w:val="0"/>
              <w:noProof/>
              <w:szCs w:val="22"/>
            </w:rPr>
          </w:pPr>
          <w:hyperlink w:anchor="_Toc90390760" w:history="1">
            <w:r w:rsidRPr="00F7352A">
              <w:rPr>
                <w:rStyle w:val="af2"/>
                <w:noProof/>
              </w:rPr>
              <w:t>会议传递</w:t>
            </w:r>
            <w:r w:rsidRPr="00F7352A">
              <w:rPr>
                <w:noProof/>
                <w:webHidden/>
              </w:rPr>
              <w:tab/>
            </w:r>
            <w:r w:rsidRPr="00F7352A">
              <w:rPr>
                <w:noProof/>
                <w:webHidden/>
              </w:rPr>
              <w:fldChar w:fldCharType="begin"/>
            </w:r>
            <w:r w:rsidRPr="00F7352A">
              <w:rPr>
                <w:noProof/>
                <w:webHidden/>
              </w:rPr>
              <w:instrText xml:space="preserve"> PAGEREF _Toc90390760 \h </w:instrText>
            </w:r>
            <w:r w:rsidRPr="00F7352A">
              <w:rPr>
                <w:noProof/>
                <w:webHidden/>
              </w:rPr>
            </w:r>
            <w:r w:rsidRPr="00F7352A">
              <w:rPr>
                <w:noProof/>
                <w:webHidden/>
              </w:rPr>
              <w:fldChar w:fldCharType="separate"/>
            </w:r>
            <w:r w:rsidRPr="00F7352A">
              <w:rPr>
                <w:noProof/>
                <w:webHidden/>
              </w:rPr>
              <w:t>14</w:t>
            </w:r>
            <w:r w:rsidRPr="00F7352A">
              <w:rPr>
                <w:noProof/>
                <w:webHidden/>
              </w:rPr>
              <w:fldChar w:fldCharType="end"/>
            </w:r>
          </w:hyperlink>
        </w:p>
        <w:p w14:paraId="1C4D8DFD" w14:textId="126242C5" w:rsidR="00F7352A" w:rsidRPr="00F7352A" w:rsidRDefault="00F7352A" w:rsidP="00F7352A">
          <w:pPr>
            <w:pStyle w:val="TOC2"/>
            <w:tabs>
              <w:tab w:val="right" w:leader="dot" w:pos="9402"/>
            </w:tabs>
            <w:spacing w:line="300" w:lineRule="exact"/>
            <w:rPr>
              <w:rFonts w:asciiTheme="minorHAnsi" w:eastAsiaTheme="minorEastAsia" w:hAnsiTheme="minorHAnsi" w:cstheme="minorBidi"/>
              <w:noProof/>
              <w:szCs w:val="22"/>
            </w:rPr>
          </w:pPr>
          <w:hyperlink w:anchor="_Toc90390761" w:history="1">
            <w:r w:rsidRPr="00F7352A">
              <w:rPr>
                <w:rStyle w:val="af2"/>
                <w:rFonts w:eastAsia="黑体"/>
                <w:noProof/>
              </w:rPr>
              <w:t>首届中国</w:t>
            </w:r>
            <w:r w:rsidRPr="00F7352A">
              <w:rPr>
                <w:rStyle w:val="af2"/>
                <w:rFonts w:eastAsia="黑体"/>
                <w:noProof/>
              </w:rPr>
              <w:t>—</w:t>
            </w:r>
            <w:r w:rsidRPr="00F7352A">
              <w:rPr>
                <w:rStyle w:val="af2"/>
                <w:rFonts w:eastAsia="黑体"/>
                <w:noProof/>
              </w:rPr>
              <w:t>太平洋岛国渔业合作发展论坛在广州召开</w:t>
            </w:r>
            <w:r w:rsidRPr="00F7352A">
              <w:rPr>
                <w:noProof/>
                <w:webHidden/>
              </w:rPr>
              <w:tab/>
            </w:r>
            <w:r w:rsidRPr="00F7352A">
              <w:rPr>
                <w:noProof/>
                <w:webHidden/>
              </w:rPr>
              <w:fldChar w:fldCharType="begin"/>
            </w:r>
            <w:r w:rsidRPr="00F7352A">
              <w:rPr>
                <w:noProof/>
                <w:webHidden/>
              </w:rPr>
              <w:instrText xml:space="preserve"> PAGEREF _Toc90390761 \h </w:instrText>
            </w:r>
            <w:r w:rsidRPr="00F7352A">
              <w:rPr>
                <w:noProof/>
                <w:webHidden/>
              </w:rPr>
            </w:r>
            <w:r w:rsidRPr="00F7352A">
              <w:rPr>
                <w:noProof/>
                <w:webHidden/>
              </w:rPr>
              <w:fldChar w:fldCharType="separate"/>
            </w:r>
            <w:r w:rsidRPr="00F7352A">
              <w:rPr>
                <w:noProof/>
                <w:webHidden/>
              </w:rPr>
              <w:t>14</w:t>
            </w:r>
            <w:r w:rsidRPr="00F7352A">
              <w:rPr>
                <w:noProof/>
                <w:webHidden/>
              </w:rPr>
              <w:fldChar w:fldCharType="end"/>
            </w:r>
          </w:hyperlink>
        </w:p>
        <w:p w14:paraId="664CF029" w14:textId="341A0FAC" w:rsidR="00F7352A" w:rsidRPr="00F7352A" w:rsidRDefault="00F7352A" w:rsidP="00F7352A">
          <w:pPr>
            <w:pStyle w:val="TOC2"/>
            <w:tabs>
              <w:tab w:val="right" w:leader="dot" w:pos="9402"/>
            </w:tabs>
            <w:spacing w:line="300" w:lineRule="exact"/>
            <w:rPr>
              <w:rFonts w:asciiTheme="minorHAnsi" w:eastAsiaTheme="minorEastAsia" w:hAnsiTheme="minorHAnsi" w:cstheme="minorBidi"/>
              <w:noProof/>
              <w:szCs w:val="22"/>
            </w:rPr>
          </w:pPr>
          <w:hyperlink w:anchor="_Toc90390762" w:history="1">
            <w:r w:rsidRPr="00F7352A">
              <w:rPr>
                <w:rStyle w:val="af2"/>
                <w:rFonts w:eastAsia="黑体"/>
                <w:noProof/>
              </w:rPr>
              <w:t>第二届中国水产种业博览会在广州南沙举行</w:t>
            </w:r>
            <w:r w:rsidRPr="00F7352A">
              <w:rPr>
                <w:noProof/>
                <w:webHidden/>
              </w:rPr>
              <w:tab/>
            </w:r>
            <w:r w:rsidRPr="00F7352A">
              <w:rPr>
                <w:noProof/>
                <w:webHidden/>
              </w:rPr>
              <w:fldChar w:fldCharType="begin"/>
            </w:r>
            <w:r w:rsidRPr="00F7352A">
              <w:rPr>
                <w:noProof/>
                <w:webHidden/>
              </w:rPr>
              <w:instrText xml:space="preserve"> PAGEREF _Toc90390762 \h </w:instrText>
            </w:r>
            <w:r w:rsidRPr="00F7352A">
              <w:rPr>
                <w:noProof/>
                <w:webHidden/>
              </w:rPr>
            </w:r>
            <w:r w:rsidRPr="00F7352A">
              <w:rPr>
                <w:noProof/>
                <w:webHidden/>
              </w:rPr>
              <w:fldChar w:fldCharType="separate"/>
            </w:r>
            <w:r w:rsidRPr="00F7352A">
              <w:rPr>
                <w:noProof/>
                <w:webHidden/>
              </w:rPr>
              <w:t>14</w:t>
            </w:r>
            <w:r w:rsidRPr="00F7352A">
              <w:rPr>
                <w:noProof/>
                <w:webHidden/>
              </w:rPr>
              <w:fldChar w:fldCharType="end"/>
            </w:r>
          </w:hyperlink>
        </w:p>
        <w:p w14:paraId="30A63926" w14:textId="6B1355D1" w:rsidR="00F7352A" w:rsidRPr="00F7352A" w:rsidRDefault="00F7352A" w:rsidP="00F7352A">
          <w:pPr>
            <w:pStyle w:val="TOC2"/>
            <w:tabs>
              <w:tab w:val="right" w:leader="dot" w:pos="9402"/>
            </w:tabs>
            <w:spacing w:line="300" w:lineRule="exact"/>
            <w:rPr>
              <w:rFonts w:asciiTheme="minorHAnsi" w:eastAsiaTheme="minorEastAsia" w:hAnsiTheme="minorHAnsi" w:cstheme="minorBidi"/>
              <w:noProof/>
              <w:szCs w:val="22"/>
            </w:rPr>
          </w:pPr>
          <w:hyperlink w:anchor="_Toc90390763" w:history="1">
            <w:r w:rsidRPr="00F7352A">
              <w:rPr>
                <w:rStyle w:val="af2"/>
                <w:rFonts w:ascii="黑体" w:eastAsia="黑体" w:hAnsi="黑体" w:cs="黑体"/>
                <w:noProof/>
                <w:shd w:val="clear" w:color="auto" w:fill="FFFFFF"/>
              </w:rPr>
              <w:t>中国种，世界渔</w:t>
            </w:r>
            <w:r w:rsidRPr="00F7352A">
              <w:rPr>
                <w:noProof/>
                <w:webHidden/>
              </w:rPr>
              <w:tab/>
            </w:r>
            <w:r w:rsidRPr="00F7352A">
              <w:rPr>
                <w:noProof/>
                <w:webHidden/>
              </w:rPr>
              <w:fldChar w:fldCharType="begin"/>
            </w:r>
            <w:r w:rsidRPr="00F7352A">
              <w:rPr>
                <w:noProof/>
                <w:webHidden/>
              </w:rPr>
              <w:instrText xml:space="preserve"> PAGEREF _Toc90390763 \h </w:instrText>
            </w:r>
            <w:r w:rsidRPr="00F7352A">
              <w:rPr>
                <w:noProof/>
                <w:webHidden/>
              </w:rPr>
            </w:r>
            <w:r w:rsidRPr="00F7352A">
              <w:rPr>
                <w:noProof/>
                <w:webHidden/>
              </w:rPr>
              <w:fldChar w:fldCharType="separate"/>
            </w:r>
            <w:r w:rsidRPr="00F7352A">
              <w:rPr>
                <w:noProof/>
                <w:webHidden/>
              </w:rPr>
              <w:t>16</w:t>
            </w:r>
            <w:r w:rsidRPr="00F7352A">
              <w:rPr>
                <w:noProof/>
                <w:webHidden/>
              </w:rPr>
              <w:fldChar w:fldCharType="end"/>
            </w:r>
          </w:hyperlink>
        </w:p>
        <w:p w14:paraId="73EB41FD" w14:textId="7975ABA5" w:rsidR="00F7352A" w:rsidRPr="00F7352A" w:rsidRDefault="00F7352A" w:rsidP="00F7352A">
          <w:pPr>
            <w:pStyle w:val="TOC2"/>
            <w:tabs>
              <w:tab w:val="right" w:leader="dot" w:pos="9402"/>
            </w:tabs>
            <w:spacing w:line="300" w:lineRule="exact"/>
            <w:rPr>
              <w:rFonts w:asciiTheme="minorHAnsi" w:eastAsiaTheme="minorEastAsia" w:hAnsiTheme="minorHAnsi" w:cstheme="minorBidi"/>
              <w:noProof/>
              <w:szCs w:val="22"/>
            </w:rPr>
          </w:pPr>
          <w:hyperlink w:anchor="_Toc90390764" w:history="1">
            <w:r w:rsidRPr="00F7352A">
              <w:rPr>
                <w:rStyle w:val="af2"/>
                <w:rFonts w:ascii="黑体" w:eastAsia="黑体" w:hAnsi="黑体"/>
                <w:noProof/>
              </w:rPr>
              <w:t>首届中国海鲈种业大会暨“白蕉海鲈”产业高质量发展论坛在广州南沙盛大召开</w:t>
            </w:r>
            <w:r w:rsidRPr="00F7352A">
              <w:rPr>
                <w:noProof/>
                <w:webHidden/>
              </w:rPr>
              <w:tab/>
            </w:r>
            <w:r w:rsidRPr="00F7352A">
              <w:rPr>
                <w:noProof/>
                <w:webHidden/>
              </w:rPr>
              <w:fldChar w:fldCharType="begin"/>
            </w:r>
            <w:r w:rsidRPr="00F7352A">
              <w:rPr>
                <w:noProof/>
                <w:webHidden/>
              </w:rPr>
              <w:instrText xml:space="preserve"> PAGEREF _Toc90390764 \h </w:instrText>
            </w:r>
            <w:r w:rsidRPr="00F7352A">
              <w:rPr>
                <w:noProof/>
                <w:webHidden/>
              </w:rPr>
            </w:r>
            <w:r w:rsidRPr="00F7352A">
              <w:rPr>
                <w:noProof/>
                <w:webHidden/>
              </w:rPr>
              <w:fldChar w:fldCharType="separate"/>
            </w:r>
            <w:r w:rsidRPr="00F7352A">
              <w:rPr>
                <w:noProof/>
                <w:webHidden/>
              </w:rPr>
              <w:t>22</w:t>
            </w:r>
            <w:r w:rsidRPr="00F7352A">
              <w:rPr>
                <w:noProof/>
                <w:webHidden/>
              </w:rPr>
              <w:fldChar w:fldCharType="end"/>
            </w:r>
          </w:hyperlink>
        </w:p>
        <w:p w14:paraId="234F894A" w14:textId="42CDA739" w:rsidR="00F7352A" w:rsidRPr="00F7352A" w:rsidRDefault="00F7352A" w:rsidP="00F7352A">
          <w:pPr>
            <w:pStyle w:val="TOC1"/>
            <w:spacing w:line="300" w:lineRule="exact"/>
            <w:rPr>
              <w:rFonts w:asciiTheme="minorHAnsi" w:eastAsiaTheme="minorEastAsia" w:hAnsiTheme="minorHAnsi" w:cstheme="minorBidi"/>
              <w:b w:val="0"/>
              <w:bCs w:val="0"/>
              <w:noProof/>
              <w:szCs w:val="22"/>
            </w:rPr>
          </w:pPr>
          <w:hyperlink w:anchor="_Toc90390765" w:history="1">
            <w:r w:rsidRPr="00F7352A">
              <w:rPr>
                <w:rStyle w:val="af2"/>
                <w:noProof/>
              </w:rPr>
              <w:t>经营管理</w:t>
            </w:r>
            <w:r w:rsidRPr="00F7352A">
              <w:rPr>
                <w:noProof/>
                <w:webHidden/>
              </w:rPr>
              <w:tab/>
            </w:r>
            <w:r w:rsidRPr="00F7352A">
              <w:rPr>
                <w:noProof/>
                <w:webHidden/>
              </w:rPr>
              <w:fldChar w:fldCharType="begin"/>
            </w:r>
            <w:r w:rsidRPr="00F7352A">
              <w:rPr>
                <w:noProof/>
                <w:webHidden/>
              </w:rPr>
              <w:instrText xml:space="preserve"> PAGEREF _Toc90390765 \h </w:instrText>
            </w:r>
            <w:r w:rsidRPr="00F7352A">
              <w:rPr>
                <w:noProof/>
                <w:webHidden/>
              </w:rPr>
            </w:r>
            <w:r w:rsidRPr="00F7352A">
              <w:rPr>
                <w:noProof/>
                <w:webHidden/>
              </w:rPr>
              <w:fldChar w:fldCharType="separate"/>
            </w:r>
            <w:r w:rsidRPr="00F7352A">
              <w:rPr>
                <w:noProof/>
                <w:webHidden/>
              </w:rPr>
              <w:t>24</w:t>
            </w:r>
            <w:r w:rsidRPr="00F7352A">
              <w:rPr>
                <w:noProof/>
                <w:webHidden/>
              </w:rPr>
              <w:fldChar w:fldCharType="end"/>
            </w:r>
          </w:hyperlink>
        </w:p>
        <w:p w14:paraId="3D529175" w14:textId="0321F212" w:rsidR="00F7352A" w:rsidRPr="00F7352A" w:rsidRDefault="00F7352A" w:rsidP="00F7352A">
          <w:pPr>
            <w:pStyle w:val="TOC2"/>
            <w:tabs>
              <w:tab w:val="right" w:leader="dot" w:pos="9402"/>
            </w:tabs>
            <w:spacing w:line="300" w:lineRule="exact"/>
            <w:rPr>
              <w:rFonts w:asciiTheme="minorHAnsi" w:eastAsiaTheme="minorEastAsia" w:hAnsiTheme="minorHAnsi" w:cstheme="minorBidi"/>
              <w:noProof/>
              <w:szCs w:val="22"/>
            </w:rPr>
          </w:pPr>
          <w:hyperlink w:anchor="_Toc90390766" w:history="1">
            <w:r w:rsidRPr="00F7352A">
              <w:rPr>
                <w:rStyle w:val="af2"/>
                <w:rFonts w:eastAsia="黑体"/>
                <w:noProof/>
              </w:rPr>
              <w:t>组织管理最重要的是让人有意义</w:t>
            </w:r>
            <w:r w:rsidRPr="00F7352A">
              <w:rPr>
                <w:noProof/>
                <w:webHidden/>
              </w:rPr>
              <w:tab/>
            </w:r>
            <w:r w:rsidRPr="00F7352A">
              <w:rPr>
                <w:noProof/>
                <w:webHidden/>
              </w:rPr>
              <w:fldChar w:fldCharType="begin"/>
            </w:r>
            <w:r w:rsidRPr="00F7352A">
              <w:rPr>
                <w:noProof/>
                <w:webHidden/>
              </w:rPr>
              <w:instrText xml:space="preserve"> PAGEREF _Toc90390766 \h </w:instrText>
            </w:r>
            <w:r w:rsidRPr="00F7352A">
              <w:rPr>
                <w:noProof/>
                <w:webHidden/>
              </w:rPr>
            </w:r>
            <w:r w:rsidRPr="00F7352A">
              <w:rPr>
                <w:noProof/>
                <w:webHidden/>
              </w:rPr>
              <w:fldChar w:fldCharType="separate"/>
            </w:r>
            <w:r w:rsidRPr="00F7352A">
              <w:rPr>
                <w:noProof/>
                <w:webHidden/>
              </w:rPr>
              <w:t>24</w:t>
            </w:r>
            <w:r w:rsidRPr="00F7352A">
              <w:rPr>
                <w:noProof/>
                <w:webHidden/>
              </w:rPr>
              <w:fldChar w:fldCharType="end"/>
            </w:r>
          </w:hyperlink>
        </w:p>
        <w:p w14:paraId="23A30A7A" w14:textId="7BF4098A" w:rsidR="00F7352A" w:rsidRPr="00F7352A" w:rsidRDefault="00F7352A" w:rsidP="00F7352A">
          <w:pPr>
            <w:pStyle w:val="TOC1"/>
            <w:spacing w:line="300" w:lineRule="exact"/>
            <w:rPr>
              <w:rFonts w:asciiTheme="minorHAnsi" w:eastAsiaTheme="minorEastAsia" w:hAnsiTheme="minorHAnsi" w:cstheme="minorBidi"/>
              <w:b w:val="0"/>
              <w:bCs w:val="0"/>
              <w:noProof/>
              <w:szCs w:val="22"/>
            </w:rPr>
          </w:pPr>
          <w:hyperlink w:anchor="_Toc90390767" w:history="1">
            <w:r w:rsidRPr="00F7352A">
              <w:rPr>
                <w:rStyle w:val="af2"/>
                <w:noProof/>
              </w:rPr>
              <w:t>研究进展</w:t>
            </w:r>
            <w:r w:rsidRPr="00F7352A">
              <w:rPr>
                <w:noProof/>
                <w:webHidden/>
              </w:rPr>
              <w:tab/>
            </w:r>
            <w:r w:rsidRPr="00F7352A">
              <w:rPr>
                <w:noProof/>
                <w:webHidden/>
              </w:rPr>
              <w:fldChar w:fldCharType="begin"/>
            </w:r>
            <w:r w:rsidRPr="00F7352A">
              <w:rPr>
                <w:noProof/>
                <w:webHidden/>
              </w:rPr>
              <w:instrText xml:space="preserve"> PAGEREF _Toc90390767 \h </w:instrText>
            </w:r>
            <w:r w:rsidRPr="00F7352A">
              <w:rPr>
                <w:noProof/>
                <w:webHidden/>
              </w:rPr>
            </w:r>
            <w:r w:rsidRPr="00F7352A">
              <w:rPr>
                <w:noProof/>
                <w:webHidden/>
              </w:rPr>
              <w:fldChar w:fldCharType="separate"/>
            </w:r>
            <w:r w:rsidRPr="00F7352A">
              <w:rPr>
                <w:noProof/>
                <w:webHidden/>
              </w:rPr>
              <w:t>33</w:t>
            </w:r>
            <w:r w:rsidRPr="00F7352A">
              <w:rPr>
                <w:noProof/>
                <w:webHidden/>
              </w:rPr>
              <w:fldChar w:fldCharType="end"/>
            </w:r>
          </w:hyperlink>
        </w:p>
        <w:p w14:paraId="40D59D0C" w14:textId="2E814AD1" w:rsidR="00F7352A" w:rsidRPr="00F7352A" w:rsidRDefault="00F7352A" w:rsidP="00F7352A">
          <w:pPr>
            <w:pStyle w:val="TOC2"/>
            <w:tabs>
              <w:tab w:val="right" w:leader="dot" w:pos="9402"/>
            </w:tabs>
            <w:spacing w:line="300" w:lineRule="exact"/>
            <w:rPr>
              <w:rFonts w:asciiTheme="minorHAnsi" w:eastAsiaTheme="minorEastAsia" w:hAnsiTheme="minorHAnsi" w:cstheme="minorBidi"/>
              <w:noProof/>
              <w:szCs w:val="22"/>
            </w:rPr>
          </w:pPr>
          <w:hyperlink w:anchor="_Toc90390768" w:history="1">
            <w:r w:rsidRPr="00F7352A">
              <w:rPr>
                <w:rStyle w:val="af2"/>
                <w:rFonts w:eastAsia="黑体"/>
                <w:noProof/>
              </w:rPr>
              <w:t>南极磷虾粉潜在危害因子分析及风险评价进展</w:t>
            </w:r>
            <w:r w:rsidRPr="00F7352A">
              <w:rPr>
                <w:noProof/>
                <w:webHidden/>
              </w:rPr>
              <w:tab/>
            </w:r>
            <w:r w:rsidRPr="00F7352A">
              <w:rPr>
                <w:noProof/>
                <w:webHidden/>
              </w:rPr>
              <w:fldChar w:fldCharType="begin"/>
            </w:r>
            <w:r w:rsidRPr="00F7352A">
              <w:rPr>
                <w:noProof/>
                <w:webHidden/>
              </w:rPr>
              <w:instrText xml:space="preserve"> PAGEREF _Toc90390768 \h </w:instrText>
            </w:r>
            <w:r w:rsidRPr="00F7352A">
              <w:rPr>
                <w:noProof/>
                <w:webHidden/>
              </w:rPr>
            </w:r>
            <w:r w:rsidRPr="00F7352A">
              <w:rPr>
                <w:noProof/>
                <w:webHidden/>
              </w:rPr>
              <w:fldChar w:fldCharType="separate"/>
            </w:r>
            <w:r w:rsidRPr="00F7352A">
              <w:rPr>
                <w:noProof/>
                <w:webHidden/>
              </w:rPr>
              <w:t>33</w:t>
            </w:r>
            <w:r w:rsidRPr="00F7352A">
              <w:rPr>
                <w:noProof/>
                <w:webHidden/>
              </w:rPr>
              <w:fldChar w:fldCharType="end"/>
            </w:r>
          </w:hyperlink>
        </w:p>
        <w:p w14:paraId="5DF6AE13" w14:textId="501F5743" w:rsidR="00F7352A" w:rsidRPr="00F7352A" w:rsidRDefault="00F7352A" w:rsidP="00F7352A">
          <w:pPr>
            <w:pStyle w:val="TOC1"/>
            <w:spacing w:line="300" w:lineRule="exact"/>
            <w:rPr>
              <w:rFonts w:asciiTheme="minorHAnsi" w:eastAsiaTheme="minorEastAsia" w:hAnsiTheme="minorHAnsi" w:cstheme="minorBidi"/>
              <w:b w:val="0"/>
              <w:bCs w:val="0"/>
              <w:noProof/>
              <w:szCs w:val="22"/>
            </w:rPr>
          </w:pPr>
          <w:hyperlink w:anchor="_Toc90390769" w:history="1">
            <w:r w:rsidRPr="00F7352A">
              <w:rPr>
                <w:rStyle w:val="af2"/>
                <w:noProof/>
              </w:rPr>
              <w:t>科学研究</w:t>
            </w:r>
            <w:r w:rsidRPr="00F7352A">
              <w:rPr>
                <w:noProof/>
                <w:webHidden/>
              </w:rPr>
              <w:tab/>
            </w:r>
            <w:r w:rsidRPr="00F7352A">
              <w:rPr>
                <w:noProof/>
                <w:webHidden/>
              </w:rPr>
              <w:fldChar w:fldCharType="begin"/>
            </w:r>
            <w:r w:rsidRPr="00F7352A">
              <w:rPr>
                <w:noProof/>
                <w:webHidden/>
              </w:rPr>
              <w:instrText xml:space="preserve"> PAGEREF _Toc90390769 \h </w:instrText>
            </w:r>
            <w:r w:rsidRPr="00F7352A">
              <w:rPr>
                <w:noProof/>
                <w:webHidden/>
              </w:rPr>
            </w:r>
            <w:r w:rsidRPr="00F7352A">
              <w:rPr>
                <w:noProof/>
                <w:webHidden/>
              </w:rPr>
              <w:fldChar w:fldCharType="separate"/>
            </w:r>
            <w:r w:rsidRPr="00F7352A">
              <w:rPr>
                <w:noProof/>
                <w:webHidden/>
              </w:rPr>
              <w:t>40</w:t>
            </w:r>
            <w:r w:rsidRPr="00F7352A">
              <w:rPr>
                <w:noProof/>
                <w:webHidden/>
              </w:rPr>
              <w:fldChar w:fldCharType="end"/>
            </w:r>
          </w:hyperlink>
        </w:p>
        <w:p w14:paraId="5B80EB23" w14:textId="406F7D9C" w:rsidR="00F7352A" w:rsidRPr="00F7352A" w:rsidRDefault="00F7352A" w:rsidP="00F7352A">
          <w:pPr>
            <w:pStyle w:val="TOC2"/>
            <w:tabs>
              <w:tab w:val="right" w:leader="dot" w:pos="9402"/>
            </w:tabs>
            <w:spacing w:line="300" w:lineRule="exact"/>
            <w:rPr>
              <w:rFonts w:asciiTheme="minorHAnsi" w:eastAsiaTheme="minorEastAsia" w:hAnsiTheme="minorHAnsi" w:cstheme="minorBidi"/>
              <w:noProof/>
              <w:szCs w:val="22"/>
            </w:rPr>
          </w:pPr>
          <w:hyperlink w:anchor="_Toc90390770" w:history="1">
            <w:r w:rsidRPr="00F7352A">
              <w:rPr>
                <w:rStyle w:val="af2"/>
                <w:rFonts w:eastAsia="黑体"/>
                <w:noProof/>
              </w:rPr>
              <w:t>饲料中添加枯草芽孢杆菌对大口黑鲈幼鱼生长、肠道组织结构、抗氧化能力、免疫能力和肠炎的影响</w:t>
            </w:r>
            <w:r w:rsidRPr="00F7352A">
              <w:rPr>
                <w:noProof/>
                <w:webHidden/>
              </w:rPr>
              <w:tab/>
            </w:r>
            <w:r w:rsidRPr="00F7352A">
              <w:rPr>
                <w:noProof/>
                <w:webHidden/>
              </w:rPr>
              <w:fldChar w:fldCharType="begin"/>
            </w:r>
            <w:r w:rsidRPr="00F7352A">
              <w:rPr>
                <w:noProof/>
                <w:webHidden/>
              </w:rPr>
              <w:instrText xml:space="preserve"> PAGEREF _Toc90390770 \h </w:instrText>
            </w:r>
            <w:r w:rsidRPr="00F7352A">
              <w:rPr>
                <w:noProof/>
                <w:webHidden/>
              </w:rPr>
            </w:r>
            <w:r w:rsidRPr="00F7352A">
              <w:rPr>
                <w:noProof/>
                <w:webHidden/>
              </w:rPr>
              <w:fldChar w:fldCharType="separate"/>
            </w:r>
            <w:r w:rsidRPr="00F7352A">
              <w:rPr>
                <w:noProof/>
                <w:webHidden/>
              </w:rPr>
              <w:t>40</w:t>
            </w:r>
            <w:r w:rsidRPr="00F7352A">
              <w:rPr>
                <w:noProof/>
                <w:webHidden/>
              </w:rPr>
              <w:fldChar w:fldCharType="end"/>
            </w:r>
          </w:hyperlink>
        </w:p>
        <w:p w14:paraId="7BC98E8E" w14:textId="62E9E0CD" w:rsidR="00F7352A" w:rsidRPr="00F7352A" w:rsidRDefault="00F7352A" w:rsidP="00F7352A">
          <w:pPr>
            <w:pStyle w:val="TOC2"/>
            <w:tabs>
              <w:tab w:val="right" w:leader="dot" w:pos="9402"/>
            </w:tabs>
            <w:spacing w:line="300" w:lineRule="exact"/>
            <w:rPr>
              <w:rFonts w:asciiTheme="minorHAnsi" w:eastAsiaTheme="minorEastAsia" w:hAnsiTheme="minorHAnsi" w:cstheme="minorBidi"/>
              <w:noProof/>
              <w:szCs w:val="22"/>
            </w:rPr>
          </w:pPr>
          <w:hyperlink w:anchor="_Toc90390771" w:history="1">
            <w:r w:rsidRPr="00F7352A">
              <w:rPr>
                <w:rStyle w:val="af2"/>
                <w:rFonts w:eastAsia="黑体"/>
                <w:noProof/>
              </w:rPr>
              <w:t>饲料中添加蛋白酶对大口黑鲈生长性能和糖、脂代谢的影响</w:t>
            </w:r>
            <w:r w:rsidRPr="00F7352A">
              <w:rPr>
                <w:noProof/>
                <w:webHidden/>
              </w:rPr>
              <w:tab/>
            </w:r>
            <w:r w:rsidRPr="00F7352A">
              <w:rPr>
                <w:noProof/>
                <w:webHidden/>
              </w:rPr>
              <w:fldChar w:fldCharType="begin"/>
            </w:r>
            <w:r w:rsidRPr="00F7352A">
              <w:rPr>
                <w:noProof/>
                <w:webHidden/>
              </w:rPr>
              <w:instrText xml:space="preserve"> PAGEREF _Toc90390771 \h </w:instrText>
            </w:r>
            <w:r w:rsidRPr="00F7352A">
              <w:rPr>
                <w:noProof/>
                <w:webHidden/>
              </w:rPr>
            </w:r>
            <w:r w:rsidRPr="00F7352A">
              <w:rPr>
                <w:noProof/>
                <w:webHidden/>
              </w:rPr>
              <w:fldChar w:fldCharType="separate"/>
            </w:r>
            <w:r w:rsidRPr="00F7352A">
              <w:rPr>
                <w:noProof/>
                <w:webHidden/>
              </w:rPr>
              <w:t>52</w:t>
            </w:r>
            <w:r w:rsidRPr="00F7352A">
              <w:rPr>
                <w:noProof/>
                <w:webHidden/>
              </w:rPr>
              <w:fldChar w:fldCharType="end"/>
            </w:r>
          </w:hyperlink>
        </w:p>
        <w:p w14:paraId="7E6ECC8D" w14:textId="613BBC31" w:rsidR="00F7352A" w:rsidRPr="00F7352A" w:rsidRDefault="00F7352A" w:rsidP="00F7352A">
          <w:pPr>
            <w:pStyle w:val="TOC1"/>
            <w:spacing w:line="300" w:lineRule="exact"/>
            <w:rPr>
              <w:rFonts w:asciiTheme="minorHAnsi" w:eastAsiaTheme="minorEastAsia" w:hAnsiTheme="minorHAnsi" w:cstheme="minorBidi"/>
              <w:b w:val="0"/>
              <w:bCs w:val="0"/>
              <w:noProof/>
              <w:szCs w:val="22"/>
            </w:rPr>
          </w:pPr>
          <w:hyperlink w:anchor="_Toc90390772" w:history="1">
            <w:r w:rsidRPr="00F7352A">
              <w:rPr>
                <w:rStyle w:val="af2"/>
                <w:noProof/>
              </w:rPr>
              <w:t>饲料研发</w:t>
            </w:r>
            <w:r w:rsidRPr="00F7352A">
              <w:rPr>
                <w:noProof/>
                <w:webHidden/>
              </w:rPr>
              <w:tab/>
            </w:r>
            <w:r w:rsidRPr="00F7352A">
              <w:rPr>
                <w:noProof/>
                <w:webHidden/>
              </w:rPr>
              <w:fldChar w:fldCharType="begin"/>
            </w:r>
            <w:r w:rsidRPr="00F7352A">
              <w:rPr>
                <w:noProof/>
                <w:webHidden/>
              </w:rPr>
              <w:instrText xml:space="preserve"> PAGEREF _Toc90390772 \h </w:instrText>
            </w:r>
            <w:r w:rsidRPr="00F7352A">
              <w:rPr>
                <w:noProof/>
                <w:webHidden/>
              </w:rPr>
            </w:r>
            <w:r w:rsidRPr="00F7352A">
              <w:rPr>
                <w:noProof/>
                <w:webHidden/>
              </w:rPr>
              <w:fldChar w:fldCharType="separate"/>
            </w:r>
            <w:r w:rsidRPr="00F7352A">
              <w:rPr>
                <w:noProof/>
                <w:webHidden/>
              </w:rPr>
              <w:t>65</w:t>
            </w:r>
            <w:r w:rsidRPr="00F7352A">
              <w:rPr>
                <w:noProof/>
                <w:webHidden/>
              </w:rPr>
              <w:fldChar w:fldCharType="end"/>
            </w:r>
          </w:hyperlink>
        </w:p>
        <w:p w14:paraId="7BAA3DDF" w14:textId="4505C665" w:rsidR="00F7352A" w:rsidRPr="00F7352A" w:rsidRDefault="00F7352A" w:rsidP="00F7352A">
          <w:pPr>
            <w:pStyle w:val="TOC2"/>
            <w:tabs>
              <w:tab w:val="right" w:leader="dot" w:pos="9402"/>
            </w:tabs>
            <w:spacing w:line="300" w:lineRule="exact"/>
            <w:rPr>
              <w:rFonts w:asciiTheme="minorHAnsi" w:eastAsiaTheme="minorEastAsia" w:hAnsiTheme="minorHAnsi" w:cstheme="minorBidi"/>
              <w:noProof/>
              <w:szCs w:val="22"/>
            </w:rPr>
          </w:pPr>
          <w:hyperlink w:anchor="_Toc90390773" w:history="1">
            <w:r w:rsidRPr="00F7352A">
              <w:rPr>
                <w:rStyle w:val="af2"/>
                <w:rFonts w:eastAsia="黑体"/>
                <w:noProof/>
              </w:rPr>
              <w:t>鸡肠粉替代鱼粉对鲤生长、消化及免疫相关理化指标的影响</w:t>
            </w:r>
            <w:r w:rsidRPr="00F7352A">
              <w:rPr>
                <w:noProof/>
                <w:webHidden/>
              </w:rPr>
              <w:tab/>
            </w:r>
            <w:r w:rsidRPr="00F7352A">
              <w:rPr>
                <w:noProof/>
                <w:webHidden/>
              </w:rPr>
              <w:fldChar w:fldCharType="begin"/>
            </w:r>
            <w:r w:rsidRPr="00F7352A">
              <w:rPr>
                <w:noProof/>
                <w:webHidden/>
              </w:rPr>
              <w:instrText xml:space="preserve"> PAGEREF _Toc90390773 \h </w:instrText>
            </w:r>
            <w:r w:rsidRPr="00F7352A">
              <w:rPr>
                <w:noProof/>
                <w:webHidden/>
              </w:rPr>
            </w:r>
            <w:r w:rsidRPr="00F7352A">
              <w:rPr>
                <w:noProof/>
                <w:webHidden/>
              </w:rPr>
              <w:fldChar w:fldCharType="separate"/>
            </w:r>
            <w:r w:rsidRPr="00F7352A">
              <w:rPr>
                <w:noProof/>
                <w:webHidden/>
              </w:rPr>
              <w:t>65</w:t>
            </w:r>
            <w:r w:rsidRPr="00F7352A">
              <w:rPr>
                <w:noProof/>
                <w:webHidden/>
              </w:rPr>
              <w:fldChar w:fldCharType="end"/>
            </w:r>
          </w:hyperlink>
        </w:p>
        <w:p w14:paraId="4D148F91" w14:textId="6B9B11CD" w:rsidR="00F7352A" w:rsidRPr="00F7352A" w:rsidRDefault="00F7352A" w:rsidP="00F7352A">
          <w:pPr>
            <w:pStyle w:val="TOC2"/>
            <w:tabs>
              <w:tab w:val="right" w:leader="dot" w:pos="9402"/>
            </w:tabs>
            <w:spacing w:line="300" w:lineRule="exact"/>
            <w:rPr>
              <w:rFonts w:asciiTheme="minorHAnsi" w:eastAsiaTheme="minorEastAsia" w:hAnsiTheme="minorHAnsi" w:cstheme="minorBidi"/>
              <w:noProof/>
              <w:szCs w:val="22"/>
            </w:rPr>
          </w:pPr>
          <w:hyperlink w:anchor="_Toc90390774" w:history="1">
            <w:r w:rsidRPr="00F7352A">
              <w:rPr>
                <w:rStyle w:val="af2"/>
                <w:rFonts w:eastAsia="黑体"/>
                <w:noProof/>
              </w:rPr>
              <w:t>复合植物蛋白替代鱼粉对凡纳滨对虾生长及体组成的影响</w:t>
            </w:r>
            <w:r w:rsidRPr="00F7352A">
              <w:rPr>
                <w:noProof/>
                <w:webHidden/>
              </w:rPr>
              <w:tab/>
            </w:r>
            <w:r w:rsidRPr="00F7352A">
              <w:rPr>
                <w:noProof/>
                <w:webHidden/>
              </w:rPr>
              <w:fldChar w:fldCharType="begin"/>
            </w:r>
            <w:r w:rsidRPr="00F7352A">
              <w:rPr>
                <w:noProof/>
                <w:webHidden/>
              </w:rPr>
              <w:instrText xml:space="preserve"> PAGEREF _Toc90390774 \h </w:instrText>
            </w:r>
            <w:r w:rsidRPr="00F7352A">
              <w:rPr>
                <w:noProof/>
                <w:webHidden/>
              </w:rPr>
            </w:r>
            <w:r w:rsidRPr="00F7352A">
              <w:rPr>
                <w:noProof/>
                <w:webHidden/>
              </w:rPr>
              <w:fldChar w:fldCharType="separate"/>
            </w:r>
            <w:r w:rsidRPr="00F7352A">
              <w:rPr>
                <w:noProof/>
                <w:webHidden/>
              </w:rPr>
              <w:t>75</w:t>
            </w:r>
            <w:r w:rsidRPr="00F7352A">
              <w:rPr>
                <w:noProof/>
                <w:webHidden/>
              </w:rPr>
              <w:fldChar w:fldCharType="end"/>
            </w:r>
          </w:hyperlink>
        </w:p>
        <w:p w14:paraId="21119EE5" w14:textId="28D49BBF" w:rsidR="008F75C3" w:rsidRPr="00F7352A" w:rsidRDefault="006614AC" w:rsidP="00F7352A">
          <w:pPr>
            <w:spacing w:line="300" w:lineRule="exact"/>
          </w:pPr>
          <w:r w:rsidRPr="00F7352A">
            <w:rPr>
              <w:b/>
              <w:bCs/>
              <w:lang w:val="zh-CN"/>
            </w:rPr>
            <w:fldChar w:fldCharType="end"/>
          </w:r>
        </w:p>
      </w:sdtContent>
    </w:sdt>
    <w:p w14:paraId="3C098D49" w14:textId="77777777" w:rsidR="008F75C3" w:rsidRDefault="008F75C3">
      <w:pPr>
        <w:spacing w:line="360" w:lineRule="auto"/>
        <w:ind w:leftChars="-45" w:left="-94" w:rightChars="-159" w:right="-334"/>
        <w:jc w:val="left"/>
        <w:rPr>
          <w:b/>
          <w:bCs/>
          <w:sz w:val="32"/>
          <w:szCs w:val="32"/>
        </w:rPr>
        <w:sectPr w:rsidR="008F75C3">
          <w:pgSz w:w="11906" w:h="16838"/>
          <w:pgMar w:top="1440" w:right="1247" w:bottom="1440" w:left="1247" w:header="851" w:footer="992" w:gutter="0"/>
          <w:cols w:space="425"/>
          <w:docGrid w:type="lines" w:linePitch="312"/>
        </w:sectPr>
      </w:pPr>
    </w:p>
    <w:p w14:paraId="557DF80B" w14:textId="77777777" w:rsidR="008F75C3" w:rsidRDefault="006614AC">
      <w:pPr>
        <w:spacing w:line="276" w:lineRule="auto"/>
        <w:jc w:val="left"/>
        <w:rPr>
          <w:rStyle w:val="vm"/>
          <w:rFonts w:eastAsia="黑体"/>
          <w:b/>
          <w:bCs/>
          <w:sz w:val="32"/>
          <w:szCs w:val="32"/>
          <w:bdr w:val="single" w:sz="4" w:space="0" w:color="auto"/>
        </w:rPr>
      </w:pPr>
      <w:r>
        <w:rPr>
          <w:noProof/>
        </w:rPr>
        <w:lastRenderedPageBreak/>
        <w:drawing>
          <wp:inline distT="0" distB="0" distL="0" distR="0" wp14:anchorId="713F8587" wp14:editId="2CF26EA6">
            <wp:extent cx="5976620" cy="1778000"/>
            <wp:effectExtent l="0" t="0" r="5080" b="0"/>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pic:cNvPicPr>
                  </pic:nvPicPr>
                  <pic:blipFill>
                    <a:blip r:embed="rId12"/>
                    <a:stretch>
                      <a:fillRect/>
                    </a:stretch>
                  </pic:blipFill>
                  <pic:spPr>
                    <a:xfrm>
                      <a:off x="0" y="0"/>
                      <a:ext cx="5976620" cy="1778000"/>
                    </a:xfrm>
                    <a:prstGeom prst="rect">
                      <a:avLst/>
                    </a:prstGeom>
                  </pic:spPr>
                </pic:pic>
              </a:graphicData>
            </a:graphic>
          </wp:inline>
        </w:drawing>
      </w:r>
    </w:p>
    <w:p w14:paraId="5CA1A59F" w14:textId="77777777" w:rsidR="008F75C3" w:rsidRDefault="006614AC">
      <w:pPr>
        <w:pStyle w:val="1"/>
        <w:spacing w:line="460" w:lineRule="exact"/>
        <w:rPr>
          <w:rStyle w:val="vm"/>
          <w:rFonts w:eastAsia="黑体"/>
          <w:sz w:val="32"/>
          <w:szCs w:val="32"/>
          <w:bdr w:val="single" w:sz="4" w:space="0" w:color="auto"/>
        </w:rPr>
      </w:pPr>
      <w:bookmarkStart w:id="1" w:name="_Toc90390743"/>
      <w:r>
        <w:rPr>
          <w:rStyle w:val="vm"/>
          <w:rFonts w:eastAsia="黑体"/>
          <w:sz w:val="32"/>
          <w:szCs w:val="32"/>
          <w:bdr w:val="single" w:sz="4" w:space="0" w:color="auto"/>
        </w:rPr>
        <w:t>本会动态</w:t>
      </w:r>
      <w:bookmarkEnd w:id="1"/>
    </w:p>
    <w:p w14:paraId="405BA69E" w14:textId="77777777" w:rsidR="008F75C3" w:rsidRDefault="006614AC">
      <w:pPr>
        <w:pStyle w:val="2"/>
        <w:spacing w:line="460" w:lineRule="exact"/>
        <w:jc w:val="center"/>
        <w:rPr>
          <w:rFonts w:ascii="Times New Roman" w:eastAsia="黑体" w:hAnsi="Times New Roman" w:cs="Times New Roman"/>
          <w:sz w:val="32"/>
          <w:szCs w:val="32"/>
        </w:rPr>
      </w:pPr>
      <w:bookmarkStart w:id="2" w:name="_Hlk90333030"/>
      <w:bookmarkStart w:id="3" w:name="_Toc90390744"/>
      <w:r>
        <w:rPr>
          <w:rFonts w:ascii="Times New Roman" w:eastAsia="黑体" w:hAnsi="Times New Roman" w:cs="Times New Roman"/>
          <w:sz w:val="32"/>
          <w:szCs w:val="32"/>
        </w:rPr>
        <w:t>本会渔用配合饲料标准委员会</w:t>
      </w:r>
      <w:bookmarkEnd w:id="2"/>
      <w:r>
        <w:rPr>
          <w:rFonts w:ascii="Times New Roman" w:eastAsia="黑体" w:hAnsi="Times New Roman" w:cs="Times New Roman"/>
          <w:sz w:val="32"/>
          <w:szCs w:val="32"/>
        </w:rPr>
        <w:t>组织参加鱼粉新版标准宣贯会</w:t>
      </w:r>
      <w:bookmarkEnd w:id="3"/>
    </w:p>
    <w:p w14:paraId="1713DDC8" w14:textId="77777777" w:rsidR="008F75C3" w:rsidRDefault="006614AC">
      <w:pPr>
        <w:spacing w:line="360" w:lineRule="auto"/>
        <w:ind w:firstLine="420"/>
        <w:rPr>
          <w:rFonts w:eastAsiaTheme="minorEastAsia"/>
          <w:sz w:val="24"/>
        </w:rPr>
      </w:pPr>
      <w:r>
        <w:rPr>
          <w:rFonts w:eastAsiaTheme="minorEastAsia"/>
          <w:sz w:val="24"/>
        </w:rPr>
        <w:t>2021</w:t>
      </w:r>
      <w:r>
        <w:rPr>
          <w:rFonts w:eastAsiaTheme="minorEastAsia"/>
          <w:sz w:val="24"/>
        </w:rPr>
        <w:t>年</w:t>
      </w:r>
      <w:r>
        <w:rPr>
          <w:rFonts w:eastAsiaTheme="minorEastAsia"/>
          <w:sz w:val="24"/>
        </w:rPr>
        <w:t>11</w:t>
      </w:r>
      <w:r>
        <w:rPr>
          <w:rFonts w:eastAsiaTheme="minorEastAsia"/>
          <w:sz w:val="24"/>
        </w:rPr>
        <w:t>月</w:t>
      </w:r>
      <w:r>
        <w:rPr>
          <w:rFonts w:eastAsiaTheme="minorEastAsia"/>
          <w:sz w:val="24"/>
        </w:rPr>
        <w:t>30</w:t>
      </w:r>
      <w:r>
        <w:rPr>
          <w:rFonts w:eastAsiaTheme="minorEastAsia"/>
          <w:sz w:val="24"/>
        </w:rPr>
        <w:t>日，福建省水产饲料研究会渔用配合饲料标准委员会组织福州海马饲料有限公司、福建天马科技集团股份有限公司、福州高龙饲料有限公司、福建大昌生物科技实业有限公司、漳州市海新水产饲料有限公司、大北农水产科技集团有限公司等企业及科研院所相关人员，参加了《</w:t>
      </w:r>
      <w:r>
        <w:rPr>
          <w:rFonts w:eastAsiaTheme="minorEastAsia"/>
          <w:sz w:val="24"/>
        </w:rPr>
        <w:t xml:space="preserve">GB/T 19164 2021 </w:t>
      </w:r>
      <w:r>
        <w:rPr>
          <w:rFonts w:eastAsiaTheme="minorEastAsia"/>
          <w:sz w:val="24"/>
        </w:rPr>
        <w:t>饲料原料</w:t>
      </w:r>
      <w:r>
        <w:rPr>
          <w:rFonts w:eastAsiaTheme="minorEastAsia"/>
          <w:sz w:val="24"/>
        </w:rPr>
        <w:t xml:space="preserve"> </w:t>
      </w:r>
      <w:r>
        <w:rPr>
          <w:rFonts w:eastAsiaTheme="minorEastAsia"/>
          <w:sz w:val="24"/>
        </w:rPr>
        <w:t>鱼粉》新版标准宣贯视频会。</w:t>
      </w:r>
    </w:p>
    <w:p w14:paraId="70300816" w14:textId="77777777" w:rsidR="008F75C3" w:rsidRDefault="006614AC">
      <w:pPr>
        <w:spacing w:line="360" w:lineRule="auto"/>
        <w:ind w:firstLine="420"/>
        <w:rPr>
          <w:rFonts w:eastAsiaTheme="minorEastAsia"/>
          <w:sz w:val="24"/>
        </w:rPr>
      </w:pPr>
      <w:r>
        <w:rPr>
          <w:rFonts w:eastAsiaTheme="minorEastAsia"/>
          <w:sz w:val="24"/>
        </w:rPr>
        <w:t>2020</w:t>
      </w:r>
      <w:r>
        <w:rPr>
          <w:rFonts w:eastAsiaTheme="minorEastAsia"/>
          <w:sz w:val="24"/>
        </w:rPr>
        <w:t>年全国饲料总产量为</w:t>
      </w:r>
      <w:r>
        <w:rPr>
          <w:rFonts w:eastAsiaTheme="minorEastAsia"/>
          <w:sz w:val="24"/>
        </w:rPr>
        <w:t>2.53</w:t>
      </w:r>
      <w:r>
        <w:rPr>
          <w:rFonts w:eastAsiaTheme="minorEastAsia"/>
          <w:sz w:val="24"/>
        </w:rPr>
        <w:t>亿吨，已连续十年位居世界第一。但是，近几年饲料原料供需矛盾突出，价格高企，蛋白原料严重依赖进口。鱼粉是水产动物、特种动物以及幼龄动物的重要饲料原料</w:t>
      </w:r>
      <w:r>
        <w:rPr>
          <w:rFonts w:eastAsiaTheme="minorEastAsia"/>
          <w:sz w:val="24"/>
        </w:rPr>
        <w:t>，鱼粉作为有代表性的重要动物蛋白原料，我国消费量几乎占全球鱼粉产量的</w:t>
      </w:r>
      <w:r>
        <w:rPr>
          <w:rFonts w:eastAsiaTheme="minorEastAsia"/>
          <w:sz w:val="24"/>
        </w:rPr>
        <w:t>40%</w:t>
      </w:r>
      <w:r>
        <w:rPr>
          <w:rFonts w:eastAsiaTheme="minorEastAsia"/>
          <w:sz w:val="24"/>
        </w:rPr>
        <w:t>，而自给率却不足三分之一。《鱼粉》标准是规范国内生产与贸易的国家标准，对有效维护我国饲料和养殖行业利益，指导国际鱼粉贸易将产生重要影响。为适应饲料市场管理需求，保证鱼粉的质量安全和科学利用，我国修订发布了</w:t>
      </w:r>
      <w:r>
        <w:rPr>
          <w:rFonts w:eastAsiaTheme="minorEastAsia"/>
          <w:sz w:val="24"/>
        </w:rPr>
        <w:t>GB/T19164-2021</w:t>
      </w:r>
      <w:r>
        <w:rPr>
          <w:rFonts w:eastAsiaTheme="minorEastAsia"/>
          <w:sz w:val="24"/>
        </w:rPr>
        <w:t>饲料原料鱼粉新版标准。</w:t>
      </w:r>
    </w:p>
    <w:p w14:paraId="7DB32A4D" w14:textId="77777777" w:rsidR="008F75C3" w:rsidRDefault="006614AC">
      <w:pPr>
        <w:spacing w:line="360" w:lineRule="auto"/>
        <w:ind w:firstLine="420"/>
        <w:rPr>
          <w:rFonts w:eastAsiaTheme="minorEastAsia"/>
          <w:sz w:val="24"/>
        </w:rPr>
      </w:pPr>
      <w:r>
        <w:rPr>
          <w:rFonts w:eastAsiaTheme="minorEastAsia"/>
          <w:sz w:val="24"/>
        </w:rPr>
        <w:t>为帮助饲料行业相关单位的技术、采购、生产、质量管理、科研以及管理人员更好和更准确的理解与使用该标准，中国粮油学会饲料分会举办</w:t>
      </w:r>
      <w:r>
        <w:rPr>
          <w:rFonts w:eastAsiaTheme="minorEastAsia"/>
          <w:sz w:val="24"/>
        </w:rPr>
        <w:t>GB/T19164-2021</w:t>
      </w:r>
      <w:r>
        <w:rPr>
          <w:rFonts w:eastAsiaTheme="minorEastAsia"/>
          <w:sz w:val="24"/>
        </w:rPr>
        <w:t>饲料原料鱼粉新版标准宣贯（视频</w:t>
      </w:r>
      <w:r>
        <w:rPr>
          <w:rFonts w:eastAsiaTheme="minorEastAsia"/>
          <w:sz w:val="24"/>
        </w:rPr>
        <w:t>）会，邀请全国饲料工业标准化技术委员会委员、该标准的主要起草人苏州大学叶元土教授对该标准进行详细解读。</w:t>
      </w:r>
    </w:p>
    <w:p w14:paraId="5D6AC4FB" w14:textId="77777777" w:rsidR="008F75C3" w:rsidRDefault="006614AC">
      <w:pPr>
        <w:spacing w:line="360" w:lineRule="auto"/>
        <w:ind w:firstLine="420"/>
        <w:rPr>
          <w:rFonts w:eastAsiaTheme="minorEastAsia"/>
          <w:sz w:val="24"/>
        </w:rPr>
      </w:pPr>
      <w:r>
        <w:rPr>
          <w:rFonts w:eastAsiaTheme="minorEastAsia"/>
          <w:sz w:val="24"/>
        </w:rPr>
        <w:t>2021</w:t>
      </w:r>
      <w:r>
        <w:rPr>
          <w:rFonts w:eastAsiaTheme="minorEastAsia"/>
          <w:sz w:val="24"/>
        </w:rPr>
        <w:t>年</w:t>
      </w:r>
      <w:r>
        <w:rPr>
          <w:rFonts w:eastAsiaTheme="minorEastAsia"/>
          <w:sz w:val="24"/>
        </w:rPr>
        <w:t>10</w:t>
      </w:r>
      <w:r>
        <w:rPr>
          <w:rFonts w:eastAsiaTheme="minorEastAsia"/>
          <w:sz w:val="24"/>
        </w:rPr>
        <w:t>月</w:t>
      </w:r>
      <w:r>
        <w:rPr>
          <w:rFonts w:eastAsiaTheme="minorEastAsia"/>
          <w:sz w:val="24"/>
        </w:rPr>
        <w:t>11</w:t>
      </w:r>
      <w:r>
        <w:rPr>
          <w:rFonts w:eastAsiaTheme="minorEastAsia"/>
          <w:sz w:val="24"/>
        </w:rPr>
        <w:t>日，在第</w:t>
      </w:r>
      <w:r>
        <w:rPr>
          <w:rFonts w:eastAsiaTheme="minorEastAsia"/>
          <w:sz w:val="24"/>
        </w:rPr>
        <w:t>52</w:t>
      </w:r>
      <w:r>
        <w:rPr>
          <w:rFonts w:eastAsiaTheme="minorEastAsia"/>
          <w:sz w:val="24"/>
        </w:rPr>
        <w:t>个世界标准日来临之际，国家市场监督管理总局（国家标准化管理委员会）批准发布了新修订的国家标准</w:t>
      </w:r>
      <w:r>
        <w:rPr>
          <w:rFonts w:eastAsiaTheme="minorEastAsia"/>
          <w:sz w:val="24"/>
        </w:rPr>
        <w:t>——</w:t>
      </w:r>
      <w:r>
        <w:rPr>
          <w:rFonts w:eastAsiaTheme="minorEastAsia"/>
          <w:sz w:val="24"/>
        </w:rPr>
        <w:t>《鱼粉》（</w:t>
      </w:r>
      <w:r>
        <w:rPr>
          <w:rFonts w:eastAsiaTheme="minorEastAsia"/>
          <w:sz w:val="24"/>
        </w:rPr>
        <w:t>GB/T 19164-2021</w:t>
      </w:r>
      <w:r>
        <w:rPr>
          <w:rFonts w:eastAsiaTheme="minorEastAsia"/>
          <w:sz w:val="24"/>
        </w:rPr>
        <w:t>）。新标准是对</w:t>
      </w:r>
      <w:r>
        <w:rPr>
          <w:rFonts w:eastAsiaTheme="minorEastAsia"/>
          <w:sz w:val="24"/>
        </w:rPr>
        <w:t>GB/T 19164-2003</w:t>
      </w:r>
      <w:r>
        <w:rPr>
          <w:rFonts w:eastAsiaTheme="minorEastAsia"/>
          <w:sz w:val="24"/>
        </w:rPr>
        <w:t>版的修订，在原标准的基础上，对技术内容进行了大范围的调整：修改了红鱼粉和白鱼粉的分级指标，增加了鱼排粉技术要求和</w:t>
      </w:r>
      <w:r>
        <w:rPr>
          <w:rFonts w:eastAsiaTheme="minorEastAsia"/>
          <w:sz w:val="24"/>
        </w:rPr>
        <w:t>17</w:t>
      </w:r>
      <w:r>
        <w:rPr>
          <w:rFonts w:eastAsiaTheme="minorEastAsia"/>
          <w:sz w:val="24"/>
        </w:rPr>
        <w:t>种氨基酸</w:t>
      </w:r>
      <w:proofErr w:type="gramStart"/>
      <w:r>
        <w:rPr>
          <w:rFonts w:eastAsiaTheme="minorEastAsia"/>
          <w:sz w:val="24"/>
        </w:rPr>
        <w:t>总量占粗蛋白质</w:t>
      </w:r>
      <w:proofErr w:type="gramEnd"/>
      <w:r>
        <w:rPr>
          <w:rFonts w:eastAsiaTheme="minorEastAsia"/>
          <w:sz w:val="24"/>
        </w:rPr>
        <w:lastRenderedPageBreak/>
        <w:t>的比例、甘氨酸占</w:t>
      </w:r>
      <w:r>
        <w:rPr>
          <w:rFonts w:eastAsiaTheme="minorEastAsia"/>
          <w:sz w:val="24"/>
        </w:rPr>
        <w:t>17</w:t>
      </w:r>
      <w:r>
        <w:rPr>
          <w:rFonts w:eastAsiaTheme="minorEastAsia"/>
          <w:sz w:val="24"/>
        </w:rPr>
        <w:t>种氨基酸的比例、</w:t>
      </w:r>
      <w:r>
        <w:rPr>
          <w:rFonts w:eastAsiaTheme="minorEastAsia"/>
          <w:sz w:val="24"/>
        </w:rPr>
        <w:t>DHA</w:t>
      </w:r>
      <w:r>
        <w:rPr>
          <w:rFonts w:eastAsiaTheme="minorEastAsia"/>
          <w:sz w:val="24"/>
        </w:rPr>
        <w:t>与</w:t>
      </w:r>
      <w:r>
        <w:rPr>
          <w:rFonts w:eastAsiaTheme="minorEastAsia"/>
          <w:sz w:val="24"/>
        </w:rPr>
        <w:t>EPA</w:t>
      </w:r>
      <w:r>
        <w:rPr>
          <w:rFonts w:eastAsiaTheme="minorEastAsia"/>
          <w:sz w:val="24"/>
        </w:rPr>
        <w:t>占总脂肪</w:t>
      </w:r>
      <w:r>
        <w:rPr>
          <w:rFonts w:eastAsiaTheme="minorEastAsia"/>
          <w:sz w:val="24"/>
        </w:rPr>
        <w:t>酸比例、丙二醛含量以及相关试验方法，删除了粗脂肪、蛋氨酸等指标项目，修改了砂份、挥发性盐基氮的试验方法。新的指标体系分级更加合理科学，可操作性更强，在有效甄别鱼粉质量、防止掺杂使假、让真正的好鱼粉脱颖而出等方面，将发挥积极作用。</w:t>
      </w:r>
    </w:p>
    <w:p w14:paraId="6413B882" w14:textId="77777777" w:rsidR="008F75C3" w:rsidRDefault="006614AC">
      <w:pPr>
        <w:spacing w:line="360" w:lineRule="auto"/>
        <w:ind w:firstLine="420"/>
        <w:rPr>
          <w:rFonts w:eastAsiaTheme="minorEastAsia"/>
          <w:sz w:val="24"/>
        </w:rPr>
      </w:pPr>
      <w:r>
        <w:rPr>
          <w:rFonts w:eastAsiaTheme="minorEastAsia"/>
          <w:sz w:val="24"/>
        </w:rPr>
        <w:t>《饲料原料</w:t>
      </w:r>
      <w:r>
        <w:rPr>
          <w:rFonts w:eastAsiaTheme="minorEastAsia"/>
          <w:sz w:val="24"/>
        </w:rPr>
        <w:t xml:space="preserve"> </w:t>
      </w:r>
      <w:r>
        <w:rPr>
          <w:rFonts w:eastAsiaTheme="minorEastAsia"/>
          <w:sz w:val="24"/>
        </w:rPr>
        <w:t>鱼粉》新版标准的发布实施，对于推动我国饲料产品质量安全水平提升、饲料行业高质量发展，必将发挥重要保障和积极引领作用。</w:t>
      </w:r>
    </w:p>
    <w:p w14:paraId="639A3F92" w14:textId="77777777" w:rsidR="008F75C3" w:rsidRDefault="006614AC">
      <w:pPr>
        <w:spacing w:line="360" w:lineRule="auto"/>
        <w:ind w:firstLine="420"/>
        <w:jc w:val="right"/>
        <w:rPr>
          <w:rFonts w:eastAsiaTheme="minorEastAsia"/>
          <w:szCs w:val="21"/>
        </w:rPr>
      </w:pPr>
      <w:r>
        <w:rPr>
          <w:rFonts w:eastAsiaTheme="minorEastAsia"/>
          <w:szCs w:val="21"/>
        </w:rPr>
        <w:t>本会渔用配合饲料标准委员会供稿</w:t>
      </w:r>
    </w:p>
    <w:p w14:paraId="2F85B6E8" w14:textId="77777777" w:rsidR="008F75C3" w:rsidRDefault="006614AC">
      <w:pPr>
        <w:pStyle w:val="2"/>
        <w:spacing w:line="460" w:lineRule="exact"/>
        <w:jc w:val="center"/>
        <w:rPr>
          <w:rFonts w:ascii="Times New Roman" w:eastAsia="黑体" w:hAnsi="Times New Roman" w:cs="Times New Roman"/>
          <w:b w:val="0"/>
          <w:bCs w:val="0"/>
          <w:sz w:val="32"/>
          <w:szCs w:val="32"/>
        </w:rPr>
      </w:pPr>
      <w:bookmarkStart w:id="4" w:name="_Toc90390745"/>
      <w:r>
        <w:rPr>
          <w:rFonts w:ascii="Times New Roman" w:eastAsia="黑体" w:hAnsi="Times New Roman" w:cs="Times New Roman"/>
          <w:sz w:val="32"/>
          <w:szCs w:val="32"/>
        </w:rPr>
        <w:t>本会合作论文获宁夏第十六届自然科学优秀论文评选二等奖</w:t>
      </w:r>
      <w:bookmarkEnd w:id="4"/>
    </w:p>
    <w:p w14:paraId="37C6A737" w14:textId="77777777" w:rsidR="008F75C3" w:rsidRDefault="006614AC">
      <w:pPr>
        <w:spacing w:line="360" w:lineRule="auto"/>
        <w:ind w:firstLine="420"/>
        <w:rPr>
          <w:rFonts w:eastAsiaTheme="minorEastAsia"/>
          <w:sz w:val="24"/>
        </w:rPr>
      </w:pPr>
      <w:r>
        <w:rPr>
          <w:rFonts w:eastAsiaTheme="minorEastAsia"/>
          <w:sz w:val="24"/>
        </w:rPr>
        <w:t>本会与宁夏水产所合作的刊发于《福建农业学报》</w:t>
      </w:r>
      <w:r>
        <w:rPr>
          <w:rFonts w:eastAsiaTheme="minorEastAsia"/>
          <w:sz w:val="24"/>
        </w:rPr>
        <w:t>2020</w:t>
      </w:r>
      <w:r>
        <w:rPr>
          <w:rFonts w:eastAsiaTheme="minorEastAsia"/>
          <w:sz w:val="24"/>
        </w:rPr>
        <w:t>（</w:t>
      </w:r>
      <w:r>
        <w:rPr>
          <w:rFonts w:eastAsiaTheme="minorEastAsia"/>
          <w:sz w:val="24"/>
        </w:rPr>
        <w:t>3</w:t>
      </w:r>
      <w:r>
        <w:rPr>
          <w:rFonts w:eastAsiaTheme="minorEastAsia"/>
          <w:sz w:val="24"/>
        </w:rPr>
        <w:t>）期的论文</w:t>
      </w:r>
      <w:r>
        <w:rPr>
          <w:rFonts w:eastAsiaTheme="minorEastAsia"/>
          <w:sz w:val="24"/>
        </w:rPr>
        <w:t>“</w:t>
      </w:r>
      <w:r>
        <w:rPr>
          <w:rFonts w:eastAsiaTheme="minorEastAsia"/>
          <w:sz w:val="24"/>
        </w:rPr>
        <w:t>专用微胶囊饲料驯养培育兰州</w:t>
      </w:r>
      <w:proofErr w:type="gramStart"/>
      <w:r>
        <w:rPr>
          <w:rFonts w:eastAsiaTheme="minorEastAsia"/>
          <w:sz w:val="24"/>
        </w:rPr>
        <w:t>鲇稚</w:t>
      </w:r>
      <w:proofErr w:type="gramEnd"/>
      <w:r>
        <w:rPr>
          <w:rFonts w:eastAsiaTheme="minorEastAsia"/>
          <w:sz w:val="24"/>
        </w:rPr>
        <w:t>幼鱼效果研究</w:t>
      </w:r>
      <w:r>
        <w:rPr>
          <w:rFonts w:eastAsiaTheme="minorEastAsia"/>
          <w:sz w:val="24"/>
        </w:rPr>
        <w:t>”</w:t>
      </w:r>
      <w:r>
        <w:rPr>
          <w:rFonts w:eastAsiaTheme="minorEastAsia"/>
          <w:sz w:val="24"/>
        </w:rPr>
        <w:t>，获得宁夏第十六届自然科学优秀论文评选二等奖。本论文基于兰州</w:t>
      </w:r>
      <w:proofErr w:type="gramStart"/>
      <w:r>
        <w:rPr>
          <w:rFonts w:eastAsiaTheme="minorEastAsia"/>
          <w:sz w:val="24"/>
        </w:rPr>
        <w:t>鲇</w:t>
      </w:r>
      <w:proofErr w:type="gramEnd"/>
      <w:r>
        <w:rPr>
          <w:rFonts w:eastAsiaTheme="minorEastAsia"/>
          <w:sz w:val="24"/>
        </w:rPr>
        <w:t>产业发展中面临的仔</w:t>
      </w:r>
      <w:proofErr w:type="gramStart"/>
      <w:r>
        <w:rPr>
          <w:rFonts w:eastAsiaTheme="minorEastAsia"/>
          <w:sz w:val="24"/>
        </w:rPr>
        <w:t>稚</w:t>
      </w:r>
      <w:proofErr w:type="gramEnd"/>
      <w:r>
        <w:rPr>
          <w:rFonts w:eastAsiaTheme="minorEastAsia"/>
          <w:sz w:val="24"/>
        </w:rPr>
        <w:t>鱼培育饵料制约问题，开展微囊饲料对兰州</w:t>
      </w:r>
      <w:proofErr w:type="gramStart"/>
      <w:r>
        <w:rPr>
          <w:rFonts w:eastAsiaTheme="minorEastAsia"/>
          <w:sz w:val="24"/>
        </w:rPr>
        <w:t>鲇</w:t>
      </w:r>
      <w:proofErr w:type="gramEnd"/>
      <w:r>
        <w:rPr>
          <w:rFonts w:eastAsiaTheme="minorEastAsia"/>
          <w:sz w:val="24"/>
        </w:rPr>
        <w:t>仔</w:t>
      </w:r>
      <w:proofErr w:type="gramStart"/>
      <w:r>
        <w:rPr>
          <w:rFonts w:eastAsiaTheme="minorEastAsia"/>
          <w:sz w:val="24"/>
        </w:rPr>
        <w:t>稚鱼驯食转化</w:t>
      </w:r>
      <w:proofErr w:type="gramEnd"/>
      <w:r>
        <w:rPr>
          <w:rFonts w:eastAsiaTheme="minorEastAsia"/>
          <w:sz w:val="24"/>
        </w:rPr>
        <w:t>、生长发育和酶活性的影响研究。微囊饲料可促进兰州</w:t>
      </w:r>
      <w:proofErr w:type="gramStart"/>
      <w:r>
        <w:rPr>
          <w:rFonts w:eastAsiaTheme="minorEastAsia"/>
          <w:sz w:val="24"/>
        </w:rPr>
        <w:t>鲇稚</w:t>
      </w:r>
      <w:proofErr w:type="gramEnd"/>
      <w:r>
        <w:rPr>
          <w:rFonts w:eastAsiaTheme="minorEastAsia"/>
          <w:sz w:val="24"/>
        </w:rPr>
        <w:t>幼鱼生长发育，且规格较为整齐。因此，微囊饲料在兰州</w:t>
      </w:r>
      <w:proofErr w:type="gramStart"/>
      <w:r>
        <w:rPr>
          <w:rFonts w:eastAsiaTheme="minorEastAsia"/>
          <w:sz w:val="24"/>
        </w:rPr>
        <w:t>鲇</w:t>
      </w:r>
      <w:proofErr w:type="gramEnd"/>
      <w:r>
        <w:rPr>
          <w:rFonts w:eastAsiaTheme="minorEastAsia"/>
          <w:sz w:val="24"/>
        </w:rPr>
        <w:t>养殖产业发展中具有重要的应用价值，进一步研究并推广将对兰州</w:t>
      </w:r>
      <w:proofErr w:type="gramStart"/>
      <w:r>
        <w:rPr>
          <w:rFonts w:eastAsiaTheme="minorEastAsia"/>
          <w:sz w:val="24"/>
        </w:rPr>
        <w:t>鲇</w:t>
      </w:r>
      <w:proofErr w:type="gramEnd"/>
      <w:r>
        <w:rPr>
          <w:rFonts w:eastAsiaTheme="minorEastAsia"/>
          <w:sz w:val="24"/>
        </w:rPr>
        <w:t>养殖产业发展发挥重要支撑作用。本会陈启发荣誉理事长参与了本论文的前期研究和撰写工作。</w:t>
      </w:r>
    </w:p>
    <w:p w14:paraId="5B09C704" w14:textId="77777777" w:rsidR="008F75C3" w:rsidRDefault="006614AC">
      <w:pPr>
        <w:spacing w:line="360" w:lineRule="auto"/>
        <w:jc w:val="center"/>
        <w:rPr>
          <w:rFonts w:eastAsiaTheme="minorEastAsia"/>
          <w:sz w:val="24"/>
        </w:rPr>
      </w:pPr>
      <w:r>
        <w:rPr>
          <w:noProof/>
        </w:rPr>
        <w:drawing>
          <wp:inline distT="0" distB="0" distL="0" distR="0" wp14:anchorId="6B8BB1A4" wp14:editId="692ACA86">
            <wp:extent cx="3794125" cy="3705860"/>
            <wp:effectExtent l="0" t="0" r="0" b="8890"/>
            <wp:docPr id="19" name="图片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图片 19"/>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a:xfrm>
                      <a:off x="0" y="0"/>
                      <a:ext cx="3843507" cy="3754074"/>
                    </a:xfrm>
                    <a:prstGeom prst="rect">
                      <a:avLst/>
                    </a:prstGeom>
                    <a:noFill/>
                    <a:ln>
                      <a:noFill/>
                    </a:ln>
                  </pic:spPr>
                </pic:pic>
              </a:graphicData>
            </a:graphic>
          </wp:inline>
        </w:drawing>
      </w:r>
    </w:p>
    <w:p w14:paraId="2124BCB9" w14:textId="77777777" w:rsidR="008F75C3" w:rsidRDefault="006614AC">
      <w:pPr>
        <w:pStyle w:val="2"/>
        <w:spacing w:line="460" w:lineRule="exact"/>
        <w:jc w:val="center"/>
        <w:rPr>
          <w:rFonts w:ascii="Times New Roman" w:eastAsia="黑体" w:hAnsi="Times New Roman" w:cs="Times New Roman"/>
          <w:b w:val="0"/>
          <w:bCs w:val="0"/>
          <w:spacing w:val="-11"/>
          <w:sz w:val="32"/>
          <w:szCs w:val="32"/>
        </w:rPr>
      </w:pPr>
      <w:bookmarkStart w:id="5" w:name="_Toc90390746"/>
      <w:r>
        <w:rPr>
          <w:rFonts w:ascii="Times New Roman" w:eastAsia="黑体" w:hAnsi="Times New Roman" w:cs="Times New Roman"/>
          <w:spacing w:val="-11"/>
          <w:sz w:val="32"/>
          <w:szCs w:val="32"/>
        </w:rPr>
        <w:lastRenderedPageBreak/>
        <w:t>本会常务理</w:t>
      </w:r>
      <w:r>
        <w:rPr>
          <w:rFonts w:ascii="Times New Roman" w:eastAsia="黑体" w:hAnsi="Times New Roman" w:cs="Times New Roman"/>
          <w:spacing w:val="-11"/>
          <w:sz w:val="32"/>
          <w:szCs w:val="32"/>
        </w:rPr>
        <w:t>事单位厦门</w:t>
      </w:r>
      <w:proofErr w:type="gramStart"/>
      <w:r>
        <w:rPr>
          <w:rFonts w:ascii="Times New Roman" w:eastAsia="黑体" w:hAnsi="Times New Roman" w:cs="Times New Roman"/>
          <w:spacing w:val="-11"/>
          <w:sz w:val="32"/>
          <w:szCs w:val="32"/>
        </w:rPr>
        <w:t>惠盈动物</w:t>
      </w:r>
      <w:proofErr w:type="gramEnd"/>
      <w:r>
        <w:rPr>
          <w:rFonts w:ascii="Times New Roman" w:eastAsia="黑体" w:hAnsi="Times New Roman" w:cs="Times New Roman"/>
          <w:spacing w:val="-11"/>
          <w:sz w:val="32"/>
          <w:szCs w:val="32"/>
        </w:rPr>
        <w:t>药业有限公司通过新版兽药</w:t>
      </w:r>
      <w:r>
        <w:rPr>
          <w:rFonts w:ascii="Times New Roman" w:eastAsia="黑体" w:hAnsi="Times New Roman" w:cs="Times New Roman"/>
          <w:spacing w:val="-11"/>
          <w:sz w:val="32"/>
          <w:szCs w:val="32"/>
        </w:rPr>
        <w:t>GMP</w:t>
      </w:r>
      <w:r>
        <w:rPr>
          <w:rFonts w:ascii="Times New Roman" w:eastAsia="黑体" w:hAnsi="Times New Roman" w:cs="Times New Roman"/>
          <w:spacing w:val="-11"/>
          <w:sz w:val="32"/>
          <w:szCs w:val="32"/>
        </w:rPr>
        <w:t>验收</w:t>
      </w:r>
      <w:bookmarkEnd w:id="5"/>
    </w:p>
    <w:p w14:paraId="1968B7A3" w14:textId="77777777" w:rsidR="008F75C3" w:rsidRDefault="006614AC">
      <w:pPr>
        <w:spacing w:line="360" w:lineRule="auto"/>
        <w:ind w:firstLine="420"/>
        <w:rPr>
          <w:rFonts w:eastAsiaTheme="minorEastAsia"/>
          <w:sz w:val="24"/>
        </w:rPr>
      </w:pPr>
      <w:r>
        <w:rPr>
          <w:rFonts w:eastAsiaTheme="minorEastAsia"/>
          <w:sz w:val="24"/>
        </w:rPr>
        <w:t>2021</w:t>
      </w:r>
      <w:r>
        <w:rPr>
          <w:rFonts w:eastAsiaTheme="minorEastAsia"/>
          <w:sz w:val="24"/>
        </w:rPr>
        <w:t>年</w:t>
      </w:r>
      <w:r>
        <w:rPr>
          <w:rFonts w:eastAsiaTheme="minorEastAsia"/>
          <w:sz w:val="24"/>
        </w:rPr>
        <w:t>12</w:t>
      </w:r>
      <w:r>
        <w:rPr>
          <w:rFonts w:eastAsiaTheme="minorEastAsia"/>
          <w:sz w:val="24"/>
        </w:rPr>
        <w:t>月</w:t>
      </w:r>
      <w:r>
        <w:rPr>
          <w:rFonts w:eastAsiaTheme="minorEastAsia"/>
          <w:sz w:val="24"/>
        </w:rPr>
        <w:t>3</w:t>
      </w:r>
      <w:r>
        <w:rPr>
          <w:rFonts w:eastAsiaTheme="minorEastAsia"/>
          <w:sz w:val="24"/>
        </w:rPr>
        <w:t>日</w:t>
      </w:r>
      <w:r>
        <w:rPr>
          <w:rFonts w:eastAsiaTheme="minorEastAsia"/>
          <w:sz w:val="24"/>
        </w:rPr>
        <w:t>-12</w:t>
      </w:r>
      <w:r>
        <w:rPr>
          <w:rFonts w:eastAsiaTheme="minorEastAsia"/>
          <w:sz w:val="24"/>
        </w:rPr>
        <w:t>月</w:t>
      </w:r>
      <w:r>
        <w:rPr>
          <w:rFonts w:eastAsiaTheme="minorEastAsia"/>
          <w:sz w:val="24"/>
        </w:rPr>
        <w:t>4</w:t>
      </w:r>
      <w:r>
        <w:rPr>
          <w:rFonts w:eastAsiaTheme="minorEastAsia"/>
          <w:sz w:val="24"/>
        </w:rPr>
        <w:t>日，受福建省农业农村厅委派组成的兽药</w:t>
      </w:r>
      <w:r>
        <w:rPr>
          <w:rFonts w:eastAsiaTheme="minorEastAsia"/>
          <w:sz w:val="24"/>
        </w:rPr>
        <w:t>GMP</w:t>
      </w:r>
      <w:r>
        <w:rPr>
          <w:rFonts w:eastAsiaTheme="minorEastAsia"/>
          <w:sz w:val="24"/>
        </w:rPr>
        <w:t>验收专家组对厦门</w:t>
      </w:r>
      <w:proofErr w:type="gramStart"/>
      <w:r>
        <w:rPr>
          <w:rFonts w:eastAsiaTheme="minorEastAsia"/>
          <w:sz w:val="24"/>
        </w:rPr>
        <w:t>惠盈动物</w:t>
      </w:r>
      <w:proofErr w:type="gramEnd"/>
      <w:r>
        <w:rPr>
          <w:rFonts w:eastAsiaTheme="minorEastAsia"/>
          <w:sz w:val="24"/>
        </w:rPr>
        <w:t>药业有限公司进行新版兽药</w:t>
      </w:r>
      <w:r>
        <w:rPr>
          <w:rFonts w:eastAsiaTheme="minorEastAsia"/>
          <w:sz w:val="24"/>
        </w:rPr>
        <w:t>GMP</w:t>
      </w:r>
      <w:r>
        <w:rPr>
          <w:rFonts w:eastAsiaTheme="minorEastAsia"/>
          <w:sz w:val="24"/>
        </w:rPr>
        <w:t>复验收，集美区农业农村局派观察员参加检查验收工作。</w:t>
      </w:r>
    </w:p>
    <w:p w14:paraId="6159A50E" w14:textId="77777777" w:rsidR="008F75C3" w:rsidRDefault="006614AC">
      <w:pPr>
        <w:spacing w:line="360" w:lineRule="auto"/>
        <w:jc w:val="center"/>
        <w:rPr>
          <w:rFonts w:eastAsiaTheme="minorEastAsia"/>
          <w:sz w:val="24"/>
        </w:rPr>
      </w:pPr>
      <w:r>
        <w:rPr>
          <w:noProof/>
        </w:rPr>
        <w:drawing>
          <wp:inline distT="0" distB="0" distL="0" distR="0" wp14:anchorId="29A870E4" wp14:editId="3DFF981F">
            <wp:extent cx="1910080" cy="1271270"/>
            <wp:effectExtent l="0" t="0" r="13970" b="5080"/>
            <wp:docPr id="23" name="图片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图片 23"/>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a:xfrm>
                      <a:off x="0" y="0"/>
                      <a:ext cx="1910080" cy="1271270"/>
                    </a:xfrm>
                    <a:prstGeom prst="rect">
                      <a:avLst/>
                    </a:prstGeom>
                    <a:noFill/>
                    <a:ln>
                      <a:noFill/>
                    </a:ln>
                  </pic:spPr>
                </pic:pic>
              </a:graphicData>
            </a:graphic>
          </wp:inline>
        </w:drawing>
      </w:r>
    </w:p>
    <w:p w14:paraId="471DF6CF" w14:textId="77777777" w:rsidR="008F75C3" w:rsidRDefault="006614AC">
      <w:pPr>
        <w:spacing w:line="360" w:lineRule="auto"/>
        <w:ind w:firstLine="420"/>
        <w:rPr>
          <w:rFonts w:eastAsiaTheme="minorEastAsia"/>
          <w:sz w:val="24"/>
        </w:rPr>
      </w:pPr>
      <w:r>
        <w:rPr>
          <w:rFonts w:eastAsiaTheme="minorEastAsia"/>
          <w:sz w:val="24"/>
        </w:rPr>
        <w:t>专家组首先听取了公司兽药</w:t>
      </w:r>
      <w:r>
        <w:rPr>
          <w:rFonts w:eastAsiaTheme="minorEastAsia"/>
          <w:sz w:val="24"/>
        </w:rPr>
        <w:t>GMP</w:t>
      </w:r>
      <w:r>
        <w:rPr>
          <w:rFonts w:eastAsiaTheme="minorEastAsia"/>
          <w:sz w:val="24"/>
        </w:rPr>
        <w:t>运行实施情况汇报，此次验收范围包括</w:t>
      </w:r>
      <w:r>
        <w:rPr>
          <w:rFonts w:eastAsiaTheme="minorEastAsia"/>
          <w:sz w:val="24"/>
        </w:rPr>
        <w:t>“</w:t>
      </w:r>
      <w:r>
        <w:rPr>
          <w:rFonts w:eastAsiaTheme="minorEastAsia"/>
          <w:sz w:val="24"/>
        </w:rPr>
        <w:t>粉剂</w:t>
      </w:r>
      <w:r>
        <w:rPr>
          <w:rFonts w:eastAsiaTheme="minorEastAsia"/>
          <w:sz w:val="24"/>
        </w:rPr>
        <w:t>/</w:t>
      </w:r>
      <w:r>
        <w:rPr>
          <w:rFonts w:eastAsiaTheme="minorEastAsia"/>
          <w:sz w:val="24"/>
        </w:rPr>
        <w:t>预混剂、散剂、口服溶液剂、非氯消毒剂（液体）</w:t>
      </w:r>
      <w:r>
        <w:rPr>
          <w:rFonts w:eastAsiaTheme="minorEastAsia"/>
          <w:sz w:val="24"/>
        </w:rPr>
        <w:t>/</w:t>
      </w:r>
      <w:r>
        <w:rPr>
          <w:rFonts w:eastAsiaTheme="minorEastAsia"/>
          <w:sz w:val="24"/>
        </w:rPr>
        <w:t>外用杀虫剂（液体）、非氯消毒剂（液体</w:t>
      </w:r>
      <w:r>
        <w:rPr>
          <w:rFonts w:eastAsiaTheme="minorEastAsia"/>
          <w:sz w:val="24"/>
        </w:rPr>
        <w:t>,D</w:t>
      </w:r>
      <w:r>
        <w:rPr>
          <w:rFonts w:eastAsiaTheme="minorEastAsia"/>
          <w:sz w:val="24"/>
        </w:rPr>
        <w:t>级）、消毒剂原料药（聚维酮碘）</w:t>
      </w:r>
      <w:r>
        <w:rPr>
          <w:rFonts w:eastAsiaTheme="minorEastAsia"/>
          <w:sz w:val="24"/>
        </w:rPr>
        <w:t>”</w:t>
      </w:r>
      <w:r>
        <w:rPr>
          <w:rFonts w:eastAsiaTheme="minorEastAsia"/>
          <w:sz w:val="24"/>
        </w:rPr>
        <w:t>共六条生产线，公司质量负责人骆桂红从公司概况、厂区布局、生产设备设施管理、机构与人员、</w:t>
      </w:r>
      <w:r>
        <w:rPr>
          <w:rFonts w:eastAsiaTheme="minorEastAsia"/>
          <w:sz w:val="24"/>
        </w:rPr>
        <w:t>生产管理、质量管理等</w:t>
      </w:r>
      <w:r>
        <w:rPr>
          <w:rFonts w:eastAsiaTheme="minorEastAsia"/>
          <w:sz w:val="24"/>
        </w:rPr>
        <w:t>12</w:t>
      </w:r>
      <w:r>
        <w:rPr>
          <w:rFonts w:eastAsiaTheme="minorEastAsia"/>
          <w:sz w:val="24"/>
        </w:rPr>
        <w:t>个方面进行专题汇报。经过新版兽药</w:t>
      </w:r>
      <w:r>
        <w:rPr>
          <w:rFonts w:eastAsiaTheme="minorEastAsia"/>
          <w:sz w:val="24"/>
        </w:rPr>
        <w:t>GMP</w:t>
      </w:r>
      <w:r>
        <w:rPr>
          <w:rFonts w:eastAsiaTheme="minorEastAsia"/>
          <w:sz w:val="24"/>
        </w:rPr>
        <w:t>改造，公司</w:t>
      </w:r>
      <w:proofErr w:type="gramStart"/>
      <w:r>
        <w:rPr>
          <w:rFonts w:eastAsiaTheme="minorEastAsia"/>
          <w:sz w:val="24"/>
        </w:rPr>
        <w:t>各产线产能</w:t>
      </w:r>
      <w:proofErr w:type="gramEnd"/>
      <w:r>
        <w:rPr>
          <w:rFonts w:eastAsiaTheme="minorEastAsia"/>
          <w:sz w:val="24"/>
        </w:rPr>
        <w:t>均大幅提升，同时进一步强化了兽药生产全过程的管理</w:t>
      </w:r>
    </w:p>
    <w:p w14:paraId="63922C2D" w14:textId="77777777" w:rsidR="008F75C3" w:rsidRDefault="006614AC">
      <w:pPr>
        <w:spacing w:line="360" w:lineRule="auto"/>
        <w:ind w:firstLine="420"/>
        <w:rPr>
          <w:rFonts w:eastAsiaTheme="minorEastAsia"/>
          <w:sz w:val="24"/>
        </w:rPr>
      </w:pPr>
      <w:r>
        <w:rPr>
          <w:rFonts w:eastAsiaTheme="minorEastAsia"/>
          <w:sz w:val="24"/>
        </w:rPr>
        <w:t>随后，专家组通过动态验收、现场检查、文件及资料查阅、提问、座谈交流等方式，对</w:t>
      </w:r>
      <w:proofErr w:type="gramStart"/>
      <w:r>
        <w:rPr>
          <w:rFonts w:eastAsiaTheme="minorEastAsia"/>
          <w:sz w:val="24"/>
        </w:rPr>
        <w:t>惠盈公司</w:t>
      </w:r>
      <w:proofErr w:type="gramEnd"/>
      <w:r>
        <w:rPr>
          <w:rFonts w:eastAsiaTheme="minorEastAsia"/>
          <w:sz w:val="24"/>
        </w:rPr>
        <w:t>的生产车间、设备、工艺流程、物料管理、质量管理、人员配备、卫生管理等硬件和软件进行现场检查、验收。</w:t>
      </w:r>
    </w:p>
    <w:p w14:paraId="79B5B766" w14:textId="77777777" w:rsidR="008F75C3" w:rsidRDefault="006614AC">
      <w:pPr>
        <w:spacing w:line="360" w:lineRule="auto"/>
        <w:ind w:firstLine="420"/>
        <w:rPr>
          <w:rFonts w:eastAsiaTheme="minorEastAsia"/>
          <w:sz w:val="24"/>
        </w:rPr>
      </w:pPr>
      <w:r>
        <w:rPr>
          <w:rFonts w:eastAsiaTheme="minorEastAsia"/>
          <w:sz w:val="24"/>
        </w:rPr>
        <w:t>检查结束后，验收专家组对公司兽药</w:t>
      </w:r>
      <w:r>
        <w:rPr>
          <w:rFonts w:eastAsiaTheme="minorEastAsia"/>
          <w:sz w:val="24"/>
        </w:rPr>
        <w:t>GMP</w:t>
      </w:r>
      <w:r>
        <w:rPr>
          <w:rFonts w:eastAsiaTheme="minorEastAsia"/>
          <w:sz w:val="24"/>
        </w:rPr>
        <w:t>管理工作给予了充分肯定，同时对公司后续的发展表达了更高的期许。通过综合评定，专家组一致认为厦门</w:t>
      </w:r>
      <w:proofErr w:type="gramStart"/>
      <w:r>
        <w:rPr>
          <w:rFonts w:eastAsiaTheme="minorEastAsia"/>
          <w:sz w:val="24"/>
        </w:rPr>
        <w:t>惠盈动物</w:t>
      </w:r>
      <w:proofErr w:type="gramEnd"/>
      <w:r>
        <w:rPr>
          <w:rFonts w:eastAsiaTheme="minorEastAsia"/>
          <w:sz w:val="24"/>
        </w:rPr>
        <w:t>药业有限公司此次申请验收的六条生产线符合新版兽药</w:t>
      </w:r>
      <w:r>
        <w:rPr>
          <w:rFonts w:eastAsiaTheme="minorEastAsia"/>
          <w:sz w:val="24"/>
        </w:rPr>
        <w:t>GMP</w:t>
      </w:r>
      <w:r>
        <w:rPr>
          <w:rFonts w:eastAsiaTheme="minorEastAsia"/>
          <w:sz w:val="24"/>
        </w:rPr>
        <w:t>要</w:t>
      </w:r>
      <w:r>
        <w:rPr>
          <w:rFonts w:eastAsiaTheme="minorEastAsia"/>
          <w:sz w:val="24"/>
        </w:rPr>
        <w:t>求，并宣布厦门</w:t>
      </w:r>
      <w:proofErr w:type="gramStart"/>
      <w:r>
        <w:rPr>
          <w:rFonts w:eastAsiaTheme="minorEastAsia"/>
          <w:sz w:val="24"/>
        </w:rPr>
        <w:t>惠盈动物</w:t>
      </w:r>
      <w:proofErr w:type="gramEnd"/>
      <w:r>
        <w:rPr>
          <w:rFonts w:eastAsiaTheme="minorEastAsia"/>
          <w:sz w:val="24"/>
        </w:rPr>
        <w:t>药业有限公司顺利通过新版兽药</w:t>
      </w:r>
      <w:r>
        <w:rPr>
          <w:rFonts w:eastAsiaTheme="minorEastAsia"/>
          <w:sz w:val="24"/>
        </w:rPr>
        <w:t>GMP</w:t>
      </w:r>
      <w:r>
        <w:rPr>
          <w:rFonts w:eastAsiaTheme="minorEastAsia"/>
          <w:sz w:val="24"/>
        </w:rPr>
        <w:t>验收。</w:t>
      </w:r>
    </w:p>
    <w:p w14:paraId="4B49CA53" w14:textId="77777777" w:rsidR="008F75C3" w:rsidRDefault="006614AC">
      <w:pPr>
        <w:spacing w:line="360" w:lineRule="auto"/>
        <w:jc w:val="right"/>
        <w:rPr>
          <w:rFonts w:eastAsiaTheme="minorEastAsia"/>
          <w:szCs w:val="21"/>
        </w:rPr>
      </w:pPr>
      <w:r>
        <w:rPr>
          <w:rFonts w:eastAsiaTheme="minorEastAsia"/>
          <w:szCs w:val="21"/>
        </w:rPr>
        <w:t>转摘自</w:t>
      </w:r>
      <w:proofErr w:type="gramStart"/>
      <w:r>
        <w:rPr>
          <w:rFonts w:eastAsiaTheme="minorEastAsia"/>
          <w:szCs w:val="21"/>
        </w:rPr>
        <w:t>惠盈动保微信公众号</w:t>
      </w:r>
      <w:proofErr w:type="gramEnd"/>
    </w:p>
    <w:p w14:paraId="68E3BF2C" w14:textId="77777777" w:rsidR="008F75C3" w:rsidRDefault="006614AC">
      <w:pPr>
        <w:pStyle w:val="1"/>
        <w:spacing w:line="460" w:lineRule="exact"/>
        <w:rPr>
          <w:rStyle w:val="vm"/>
          <w:rFonts w:eastAsia="黑体"/>
          <w:b w:val="0"/>
          <w:bCs w:val="0"/>
          <w:sz w:val="32"/>
          <w:szCs w:val="32"/>
          <w:bdr w:val="single" w:sz="4" w:space="0" w:color="auto"/>
        </w:rPr>
      </w:pPr>
      <w:bookmarkStart w:id="6" w:name="_Toc90390747"/>
      <w:r>
        <w:rPr>
          <w:rStyle w:val="vm"/>
          <w:rFonts w:eastAsia="黑体"/>
          <w:sz w:val="32"/>
          <w:szCs w:val="32"/>
          <w:bdr w:val="single" w:sz="4" w:space="0" w:color="auto"/>
        </w:rPr>
        <w:t>重要资讯</w:t>
      </w:r>
      <w:bookmarkEnd w:id="6"/>
    </w:p>
    <w:p w14:paraId="0429DFD8" w14:textId="77777777" w:rsidR="008F75C3" w:rsidRDefault="006614AC">
      <w:pPr>
        <w:pStyle w:val="2"/>
        <w:spacing w:line="460" w:lineRule="exact"/>
        <w:jc w:val="center"/>
        <w:rPr>
          <w:rFonts w:ascii="Times New Roman" w:eastAsia="黑体" w:hAnsi="Times New Roman" w:cs="Times New Roman"/>
          <w:b w:val="0"/>
          <w:bCs w:val="0"/>
          <w:sz w:val="32"/>
          <w:szCs w:val="32"/>
        </w:rPr>
      </w:pPr>
      <w:bookmarkStart w:id="7" w:name="_Toc90390748"/>
      <w:r>
        <w:rPr>
          <w:rFonts w:ascii="Times New Roman" w:eastAsia="黑体" w:hAnsi="Times New Roman" w:cs="Times New Roman"/>
          <w:sz w:val="32"/>
          <w:szCs w:val="32"/>
        </w:rPr>
        <w:t>农业农村部渔业渔政管理局公示首批国家级水产健康养殖和生态养殖示范区名单</w:t>
      </w:r>
      <w:bookmarkEnd w:id="7"/>
    </w:p>
    <w:p w14:paraId="557D0150" w14:textId="77777777" w:rsidR="008F75C3" w:rsidRDefault="006614AC">
      <w:pPr>
        <w:spacing w:line="360" w:lineRule="auto"/>
        <w:ind w:firstLine="426"/>
        <w:rPr>
          <w:rFonts w:eastAsiaTheme="minorEastAsia"/>
          <w:sz w:val="24"/>
        </w:rPr>
      </w:pPr>
      <w:r>
        <w:rPr>
          <w:rFonts w:eastAsiaTheme="minorEastAsia"/>
          <w:sz w:val="24"/>
        </w:rPr>
        <w:t>按照《国家级水产健康养殖和生态养殖示范区管理办法（试行）》（</w:t>
      </w:r>
      <w:proofErr w:type="gramStart"/>
      <w:r>
        <w:rPr>
          <w:rFonts w:eastAsiaTheme="minorEastAsia"/>
          <w:sz w:val="24"/>
        </w:rPr>
        <w:t>农渔发</w:t>
      </w:r>
      <w:proofErr w:type="gramEnd"/>
      <w:r>
        <w:rPr>
          <w:rFonts w:eastAsiaTheme="minorEastAsia"/>
          <w:sz w:val="24"/>
        </w:rPr>
        <w:t>﹝</w:t>
      </w:r>
      <w:r>
        <w:rPr>
          <w:rFonts w:eastAsiaTheme="minorEastAsia"/>
          <w:sz w:val="24"/>
        </w:rPr>
        <w:t>2021</w:t>
      </w:r>
      <w:r>
        <w:rPr>
          <w:rFonts w:eastAsiaTheme="minorEastAsia"/>
          <w:sz w:val="24"/>
        </w:rPr>
        <w:t>﹞</w:t>
      </w:r>
      <w:r>
        <w:rPr>
          <w:rFonts w:eastAsiaTheme="minorEastAsia"/>
          <w:sz w:val="24"/>
        </w:rPr>
        <w:t>13</w:t>
      </w:r>
      <w:r>
        <w:rPr>
          <w:rFonts w:eastAsiaTheme="minorEastAsia"/>
          <w:sz w:val="24"/>
        </w:rPr>
        <w:t>号）和《关于开展</w:t>
      </w:r>
      <w:r>
        <w:rPr>
          <w:rFonts w:eastAsiaTheme="minorEastAsia"/>
          <w:sz w:val="24"/>
        </w:rPr>
        <w:t>2021</w:t>
      </w:r>
      <w:r>
        <w:rPr>
          <w:rFonts w:eastAsiaTheme="minorEastAsia"/>
          <w:sz w:val="24"/>
        </w:rPr>
        <w:t>年国家级水产健康养殖和生态养殖示范区创建示范活动的通知》（农</w:t>
      </w:r>
      <w:proofErr w:type="gramStart"/>
      <w:r>
        <w:rPr>
          <w:rFonts w:eastAsiaTheme="minorEastAsia"/>
          <w:sz w:val="24"/>
        </w:rPr>
        <w:lastRenderedPageBreak/>
        <w:t>渔养函</w:t>
      </w:r>
      <w:proofErr w:type="gramEnd"/>
      <w:r>
        <w:rPr>
          <w:rFonts w:eastAsiaTheme="minorEastAsia"/>
          <w:sz w:val="24"/>
        </w:rPr>
        <w:t>﹝</w:t>
      </w:r>
      <w:r>
        <w:rPr>
          <w:rFonts w:eastAsiaTheme="minorEastAsia"/>
          <w:sz w:val="24"/>
        </w:rPr>
        <w:t>2021</w:t>
      </w:r>
      <w:r>
        <w:rPr>
          <w:rFonts w:eastAsiaTheme="minorEastAsia"/>
          <w:sz w:val="24"/>
        </w:rPr>
        <w:t>﹞</w:t>
      </w:r>
      <w:r>
        <w:rPr>
          <w:rFonts w:eastAsiaTheme="minorEastAsia"/>
          <w:sz w:val="24"/>
        </w:rPr>
        <w:t>61</w:t>
      </w:r>
      <w:r>
        <w:rPr>
          <w:rFonts w:eastAsiaTheme="minorEastAsia"/>
          <w:sz w:val="24"/>
        </w:rPr>
        <w:t>号）要求，农业农村部组织开展了首批国家级水产健康养殖和生态养殖示范区创建示范活动。经各主体自愿申请，县市省逐级审核，部级复核确认，共有</w:t>
      </w:r>
      <w:r>
        <w:rPr>
          <w:rFonts w:eastAsiaTheme="minorEastAsia"/>
          <w:sz w:val="24"/>
        </w:rPr>
        <w:t>65</w:t>
      </w:r>
      <w:r>
        <w:rPr>
          <w:rFonts w:eastAsiaTheme="minorEastAsia"/>
          <w:sz w:val="24"/>
        </w:rPr>
        <w:t>个申报主体符合</w:t>
      </w:r>
      <w:r>
        <w:rPr>
          <w:rFonts w:eastAsiaTheme="minorEastAsia"/>
          <w:sz w:val="24"/>
        </w:rPr>
        <w:t>标准。名单全文如下：</w:t>
      </w:r>
    </w:p>
    <w:p w14:paraId="37A83B78" w14:textId="77777777" w:rsidR="008F75C3" w:rsidRDefault="006614AC">
      <w:pPr>
        <w:spacing w:line="360" w:lineRule="auto"/>
        <w:ind w:firstLine="426"/>
        <w:jc w:val="center"/>
        <w:rPr>
          <w:rFonts w:eastAsiaTheme="minorEastAsia"/>
          <w:sz w:val="24"/>
        </w:rPr>
      </w:pPr>
      <w:r>
        <w:rPr>
          <w:noProof/>
        </w:rPr>
        <w:drawing>
          <wp:inline distT="0" distB="0" distL="0" distR="0" wp14:anchorId="117BA712" wp14:editId="4FC50DCB">
            <wp:extent cx="2629535" cy="7256145"/>
            <wp:effectExtent l="0" t="0" r="0" b="1905"/>
            <wp:docPr id="28" name="图片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图片 28"/>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a:xfrm>
                      <a:off x="0" y="0"/>
                      <a:ext cx="2654373" cy="7323528"/>
                    </a:xfrm>
                    <a:prstGeom prst="rect">
                      <a:avLst/>
                    </a:prstGeom>
                    <a:noFill/>
                    <a:ln>
                      <a:noFill/>
                    </a:ln>
                  </pic:spPr>
                </pic:pic>
              </a:graphicData>
            </a:graphic>
          </wp:inline>
        </w:drawing>
      </w:r>
    </w:p>
    <w:p w14:paraId="4BFE4987" w14:textId="77777777" w:rsidR="008F75C3" w:rsidRDefault="006614AC">
      <w:pPr>
        <w:spacing w:line="360" w:lineRule="auto"/>
        <w:ind w:firstLine="420"/>
        <w:jc w:val="right"/>
        <w:rPr>
          <w:rFonts w:eastAsiaTheme="minorEastAsia"/>
          <w:szCs w:val="21"/>
        </w:rPr>
      </w:pPr>
      <w:r>
        <w:rPr>
          <w:rStyle w:val="vm"/>
          <w:rFonts w:eastAsiaTheme="minorEastAsia"/>
          <w:szCs w:val="21"/>
        </w:rPr>
        <w:t>转摘自中国水产</w:t>
      </w:r>
      <w:proofErr w:type="gramStart"/>
      <w:r>
        <w:rPr>
          <w:rStyle w:val="vm"/>
          <w:rFonts w:eastAsiaTheme="minorEastAsia"/>
          <w:szCs w:val="21"/>
        </w:rPr>
        <w:t>微信公众号</w:t>
      </w:r>
      <w:proofErr w:type="gramEnd"/>
    </w:p>
    <w:p w14:paraId="75579F33" w14:textId="77777777" w:rsidR="008F75C3" w:rsidRDefault="006614AC">
      <w:pPr>
        <w:pStyle w:val="2"/>
        <w:spacing w:line="460" w:lineRule="exact"/>
        <w:jc w:val="center"/>
        <w:rPr>
          <w:rFonts w:ascii="Times New Roman" w:eastAsia="黑体" w:hAnsi="Times New Roman" w:cs="Times New Roman"/>
          <w:bCs w:val="0"/>
          <w:sz w:val="32"/>
          <w:szCs w:val="32"/>
        </w:rPr>
      </w:pPr>
      <w:bookmarkStart w:id="8" w:name="_Toc90390749"/>
      <w:r>
        <w:rPr>
          <w:rFonts w:ascii="Times New Roman" w:eastAsia="黑体" w:hAnsi="Times New Roman" w:cs="Times New Roman"/>
          <w:sz w:val="32"/>
          <w:szCs w:val="32"/>
        </w:rPr>
        <w:lastRenderedPageBreak/>
        <w:t>农业农村部印发《长江生物多样性保护实施方案（</w:t>
      </w:r>
      <w:r>
        <w:rPr>
          <w:rFonts w:ascii="Times New Roman" w:eastAsia="黑体" w:hAnsi="Times New Roman" w:cs="Times New Roman"/>
          <w:sz w:val="32"/>
          <w:szCs w:val="32"/>
        </w:rPr>
        <w:t>2021-2025</w:t>
      </w:r>
      <w:r>
        <w:rPr>
          <w:rFonts w:ascii="Times New Roman" w:eastAsia="黑体" w:hAnsi="Times New Roman" w:cs="Times New Roman"/>
          <w:sz w:val="32"/>
          <w:szCs w:val="32"/>
        </w:rPr>
        <w:t>年）》</w:t>
      </w:r>
      <w:bookmarkEnd w:id="8"/>
    </w:p>
    <w:p w14:paraId="3D835B97" w14:textId="77777777" w:rsidR="008F75C3" w:rsidRDefault="006614AC">
      <w:pPr>
        <w:spacing w:line="360" w:lineRule="auto"/>
        <w:ind w:firstLine="420"/>
        <w:rPr>
          <w:rFonts w:eastAsiaTheme="minorEastAsia"/>
          <w:sz w:val="24"/>
        </w:rPr>
      </w:pPr>
      <w:r>
        <w:rPr>
          <w:rFonts w:eastAsiaTheme="minorEastAsia"/>
          <w:sz w:val="24"/>
        </w:rPr>
        <w:t>为贯彻落实党中央、国务院关于共抓长江大保护和长江十年禁渔决策部署，持续做好长江生物多样性保护工作，经与国家发展改革委、中国科学院沟通一致，近日，农业农村部印发《长江生物多样性保护实施方案（</w:t>
      </w:r>
      <w:r>
        <w:rPr>
          <w:rFonts w:eastAsiaTheme="minorEastAsia"/>
          <w:sz w:val="24"/>
        </w:rPr>
        <w:t>2021—2025</w:t>
      </w:r>
      <w:r>
        <w:rPr>
          <w:rFonts w:eastAsiaTheme="minorEastAsia"/>
          <w:sz w:val="24"/>
        </w:rPr>
        <w:t>年）》（以下简称《实施方案》）。这是我国首个针对长江水生生物多样性保护出台的专项实施方案，对长江水生生物资源恢复和水生生物多样性水平提升具有重要意义。</w:t>
      </w:r>
    </w:p>
    <w:p w14:paraId="735D97A1" w14:textId="77777777" w:rsidR="008F75C3" w:rsidRDefault="006614AC">
      <w:pPr>
        <w:spacing w:line="360" w:lineRule="auto"/>
        <w:ind w:firstLine="420"/>
        <w:jc w:val="left"/>
        <w:rPr>
          <w:rFonts w:eastAsiaTheme="minorEastAsia"/>
          <w:sz w:val="24"/>
        </w:rPr>
      </w:pPr>
      <w:r>
        <w:rPr>
          <w:rFonts w:eastAsiaTheme="minorEastAsia"/>
          <w:sz w:val="24"/>
        </w:rPr>
        <w:t>《实施方案》坚持生态优先、系统保护的基本原则，以加强长江珍稀濒危物种资源保护、修复重要水生生物关键栖息地、提高渔政执法监管能力、健全水生生物资源及栖息地监</w:t>
      </w:r>
      <w:r>
        <w:rPr>
          <w:rFonts w:eastAsiaTheme="minorEastAsia"/>
          <w:sz w:val="24"/>
        </w:rPr>
        <w:t>测体系、提升长江生物物种保护技术水平为重点任务，通过统筹加强长江水生生物多样性保护，为推进长江生态系统治理能力现代化、维护国家生态安全奠定坚实基础。</w:t>
      </w:r>
    </w:p>
    <w:p w14:paraId="688EEB47" w14:textId="77777777" w:rsidR="008F75C3" w:rsidRDefault="006614AC">
      <w:pPr>
        <w:spacing w:line="360" w:lineRule="auto"/>
        <w:ind w:firstLine="420"/>
        <w:jc w:val="left"/>
        <w:rPr>
          <w:rFonts w:eastAsiaTheme="minorEastAsia"/>
          <w:sz w:val="24"/>
        </w:rPr>
      </w:pPr>
      <w:r>
        <w:rPr>
          <w:rFonts w:eastAsiaTheme="minorEastAsia"/>
          <w:sz w:val="24"/>
        </w:rPr>
        <w:t>根据《实施方案》总体目标，到</w:t>
      </w:r>
      <w:r>
        <w:rPr>
          <w:rFonts w:eastAsiaTheme="minorEastAsia"/>
          <w:sz w:val="24"/>
        </w:rPr>
        <w:t>2025</w:t>
      </w:r>
      <w:r>
        <w:rPr>
          <w:rFonts w:eastAsiaTheme="minorEastAsia"/>
          <w:sz w:val="24"/>
        </w:rPr>
        <w:t>年，中华鲟、长江江豚、长江鲟等珍稀濒危物种资源保护将取得阶段性成效，水生生物关键栖息地得到有效修复和保护，资源及栖息地监测监管能力明显提升，物种保护科技支撑能力明显增强，水生生物资源量有所增加，水生生物完整性水平稳步提高。</w:t>
      </w:r>
    </w:p>
    <w:p w14:paraId="4DE5034B" w14:textId="77777777" w:rsidR="008F75C3" w:rsidRDefault="006614AC">
      <w:pPr>
        <w:spacing w:line="360" w:lineRule="auto"/>
        <w:ind w:firstLine="420"/>
        <w:jc w:val="right"/>
        <w:rPr>
          <w:rStyle w:val="vm"/>
          <w:rFonts w:eastAsiaTheme="minorEastAsia"/>
          <w:szCs w:val="21"/>
        </w:rPr>
      </w:pPr>
      <w:r>
        <w:rPr>
          <w:rStyle w:val="vm"/>
          <w:rFonts w:eastAsiaTheme="minorEastAsia"/>
          <w:szCs w:val="21"/>
        </w:rPr>
        <w:t>转摘自农业农村部网站</w:t>
      </w:r>
    </w:p>
    <w:p w14:paraId="65BC41CA" w14:textId="77777777" w:rsidR="008F75C3" w:rsidRDefault="006614AC">
      <w:pPr>
        <w:pStyle w:val="2"/>
        <w:spacing w:line="460" w:lineRule="exact"/>
        <w:jc w:val="center"/>
        <w:rPr>
          <w:rFonts w:ascii="Times New Roman" w:eastAsia="黑体" w:hAnsi="Times New Roman" w:cs="Times New Roman"/>
          <w:bCs w:val="0"/>
          <w:sz w:val="32"/>
          <w:szCs w:val="32"/>
        </w:rPr>
      </w:pPr>
      <w:bookmarkStart w:id="9" w:name="_Toc90390750"/>
      <w:r>
        <w:rPr>
          <w:rFonts w:ascii="Times New Roman" w:eastAsia="黑体" w:hAnsi="Times New Roman" w:cs="Times New Roman"/>
          <w:sz w:val="32"/>
          <w:szCs w:val="32"/>
        </w:rPr>
        <w:t>农业农村部部署长江流域水生生物资源监测和完整性指数评价工作</w:t>
      </w:r>
      <w:bookmarkEnd w:id="9"/>
    </w:p>
    <w:p w14:paraId="0234D1A8" w14:textId="77777777" w:rsidR="008F75C3" w:rsidRDefault="006614AC">
      <w:pPr>
        <w:spacing w:line="360" w:lineRule="auto"/>
        <w:ind w:firstLine="420"/>
        <w:jc w:val="left"/>
        <w:rPr>
          <w:rFonts w:eastAsiaTheme="minorEastAsia"/>
          <w:sz w:val="24"/>
        </w:rPr>
      </w:pPr>
      <w:r>
        <w:rPr>
          <w:rFonts w:eastAsiaTheme="minorEastAsia"/>
          <w:sz w:val="24"/>
        </w:rPr>
        <w:t>12</w:t>
      </w:r>
      <w:r>
        <w:rPr>
          <w:rFonts w:eastAsiaTheme="minorEastAsia"/>
          <w:sz w:val="24"/>
        </w:rPr>
        <w:t>月</w:t>
      </w:r>
      <w:r>
        <w:rPr>
          <w:rFonts w:eastAsiaTheme="minorEastAsia"/>
          <w:sz w:val="24"/>
        </w:rPr>
        <w:t>9</w:t>
      </w:r>
      <w:r>
        <w:rPr>
          <w:rFonts w:eastAsiaTheme="minorEastAsia"/>
          <w:sz w:val="24"/>
        </w:rPr>
        <w:t>日，农业农村部在安徽芜湖召开</w:t>
      </w:r>
      <w:r>
        <w:rPr>
          <w:rFonts w:eastAsiaTheme="minorEastAsia"/>
          <w:sz w:val="24"/>
        </w:rPr>
        <w:t>2021</w:t>
      </w:r>
      <w:r>
        <w:rPr>
          <w:rFonts w:eastAsiaTheme="minorEastAsia"/>
          <w:sz w:val="24"/>
        </w:rPr>
        <w:t>年长江流域水生生物资源监测工作会议，总结长江流域水生生物资源监测工作进展，部署明年水生生物资源监测和完整性指数评价工作。农业农村部副部长马有祥出席会议并讲话。</w:t>
      </w:r>
    </w:p>
    <w:p w14:paraId="3F5BC364" w14:textId="77777777" w:rsidR="008F75C3" w:rsidRDefault="006614AC">
      <w:pPr>
        <w:spacing w:line="360" w:lineRule="auto"/>
        <w:jc w:val="center"/>
        <w:rPr>
          <w:rFonts w:eastAsiaTheme="minorEastAsia"/>
          <w:sz w:val="24"/>
        </w:rPr>
      </w:pPr>
      <w:r>
        <w:rPr>
          <w:noProof/>
        </w:rPr>
        <w:drawing>
          <wp:inline distT="0" distB="0" distL="0" distR="0" wp14:anchorId="55AEFDAF" wp14:editId="354713B8">
            <wp:extent cx="1785620" cy="1189355"/>
            <wp:effectExtent l="0" t="0" r="5080" b="10795"/>
            <wp:docPr id="27" name="图片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图片 27"/>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a:xfrm>
                      <a:off x="0" y="0"/>
                      <a:ext cx="1785620" cy="1189355"/>
                    </a:xfrm>
                    <a:prstGeom prst="rect">
                      <a:avLst/>
                    </a:prstGeom>
                    <a:noFill/>
                    <a:ln>
                      <a:noFill/>
                    </a:ln>
                  </pic:spPr>
                </pic:pic>
              </a:graphicData>
            </a:graphic>
          </wp:inline>
        </w:drawing>
      </w:r>
    </w:p>
    <w:p w14:paraId="3E63B75C" w14:textId="77777777" w:rsidR="008F75C3" w:rsidRDefault="006614AC">
      <w:pPr>
        <w:spacing w:line="360" w:lineRule="auto"/>
        <w:ind w:firstLine="420"/>
        <w:jc w:val="left"/>
        <w:rPr>
          <w:rFonts w:eastAsiaTheme="minorEastAsia"/>
          <w:sz w:val="24"/>
        </w:rPr>
      </w:pPr>
      <w:r>
        <w:rPr>
          <w:rFonts w:eastAsiaTheme="minorEastAsia"/>
          <w:sz w:val="24"/>
        </w:rPr>
        <w:t>会议指出，水生生物资源监测工作是一项基础性、长期性工作，是科学评估禁渔效果的重要举措，是系统评价水生生物完整性指数等级的基础支撑，是开展水域生态修复的重要指南。</w:t>
      </w:r>
    </w:p>
    <w:p w14:paraId="127E21B6" w14:textId="77777777" w:rsidR="008F75C3" w:rsidRDefault="006614AC">
      <w:pPr>
        <w:spacing w:line="360" w:lineRule="auto"/>
        <w:ind w:firstLine="420"/>
        <w:jc w:val="left"/>
        <w:rPr>
          <w:rFonts w:eastAsiaTheme="minorEastAsia"/>
          <w:sz w:val="24"/>
        </w:rPr>
      </w:pPr>
      <w:r>
        <w:rPr>
          <w:rFonts w:eastAsiaTheme="minorEastAsia"/>
          <w:sz w:val="24"/>
        </w:rPr>
        <w:lastRenderedPageBreak/>
        <w:t>会议强调，要提高政治站位，深刻认识长江流域水生生物资源监测工作的重要性、艰巨性和长期性，坚持问题导向，出实招、重实效，切实加强组织领导、建强监</w:t>
      </w:r>
      <w:r>
        <w:rPr>
          <w:rFonts w:eastAsiaTheme="minorEastAsia"/>
          <w:sz w:val="24"/>
        </w:rPr>
        <w:t>测体系、规范技术方法、构建监测平台、建立考核体系、打造过硬作风，高标准、严要求做好新形势下长江流域水生生物资源监测和完整性指数评价工作，为打赢长江</w:t>
      </w:r>
      <w:r>
        <w:rPr>
          <w:rFonts w:eastAsiaTheme="minorEastAsia"/>
          <w:sz w:val="24"/>
        </w:rPr>
        <w:t>“</w:t>
      </w:r>
      <w:r>
        <w:rPr>
          <w:rFonts w:eastAsiaTheme="minorEastAsia"/>
          <w:sz w:val="24"/>
        </w:rPr>
        <w:t>十年禁渔</w:t>
      </w:r>
      <w:r>
        <w:rPr>
          <w:rFonts w:eastAsiaTheme="minorEastAsia"/>
          <w:sz w:val="24"/>
        </w:rPr>
        <w:t>”</w:t>
      </w:r>
      <w:r>
        <w:rPr>
          <w:rFonts w:eastAsiaTheme="minorEastAsia"/>
          <w:sz w:val="24"/>
        </w:rPr>
        <w:t>持久战提供坚实技术保障。</w:t>
      </w:r>
    </w:p>
    <w:p w14:paraId="0BDFFC11" w14:textId="77777777" w:rsidR="008F75C3" w:rsidRDefault="006614AC">
      <w:pPr>
        <w:spacing w:line="360" w:lineRule="auto"/>
        <w:ind w:firstLine="420"/>
        <w:jc w:val="left"/>
        <w:rPr>
          <w:rFonts w:eastAsiaTheme="minorEastAsia"/>
          <w:sz w:val="24"/>
        </w:rPr>
      </w:pPr>
      <w:r>
        <w:rPr>
          <w:rFonts w:eastAsiaTheme="minorEastAsia"/>
          <w:sz w:val="24"/>
        </w:rPr>
        <w:t>同日，农业农村</w:t>
      </w:r>
      <w:proofErr w:type="gramStart"/>
      <w:r>
        <w:rPr>
          <w:rFonts w:eastAsiaTheme="minorEastAsia"/>
          <w:sz w:val="24"/>
        </w:rPr>
        <w:t>部长江办会同</w:t>
      </w:r>
      <w:proofErr w:type="gramEnd"/>
      <w:r>
        <w:rPr>
          <w:rFonts w:eastAsiaTheme="minorEastAsia"/>
          <w:sz w:val="24"/>
        </w:rPr>
        <w:t>水利部长江水利委员会、生态环境部长江流域生态环境监督管理局、交通运输部长江航务管理局联合发布《长江流域水生生物资源及生境状况公报（</w:t>
      </w:r>
      <w:r>
        <w:rPr>
          <w:rFonts w:eastAsiaTheme="minorEastAsia"/>
          <w:sz w:val="24"/>
        </w:rPr>
        <w:t>2020</w:t>
      </w:r>
      <w:r>
        <w:rPr>
          <w:rFonts w:eastAsiaTheme="minorEastAsia"/>
          <w:sz w:val="24"/>
        </w:rPr>
        <w:t>年）》。长江流域</w:t>
      </w:r>
      <w:r>
        <w:rPr>
          <w:rFonts w:eastAsiaTheme="minorEastAsia"/>
          <w:sz w:val="24"/>
        </w:rPr>
        <w:t>15</w:t>
      </w:r>
      <w:r>
        <w:rPr>
          <w:rFonts w:eastAsiaTheme="minorEastAsia"/>
          <w:sz w:val="24"/>
        </w:rPr>
        <w:t>省（直辖市）农业农村部门负责人、长江流域水生生物资源监测网络成员单位负责人参加会议</w:t>
      </w:r>
    </w:p>
    <w:p w14:paraId="2AD5CD74" w14:textId="77777777" w:rsidR="008F75C3" w:rsidRDefault="006614AC">
      <w:pPr>
        <w:spacing w:line="360" w:lineRule="auto"/>
        <w:ind w:firstLine="420"/>
        <w:jc w:val="right"/>
        <w:rPr>
          <w:rStyle w:val="vm"/>
          <w:rFonts w:eastAsiaTheme="minorEastAsia"/>
          <w:szCs w:val="21"/>
        </w:rPr>
      </w:pPr>
      <w:r>
        <w:rPr>
          <w:rStyle w:val="vm"/>
          <w:rFonts w:eastAsiaTheme="minorEastAsia"/>
          <w:szCs w:val="21"/>
        </w:rPr>
        <w:t>转摘自农业农村部网站</w:t>
      </w:r>
    </w:p>
    <w:p w14:paraId="6737943C" w14:textId="77777777" w:rsidR="008F75C3" w:rsidRDefault="006614AC">
      <w:pPr>
        <w:pStyle w:val="2"/>
        <w:spacing w:line="460" w:lineRule="exact"/>
        <w:jc w:val="center"/>
        <w:rPr>
          <w:rFonts w:ascii="Times New Roman" w:eastAsia="黑体" w:hAnsi="Times New Roman" w:cs="Times New Roman"/>
          <w:bCs w:val="0"/>
          <w:sz w:val="32"/>
          <w:szCs w:val="32"/>
        </w:rPr>
      </w:pPr>
      <w:bookmarkStart w:id="10" w:name="_Toc90390751"/>
      <w:r>
        <w:rPr>
          <w:rFonts w:ascii="Times New Roman" w:eastAsia="黑体" w:hAnsi="Times New Roman" w:cs="Times New Roman"/>
          <w:sz w:val="32"/>
          <w:szCs w:val="32"/>
        </w:rPr>
        <w:t>农业农村部就植物替代蛋白新技术拓宽食用</w:t>
      </w:r>
      <w:r>
        <w:rPr>
          <w:rFonts w:ascii="Times New Roman" w:eastAsia="黑体" w:hAnsi="Times New Roman" w:cs="Times New Roman"/>
          <w:sz w:val="32"/>
          <w:szCs w:val="32"/>
        </w:rPr>
        <w:t>蛋白来源建议</w:t>
      </w:r>
      <w:proofErr w:type="gramStart"/>
      <w:r>
        <w:rPr>
          <w:rFonts w:ascii="Times New Roman" w:eastAsia="黑体" w:hAnsi="Times New Roman" w:cs="Times New Roman"/>
          <w:sz w:val="32"/>
          <w:szCs w:val="32"/>
        </w:rPr>
        <w:t>作出</w:t>
      </w:r>
      <w:proofErr w:type="gramEnd"/>
      <w:r>
        <w:rPr>
          <w:rFonts w:ascii="Times New Roman" w:eastAsia="黑体" w:hAnsi="Times New Roman" w:cs="Times New Roman"/>
          <w:sz w:val="32"/>
          <w:szCs w:val="32"/>
        </w:rPr>
        <w:t>答复</w:t>
      </w:r>
      <w:bookmarkEnd w:id="10"/>
    </w:p>
    <w:p w14:paraId="5A3EAB5F" w14:textId="77777777" w:rsidR="008F75C3" w:rsidRDefault="006614AC">
      <w:pPr>
        <w:spacing w:line="360" w:lineRule="auto"/>
        <w:ind w:firstLine="420"/>
        <w:jc w:val="left"/>
        <w:rPr>
          <w:rFonts w:eastAsiaTheme="minorEastAsia"/>
          <w:sz w:val="24"/>
        </w:rPr>
      </w:pPr>
      <w:r>
        <w:rPr>
          <w:rFonts w:eastAsiaTheme="minorEastAsia"/>
          <w:sz w:val="24"/>
        </w:rPr>
        <w:t>日前，农业农村部就政协委员王力平关于植物替代蛋白新技术拓宽食用蛋白来源的建议</w:t>
      </w:r>
      <w:proofErr w:type="gramStart"/>
      <w:r>
        <w:rPr>
          <w:rFonts w:eastAsiaTheme="minorEastAsia"/>
          <w:sz w:val="24"/>
        </w:rPr>
        <w:t>作出</w:t>
      </w:r>
      <w:proofErr w:type="gramEnd"/>
      <w:r>
        <w:rPr>
          <w:rFonts w:eastAsiaTheme="minorEastAsia"/>
          <w:sz w:val="24"/>
        </w:rPr>
        <w:t>答复。答复全文如下：</w:t>
      </w:r>
    </w:p>
    <w:p w14:paraId="314132BB" w14:textId="77777777" w:rsidR="008F75C3" w:rsidRDefault="006614AC">
      <w:pPr>
        <w:spacing w:line="360" w:lineRule="auto"/>
        <w:ind w:firstLine="420"/>
        <w:jc w:val="left"/>
        <w:rPr>
          <w:rFonts w:eastAsiaTheme="minorEastAsia"/>
          <w:sz w:val="24"/>
        </w:rPr>
      </w:pPr>
      <w:r>
        <w:rPr>
          <w:rFonts w:eastAsiaTheme="minorEastAsia"/>
          <w:sz w:val="24"/>
        </w:rPr>
        <w:t>一、关于支持新植物基蛋白发酵生产技术应用</w:t>
      </w:r>
    </w:p>
    <w:p w14:paraId="2D43F3E5" w14:textId="77777777" w:rsidR="008F75C3" w:rsidRDefault="006614AC">
      <w:pPr>
        <w:spacing w:line="360" w:lineRule="auto"/>
        <w:ind w:firstLine="420"/>
        <w:jc w:val="left"/>
        <w:rPr>
          <w:rFonts w:eastAsiaTheme="minorEastAsia"/>
          <w:sz w:val="24"/>
        </w:rPr>
      </w:pPr>
      <w:r>
        <w:rPr>
          <w:rFonts w:eastAsiaTheme="minorEastAsia"/>
          <w:sz w:val="24"/>
        </w:rPr>
        <w:t>近年来，相关部门积极支持新植物基蛋白产业发展。</w:t>
      </w:r>
    </w:p>
    <w:p w14:paraId="22F0685E" w14:textId="77777777" w:rsidR="008F75C3" w:rsidRDefault="006614AC">
      <w:pPr>
        <w:spacing w:line="360" w:lineRule="auto"/>
        <w:ind w:firstLine="420"/>
        <w:jc w:val="left"/>
        <w:rPr>
          <w:rFonts w:eastAsiaTheme="minorEastAsia"/>
          <w:sz w:val="24"/>
        </w:rPr>
      </w:pPr>
      <w:r>
        <w:rPr>
          <w:rFonts w:eastAsiaTheme="minorEastAsia"/>
          <w:sz w:val="24"/>
        </w:rPr>
        <w:t>一是强化项目支持。在</w:t>
      </w:r>
      <w:r>
        <w:rPr>
          <w:rFonts w:eastAsiaTheme="minorEastAsia"/>
          <w:sz w:val="24"/>
        </w:rPr>
        <w:t>“</w:t>
      </w:r>
      <w:r>
        <w:rPr>
          <w:rFonts w:eastAsiaTheme="minorEastAsia"/>
          <w:sz w:val="24"/>
        </w:rPr>
        <w:t>蓝色粮仓科技创新专项</w:t>
      </w:r>
      <w:r>
        <w:rPr>
          <w:rFonts w:eastAsiaTheme="minorEastAsia"/>
          <w:sz w:val="24"/>
        </w:rPr>
        <w:t>”</w:t>
      </w:r>
      <w:r>
        <w:rPr>
          <w:rFonts w:eastAsiaTheme="minorEastAsia"/>
          <w:sz w:val="24"/>
        </w:rPr>
        <w:t>中安排中央财政资金约</w:t>
      </w:r>
      <w:r>
        <w:rPr>
          <w:rFonts w:eastAsiaTheme="minorEastAsia"/>
          <w:sz w:val="24"/>
        </w:rPr>
        <w:t>5700</w:t>
      </w:r>
      <w:r>
        <w:rPr>
          <w:rFonts w:eastAsiaTheme="minorEastAsia"/>
          <w:sz w:val="24"/>
        </w:rPr>
        <w:t>万元，支持</w:t>
      </w:r>
      <w:r>
        <w:rPr>
          <w:rFonts w:eastAsiaTheme="minorEastAsia"/>
          <w:sz w:val="24"/>
        </w:rPr>
        <w:t>“</w:t>
      </w:r>
      <w:r>
        <w:rPr>
          <w:rFonts w:eastAsiaTheme="minorEastAsia"/>
          <w:sz w:val="24"/>
        </w:rPr>
        <w:t>重要养殖藻类种质创制与高效扩繁</w:t>
      </w:r>
      <w:r>
        <w:rPr>
          <w:rFonts w:eastAsiaTheme="minorEastAsia"/>
          <w:sz w:val="24"/>
        </w:rPr>
        <w:t>”“</w:t>
      </w:r>
      <w:r>
        <w:rPr>
          <w:rFonts w:eastAsiaTheme="minorEastAsia"/>
          <w:sz w:val="24"/>
        </w:rPr>
        <w:t>水产养殖动物新型蛋白源开发与高效饲料研制</w:t>
      </w:r>
      <w:r>
        <w:rPr>
          <w:rFonts w:eastAsiaTheme="minorEastAsia"/>
          <w:sz w:val="24"/>
        </w:rPr>
        <w:t>”</w:t>
      </w:r>
      <w:r>
        <w:rPr>
          <w:rFonts w:eastAsiaTheme="minorEastAsia"/>
          <w:sz w:val="24"/>
        </w:rPr>
        <w:t>项目，将高蛋白</w:t>
      </w:r>
      <w:proofErr w:type="gramStart"/>
      <w:r>
        <w:rPr>
          <w:rFonts w:eastAsiaTheme="minorEastAsia"/>
          <w:sz w:val="24"/>
        </w:rPr>
        <w:t>微藻作为</w:t>
      </w:r>
      <w:proofErr w:type="gramEnd"/>
      <w:r>
        <w:rPr>
          <w:rFonts w:eastAsiaTheme="minorEastAsia"/>
          <w:sz w:val="24"/>
        </w:rPr>
        <w:t>重要的新型非粮蛋白资源进行研究开发。</w:t>
      </w:r>
    </w:p>
    <w:p w14:paraId="7BE09F42" w14:textId="77777777" w:rsidR="008F75C3" w:rsidRDefault="006614AC">
      <w:pPr>
        <w:spacing w:line="360" w:lineRule="auto"/>
        <w:ind w:firstLine="420"/>
        <w:jc w:val="left"/>
        <w:rPr>
          <w:rFonts w:eastAsiaTheme="minorEastAsia"/>
          <w:sz w:val="24"/>
        </w:rPr>
      </w:pPr>
      <w:r>
        <w:rPr>
          <w:rFonts w:eastAsiaTheme="minorEastAsia"/>
          <w:sz w:val="24"/>
        </w:rPr>
        <w:t>二是探索产业化生产。中国农业科学院饲料研究所与企业合作，创建全球首套钢厂转炉废</w:t>
      </w:r>
      <w:r>
        <w:rPr>
          <w:rFonts w:eastAsiaTheme="minorEastAsia"/>
          <w:sz w:val="24"/>
        </w:rPr>
        <w:t>气中的</w:t>
      </w:r>
      <w:r>
        <w:rPr>
          <w:rFonts w:eastAsiaTheme="minorEastAsia"/>
          <w:sz w:val="24"/>
        </w:rPr>
        <w:t>CO</w:t>
      </w:r>
      <w:r>
        <w:rPr>
          <w:rFonts w:eastAsiaTheme="minorEastAsia"/>
          <w:sz w:val="24"/>
        </w:rPr>
        <w:t>生物发酵工业装置，将工业尾气转化为燃料乙醇和蛋白饲料，已试车投产，所产乙醇梭菌蛋白获得我国第一个新饲料原料产品证书。</w:t>
      </w:r>
    </w:p>
    <w:p w14:paraId="734AA142" w14:textId="77777777" w:rsidR="008F75C3" w:rsidRDefault="006614AC">
      <w:pPr>
        <w:spacing w:line="360" w:lineRule="auto"/>
        <w:ind w:firstLine="420"/>
        <w:jc w:val="left"/>
        <w:rPr>
          <w:rFonts w:eastAsiaTheme="minorEastAsia"/>
          <w:sz w:val="24"/>
        </w:rPr>
      </w:pPr>
      <w:r>
        <w:rPr>
          <w:rFonts w:eastAsiaTheme="minorEastAsia"/>
          <w:sz w:val="24"/>
        </w:rPr>
        <w:t>三是积极开展前沿探索。国内相关科研单位和企业开展科技攻关，中国科学院武汉水生生物研究所</w:t>
      </w:r>
      <w:proofErr w:type="gramStart"/>
      <w:r>
        <w:rPr>
          <w:rFonts w:eastAsiaTheme="minorEastAsia"/>
          <w:sz w:val="24"/>
        </w:rPr>
        <w:t>在微藻饲料</w:t>
      </w:r>
      <w:proofErr w:type="gramEnd"/>
      <w:r>
        <w:rPr>
          <w:rFonts w:eastAsiaTheme="minorEastAsia"/>
          <w:sz w:val="24"/>
        </w:rPr>
        <w:t>化方面取得突破性进展，利用异养发酵技术</w:t>
      </w:r>
      <w:proofErr w:type="gramStart"/>
      <w:r>
        <w:rPr>
          <w:rFonts w:eastAsiaTheme="minorEastAsia"/>
          <w:sz w:val="24"/>
        </w:rPr>
        <w:t>将微藻生物量</w:t>
      </w:r>
      <w:proofErr w:type="gramEnd"/>
      <w:r>
        <w:rPr>
          <w:rFonts w:eastAsiaTheme="minorEastAsia"/>
          <w:sz w:val="24"/>
        </w:rPr>
        <w:t>从现存的</w:t>
      </w:r>
      <w:r>
        <w:rPr>
          <w:rFonts w:eastAsiaTheme="minorEastAsia"/>
          <w:sz w:val="24"/>
        </w:rPr>
        <w:t>100g/L</w:t>
      </w:r>
      <w:r>
        <w:rPr>
          <w:rFonts w:eastAsiaTheme="minorEastAsia"/>
          <w:sz w:val="24"/>
        </w:rPr>
        <w:t>提升至</w:t>
      </w:r>
      <w:r>
        <w:rPr>
          <w:rFonts w:eastAsiaTheme="minorEastAsia"/>
          <w:sz w:val="24"/>
        </w:rPr>
        <w:t>280g/L</w:t>
      </w:r>
      <w:r>
        <w:rPr>
          <w:rFonts w:eastAsiaTheme="minorEastAsia"/>
          <w:sz w:val="24"/>
        </w:rPr>
        <w:t>，并在实验室验证异养发酵</w:t>
      </w:r>
      <w:proofErr w:type="gramStart"/>
      <w:r>
        <w:rPr>
          <w:rFonts w:eastAsiaTheme="minorEastAsia"/>
          <w:sz w:val="24"/>
        </w:rPr>
        <w:t>微藻对于</w:t>
      </w:r>
      <w:proofErr w:type="gramEnd"/>
      <w:r>
        <w:rPr>
          <w:rFonts w:eastAsiaTheme="minorEastAsia"/>
          <w:sz w:val="24"/>
        </w:rPr>
        <w:t>改善鱼类健康具有重要作用。</w:t>
      </w:r>
    </w:p>
    <w:p w14:paraId="11194B9A" w14:textId="77777777" w:rsidR="008F75C3" w:rsidRDefault="006614AC">
      <w:pPr>
        <w:spacing w:line="360" w:lineRule="auto"/>
        <w:ind w:firstLine="420"/>
        <w:jc w:val="left"/>
        <w:rPr>
          <w:rFonts w:eastAsiaTheme="minorEastAsia"/>
          <w:sz w:val="24"/>
        </w:rPr>
      </w:pPr>
      <w:r>
        <w:rPr>
          <w:rFonts w:eastAsiaTheme="minorEastAsia"/>
          <w:sz w:val="24"/>
        </w:rPr>
        <w:t xml:space="preserve"> </w:t>
      </w:r>
      <w:r>
        <w:rPr>
          <w:rFonts w:eastAsiaTheme="minorEastAsia"/>
          <w:sz w:val="24"/>
        </w:rPr>
        <w:t>二、关于优先支持新植物基蛋白工厂化生产</w:t>
      </w:r>
    </w:p>
    <w:p w14:paraId="127618B5" w14:textId="77777777" w:rsidR="008F75C3" w:rsidRDefault="006614AC">
      <w:pPr>
        <w:spacing w:line="360" w:lineRule="auto"/>
        <w:ind w:firstLine="420"/>
        <w:jc w:val="left"/>
        <w:rPr>
          <w:rFonts w:eastAsiaTheme="minorEastAsia"/>
          <w:sz w:val="24"/>
        </w:rPr>
      </w:pPr>
      <w:r>
        <w:rPr>
          <w:rFonts w:eastAsiaTheme="minorEastAsia"/>
          <w:sz w:val="24"/>
        </w:rPr>
        <w:t>新植物基蛋白技术有广阔的发展前景，值得关注和支持，但整体还处于起步阶段，面临着生产成本过高、缺乏系</w:t>
      </w:r>
      <w:r>
        <w:rPr>
          <w:rFonts w:eastAsiaTheme="minorEastAsia"/>
          <w:sz w:val="24"/>
        </w:rPr>
        <w:t>统的安全评估等问题，需要进一步研究完善后再进行有步骤的</w:t>
      </w:r>
      <w:r>
        <w:rPr>
          <w:rFonts w:eastAsiaTheme="minorEastAsia"/>
          <w:sz w:val="24"/>
        </w:rPr>
        <w:lastRenderedPageBreak/>
        <w:t>推广。</w:t>
      </w:r>
    </w:p>
    <w:p w14:paraId="579E8F59" w14:textId="77777777" w:rsidR="008F75C3" w:rsidRDefault="006614AC">
      <w:pPr>
        <w:spacing w:line="360" w:lineRule="auto"/>
        <w:ind w:firstLine="420"/>
        <w:jc w:val="left"/>
        <w:rPr>
          <w:rFonts w:eastAsiaTheme="minorEastAsia"/>
          <w:sz w:val="24"/>
        </w:rPr>
      </w:pPr>
      <w:r>
        <w:rPr>
          <w:rFonts w:eastAsiaTheme="minorEastAsia"/>
          <w:sz w:val="24"/>
        </w:rPr>
        <w:t>一是积极发展饲料蛋白。目前，我国已将</w:t>
      </w:r>
      <w:proofErr w:type="gramStart"/>
      <w:r>
        <w:rPr>
          <w:rFonts w:eastAsiaTheme="minorEastAsia"/>
          <w:sz w:val="24"/>
        </w:rPr>
        <w:t>裂壶藻</w:t>
      </w:r>
      <w:proofErr w:type="gramEnd"/>
      <w:r>
        <w:rPr>
          <w:rFonts w:eastAsiaTheme="minorEastAsia"/>
          <w:sz w:val="24"/>
        </w:rPr>
        <w:t>、螺旋藻、</w:t>
      </w:r>
      <w:proofErr w:type="gramStart"/>
      <w:r>
        <w:rPr>
          <w:rFonts w:eastAsiaTheme="minorEastAsia"/>
          <w:sz w:val="24"/>
        </w:rPr>
        <w:t>微拟球</w:t>
      </w:r>
      <w:proofErr w:type="gramEnd"/>
      <w:r>
        <w:rPr>
          <w:rFonts w:eastAsiaTheme="minorEastAsia"/>
          <w:sz w:val="24"/>
        </w:rPr>
        <w:t>藻、小球藻、裸藻、雨生红球藻等</w:t>
      </w:r>
      <w:r>
        <w:rPr>
          <w:rFonts w:eastAsiaTheme="minorEastAsia"/>
          <w:sz w:val="24"/>
        </w:rPr>
        <w:t>6</w:t>
      </w:r>
      <w:r>
        <w:rPr>
          <w:rFonts w:eastAsiaTheme="minorEastAsia"/>
          <w:sz w:val="24"/>
        </w:rPr>
        <w:t>种藻类及加工品列入我国饲料原料目录。相关科研单位与企业在生产藻类饲料蛋白的同时，加强其生产、加工特性的研究，为产业进一步发展打下坚实基础。</w:t>
      </w:r>
    </w:p>
    <w:p w14:paraId="78EE40FD" w14:textId="77777777" w:rsidR="008F75C3" w:rsidRDefault="006614AC">
      <w:pPr>
        <w:spacing w:line="360" w:lineRule="auto"/>
        <w:ind w:firstLine="420"/>
        <w:jc w:val="left"/>
        <w:rPr>
          <w:rFonts w:eastAsiaTheme="minorEastAsia"/>
          <w:sz w:val="24"/>
        </w:rPr>
      </w:pPr>
      <w:r>
        <w:rPr>
          <w:rFonts w:eastAsiaTheme="minorEastAsia"/>
          <w:sz w:val="24"/>
        </w:rPr>
        <w:t>二是依法开展安全评估。植物基蛋白作为食品或饲料原料，应先根据食品安全有关要求，按程序进行工艺安全性评价、成分安全性评价、毒理学评价等科学评估，获得许可后方可列入相应目录。我国积极开展相关审批工作，已将</w:t>
      </w:r>
      <w:r>
        <w:rPr>
          <w:rFonts w:eastAsiaTheme="minorEastAsia"/>
          <w:sz w:val="24"/>
        </w:rPr>
        <w:t>7</w:t>
      </w:r>
      <w:r>
        <w:rPr>
          <w:rFonts w:eastAsiaTheme="minorEastAsia"/>
          <w:sz w:val="24"/>
        </w:rPr>
        <w:t>种藻类列入食品目录</w:t>
      </w:r>
      <w:r>
        <w:rPr>
          <w:rFonts w:eastAsiaTheme="minorEastAsia"/>
          <w:sz w:val="24"/>
        </w:rPr>
        <w:t>，数量与欧盟、美国相当。</w:t>
      </w:r>
    </w:p>
    <w:p w14:paraId="67402D2F" w14:textId="77777777" w:rsidR="008F75C3" w:rsidRDefault="006614AC">
      <w:pPr>
        <w:spacing w:line="360" w:lineRule="auto"/>
        <w:ind w:firstLine="420"/>
        <w:jc w:val="left"/>
        <w:rPr>
          <w:rFonts w:eastAsiaTheme="minorEastAsia"/>
          <w:sz w:val="24"/>
        </w:rPr>
      </w:pPr>
      <w:r>
        <w:rPr>
          <w:rFonts w:eastAsiaTheme="minorEastAsia"/>
          <w:sz w:val="24"/>
        </w:rPr>
        <w:t>三是有序推进产业发展。我国积极发展农产品加工业，拓展蛋白质多元供给渠道，制定了一系列的优惠政策和扶持措施。新植物基蛋白产业在获得准入许可后，可按程序申请国家政策支持。</w:t>
      </w:r>
    </w:p>
    <w:p w14:paraId="241246E8" w14:textId="77777777" w:rsidR="008F75C3" w:rsidRDefault="006614AC">
      <w:pPr>
        <w:spacing w:line="360" w:lineRule="auto"/>
        <w:ind w:firstLine="420"/>
        <w:jc w:val="left"/>
        <w:rPr>
          <w:rFonts w:eastAsiaTheme="minorEastAsia"/>
          <w:sz w:val="24"/>
        </w:rPr>
      </w:pPr>
      <w:r>
        <w:rPr>
          <w:rFonts w:eastAsiaTheme="minorEastAsia"/>
          <w:sz w:val="24"/>
        </w:rPr>
        <w:t>下一步，我们将积极会同有关部门加强对新植物基蛋白产业的政策支持和业务指导，引导产业持续健康发展。</w:t>
      </w:r>
    </w:p>
    <w:p w14:paraId="6C36FC28" w14:textId="77777777" w:rsidR="008F75C3" w:rsidRDefault="006614AC">
      <w:pPr>
        <w:spacing w:line="360" w:lineRule="auto"/>
        <w:ind w:firstLine="420"/>
        <w:jc w:val="left"/>
        <w:rPr>
          <w:rFonts w:eastAsiaTheme="minorEastAsia"/>
          <w:sz w:val="24"/>
        </w:rPr>
      </w:pPr>
      <w:r>
        <w:rPr>
          <w:rFonts w:eastAsiaTheme="minorEastAsia"/>
          <w:sz w:val="24"/>
        </w:rPr>
        <w:t>感谢您对我部工作的关心，希望继续对三农工作给予支持。</w:t>
      </w:r>
    </w:p>
    <w:p w14:paraId="14748E7C" w14:textId="77777777" w:rsidR="008F75C3" w:rsidRDefault="006614AC">
      <w:pPr>
        <w:spacing w:line="360" w:lineRule="auto"/>
        <w:ind w:firstLine="420"/>
        <w:jc w:val="right"/>
        <w:rPr>
          <w:rStyle w:val="vm"/>
          <w:rFonts w:eastAsiaTheme="minorEastAsia"/>
          <w:szCs w:val="21"/>
        </w:rPr>
      </w:pPr>
      <w:r>
        <w:rPr>
          <w:rStyle w:val="vm"/>
          <w:rFonts w:eastAsiaTheme="minorEastAsia"/>
          <w:szCs w:val="21"/>
        </w:rPr>
        <w:t>转摘自农业农村部网站</w:t>
      </w:r>
    </w:p>
    <w:p w14:paraId="568AD994" w14:textId="77777777" w:rsidR="008F75C3" w:rsidRDefault="006614AC">
      <w:pPr>
        <w:pStyle w:val="2"/>
        <w:spacing w:line="460" w:lineRule="exact"/>
        <w:jc w:val="center"/>
        <w:rPr>
          <w:rFonts w:ascii="Times New Roman" w:eastAsia="黑体" w:hAnsi="Times New Roman" w:cs="Times New Roman"/>
          <w:bCs w:val="0"/>
          <w:sz w:val="32"/>
          <w:szCs w:val="32"/>
        </w:rPr>
      </w:pPr>
      <w:bookmarkStart w:id="11" w:name="_Toc90390752"/>
      <w:r>
        <w:rPr>
          <w:rFonts w:ascii="Times New Roman" w:eastAsia="黑体" w:hAnsi="Times New Roman" w:cs="Times New Roman"/>
          <w:sz w:val="32"/>
          <w:szCs w:val="32"/>
        </w:rPr>
        <w:t>我国首个海洋牧场建设领域的国家标准发布</w:t>
      </w:r>
      <w:bookmarkEnd w:id="11"/>
    </w:p>
    <w:p w14:paraId="27C9D4E4" w14:textId="77777777" w:rsidR="008F75C3" w:rsidRDefault="006614AC">
      <w:pPr>
        <w:spacing w:line="360" w:lineRule="auto"/>
        <w:ind w:firstLine="420"/>
        <w:jc w:val="left"/>
        <w:rPr>
          <w:rFonts w:eastAsiaTheme="minorEastAsia"/>
          <w:sz w:val="24"/>
        </w:rPr>
      </w:pPr>
      <w:r>
        <w:rPr>
          <w:rFonts w:eastAsiaTheme="minorEastAsia"/>
          <w:sz w:val="24"/>
        </w:rPr>
        <w:t>2021</w:t>
      </w:r>
      <w:r>
        <w:rPr>
          <w:rFonts w:eastAsiaTheme="minorEastAsia"/>
          <w:sz w:val="24"/>
        </w:rPr>
        <w:t>年</w:t>
      </w:r>
      <w:r>
        <w:rPr>
          <w:rFonts w:eastAsiaTheme="minorEastAsia"/>
          <w:sz w:val="24"/>
        </w:rPr>
        <w:t>12</w:t>
      </w:r>
      <w:r>
        <w:rPr>
          <w:rFonts w:eastAsiaTheme="minorEastAsia"/>
          <w:sz w:val="24"/>
        </w:rPr>
        <w:t>月</w:t>
      </w:r>
      <w:r>
        <w:rPr>
          <w:rFonts w:eastAsiaTheme="minorEastAsia"/>
          <w:sz w:val="24"/>
        </w:rPr>
        <w:t>9</w:t>
      </w:r>
      <w:r>
        <w:rPr>
          <w:rFonts w:eastAsiaTheme="minorEastAsia"/>
          <w:sz w:val="24"/>
        </w:rPr>
        <w:t>日，国家市场监督管理总局（国家标准化管理委员会）召开重要国家标准专家媒体对接会，集中发</w:t>
      </w:r>
      <w:r>
        <w:rPr>
          <w:rFonts w:eastAsiaTheme="minorEastAsia"/>
          <w:sz w:val="24"/>
        </w:rPr>
        <w:t>布一批重要国家标准。其中，《海洋牧场建设技术指南》（</w:t>
      </w:r>
      <w:r>
        <w:rPr>
          <w:rFonts w:eastAsiaTheme="minorEastAsia"/>
          <w:sz w:val="24"/>
        </w:rPr>
        <w:t>GB/T 40946-2021</w:t>
      </w:r>
      <w:r>
        <w:rPr>
          <w:rFonts w:eastAsiaTheme="minorEastAsia"/>
          <w:sz w:val="24"/>
        </w:rPr>
        <w:t>）由山东省烟台市市场监督管理局牵头起草，将于</w:t>
      </w:r>
      <w:r>
        <w:rPr>
          <w:rFonts w:eastAsiaTheme="minorEastAsia"/>
          <w:sz w:val="24"/>
        </w:rPr>
        <w:t>2022</w:t>
      </w:r>
      <w:r>
        <w:rPr>
          <w:rFonts w:eastAsiaTheme="minorEastAsia"/>
          <w:sz w:val="24"/>
        </w:rPr>
        <w:t>年</w:t>
      </w:r>
      <w:r>
        <w:rPr>
          <w:rFonts w:eastAsiaTheme="minorEastAsia"/>
          <w:sz w:val="24"/>
        </w:rPr>
        <w:t>6</w:t>
      </w:r>
      <w:r>
        <w:rPr>
          <w:rFonts w:eastAsiaTheme="minorEastAsia"/>
          <w:sz w:val="24"/>
        </w:rPr>
        <w:t>月</w:t>
      </w:r>
      <w:r>
        <w:rPr>
          <w:rFonts w:eastAsiaTheme="minorEastAsia"/>
          <w:sz w:val="24"/>
        </w:rPr>
        <w:t>1</w:t>
      </w:r>
      <w:r>
        <w:rPr>
          <w:rFonts w:eastAsiaTheme="minorEastAsia"/>
          <w:sz w:val="24"/>
        </w:rPr>
        <w:t>日起实施。会议以视频形式召开，在烟台市设置分会场。《海洋牧场建设技术指南》（</w:t>
      </w:r>
      <w:r>
        <w:rPr>
          <w:rFonts w:eastAsiaTheme="minorEastAsia"/>
          <w:sz w:val="24"/>
        </w:rPr>
        <w:t>GB/T 40946-2021</w:t>
      </w:r>
      <w:r>
        <w:rPr>
          <w:rFonts w:eastAsiaTheme="minorEastAsia"/>
          <w:sz w:val="24"/>
        </w:rPr>
        <w:t>）标准起草首席专家，中国科学院海洋研究所、烟台海岸带研究所常务副所长、研究员杨红生对标准进行了专家解读。</w:t>
      </w:r>
    </w:p>
    <w:p w14:paraId="04F8E54E" w14:textId="77777777" w:rsidR="008F75C3" w:rsidRDefault="006614AC">
      <w:pPr>
        <w:spacing w:line="360" w:lineRule="auto"/>
        <w:ind w:firstLine="420"/>
        <w:jc w:val="left"/>
        <w:rPr>
          <w:rFonts w:eastAsiaTheme="minorEastAsia"/>
          <w:sz w:val="24"/>
        </w:rPr>
      </w:pPr>
      <w:r>
        <w:rPr>
          <w:rFonts w:eastAsiaTheme="minorEastAsia"/>
          <w:sz w:val="24"/>
        </w:rPr>
        <w:t>当前，我国海洋牧场建设正处于发展的关键时期，亟需在全国范围进行统一规范，《海洋牧场建设技术指南》的制定出台将为我国海洋牧场的健康发展提供技术保障。</w:t>
      </w:r>
    </w:p>
    <w:p w14:paraId="5B8196D5" w14:textId="77777777" w:rsidR="008F75C3" w:rsidRDefault="006614AC">
      <w:pPr>
        <w:spacing w:line="360" w:lineRule="auto"/>
        <w:jc w:val="center"/>
        <w:rPr>
          <w:rFonts w:eastAsiaTheme="minorEastAsia"/>
          <w:sz w:val="24"/>
        </w:rPr>
      </w:pPr>
      <w:r>
        <w:rPr>
          <w:noProof/>
        </w:rPr>
        <w:lastRenderedPageBreak/>
        <w:drawing>
          <wp:inline distT="0" distB="0" distL="0" distR="0" wp14:anchorId="02CC37F7" wp14:editId="6F8BA218">
            <wp:extent cx="2086610" cy="1405255"/>
            <wp:effectExtent l="0" t="0" r="8890" b="4445"/>
            <wp:docPr id="26" name="图片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图片 26"/>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a:xfrm>
                      <a:off x="0" y="0"/>
                      <a:ext cx="2086610" cy="1405255"/>
                    </a:xfrm>
                    <a:prstGeom prst="rect">
                      <a:avLst/>
                    </a:prstGeom>
                    <a:noFill/>
                    <a:ln>
                      <a:noFill/>
                    </a:ln>
                  </pic:spPr>
                </pic:pic>
              </a:graphicData>
            </a:graphic>
          </wp:inline>
        </w:drawing>
      </w:r>
    </w:p>
    <w:p w14:paraId="15845DBF" w14:textId="77777777" w:rsidR="008F75C3" w:rsidRDefault="006614AC">
      <w:pPr>
        <w:spacing w:line="360" w:lineRule="auto"/>
        <w:ind w:firstLine="420"/>
        <w:jc w:val="left"/>
        <w:rPr>
          <w:rFonts w:eastAsiaTheme="minorEastAsia"/>
          <w:sz w:val="24"/>
        </w:rPr>
      </w:pPr>
      <w:r>
        <w:rPr>
          <w:rFonts w:eastAsiaTheme="minorEastAsia"/>
          <w:sz w:val="24"/>
        </w:rPr>
        <w:t>近年来，山东省、烟台市都把海洋作为经济社会高质量发展的战略要地，加快实施海洋强省、海洋强市建设行动。烟台在科研开发、海洋地质勘探、海洋牧场工程建设、</w:t>
      </w:r>
      <w:proofErr w:type="gramStart"/>
      <w:r>
        <w:rPr>
          <w:rFonts w:eastAsiaTheme="minorEastAsia"/>
          <w:sz w:val="24"/>
        </w:rPr>
        <w:t>海工装备</w:t>
      </w:r>
      <w:proofErr w:type="gramEnd"/>
      <w:r>
        <w:rPr>
          <w:rFonts w:eastAsiaTheme="minorEastAsia"/>
          <w:sz w:val="24"/>
        </w:rPr>
        <w:t>等方面具有雄厚的技术力量，积累了丰富的实践经验，为海洋牧场国家标准的制定奠定了坚实基础。</w:t>
      </w:r>
      <w:r>
        <w:rPr>
          <w:rFonts w:eastAsiaTheme="minorEastAsia"/>
          <w:sz w:val="24"/>
        </w:rPr>
        <w:t>2018</w:t>
      </w:r>
      <w:r>
        <w:rPr>
          <w:rFonts w:eastAsiaTheme="minorEastAsia"/>
          <w:sz w:val="24"/>
        </w:rPr>
        <w:t>年，烟台市市场监管局（原烟台市质监局）在充分调研的基础上，按程序向山东省市场监管局、国家标准委提交了《海洋牧场建设技术指南》国家标准立项申请的相关材料。</w:t>
      </w:r>
      <w:r>
        <w:rPr>
          <w:rFonts w:eastAsiaTheme="minorEastAsia"/>
          <w:sz w:val="24"/>
        </w:rPr>
        <w:t>2018</w:t>
      </w:r>
      <w:r>
        <w:rPr>
          <w:rFonts w:eastAsiaTheme="minorEastAsia"/>
          <w:sz w:val="24"/>
        </w:rPr>
        <w:t>年</w:t>
      </w:r>
      <w:r>
        <w:rPr>
          <w:rFonts w:eastAsiaTheme="minorEastAsia"/>
          <w:sz w:val="24"/>
        </w:rPr>
        <w:t>12</w:t>
      </w:r>
      <w:r>
        <w:rPr>
          <w:rFonts w:eastAsiaTheme="minorEastAsia"/>
          <w:sz w:val="24"/>
        </w:rPr>
        <w:t>月</w:t>
      </w:r>
      <w:r>
        <w:rPr>
          <w:rFonts w:eastAsiaTheme="minorEastAsia"/>
          <w:sz w:val="24"/>
        </w:rPr>
        <w:t>29</w:t>
      </w:r>
      <w:r>
        <w:rPr>
          <w:rFonts w:eastAsiaTheme="minorEastAsia"/>
          <w:sz w:val="24"/>
        </w:rPr>
        <w:t>日，国家标准委下达推荐性国家标准计划（</w:t>
      </w:r>
      <w:proofErr w:type="gramStart"/>
      <w:r>
        <w:rPr>
          <w:rFonts w:eastAsiaTheme="minorEastAsia"/>
          <w:sz w:val="24"/>
        </w:rPr>
        <w:t>国标委</w:t>
      </w:r>
      <w:proofErr w:type="gramEnd"/>
      <w:r>
        <w:rPr>
          <w:rFonts w:eastAsiaTheme="minorEastAsia"/>
          <w:sz w:val="24"/>
        </w:rPr>
        <w:t>发函〔</w:t>
      </w:r>
      <w:r>
        <w:rPr>
          <w:rFonts w:eastAsiaTheme="minorEastAsia"/>
          <w:sz w:val="24"/>
        </w:rPr>
        <w:t>2018</w:t>
      </w:r>
      <w:r>
        <w:rPr>
          <w:rFonts w:eastAsiaTheme="minorEastAsia"/>
          <w:sz w:val="24"/>
        </w:rPr>
        <w:t>〕</w:t>
      </w:r>
      <w:r>
        <w:rPr>
          <w:rFonts w:eastAsiaTheme="minorEastAsia"/>
          <w:sz w:val="24"/>
        </w:rPr>
        <w:t>83</w:t>
      </w:r>
      <w:r>
        <w:rPr>
          <w:rFonts w:eastAsiaTheme="minorEastAsia"/>
          <w:sz w:val="24"/>
        </w:rPr>
        <w:t>号），《海洋牧场建设技术</w:t>
      </w:r>
      <w:r>
        <w:rPr>
          <w:rFonts w:eastAsiaTheme="minorEastAsia"/>
          <w:sz w:val="24"/>
        </w:rPr>
        <w:t>指南》国家标准制定项目正式立项。</w:t>
      </w:r>
    </w:p>
    <w:p w14:paraId="120D1F3D" w14:textId="77777777" w:rsidR="008F75C3" w:rsidRDefault="006614AC">
      <w:pPr>
        <w:spacing w:line="360" w:lineRule="auto"/>
        <w:ind w:firstLine="420"/>
        <w:jc w:val="left"/>
        <w:rPr>
          <w:rFonts w:eastAsiaTheme="minorEastAsia"/>
          <w:sz w:val="24"/>
        </w:rPr>
      </w:pPr>
      <w:r>
        <w:rPr>
          <w:rFonts w:eastAsiaTheme="minorEastAsia"/>
          <w:sz w:val="24"/>
        </w:rPr>
        <w:t>自</w:t>
      </w:r>
      <w:r>
        <w:rPr>
          <w:rFonts w:eastAsiaTheme="minorEastAsia"/>
          <w:sz w:val="24"/>
        </w:rPr>
        <w:t>2018</w:t>
      </w:r>
      <w:r>
        <w:rPr>
          <w:rFonts w:eastAsiaTheme="minorEastAsia"/>
          <w:sz w:val="24"/>
        </w:rPr>
        <w:t>年《海洋牧场建设技术指南》国家标准立项以来，烟台市市场监管局作为牵头起草单位，成立了由来自</w:t>
      </w:r>
      <w:r>
        <w:rPr>
          <w:rFonts w:eastAsiaTheme="minorEastAsia"/>
          <w:sz w:val="24"/>
        </w:rPr>
        <w:t>21</w:t>
      </w:r>
      <w:r>
        <w:rPr>
          <w:rFonts w:eastAsiaTheme="minorEastAsia"/>
          <w:sz w:val="24"/>
        </w:rPr>
        <w:t>家成员单位、</w:t>
      </w:r>
      <w:r>
        <w:rPr>
          <w:rFonts w:eastAsiaTheme="minorEastAsia"/>
          <w:sz w:val="24"/>
        </w:rPr>
        <w:t>34</w:t>
      </w:r>
      <w:r>
        <w:rPr>
          <w:rFonts w:eastAsiaTheme="minorEastAsia"/>
          <w:sz w:val="24"/>
        </w:rPr>
        <w:t>名专家组成的标准起草工作组，明确了责任分工，共同开展标准起草制定工作。经过前期筹备、现场调研、标准编写、征求意见、修订送审、专家审查等程序，先后开展了</w:t>
      </w:r>
      <w:r>
        <w:rPr>
          <w:rFonts w:eastAsiaTheme="minorEastAsia"/>
          <w:sz w:val="24"/>
        </w:rPr>
        <w:t>17</w:t>
      </w:r>
      <w:r>
        <w:rPr>
          <w:rFonts w:eastAsiaTheme="minorEastAsia"/>
          <w:sz w:val="24"/>
        </w:rPr>
        <w:t>轮专题研讨与修改，共对通过征求意见、函审、会审等方式征集到的</w:t>
      </w:r>
      <w:r>
        <w:rPr>
          <w:rFonts w:eastAsiaTheme="minorEastAsia"/>
          <w:sz w:val="24"/>
        </w:rPr>
        <w:t>285</w:t>
      </w:r>
      <w:r>
        <w:rPr>
          <w:rFonts w:eastAsiaTheme="minorEastAsia"/>
          <w:sz w:val="24"/>
        </w:rPr>
        <w:t>条意见进行了汇总、处理和反馈，在北京、烟台召开了</w:t>
      </w:r>
      <w:r>
        <w:rPr>
          <w:rFonts w:eastAsiaTheme="minorEastAsia"/>
          <w:sz w:val="24"/>
        </w:rPr>
        <w:t>2</w:t>
      </w:r>
      <w:r>
        <w:rPr>
          <w:rFonts w:eastAsiaTheme="minorEastAsia"/>
          <w:sz w:val="24"/>
        </w:rPr>
        <w:t>次现场会，于</w:t>
      </w:r>
      <w:r>
        <w:rPr>
          <w:rFonts w:eastAsiaTheme="minorEastAsia"/>
          <w:sz w:val="24"/>
        </w:rPr>
        <w:t>2021</w:t>
      </w:r>
      <w:r>
        <w:rPr>
          <w:rFonts w:eastAsiaTheme="minorEastAsia"/>
          <w:sz w:val="24"/>
        </w:rPr>
        <w:t>年</w:t>
      </w:r>
      <w:r>
        <w:rPr>
          <w:rFonts w:eastAsiaTheme="minorEastAsia"/>
          <w:sz w:val="24"/>
        </w:rPr>
        <w:t>2</w:t>
      </w:r>
      <w:r>
        <w:rPr>
          <w:rFonts w:eastAsiaTheme="minorEastAsia"/>
          <w:sz w:val="24"/>
        </w:rPr>
        <w:t>月</w:t>
      </w:r>
      <w:r>
        <w:rPr>
          <w:rFonts w:eastAsiaTheme="minorEastAsia"/>
          <w:sz w:val="24"/>
        </w:rPr>
        <w:t>3</w:t>
      </w:r>
      <w:r>
        <w:rPr>
          <w:rFonts w:eastAsiaTheme="minorEastAsia"/>
          <w:sz w:val="24"/>
        </w:rPr>
        <w:t>日通过了专家审定，</w:t>
      </w:r>
      <w:r>
        <w:rPr>
          <w:rFonts w:eastAsiaTheme="minorEastAsia"/>
          <w:sz w:val="24"/>
        </w:rPr>
        <w:t>4</w:t>
      </w:r>
      <w:r>
        <w:rPr>
          <w:rFonts w:eastAsiaTheme="minorEastAsia"/>
          <w:sz w:val="24"/>
        </w:rPr>
        <w:t>月</w:t>
      </w:r>
      <w:r>
        <w:rPr>
          <w:rFonts w:eastAsiaTheme="minorEastAsia"/>
          <w:sz w:val="24"/>
        </w:rPr>
        <w:t>21</w:t>
      </w:r>
      <w:r>
        <w:rPr>
          <w:rFonts w:eastAsiaTheme="minorEastAsia"/>
          <w:sz w:val="24"/>
        </w:rPr>
        <w:t>日向全国水产标准化技术委员会秘书处</w:t>
      </w:r>
      <w:r>
        <w:rPr>
          <w:rFonts w:eastAsiaTheme="minorEastAsia"/>
          <w:sz w:val="24"/>
        </w:rPr>
        <w:t>提交报批。经过为期三年的努力，《海洋牧场建设技术指南》国家标准于</w:t>
      </w:r>
      <w:r>
        <w:rPr>
          <w:rFonts w:eastAsiaTheme="minorEastAsia"/>
          <w:sz w:val="24"/>
        </w:rPr>
        <w:t>2021</w:t>
      </w:r>
      <w:r>
        <w:rPr>
          <w:rFonts w:eastAsiaTheme="minorEastAsia"/>
          <w:sz w:val="24"/>
        </w:rPr>
        <w:t>年</w:t>
      </w:r>
      <w:r>
        <w:rPr>
          <w:rFonts w:eastAsiaTheme="minorEastAsia"/>
          <w:sz w:val="24"/>
        </w:rPr>
        <w:t>11</w:t>
      </w:r>
      <w:r>
        <w:rPr>
          <w:rFonts w:eastAsiaTheme="minorEastAsia"/>
          <w:sz w:val="24"/>
        </w:rPr>
        <w:t>月</w:t>
      </w:r>
      <w:r>
        <w:rPr>
          <w:rFonts w:eastAsiaTheme="minorEastAsia"/>
          <w:sz w:val="24"/>
        </w:rPr>
        <w:t>26</w:t>
      </w:r>
      <w:r>
        <w:rPr>
          <w:rFonts w:eastAsiaTheme="minorEastAsia"/>
          <w:sz w:val="24"/>
        </w:rPr>
        <w:t>日由国家市场监管总局（国家标准委）正式公告发布，标准号为</w:t>
      </w:r>
      <w:r>
        <w:rPr>
          <w:rFonts w:eastAsiaTheme="minorEastAsia"/>
          <w:sz w:val="24"/>
        </w:rPr>
        <w:t>GB/T 40946-2021</w:t>
      </w:r>
      <w:r>
        <w:rPr>
          <w:rFonts w:eastAsiaTheme="minorEastAsia"/>
          <w:sz w:val="24"/>
        </w:rPr>
        <w:t>。</w:t>
      </w:r>
    </w:p>
    <w:p w14:paraId="1C741924" w14:textId="77777777" w:rsidR="008F75C3" w:rsidRDefault="006614AC">
      <w:pPr>
        <w:spacing w:line="360" w:lineRule="auto"/>
        <w:ind w:firstLine="420"/>
        <w:jc w:val="right"/>
        <w:rPr>
          <w:rStyle w:val="vm"/>
          <w:rFonts w:eastAsiaTheme="minorEastAsia"/>
          <w:szCs w:val="21"/>
        </w:rPr>
      </w:pPr>
      <w:r>
        <w:rPr>
          <w:rStyle w:val="vm"/>
          <w:rFonts w:eastAsiaTheme="minorEastAsia"/>
          <w:szCs w:val="21"/>
        </w:rPr>
        <w:t>转摘自中国山东网</w:t>
      </w:r>
    </w:p>
    <w:p w14:paraId="2CF5337A" w14:textId="77777777" w:rsidR="008F75C3" w:rsidRDefault="006614AC">
      <w:pPr>
        <w:pStyle w:val="1"/>
        <w:spacing w:line="460" w:lineRule="exact"/>
        <w:rPr>
          <w:rStyle w:val="vm"/>
          <w:rFonts w:eastAsia="黑体"/>
          <w:b w:val="0"/>
          <w:bCs w:val="0"/>
          <w:color w:val="000000" w:themeColor="text1"/>
          <w:sz w:val="32"/>
          <w:szCs w:val="32"/>
          <w:bdr w:val="single" w:sz="4" w:space="0" w:color="auto"/>
        </w:rPr>
      </w:pPr>
      <w:bookmarkStart w:id="12" w:name="_Toc90390753"/>
      <w:r>
        <w:rPr>
          <w:rStyle w:val="vm"/>
          <w:rFonts w:eastAsia="黑体"/>
          <w:color w:val="000000" w:themeColor="text1"/>
          <w:sz w:val="32"/>
          <w:szCs w:val="32"/>
          <w:bdr w:val="single" w:sz="4" w:space="0" w:color="auto"/>
        </w:rPr>
        <w:t>行业资讯</w:t>
      </w:r>
      <w:bookmarkEnd w:id="12"/>
    </w:p>
    <w:p w14:paraId="55C4880A" w14:textId="77777777" w:rsidR="008F75C3" w:rsidRDefault="006614AC">
      <w:pPr>
        <w:pStyle w:val="2"/>
        <w:spacing w:line="460" w:lineRule="exact"/>
        <w:jc w:val="center"/>
        <w:rPr>
          <w:rFonts w:ascii="Times New Roman" w:eastAsia="黑体" w:hAnsi="Times New Roman" w:cs="Times New Roman"/>
          <w:b w:val="0"/>
          <w:bCs w:val="0"/>
          <w:sz w:val="32"/>
          <w:szCs w:val="32"/>
        </w:rPr>
      </w:pPr>
      <w:bookmarkStart w:id="13" w:name="_Toc90390754"/>
      <w:r>
        <w:rPr>
          <w:rFonts w:ascii="Times New Roman" w:eastAsia="黑体" w:hAnsi="Times New Roman" w:cs="Times New Roman"/>
          <w:sz w:val="32"/>
          <w:szCs w:val="32"/>
        </w:rPr>
        <w:t>海南省水产技术推广站正式揭牌成立</w:t>
      </w:r>
      <w:bookmarkEnd w:id="13"/>
    </w:p>
    <w:p w14:paraId="6FA3D4BA" w14:textId="77777777" w:rsidR="008F75C3" w:rsidRDefault="006614AC">
      <w:pPr>
        <w:spacing w:line="360" w:lineRule="auto"/>
        <w:ind w:firstLine="420"/>
        <w:rPr>
          <w:rFonts w:eastAsiaTheme="minorEastAsia"/>
          <w:sz w:val="24"/>
        </w:rPr>
      </w:pPr>
      <w:r>
        <w:rPr>
          <w:rFonts w:eastAsiaTheme="minorEastAsia"/>
          <w:sz w:val="24"/>
        </w:rPr>
        <w:t>11</w:t>
      </w:r>
      <w:r>
        <w:rPr>
          <w:rFonts w:eastAsiaTheme="minorEastAsia"/>
          <w:sz w:val="24"/>
        </w:rPr>
        <w:t>月</w:t>
      </w:r>
      <w:r>
        <w:rPr>
          <w:rFonts w:eastAsiaTheme="minorEastAsia"/>
          <w:sz w:val="24"/>
        </w:rPr>
        <w:t>30</w:t>
      </w:r>
      <w:r>
        <w:rPr>
          <w:rFonts w:eastAsiaTheme="minorEastAsia"/>
          <w:sz w:val="24"/>
        </w:rPr>
        <w:t>日，海南省水产技术推广站揭牌成立。海南省农业农村厅党组成员李芸、总畜牧师郑轶、人事处相关负责人王光福，海南省水产质检中心主任刘天密出席揭牌仪式并为海南省水产技术推广站揭牌。海南省农业农村厅相关处室负责人、海南省水产质检中心全体干部参加揭牌仪式。</w:t>
      </w:r>
    </w:p>
    <w:p w14:paraId="7B24CF64" w14:textId="77777777" w:rsidR="008F75C3" w:rsidRDefault="006614AC">
      <w:pPr>
        <w:spacing w:line="360" w:lineRule="auto"/>
        <w:jc w:val="center"/>
        <w:rPr>
          <w:rFonts w:eastAsiaTheme="minorEastAsia"/>
          <w:sz w:val="24"/>
        </w:rPr>
      </w:pPr>
      <w:r>
        <w:rPr>
          <w:noProof/>
        </w:rPr>
        <w:lastRenderedPageBreak/>
        <w:drawing>
          <wp:inline distT="0" distB="0" distL="0" distR="0" wp14:anchorId="5AD668BB" wp14:editId="6E7CC1FF">
            <wp:extent cx="2026285" cy="1444625"/>
            <wp:effectExtent l="0" t="0" r="12065" b="3175"/>
            <wp:docPr id="30" name="图片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图片 30"/>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a:xfrm>
                      <a:off x="0" y="0"/>
                      <a:ext cx="2026285" cy="1444625"/>
                    </a:xfrm>
                    <a:prstGeom prst="rect">
                      <a:avLst/>
                    </a:prstGeom>
                    <a:noFill/>
                    <a:ln>
                      <a:noFill/>
                    </a:ln>
                  </pic:spPr>
                </pic:pic>
              </a:graphicData>
            </a:graphic>
          </wp:inline>
        </w:drawing>
      </w:r>
      <w:r>
        <w:rPr>
          <w:noProof/>
        </w:rPr>
        <w:drawing>
          <wp:inline distT="0" distB="0" distL="0" distR="0" wp14:anchorId="432B3B56" wp14:editId="6C903B11">
            <wp:extent cx="2188210" cy="1458595"/>
            <wp:effectExtent l="0" t="0" r="2540" b="8255"/>
            <wp:docPr id="31" name="图片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图片 31"/>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a:xfrm>
                      <a:off x="0" y="0"/>
                      <a:ext cx="2188210" cy="1458595"/>
                    </a:xfrm>
                    <a:prstGeom prst="rect">
                      <a:avLst/>
                    </a:prstGeom>
                    <a:noFill/>
                    <a:ln>
                      <a:noFill/>
                    </a:ln>
                  </pic:spPr>
                </pic:pic>
              </a:graphicData>
            </a:graphic>
          </wp:inline>
        </w:drawing>
      </w:r>
    </w:p>
    <w:p w14:paraId="4E3517DA" w14:textId="77777777" w:rsidR="008F75C3" w:rsidRDefault="006614AC">
      <w:pPr>
        <w:spacing w:line="360" w:lineRule="auto"/>
        <w:ind w:firstLine="420"/>
        <w:rPr>
          <w:rFonts w:eastAsiaTheme="minorEastAsia"/>
          <w:sz w:val="24"/>
        </w:rPr>
      </w:pPr>
      <w:r>
        <w:rPr>
          <w:rFonts w:eastAsiaTheme="minorEastAsia"/>
          <w:sz w:val="24"/>
        </w:rPr>
        <w:t>李芸在致辞中表</w:t>
      </w:r>
      <w:r>
        <w:rPr>
          <w:rFonts w:eastAsiaTheme="minorEastAsia"/>
          <w:sz w:val="24"/>
        </w:rPr>
        <w:t>示，本次海南省水产技术推广站的挂牌成立，是海南省委省政府进一步深化事业单位改革，完善农业推广职能体系，强化海南省海洋渔业技术支撑的一项重大举措，一举解决了海南省级水产技术推广职能缺位和机构空缺的历史遗留问题。李芸强调，海南省水产技术推广</w:t>
      </w:r>
      <w:proofErr w:type="gramStart"/>
      <w:r>
        <w:rPr>
          <w:rFonts w:eastAsiaTheme="minorEastAsia"/>
          <w:sz w:val="24"/>
        </w:rPr>
        <w:t>站能够</w:t>
      </w:r>
      <w:proofErr w:type="gramEnd"/>
      <w:r>
        <w:rPr>
          <w:rFonts w:eastAsiaTheme="minorEastAsia"/>
          <w:sz w:val="24"/>
        </w:rPr>
        <w:t>在机构改革前夕再次恢复组建十分不易，这其中离不开上级部门的大力支持和海南省农业农村厅各部门的积极争取。李芸勉励海南省水产技术推广站要不负重托，乘势而上，把握好海南自由贸易港建设机遇，努力成为海南省水产推广事业的引领者和开拓者。</w:t>
      </w:r>
    </w:p>
    <w:p w14:paraId="65E0EF05" w14:textId="77777777" w:rsidR="008F75C3" w:rsidRDefault="006614AC">
      <w:pPr>
        <w:spacing w:line="360" w:lineRule="auto"/>
        <w:ind w:firstLine="420"/>
        <w:rPr>
          <w:rFonts w:eastAsiaTheme="minorEastAsia"/>
          <w:sz w:val="24"/>
        </w:rPr>
      </w:pPr>
      <w:r>
        <w:rPr>
          <w:rFonts w:eastAsiaTheme="minorEastAsia"/>
          <w:sz w:val="24"/>
        </w:rPr>
        <w:t>王光福宣读了全国水产技术推广总站贺信。信中</w:t>
      </w:r>
      <w:r>
        <w:rPr>
          <w:rFonts w:eastAsiaTheme="minorEastAsia"/>
          <w:sz w:val="24"/>
        </w:rPr>
        <w:t>指出，水产技术推广工作是《农业技术推广法》赋予的法定职责，是渔业工作的重要组成部分。水产技术推广队伍是</w:t>
      </w:r>
      <w:r>
        <w:rPr>
          <w:rFonts w:eastAsiaTheme="minorEastAsia"/>
          <w:sz w:val="24"/>
        </w:rPr>
        <w:t>“</w:t>
      </w:r>
      <w:r>
        <w:rPr>
          <w:rFonts w:eastAsiaTheme="minorEastAsia"/>
          <w:sz w:val="24"/>
        </w:rPr>
        <w:t>三农</w:t>
      </w:r>
      <w:r>
        <w:rPr>
          <w:rFonts w:eastAsiaTheme="minorEastAsia"/>
          <w:sz w:val="24"/>
        </w:rPr>
        <w:t>”</w:t>
      </w:r>
      <w:r>
        <w:rPr>
          <w:rFonts w:eastAsiaTheme="minorEastAsia"/>
          <w:sz w:val="24"/>
        </w:rPr>
        <w:t>政策的宣传员、渔业先进技术的推广员、渔业人才的培训员、渔业产业发展的服务员。信中强调，进入新阶段，渔业高质量发展对水产技术推广工作提出了更高要求，水产技术推广体系要切实提升</w:t>
      </w:r>
      <w:proofErr w:type="gramStart"/>
      <w:r>
        <w:rPr>
          <w:rFonts w:eastAsiaTheme="minorEastAsia"/>
          <w:sz w:val="24"/>
        </w:rPr>
        <w:t>履</w:t>
      </w:r>
      <w:proofErr w:type="gramEnd"/>
      <w:r>
        <w:rPr>
          <w:rFonts w:eastAsiaTheme="minorEastAsia"/>
          <w:sz w:val="24"/>
        </w:rPr>
        <w:t>职能力，强化推广服务的公益性、专业化、社会化和市场化属性，贯通服务领域链条，由生产技术服务向综合性服务转变，由产中服务向产前产后服务延伸，由一</w:t>
      </w:r>
      <w:proofErr w:type="gramStart"/>
      <w:r>
        <w:rPr>
          <w:rFonts w:eastAsiaTheme="minorEastAsia"/>
          <w:sz w:val="24"/>
        </w:rPr>
        <w:t>产服务</w:t>
      </w:r>
      <w:proofErr w:type="gramEnd"/>
      <w:r>
        <w:rPr>
          <w:rFonts w:eastAsiaTheme="minorEastAsia"/>
          <w:sz w:val="24"/>
        </w:rPr>
        <w:t>向二三</w:t>
      </w:r>
      <w:proofErr w:type="gramStart"/>
      <w:r>
        <w:rPr>
          <w:rFonts w:eastAsiaTheme="minorEastAsia"/>
          <w:sz w:val="24"/>
        </w:rPr>
        <w:t>产服务</w:t>
      </w:r>
      <w:proofErr w:type="gramEnd"/>
      <w:r>
        <w:rPr>
          <w:rFonts w:eastAsiaTheme="minorEastAsia"/>
          <w:sz w:val="24"/>
        </w:rPr>
        <w:t>延伸，由专注于养殖技术服务向渔业管理服务延伸，为渔业高质量发展提供有</w:t>
      </w:r>
      <w:r>
        <w:rPr>
          <w:rFonts w:eastAsiaTheme="minorEastAsia"/>
          <w:sz w:val="24"/>
        </w:rPr>
        <w:t>力支撑。信中希望海南省水产技术推广站在海南省农业农村厅的正确领导下，把握新发展阶段，贯彻新发展理念，构建新发展格局，找准在</w:t>
      </w:r>
      <w:r>
        <w:rPr>
          <w:rFonts w:eastAsiaTheme="minorEastAsia"/>
          <w:sz w:val="24"/>
        </w:rPr>
        <w:t>“</w:t>
      </w:r>
      <w:r>
        <w:rPr>
          <w:rFonts w:eastAsiaTheme="minorEastAsia"/>
          <w:sz w:val="24"/>
        </w:rPr>
        <w:t>三农</w:t>
      </w:r>
      <w:r>
        <w:rPr>
          <w:rFonts w:eastAsiaTheme="minorEastAsia"/>
          <w:sz w:val="24"/>
        </w:rPr>
        <w:t>”</w:t>
      </w:r>
      <w:r>
        <w:rPr>
          <w:rFonts w:eastAsiaTheme="minorEastAsia"/>
          <w:sz w:val="24"/>
        </w:rPr>
        <w:t>工作和渔业事业发展中的定位和任务，充分发挥机遇优势、区域优势、人才队伍优势，实施好水产绿色健康养殖技术推广</w:t>
      </w:r>
      <w:r>
        <w:rPr>
          <w:rFonts w:eastAsiaTheme="minorEastAsia"/>
          <w:sz w:val="24"/>
        </w:rPr>
        <w:t>“</w:t>
      </w:r>
      <w:r>
        <w:rPr>
          <w:rFonts w:eastAsiaTheme="minorEastAsia"/>
          <w:sz w:val="24"/>
        </w:rPr>
        <w:t>五大行动</w:t>
      </w:r>
      <w:r>
        <w:rPr>
          <w:rFonts w:eastAsiaTheme="minorEastAsia"/>
          <w:sz w:val="24"/>
        </w:rPr>
        <w:t>”</w:t>
      </w:r>
      <w:r>
        <w:rPr>
          <w:rFonts w:eastAsiaTheme="minorEastAsia"/>
          <w:sz w:val="24"/>
        </w:rPr>
        <w:t>，为渔业现代化建设、农业农村现代化和乡村振兴提供坚强保障。</w:t>
      </w:r>
    </w:p>
    <w:p w14:paraId="013E7115" w14:textId="77777777" w:rsidR="008F75C3" w:rsidRDefault="006614AC">
      <w:pPr>
        <w:spacing w:line="360" w:lineRule="auto"/>
        <w:ind w:firstLine="420"/>
        <w:rPr>
          <w:rFonts w:eastAsiaTheme="minorEastAsia"/>
          <w:sz w:val="24"/>
        </w:rPr>
      </w:pPr>
      <w:r>
        <w:rPr>
          <w:rFonts w:eastAsiaTheme="minorEastAsia"/>
          <w:sz w:val="24"/>
        </w:rPr>
        <w:t>下一步，海南省水产技术推广站将重点围绕现代渔业发展目标和海南省农业农村厅</w:t>
      </w:r>
      <w:r>
        <w:rPr>
          <w:rFonts w:eastAsiaTheme="minorEastAsia"/>
          <w:sz w:val="24"/>
        </w:rPr>
        <w:t>“</w:t>
      </w:r>
      <w:r>
        <w:rPr>
          <w:rFonts w:eastAsiaTheme="minorEastAsia"/>
          <w:sz w:val="24"/>
        </w:rPr>
        <w:t>十四五</w:t>
      </w:r>
      <w:r>
        <w:rPr>
          <w:rFonts w:eastAsiaTheme="minorEastAsia"/>
          <w:sz w:val="24"/>
        </w:rPr>
        <w:t>”</w:t>
      </w:r>
      <w:r>
        <w:rPr>
          <w:rFonts w:eastAsiaTheme="minorEastAsia"/>
          <w:sz w:val="24"/>
        </w:rPr>
        <w:t>工作重点，扎实推进基层水产推广体系建设，充分发挥技术支撑作用，努力为实现海南省现代渔业</w:t>
      </w:r>
      <w:r>
        <w:rPr>
          <w:rFonts w:eastAsiaTheme="minorEastAsia"/>
          <w:sz w:val="24"/>
        </w:rPr>
        <w:t>“</w:t>
      </w:r>
      <w:r>
        <w:rPr>
          <w:rFonts w:eastAsiaTheme="minorEastAsia"/>
          <w:sz w:val="24"/>
        </w:rPr>
        <w:t>资源节约化、产出高效化、产品安全化</w:t>
      </w:r>
      <w:r>
        <w:rPr>
          <w:rFonts w:eastAsiaTheme="minorEastAsia"/>
          <w:sz w:val="24"/>
        </w:rPr>
        <w:t>、环境友好化</w:t>
      </w:r>
      <w:r>
        <w:rPr>
          <w:rFonts w:eastAsiaTheme="minorEastAsia"/>
          <w:sz w:val="24"/>
        </w:rPr>
        <w:t>”</w:t>
      </w:r>
      <w:r>
        <w:rPr>
          <w:rFonts w:eastAsiaTheme="minorEastAsia"/>
          <w:sz w:val="24"/>
        </w:rPr>
        <w:t>发展目标</w:t>
      </w:r>
      <w:proofErr w:type="gramStart"/>
      <w:r>
        <w:rPr>
          <w:rFonts w:eastAsiaTheme="minorEastAsia"/>
          <w:sz w:val="24"/>
        </w:rPr>
        <w:t>作出</w:t>
      </w:r>
      <w:proofErr w:type="gramEnd"/>
      <w:r>
        <w:rPr>
          <w:rFonts w:eastAsiaTheme="minorEastAsia"/>
          <w:sz w:val="24"/>
        </w:rPr>
        <w:t>贡献。</w:t>
      </w:r>
    </w:p>
    <w:p w14:paraId="5384D312" w14:textId="04A09506" w:rsidR="00A8762C" w:rsidRDefault="006614AC">
      <w:pPr>
        <w:spacing w:line="360" w:lineRule="auto"/>
        <w:ind w:firstLine="420"/>
        <w:jc w:val="right"/>
        <w:rPr>
          <w:rStyle w:val="vm"/>
          <w:rFonts w:eastAsiaTheme="minorEastAsia"/>
          <w:szCs w:val="21"/>
        </w:rPr>
      </w:pPr>
      <w:r>
        <w:rPr>
          <w:rStyle w:val="vm"/>
          <w:rFonts w:eastAsiaTheme="minorEastAsia"/>
          <w:szCs w:val="21"/>
        </w:rPr>
        <w:t>转摘自中国水产</w:t>
      </w:r>
      <w:proofErr w:type="gramStart"/>
      <w:r>
        <w:rPr>
          <w:rStyle w:val="vm"/>
          <w:rFonts w:eastAsiaTheme="minorEastAsia"/>
          <w:szCs w:val="21"/>
        </w:rPr>
        <w:t>微信公众号</w:t>
      </w:r>
      <w:proofErr w:type="gramEnd"/>
    </w:p>
    <w:p w14:paraId="1F81BAA8" w14:textId="77777777" w:rsidR="00A8762C" w:rsidRDefault="00A8762C">
      <w:pPr>
        <w:widowControl/>
        <w:jc w:val="left"/>
        <w:rPr>
          <w:rStyle w:val="vm"/>
          <w:rFonts w:eastAsiaTheme="minorEastAsia"/>
          <w:szCs w:val="21"/>
        </w:rPr>
      </w:pPr>
      <w:r>
        <w:rPr>
          <w:rStyle w:val="vm"/>
          <w:rFonts w:eastAsiaTheme="minorEastAsia"/>
          <w:szCs w:val="21"/>
        </w:rPr>
        <w:br w:type="page"/>
      </w:r>
    </w:p>
    <w:p w14:paraId="29A24C55" w14:textId="77777777" w:rsidR="008F75C3" w:rsidRDefault="006614AC">
      <w:pPr>
        <w:pStyle w:val="2"/>
        <w:spacing w:line="460" w:lineRule="exact"/>
        <w:jc w:val="center"/>
        <w:rPr>
          <w:rFonts w:ascii="Times New Roman" w:eastAsia="黑体" w:hAnsi="Times New Roman" w:cs="Times New Roman"/>
          <w:b w:val="0"/>
          <w:bCs w:val="0"/>
          <w:sz w:val="32"/>
          <w:szCs w:val="32"/>
        </w:rPr>
      </w:pPr>
      <w:bookmarkStart w:id="14" w:name="_Toc90390755"/>
      <w:r>
        <w:rPr>
          <w:rFonts w:ascii="Times New Roman" w:eastAsia="黑体" w:hAnsi="Times New Roman" w:cs="Times New Roman"/>
          <w:sz w:val="32"/>
          <w:szCs w:val="32"/>
        </w:rPr>
        <w:lastRenderedPageBreak/>
        <w:t>丁香</w:t>
      </w:r>
      <w:proofErr w:type="gramStart"/>
      <w:r>
        <w:rPr>
          <w:rFonts w:ascii="Times New Roman" w:eastAsia="黑体" w:hAnsi="Times New Roman" w:cs="Times New Roman"/>
          <w:sz w:val="32"/>
          <w:szCs w:val="32"/>
        </w:rPr>
        <w:t>酚</w:t>
      </w:r>
      <w:proofErr w:type="gramEnd"/>
      <w:r>
        <w:rPr>
          <w:rFonts w:ascii="Times New Roman" w:eastAsia="黑体" w:hAnsi="Times New Roman" w:cs="Times New Roman"/>
          <w:sz w:val="32"/>
          <w:szCs w:val="32"/>
        </w:rPr>
        <w:t>残留量测定国家标准发布</w:t>
      </w:r>
      <w:bookmarkEnd w:id="14"/>
    </w:p>
    <w:p w14:paraId="5257224F" w14:textId="77777777" w:rsidR="008F75C3" w:rsidRDefault="006614AC">
      <w:pPr>
        <w:spacing w:line="360" w:lineRule="auto"/>
        <w:ind w:firstLine="420"/>
        <w:rPr>
          <w:rFonts w:eastAsiaTheme="minorEastAsia"/>
          <w:sz w:val="24"/>
        </w:rPr>
      </w:pPr>
      <w:r>
        <w:rPr>
          <w:rFonts w:eastAsiaTheme="minorEastAsia"/>
          <w:sz w:val="24"/>
        </w:rPr>
        <w:t>12</w:t>
      </w:r>
      <w:r>
        <w:rPr>
          <w:rFonts w:eastAsiaTheme="minorEastAsia"/>
          <w:sz w:val="24"/>
        </w:rPr>
        <w:t>月</w:t>
      </w:r>
      <w:r>
        <w:rPr>
          <w:rFonts w:eastAsiaTheme="minorEastAsia"/>
          <w:sz w:val="24"/>
        </w:rPr>
        <w:t>3</w:t>
      </w:r>
      <w:r>
        <w:rPr>
          <w:rFonts w:eastAsiaTheme="minorEastAsia"/>
          <w:sz w:val="24"/>
        </w:rPr>
        <w:t>日，新京报记者从中国水产科学研究院获悉，近期由该院质量与标准研究中心牵头制定的</w:t>
      </w:r>
      <w:r>
        <w:rPr>
          <w:rFonts w:eastAsiaTheme="minorEastAsia"/>
          <w:sz w:val="24"/>
        </w:rPr>
        <w:t>GB 31656.6-2021</w:t>
      </w:r>
      <w:r>
        <w:rPr>
          <w:rFonts w:eastAsiaTheme="minorEastAsia"/>
          <w:sz w:val="24"/>
        </w:rPr>
        <w:t>《食品安全国家标准</w:t>
      </w:r>
      <w:r>
        <w:rPr>
          <w:rFonts w:eastAsiaTheme="minorEastAsia"/>
          <w:sz w:val="24"/>
        </w:rPr>
        <w:t xml:space="preserve"> </w:t>
      </w:r>
      <w:r>
        <w:rPr>
          <w:rFonts w:eastAsiaTheme="minorEastAsia"/>
          <w:sz w:val="24"/>
        </w:rPr>
        <w:t>水产品中丁香酚残留量的测定气相色谱</w:t>
      </w:r>
      <w:r>
        <w:rPr>
          <w:rFonts w:eastAsiaTheme="minorEastAsia"/>
          <w:sz w:val="24"/>
        </w:rPr>
        <w:t>-</w:t>
      </w:r>
      <w:r>
        <w:rPr>
          <w:rFonts w:eastAsiaTheme="minorEastAsia"/>
          <w:sz w:val="24"/>
        </w:rPr>
        <w:t>质谱法》已获批发布，将于</w:t>
      </w:r>
      <w:r>
        <w:rPr>
          <w:rFonts w:eastAsiaTheme="minorEastAsia"/>
          <w:sz w:val="24"/>
        </w:rPr>
        <w:t>2022</w:t>
      </w:r>
      <w:r>
        <w:rPr>
          <w:rFonts w:eastAsiaTheme="minorEastAsia"/>
          <w:sz w:val="24"/>
        </w:rPr>
        <w:t>年</w:t>
      </w:r>
      <w:r>
        <w:rPr>
          <w:rFonts w:eastAsiaTheme="minorEastAsia"/>
          <w:sz w:val="24"/>
        </w:rPr>
        <w:t>2</w:t>
      </w:r>
      <w:r>
        <w:rPr>
          <w:rFonts w:eastAsiaTheme="minorEastAsia"/>
          <w:sz w:val="24"/>
        </w:rPr>
        <w:t>月</w:t>
      </w:r>
      <w:r>
        <w:rPr>
          <w:rFonts w:eastAsiaTheme="minorEastAsia"/>
          <w:sz w:val="24"/>
        </w:rPr>
        <w:t>1</w:t>
      </w:r>
      <w:r>
        <w:rPr>
          <w:rFonts w:eastAsiaTheme="minorEastAsia"/>
          <w:sz w:val="24"/>
        </w:rPr>
        <w:t>日起实施。</w:t>
      </w:r>
    </w:p>
    <w:p w14:paraId="73CC0AD6" w14:textId="77777777" w:rsidR="008F75C3" w:rsidRDefault="006614AC">
      <w:pPr>
        <w:spacing w:line="360" w:lineRule="auto"/>
        <w:ind w:firstLine="420"/>
        <w:rPr>
          <w:rFonts w:eastAsiaTheme="minorEastAsia"/>
          <w:sz w:val="24"/>
        </w:rPr>
      </w:pPr>
      <w:r>
        <w:rPr>
          <w:rFonts w:eastAsiaTheme="minorEastAsia"/>
          <w:sz w:val="24"/>
        </w:rPr>
        <w:t>参与标准制定的专家认为，该国准填补了我国水产品中丁香</w:t>
      </w:r>
      <w:proofErr w:type="gramStart"/>
      <w:r>
        <w:rPr>
          <w:rFonts w:eastAsiaTheme="minorEastAsia"/>
          <w:sz w:val="24"/>
        </w:rPr>
        <w:t>酚</w:t>
      </w:r>
      <w:proofErr w:type="gramEnd"/>
      <w:r>
        <w:rPr>
          <w:rFonts w:eastAsiaTheme="minorEastAsia"/>
          <w:sz w:val="24"/>
        </w:rPr>
        <w:t>残留量测定标准的空白。</w:t>
      </w:r>
    </w:p>
    <w:p w14:paraId="75C8A149" w14:textId="77777777" w:rsidR="008F75C3" w:rsidRDefault="006614AC">
      <w:pPr>
        <w:spacing w:line="360" w:lineRule="auto"/>
        <w:ind w:firstLine="420"/>
        <w:rPr>
          <w:rFonts w:eastAsiaTheme="minorEastAsia"/>
          <w:sz w:val="24"/>
        </w:rPr>
      </w:pPr>
      <w:r>
        <w:rPr>
          <w:rFonts w:eastAsiaTheme="minorEastAsia"/>
          <w:sz w:val="24"/>
        </w:rPr>
        <w:t>远距离运输水产的现象日益普遍，为保证期间鱼虾的鲜活程度，有的从业者会在运输途中添加</w:t>
      </w:r>
      <w:r>
        <w:rPr>
          <w:rFonts w:eastAsiaTheme="minorEastAsia"/>
          <w:sz w:val="24"/>
        </w:rPr>
        <w:t>“</w:t>
      </w:r>
      <w:r>
        <w:rPr>
          <w:rFonts w:eastAsiaTheme="minorEastAsia"/>
          <w:sz w:val="24"/>
        </w:rPr>
        <w:t>丁香酚</w:t>
      </w:r>
      <w:r>
        <w:rPr>
          <w:rFonts w:eastAsiaTheme="minorEastAsia"/>
          <w:sz w:val="24"/>
        </w:rPr>
        <w:t>”</w:t>
      </w:r>
      <w:r>
        <w:rPr>
          <w:rFonts w:eastAsiaTheme="minorEastAsia"/>
          <w:sz w:val="24"/>
        </w:rPr>
        <w:t>保障活性。中国水产科学研究院</w:t>
      </w:r>
      <w:r>
        <w:rPr>
          <w:rFonts w:eastAsiaTheme="minorEastAsia"/>
          <w:sz w:val="24"/>
        </w:rPr>
        <w:t>介绍，丁香</w:t>
      </w:r>
      <w:proofErr w:type="gramStart"/>
      <w:r>
        <w:rPr>
          <w:rFonts w:eastAsiaTheme="minorEastAsia"/>
          <w:sz w:val="24"/>
        </w:rPr>
        <w:t>酚</w:t>
      </w:r>
      <w:proofErr w:type="gramEnd"/>
      <w:r>
        <w:rPr>
          <w:rFonts w:eastAsiaTheme="minorEastAsia"/>
          <w:sz w:val="24"/>
        </w:rPr>
        <w:t>是一种能够抑制水产品中枢神经系统功能的药物，可使水产品部分或全部机体的新陈代谢会降低并暂时失去疼痛的感觉，在水产品运输、繁育和手术等环节使用，可显著降低应激反应并减少剧烈挣扎造成的鱼类损害，使其成活率大大提高。但由于丁香</w:t>
      </w:r>
      <w:proofErr w:type="gramStart"/>
      <w:r>
        <w:rPr>
          <w:rFonts w:eastAsiaTheme="minorEastAsia"/>
          <w:sz w:val="24"/>
        </w:rPr>
        <w:t>酚</w:t>
      </w:r>
      <w:proofErr w:type="gramEnd"/>
      <w:r>
        <w:rPr>
          <w:rFonts w:eastAsiaTheme="minorEastAsia"/>
          <w:sz w:val="24"/>
        </w:rPr>
        <w:t>存在一定毒性，如非法使用容易在鱼体内残留，食用后对人体健康造成危害。</w:t>
      </w:r>
    </w:p>
    <w:p w14:paraId="2CE05CF0" w14:textId="77777777" w:rsidR="008F75C3" w:rsidRDefault="006614AC">
      <w:pPr>
        <w:spacing w:line="360" w:lineRule="auto"/>
        <w:ind w:firstLine="420"/>
        <w:rPr>
          <w:rFonts w:eastAsiaTheme="minorEastAsia"/>
          <w:sz w:val="24"/>
        </w:rPr>
      </w:pPr>
      <w:r>
        <w:rPr>
          <w:rFonts w:eastAsiaTheme="minorEastAsia"/>
          <w:sz w:val="24"/>
        </w:rPr>
        <w:t>参与标准制定的中国水产科学研究院副研究员李晋成告诉新京报记者，目前丁香</w:t>
      </w:r>
      <w:proofErr w:type="gramStart"/>
      <w:r>
        <w:rPr>
          <w:rFonts w:eastAsiaTheme="minorEastAsia"/>
          <w:sz w:val="24"/>
        </w:rPr>
        <w:t>酚</w:t>
      </w:r>
      <w:proofErr w:type="gramEnd"/>
      <w:r>
        <w:rPr>
          <w:rFonts w:eastAsiaTheme="minorEastAsia"/>
          <w:sz w:val="24"/>
        </w:rPr>
        <w:t>在我国可作为食品添加剂使用，但在鲜活水产领域中尚无明确规定。中国水产科学研究院自</w:t>
      </w:r>
      <w:r>
        <w:rPr>
          <w:rFonts w:eastAsiaTheme="minorEastAsia"/>
          <w:sz w:val="24"/>
        </w:rPr>
        <w:t>2015</w:t>
      </w:r>
      <w:r>
        <w:rPr>
          <w:rFonts w:eastAsiaTheme="minorEastAsia"/>
          <w:sz w:val="24"/>
        </w:rPr>
        <w:t>年起着手研究水产品中丁香</w:t>
      </w:r>
      <w:proofErr w:type="gramStart"/>
      <w:r>
        <w:rPr>
          <w:rFonts w:eastAsiaTheme="minorEastAsia"/>
          <w:sz w:val="24"/>
        </w:rPr>
        <w:t>酚</w:t>
      </w:r>
      <w:proofErr w:type="gramEnd"/>
      <w:r>
        <w:rPr>
          <w:rFonts w:eastAsiaTheme="minorEastAsia"/>
          <w:sz w:val="24"/>
        </w:rPr>
        <w:t>残留量的测定方法。</w:t>
      </w:r>
      <w:r>
        <w:rPr>
          <w:rFonts w:eastAsiaTheme="minorEastAsia"/>
          <w:sz w:val="24"/>
        </w:rPr>
        <w:t>“</w:t>
      </w:r>
      <w:r>
        <w:rPr>
          <w:rFonts w:eastAsiaTheme="minorEastAsia"/>
          <w:sz w:val="24"/>
        </w:rPr>
        <w:t>本</w:t>
      </w:r>
      <w:r>
        <w:rPr>
          <w:rFonts w:eastAsiaTheme="minorEastAsia"/>
          <w:sz w:val="24"/>
        </w:rPr>
        <w:t>次国标获批填补了我国水产品中丁香</w:t>
      </w:r>
      <w:proofErr w:type="gramStart"/>
      <w:r>
        <w:rPr>
          <w:rFonts w:eastAsiaTheme="minorEastAsia"/>
          <w:sz w:val="24"/>
        </w:rPr>
        <w:t>酚</w:t>
      </w:r>
      <w:proofErr w:type="gramEnd"/>
      <w:r>
        <w:rPr>
          <w:rFonts w:eastAsiaTheme="minorEastAsia"/>
          <w:sz w:val="24"/>
        </w:rPr>
        <w:t>残留量测定标准的空白，其残留量的测定将得到有效规范。</w:t>
      </w:r>
      <w:r>
        <w:rPr>
          <w:rFonts w:eastAsiaTheme="minorEastAsia"/>
          <w:sz w:val="24"/>
        </w:rPr>
        <w:t>”</w:t>
      </w:r>
      <w:r>
        <w:rPr>
          <w:rFonts w:eastAsiaTheme="minorEastAsia"/>
          <w:sz w:val="24"/>
        </w:rPr>
        <w:t>李晋成说。</w:t>
      </w:r>
    </w:p>
    <w:p w14:paraId="365A40EC" w14:textId="77777777" w:rsidR="008F75C3" w:rsidRDefault="006614AC">
      <w:pPr>
        <w:spacing w:line="360" w:lineRule="auto"/>
        <w:ind w:firstLine="420"/>
        <w:rPr>
          <w:rFonts w:eastAsiaTheme="minorEastAsia"/>
          <w:sz w:val="24"/>
        </w:rPr>
      </w:pPr>
      <w:r>
        <w:rPr>
          <w:rFonts w:eastAsiaTheme="minorEastAsia"/>
          <w:sz w:val="24"/>
        </w:rPr>
        <w:t>据了解，该标准适用于海水鱼、淡水鱼、虾可食组织中丁香</w:t>
      </w:r>
      <w:proofErr w:type="gramStart"/>
      <w:r>
        <w:rPr>
          <w:rFonts w:eastAsiaTheme="minorEastAsia"/>
          <w:sz w:val="24"/>
        </w:rPr>
        <w:t>酚</w:t>
      </w:r>
      <w:proofErr w:type="gramEnd"/>
      <w:r>
        <w:rPr>
          <w:rFonts w:eastAsiaTheme="minorEastAsia"/>
          <w:sz w:val="24"/>
        </w:rPr>
        <w:t>残留量的检测。中国水产科学研究院认为，这将为我国水产品中丁香</w:t>
      </w:r>
      <w:proofErr w:type="gramStart"/>
      <w:r>
        <w:rPr>
          <w:rFonts w:eastAsiaTheme="minorEastAsia"/>
          <w:sz w:val="24"/>
        </w:rPr>
        <w:t>酚</w:t>
      </w:r>
      <w:proofErr w:type="gramEnd"/>
      <w:r>
        <w:rPr>
          <w:rFonts w:eastAsiaTheme="minorEastAsia"/>
          <w:sz w:val="24"/>
        </w:rPr>
        <w:t>残留的监控和风险评估提供具有法律效力的技术支撑。</w:t>
      </w:r>
    </w:p>
    <w:p w14:paraId="3F79807D" w14:textId="77777777" w:rsidR="008F75C3" w:rsidRDefault="006614AC">
      <w:pPr>
        <w:spacing w:line="360" w:lineRule="auto"/>
        <w:ind w:firstLine="420"/>
        <w:jc w:val="right"/>
        <w:rPr>
          <w:rStyle w:val="vm"/>
          <w:rFonts w:eastAsiaTheme="minorEastAsia"/>
          <w:szCs w:val="21"/>
        </w:rPr>
      </w:pPr>
      <w:r>
        <w:rPr>
          <w:rStyle w:val="vm"/>
          <w:rFonts w:eastAsiaTheme="minorEastAsia"/>
          <w:szCs w:val="21"/>
        </w:rPr>
        <w:t>转</w:t>
      </w:r>
      <w:proofErr w:type="gramStart"/>
      <w:r>
        <w:rPr>
          <w:rStyle w:val="vm"/>
          <w:rFonts w:eastAsiaTheme="minorEastAsia"/>
          <w:szCs w:val="21"/>
        </w:rPr>
        <w:t>摘自腾氏水产</w:t>
      </w:r>
      <w:proofErr w:type="gramEnd"/>
      <w:r>
        <w:rPr>
          <w:rStyle w:val="vm"/>
          <w:rFonts w:eastAsiaTheme="minorEastAsia"/>
          <w:szCs w:val="21"/>
        </w:rPr>
        <w:t>商务</w:t>
      </w:r>
      <w:proofErr w:type="gramStart"/>
      <w:r>
        <w:rPr>
          <w:rStyle w:val="vm"/>
          <w:rFonts w:eastAsiaTheme="minorEastAsia"/>
          <w:szCs w:val="21"/>
        </w:rPr>
        <w:t>网微信公众号</w:t>
      </w:r>
      <w:proofErr w:type="gramEnd"/>
    </w:p>
    <w:p w14:paraId="334324AF" w14:textId="77777777" w:rsidR="008F75C3" w:rsidRDefault="006614AC">
      <w:pPr>
        <w:pStyle w:val="2"/>
        <w:spacing w:line="460" w:lineRule="exact"/>
        <w:jc w:val="center"/>
        <w:rPr>
          <w:rFonts w:ascii="Times New Roman" w:eastAsia="黑体" w:hAnsi="Times New Roman" w:cs="Times New Roman"/>
          <w:b w:val="0"/>
          <w:bCs w:val="0"/>
          <w:sz w:val="32"/>
          <w:szCs w:val="32"/>
        </w:rPr>
      </w:pPr>
      <w:bookmarkStart w:id="15" w:name="_Toc90390756"/>
      <w:r>
        <w:rPr>
          <w:rFonts w:ascii="Times New Roman" w:eastAsia="黑体" w:hAnsi="Times New Roman" w:cs="Times New Roman"/>
          <w:sz w:val="32"/>
          <w:szCs w:val="32"/>
        </w:rPr>
        <w:t>广东省农业农村厅发布《珠三角百万亩养殖池塘升级改造绿色发展三年行动方案》</w:t>
      </w:r>
      <w:bookmarkEnd w:id="15"/>
    </w:p>
    <w:p w14:paraId="31E32F48" w14:textId="77777777" w:rsidR="008F75C3" w:rsidRDefault="006614AC">
      <w:pPr>
        <w:spacing w:line="360" w:lineRule="auto"/>
        <w:ind w:firstLine="420"/>
        <w:rPr>
          <w:rFonts w:eastAsiaTheme="minorEastAsia"/>
          <w:sz w:val="24"/>
        </w:rPr>
      </w:pPr>
      <w:r>
        <w:rPr>
          <w:rFonts w:eastAsiaTheme="minorEastAsia"/>
          <w:sz w:val="24"/>
        </w:rPr>
        <w:t>为了贯彻落实农业农村部及省委、省政府部署，加快推进广东省水产养殖业转型升级，促进产业绿色发展，</w:t>
      </w:r>
      <w:r>
        <w:rPr>
          <w:rFonts w:eastAsiaTheme="minorEastAsia"/>
          <w:sz w:val="24"/>
        </w:rPr>
        <w:t>12</w:t>
      </w:r>
      <w:r>
        <w:rPr>
          <w:rFonts w:eastAsiaTheme="minorEastAsia"/>
          <w:sz w:val="24"/>
        </w:rPr>
        <w:t>月</w:t>
      </w:r>
      <w:r>
        <w:rPr>
          <w:rFonts w:eastAsiaTheme="minorEastAsia"/>
          <w:sz w:val="24"/>
        </w:rPr>
        <w:t>3</w:t>
      </w:r>
      <w:r>
        <w:rPr>
          <w:rFonts w:eastAsiaTheme="minorEastAsia"/>
          <w:sz w:val="24"/>
        </w:rPr>
        <w:t>日，《珠三角百万亩养殖池塘升级改造绿色发展三年行动方案》（以下简称</w:t>
      </w:r>
      <w:r>
        <w:rPr>
          <w:rFonts w:eastAsiaTheme="minorEastAsia"/>
          <w:sz w:val="24"/>
        </w:rPr>
        <w:t>“</w:t>
      </w:r>
      <w:r>
        <w:rPr>
          <w:rFonts w:eastAsiaTheme="minorEastAsia"/>
          <w:sz w:val="24"/>
        </w:rPr>
        <w:t>《行动方案》</w:t>
      </w:r>
      <w:r>
        <w:rPr>
          <w:rFonts w:eastAsiaTheme="minorEastAsia"/>
          <w:sz w:val="24"/>
        </w:rPr>
        <w:t>”</w:t>
      </w:r>
      <w:r>
        <w:rPr>
          <w:rFonts w:eastAsiaTheme="minorEastAsia"/>
          <w:sz w:val="24"/>
        </w:rPr>
        <w:t>）新闻发布会在广东省农业农村厅举行，发布会邀请了相关人员介绍了珠三角百万亩养殖池塘升级改造绿色发展三年行动的有关情况，同时回答业内关心的问题。</w:t>
      </w:r>
    </w:p>
    <w:p w14:paraId="7399B199" w14:textId="77777777" w:rsidR="008F75C3" w:rsidRDefault="006614AC">
      <w:pPr>
        <w:spacing w:line="360" w:lineRule="auto"/>
        <w:jc w:val="center"/>
        <w:rPr>
          <w:rFonts w:eastAsiaTheme="minorEastAsia"/>
          <w:sz w:val="24"/>
        </w:rPr>
      </w:pPr>
      <w:r>
        <w:rPr>
          <w:noProof/>
        </w:rPr>
        <w:lastRenderedPageBreak/>
        <w:drawing>
          <wp:inline distT="0" distB="0" distL="0" distR="0" wp14:anchorId="7436D96F" wp14:editId="774064A4">
            <wp:extent cx="1771650" cy="1181100"/>
            <wp:effectExtent l="0" t="0" r="0" b="0"/>
            <wp:docPr id="32" name="图片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图片 32"/>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a:xfrm>
                      <a:off x="0" y="0"/>
                      <a:ext cx="1771650" cy="1181100"/>
                    </a:xfrm>
                    <a:prstGeom prst="rect">
                      <a:avLst/>
                    </a:prstGeom>
                    <a:noFill/>
                    <a:ln>
                      <a:noFill/>
                    </a:ln>
                  </pic:spPr>
                </pic:pic>
              </a:graphicData>
            </a:graphic>
          </wp:inline>
        </w:drawing>
      </w:r>
    </w:p>
    <w:p w14:paraId="6A3F2F9E" w14:textId="77777777" w:rsidR="008F75C3" w:rsidRDefault="006614AC">
      <w:pPr>
        <w:spacing w:line="360" w:lineRule="auto"/>
        <w:ind w:firstLine="420"/>
        <w:rPr>
          <w:rFonts w:eastAsiaTheme="minorEastAsia"/>
          <w:sz w:val="24"/>
        </w:rPr>
      </w:pPr>
      <w:r>
        <w:rPr>
          <w:rFonts w:eastAsiaTheme="minorEastAsia"/>
          <w:sz w:val="24"/>
        </w:rPr>
        <w:t>广东省农业农村厅党组成员、副厅长高庆营介绍了《行动方案》有关情况。高庆营指出，党的十九大以来，广东认真学习贯彻习近平总书记关于</w:t>
      </w:r>
      <w:r>
        <w:rPr>
          <w:rFonts w:eastAsiaTheme="minorEastAsia"/>
          <w:sz w:val="24"/>
        </w:rPr>
        <w:t>“</w:t>
      </w:r>
      <w:r>
        <w:rPr>
          <w:rFonts w:eastAsiaTheme="minorEastAsia"/>
          <w:sz w:val="24"/>
        </w:rPr>
        <w:t>三农</w:t>
      </w:r>
      <w:r>
        <w:rPr>
          <w:rFonts w:eastAsiaTheme="minorEastAsia"/>
          <w:sz w:val="24"/>
        </w:rPr>
        <w:t>”</w:t>
      </w:r>
      <w:r>
        <w:rPr>
          <w:rFonts w:eastAsiaTheme="minorEastAsia"/>
          <w:sz w:val="24"/>
        </w:rPr>
        <w:t>工作的重要论述，深入贯彻落实总书记对广东系列重</w:t>
      </w:r>
      <w:r>
        <w:rPr>
          <w:rFonts w:eastAsiaTheme="minorEastAsia"/>
          <w:sz w:val="24"/>
        </w:rPr>
        <w:t>要讲话和重要指示批示精神，</w:t>
      </w:r>
      <w:proofErr w:type="gramStart"/>
      <w:r>
        <w:rPr>
          <w:rFonts w:eastAsiaTheme="minorEastAsia"/>
          <w:sz w:val="24"/>
        </w:rPr>
        <w:t>践行</w:t>
      </w:r>
      <w:proofErr w:type="gramEnd"/>
      <w:r>
        <w:rPr>
          <w:rFonts w:eastAsiaTheme="minorEastAsia"/>
          <w:sz w:val="24"/>
        </w:rPr>
        <w:t>“</w:t>
      </w:r>
      <w:r>
        <w:rPr>
          <w:rFonts w:eastAsiaTheme="minorEastAsia"/>
          <w:sz w:val="24"/>
        </w:rPr>
        <w:t>绿水青山就是金山银山</w:t>
      </w:r>
      <w:r>
        <w:rPr>
          <w:rFonts w:eastAsiaTheme="minorEastAsia"/>
          <w:sz w:val="24"/>
        </w:rPr>
        <w:t>”</w:t>
      </w:r>
      <w:r>
        <w:rPr>
          <w:rFonts w:eastAsiaTheme="minorEastAsia"/>
          <w:sz w:val="24"/>
        </w:rPr>
        <w:t>理念，聚焦</w:t>
      </w:r>
      <w:r>
        <w:rPr>
          <w:rFonts w:eastAsiaTheme="minorEastAsia"/>
          <w:sz w:val="24"/>
        </w:rPr>
        <w:t>“</w:t>
      </w:r>
      <w:r>
        <w:rPr>
          <w:rFonts w:eastAsiaTheme="minorEastAsia"/>
          <w:sz w:val="24"/>
        </w:rPr>
        <w:t>补短板、强基础，切实改进水产养殖基础设施，重建岭南特色现代桑基鱼塘，打造美丽渔场，全面推进珠三角池塘升级改造绿色发展</w:t>
      </w:r>
      <w:r>
        <w:rPr>
          <w:rFonts w:eastAsiaTheme="minorEastAsia"/>
          <w:sz w:val="24"/>
        </w:rPr>
        <w:t>”</w:t>
      </w:r>
      <w:r>
        <w:rPr>
          <w:rFonts w:eastAsiaTheme="minorEastAsia"/>
          <w:sz w:val="24"/>
        </w:rPr>
        <w:t>的目标任务，扎实推进现代渔业绿色高质量发展落地见效。</w:t>
      </w:r>
    </w:p>
    <w:p w14:paraId="1512B61D" w14:textId="77777777" w:rsidR="008F75C3" w:rsidRDefault="006614AC">
      <w:pPr>
        <w:spacing w:line="360" w:lineRule="auto"/>
        <w:ind w:firstLine="420"/>
        <w:rPr>
          <w:rFonts w:eastAsiaTheme="minorEastAsia"/>
          <w:sz w:val="24"/>
        </w:rPr>
      </w:pPr>
      <w:r>
        <w:rPr>
          <w:rFonts w:eastAsiaTheme="minorEastAsia"/>
          <w:sz w:val="24"/>
        </w:rPr>
        <w:t>高庆营介绍，珠三角是广东池塘养殖主产区，是广东水产品稳产保供的主力军。珠三角</w:t>
      </w:r>
      <w:r>
        <w:rPr>
          <w:rFonts w:eastAsiaTheme="minorEastAsia"/>
          <w:sz w:val="24"/>
        </w:rPr>
        <w:t>9</w:t>
      </w:r>
      <w:r>
        <w:rPr>
          <w:rFonts w:eastAsiaTheme="minorEastAsia"/>
          <w:sz w:val="24"/>
        </w:rPr>
        <w:t>市池塘养殖面积已达</w:t>
      </w:r>
      <w:r>
        <w:rPr>
          <w:rFonts w:eastAsiaTheme="minorEastAsia"/>
          <w:sz w:val="24"/>
        </w:rPr>
        <w:t>247.3</w:t>
      </w:r>
      <w:r>
        <w:rPr>
          <w:rFonts w:eastAsiaTheme="minorEastAsia"/>
          <w:sz w:val="24"/>
        </w:rPr>
        <w:t>万亩，占全省池塘养殖总面积的</w:t>
      </w:r>
      <w:r>
        <w:rPr>
          <w:rFonts w:eastAsiaTheme="minorEastAsia"/>
          <w:sz w:val="24"/>
        </w:rPr>
        <w:t>67.4%</w:t>
      </w:r>
      <w:r>
        <w:rPr>
          <w:rFonts w:eastAsiaTheme="minorEastAsia"/>
          <w:sz w:val="24"/>
        </w:rPr>
        <w:t>，池塘养殖产量</w:t>
      </w:r>
      <w:r>
        <w:rPr>
          <w:rFonts w:eastAsiaTheme="minorEastAsia"/>
          <w:sz w:val="24"/>
        </w:rPr>
        <w:t>277.78</w:t>
      </w:r>
      <w:r>
        <w:rPr>
          <w:rFonts w:eastAsiaTheme="minorEastAsia"/>
          <w:sz w:val="24"/>
        </w:rPr>
        <w:t>万吨，占全省池塘养殖总产量的</w:t>
      </w:r>
      <w:r>
        <w:rPr>
          <w:rFonts w:eastAsiaTheme="minorEastAsia"/>
          <w:sz w:val="24"/>
        </w:rPr>
        <w:t>63.7%</w:t>
      </w:r>
      <w:r>
        <w:rPr>
          <w:rFonts w:eastAsiaTheme="minorEastAsia"/>
          <w:sz w:val="24"/>
        </w:rPr>
        <w:t>。为了推进珠三角池塘养殖转型升级，广东省出台《行动方案》，目的就是</w:t>
      </w:r>
      <w:r>
        <w:rPr>
          <w:rFonts w:eastAsiaTheme="minorEastAsia"/>
          <w:sz w:val="24"/>
        </w:rPr>
        <w:t>要以</w:t>
      </w:r>
      <w:r>
        <w:rPr>
          <w:rFonts w:eastAsiaTheme="minorEastAsia"/>
          <w:sz w:val="24"/>
        </w:rPr>
        <w:t>“</w:t>
      </w:r>
      <w:r>
        <w:rPr>
          <w:rFonts w:eastAsiaTheme="minorEastAsia"/>
          <w:sz w:val="24"/>
        </w:rPr>
        <w:t>小切口</w:t>
      </w:r>
      <w:r>
        <w:rPr>
          <w:rFonts w:eastAsiaTheme="minorEastAsia"/>
          <w:sz w:val="24"/>
        </w:rPr>
        <w:t>”</w:t>
      </w:r>
      <w:r>
        <w:rPr>
          <w:rFonts w:eastAsiaTheme="minorEastAsia"/>
          <w:sz w:val="24"/>
        </w:rPr>
        <w:t>带动</w:t>
      </w:r>
      <w:r>
        <w:rPr>
          <w:rFonts w:eastAsiaTheme="minorEastAsia"/>
          <w:sz w:val="24"/>
        </w:rPr>
        <w:t>“</w:t>
      </w:r>
      <w:r>
        <w:rPr>
          <w:rFonts w:eastAsiaTheme="minorEastAsia"/>
          <w:sz w:val="24"/>
        </w:rPr>
        <w:t>大变化</w:t>
      </w:r>
      <w:r>
        <w:rPr>
          <w:rFonts w:eastAsiaTheme="minorEastAsia"/>
          <w:sz w:val="24"/>
        </w:rPr>
        <w:t>”</w:t>
      </w:r>
      <w:r>
        <w:rPr>
          <w:rFonts w:eastAsiaTheme="minorEastAsia"/>
          <w:sz w:val="24"/>
        </w:rPr>
        <w:t>，推动广东现代渔业转型升级，实现绿色发展，带动产业兴旺，为乡村全面振兴贡献渔业的力量。</w:t>
      </w:r>
    </w:p>
    <w:p w14:paraId="09E137BA" w14:textId="77777777" w:rsidR="008F75C3" w:rsidRDefault="006614AC">
      <w:pPr>
        <w:spacing w:line="360" w:lineRule="auto"/>
        <w:ind w:firstLine="420"/>
        <w:rPr>
          <w:rFonts w:eastAsiaTheme="minorEastAsia"/>
          <w:sz w:val="24"/>
        </w:rPr>
      </w:pPr>
      <w:r>
        <w:rPr>
          <w:rFonts w:eastAsiaTheme="minorEastAsia"/>
          <w:sz w:val="24"/>
        </w:rPr>
        <w:t>《行动方案》明确</w:t>
      </w:r>
      <w:r>
        <w:rPr>
          <w:rFonts w:eastAsiaTheme="minorEastAsia"/>
          <w:sz w:val="24"/>
        </w:rPr>
        <w:t>“</w:t>
      </w:r>
      <w:r>
        <w:rPr>
          <w:rFonts w:eastAsiaTheme="minorEastAsia"/>
          <w:sz w:val="24"/>
        </w:rPr>
        <w:t>用三年时间，在广州、深圳（含深</w:t>
      </w:r>
      <w:proofErr w:type="gramStart"/>
      <w:r>
        <w:rPr>
          <w:rFonts w:eastAsiaTheme="minorEastAsia"/>
          <w:sz w:val="24"/>
        </w:rPr>
        <w:t>汕</w:t>
      </w:r>
      <w:proofErr w:type="gramEnd"/>
      <w:r>
        <w:rPr>
          <w:rFonts w:eastAsiaTheme="minorEastAsia"/>
          <w:sz w:val="24"/>
        </w:rPr>
        <w:t>特别合作区）、珠海、佛山、惠州、东莞、中山、江门、肇庆市等珠三角</w:t>
      </w:r>
      <w:r>
        <w:rPr>
          <w:rFonts w:eastAsiaTheme="minorEastAsia"/>
          <w:sz w:val="24"/>
        </w:rPr>
        <w:t>9</w:t>
      </w:r>
      <w:r>
        <w:rPr>
          <w:rFonts w:eastAsiaTheme="minorEastAsia"/>
          <w:sz w:val="24"/>
        </w:rPr>
        <w:t>市开展养殖池塘升级改造行动</w:t>
      </w:r>
      <w:r>
        <w:rPr>
          <w:rFonts w:eastAsiaTheme="minorEastAsia"/>
          <w:sz w:val="24"/>
        </w:rPr>
        <w:t>”</w:t>
      </w:r>
      <w:r>
        <w:rPr>
          <w:rFonts w:eastAsiaTheme="minorEastAsia"/>
          <w:sz w:val="24"/>
        </w:rPr>
        <w:t>。从具体内容来看，指明了六大任务分别是实施池塘标准化改造、推广应用引领性技术、规划</w:t>
      </w:r>
      <w:proofErr w:type="gramStart"/>
      <w:r>
        <w:rPr>
          <w:rFonts w:eastAsiaTheme="minorEastAsia"/>
          <w:sz w:val="24"/>
        </w:rPr>
        <w:t>建设智检小站</w:t>
      </w:r>
      <w:proofErr w:type="gramEnd"/>
      <w:r>
        <w:rPr>
          <w:rFonts w:eastAsiaTheme="minorEastAsia"/>
          <w:sz w:val="24"/>
        </w:rPr>
        <w:t>、推进尾水排放在线监测、发展规模化经营和提升水产品质量，呈现了突出因地制宜、分类施策，提升文化底蕴、传承经典，推动机制创新、保障安全的三个特点。</w:t>
      </w:r>
    </w:p>
    <w:p w14:paraId="20238F19" w14:textId="77777777" w:rsidR="008F75C3" w:rsidRDefault="006614AC">
      <w:pPr>
        <w:spacing w:line="360" w:lineRule="auto"/>
        <w:ind w:firstLine="420"/>
        <w:rPr>
          <w:rFonts w:eastAsiaTheme="minorEastAsia"/>
          <w:sz w:val="24"/>
        </w:rPr>
      </w:pPr>
      <w:r>
        <w:rPr>
          <w:rFonts w:eastAsiaTheme="minorEastAsia"/>
          <w:sz w:val="24"/>
        </w:rPr>
        <w:t>发布会透露，广东省农业农村</w:t>
      </w:r>
      <w:proofErr w:type="gramStart"/>
      <w:r>
        <w:rPr>
          <w:rFonts w:eastAsiaTheme="minorEastAsia"/>
          <w:sz w:val="24"/>
        </w:rPr>
        <w:t>厅正在</w:t>
      </w:r>
      <w:proofErr w:type="gramEnd"/>
      <w:r>
        <w:rPr>
          <w:rFonts w:eastAsiaTheme="minorEastAsia"/>
          <w:sz w:val="24"/>
        </w:rPr>
        <w:t>制定《珠三角示范性美丽渔场创建工作实施方案》，将在征求意见阶段结束后正式印发。按照行动部署，肇庆</w:t>
      </w:r>
      <w:r>
        <w:rPr>
          <w:rFonts w:eastAsiaTheme="minorEastAsia"/>
          <w:sz w:val="24"/>
        </w:rPr>
        <w:t>、江门、广州等市已经建设或筹建</w:t>
      </w:r>
      <w:proofErr w:type="gramStart"/>
      <w:r>
        <w:rPr>
          <w:rFonts w:eastAsiaTheme="minorEastAsia"/>
          <w:sz w:val="24"/>
        </w:rPr>
        <w:t>多个智检小站</w:t>
      </w:r>
      <w:proofErr w:type="gramEnd"/>
      <w:r>
        <w:rPr>
          <w:rFonts w:eastAsiaTheme="minorEastAsia"/>
          <w:sz w:val="24"/>
        </w:rPr>
        <w:t>，从目前运行情况来看，</w:t>
      </w:r>
      <w:proofErr w:type="gramStart"/>
      <w:r>
        <w:rPr>
          <w:rFonts w:eastAsiaTheme="minorEastAsia"/>
          <w:sz w:val="24"/>
        </w:rPr>
        <w:t>智检小站</w:t>
      </w:r>
      <w:proofErr w:type="gramEnd"/>
      <w:r>
        <w:rPr>
          <w:rFonts w:eastAsiaTheme="minorEastAsia"/>
          <w:sz w:val="24"/>
        </w:rPr>
        <w:t>效果良好，将推动水产品质</w:t>
      </w:r>
      <w:proofErr w:type="gramStart"/>
      <w:r>
        <w:rPr>
          <w:rFonts w:eastAsiaTheme="minorEastAsia"/>
          <w:sz w:val="24"/>
        </w:rPr>
        <w:t>量安全</w:t>
      </w:r>
      <w:proofErr w:type="gramEnd"/>
      <w:r>
        <w:rPr>
          <w:rFonts w:eastAsiaTheme="minorEastAsia"/>
          <w:sz w:val="24"/>
        </w:rPr>
        <w:t>由局部监管向全面监管、传统监管向智慧化监管、粗放式监管向精细化监管转变，确保水产品消费安全。</w:t>
      </w:r>
    </w:p>
    <w:p w14:paraId="0F357239" w14:textId="77777777" w:rsidR="008F75C3" w:rsidRDefault="006614AC">
      <w:pPr>
        <w:spacing w:line="360" w:lineRule="auto"/>
        <w:ind w:firstLine="420"/>
        <w:jc w:val="right"/>
        <w:rPr>
          <w:rStyle w:val="vm"/>
          <w:rFonts w:eastAsiaTheme="minorEastAsia"/>
          <w:szCs w:val="21"/>
        </w:rPr>
      </w:pPr>
      <w:r>
        <w:rPr>
          <w:rStyle w:val="vm"/>
          <w:rFonts w:eastAsiaTheme="minorEastAsia"/>
          <w:szCs w:val="21"/>
        </w:rPr>
        <w:t>转摘自海洋与渔业杂志</w:t>
      </w:r>
      <w:proofErr w:type="gramStart"/>
      <w:r>
        <w:rPr>
          <w:rStyle w:val="vm"/>
          <w:rFonts w:eastAsiaTheme="minorEastAsia"/>
          <w:szCs w:val="21"/>
        </w:rPr>
        <w:t>微信公众号</w:t>
      </w:r>
      <w:proofErr w:type="gramEnd"/>
    </w:p>
    <w:p w14:paraId="106BBAC5" w14:textId="77777777" w:rsidR="008F75C3" w:rsidRDefault="006614AC">
      <w:pPr>
        <w:pStyle w:val="2"/>
        <w:spacing w:line="460" w:lineRule="exact"/>
        <w:jc w:val="center"/>
        <w:rPr>
          <w:rFonts w:ascii="Times New Roman" w:eastAsia="黑体" w:hAnsi="Times New Roman" w:cs="Times New Roman"/>
          <w:b w:val="0"/>
          <w:bCs w:val="0"/>
          <w:sz w:val="32"/>
          <w:szCs w:val="32"/>
        </w:rPr>
      </w:pPr>
      <w:bookmarkStart w:id="16" w:name="_Toc90390757"/>
      <w:r>
        <w:rPr>
          <w:rFonts w:ascii="Times New Roman" w:eastAsia="黑体" w:hAnsi="Times New Roman" w:cs="Times New Roman"/>
          <w:sz w:val="32"/>
          <w:szCs w:val="32"/>
        </w:rPr>
        <w:t>水产饲料原料价格近期普遍上涨</w:t>
      </w:r>
      <w:bookmarkEnd w:id="16"/>
    </w:p>
    <w:p w14:paraId="0FE8C4AD" w14:textId="77777777" w:rsidR="008F75C3" w:rsidRDefault="006614AC">
      <w:pPr>
        <w:spacing w:line="360" w:lineRule="auto"/>
        <w:ind w:firstLine="420"/>
        <w:rPr>
          <w:rFonts w:eastAsiaTheme="minorEastAsia"/>
          <w:sz w:val="24"/>
        </w:rPr>
      </w:pPr>
      <w:r>
        <w:rPr>
          <w:rFonts w:eastAsiaTheme="minorEastAsia"/>
          <w:sz w:val="24"/>
        </w:rPr>
        <w:t>国家统计局</w:t>
      </w:r>
      <w:r>
        <w:rPr>
          <w:rFonts w:eastAsiaTheme="minorEastAsia"/>
          <w:sz w:val="24"/>
        </w:rPr>
        <w:t>(11</w:t>
      </w:r>
      <w:r>
        <w:rPr>
          <w:rFonts w:eastAsiaTheme="minorEastAsia"/>
          <w:sz w:val="24"/>
        </w:rPr>
        <w:t>月</w:t>
      </w:r>
      <w:r>
        <w:rPr>
          <w:rFonts w:eastAsiaTheme="minorEastAsia"/>
          <w:sz w:val="24"/>
        </w:rPr>
        <w:t>10</w:t>
      </w:r>
      <w:r>
        <w:rPr>
          <w:rFonts w:eastAsiaTheme="minorEastAsia"/>
          <w:sz w:val="24"/>
        </w:rPr>
        <w:t>日</w:t>
      </w:r>
      <w:r>
        <w:rPr>
          <w:rFonts w:eastAsiaTheme="minorEastAsia"/>
          <w:sz w:val="24"/>
        </w:rPr>
        <w:t>)</w:t>
      </w:r>
      <w:r>
        <w:rPr>
          <w:rFonts w:eastAsiaTheme="minorEastAsia"/>
          <w:sz w:val="24"/>
        </w:rPr>
        <w:t>发布了</w:t>
      </w:r>
      <w:r>
        <w:rPr>
          <w:rFonts w:eastAsiaTheme="minorEastAsia"/>
          <w:sz w:val="24"/>
        </w:rPr>
        <w:t>10</w:t>
      </w:r>
      <w:r>
        <w:rPr>
          <w:rFonts w:eastAsiaTheme="minorEastAsia"/>
          <w:sz w:val="24"/>
        </w:rPr>
        <w:t>月份全国居民消费价格指数，</w:t>
      </w:r>
      <w:r>
        <w:rPr>
          <w:rFonts w:eastAsiaTheme="minorEastAsia"/>
          <w:sz w:val="24"/>
        </w:rPr>
        <w:t>10</w:t>
      </w:r>
      <w:r>
        <w:rPr>
          <w:rFonts w:eastAsiaTheme="minorEastAsia"/>
          <w:sz w:val="24"/>
        </w:rPr>
        <w:t>月份，全国居民消</w:t>
      </w:r>
      <w:r>
        <w:rPr>
          <w:rFonts w:eastAsiaTheme="minorEastAsia"/>
          <w:sz w:val="24"/>
        </w:rPr>
        <w:lastRenderedPageBreak/>
        <w:t>费价格同比上涨</w:t>
      </w:r>
      <w:r>
        <w:rPr>
          <w:rFonts w:eastAsiaTheme="minorEastAsia"/>
          <w:sz w:val="24"/>
        </w:rPr>
        <w:t>1.5%</w:t>
      </w:r>
      <w:r>
        <w:rPr>
          <w:rFonts w:eastAsiaTheme="minorEastAsia"/>
          <w:sz w:val="24"/>
        </w:rPr>
        <w:t>，食品价格下降</w:t>
      </w:r>
      <w:r>
        <w:rPr>
          <w:rFonts w:eastAsiaTheme="minorEastAsia"/>
          <w:sz w:val="24"/>
        </w:rPr>
        <w:t>2.4%</w:t>
      </w:r>
      <w:r>
        <w:rPr>
          <w:rFonts w:eastAsiaTheme="minorEastAsia"/>
          <w:sz w:val="24"/>
        </w:rPr>
        <w:t>，非食品价格上涨</w:t>
      </w:r>
      <w:r>
        <w:rPr>
          <w:rFonts w:eastAsiaTheme="minorEastAsia"/>
          <w:sz w:val="24"/>
        </w:rPr>
        <w:t>2.4%</w:t>
      </w:r>
      <w:r>
        <w:rPr>
          <w:rFonts w:eastAsiaTheme="minorEastAsia"/>
          <w:sz w:val="24"/>
        </w:rPr>
        <w:t>，</w:t>
      </w:r>
      <w:r>
        <w:rPr>
          <w:rFonts w:eastAsiaTheme="minorEastAsia"/>
          <w:sz w:val="24"/>
        </w:rPr>
        <w:t>1—10</w:t>
      </w:r>
      <w:r>
        <w:rPr>
          <w:rFonts w:eastAsiaTheme="minorEastAsia"/>
          <w:sz w:val="24"/>
        </w:rPr>
        <w:t>月平均，全国居民消费价格比上年同期上涨</w:t>
      </w:r>
      <w:r>
        <w:rPr>
          <w:rFonts w:eastAsiaTheme="minorEastAsia"/>
          <w:sz w:val="24"/>
        </w:rPr>
        <w:t>0.7%</w:t>
      </w:r>
      <w:r>
        <w:rPr>
          <w:rFonts w:eastAsiaTheme="minorEastAsia"/>
          <w:sz w:val="24"/>
        </w:rPr>
        <w:t>。</w:t>
      </w:r>
      <w:r>
        <w:rPr>
          <w:rFonts w:eastAsiaTheme="minorEastAsia"/>
          <w:sz w:val="24"/>
        </w:rPr>
        <w:t>2021</w:t>
      </w:r>
      <w:r>
        <w:rPr>
          <w:rFonts w:eastAsiaTheme="minorEastAsia"/>
          <w:sz w:val="24"/>
        </w:rPr>
        <w:t>年还有最后一个月就将结束，今年整体而言</w:t>
      </w:r>
      <w:r>
        <w:rPr>
          <w:rFonts w:eastAsiaTheme="minorEastAsia"/>
          <w:sz w:val="24"/>
        </w:rPr>
        <w:t>，我想大家都能感受到物价的上涨，受降雨天、夏季换茬、局部地区疫情散发以及生产运输高等，蔬菜、面粉都</w:t>
      </w:r>
      <w:proofErr w:type="gramStart"/>
      <w:r>
        <w:rPr>
          <w:rFonts w:eastAsiaTheme="minorEastAsia"/>
          <w:sz w:val="24"/>
        </w:rPr>
        <w:t>都</w:t>
      </w:r>
      <w:proofErr w:type="gramEnd"/>
      <w:r>
        <w:rPr>
          <w:rFonts w:eastAsiaTheme="minorEastAsia"/>
          <w:sz w:val="24"/>
        </w:rPr>
        <w:t>较之前明显上涨</w:t>
      </w:r>
      <w:r>
        <w:rPr>
          <w:rFonts w:eastAsiaTheme="minorEastAsia"/>
          <w:sz w:val="24"/>
        </w:rPr>
        <w:t>...</w:t>
      </w:r>
    </w:p>
    <w:p w14:paraId="6FCDE1A8" w14:textId="77777777" w:rsidR="008F75C3" w:rsidRDefault="006614AC">
      <w:pPr>
        <w:spacing w:line="360" w:lineRule="auto"/>
        <w:ind w:firstLine="420"/>
        <w:rPr>
          <w:rFonts w:eastAsiaTheme="minorEastAsia"/>
          <w:sz w:val="24"/>
        </w:rPr>
      </w:pPr>
      <w:r>
        <w:rPr>
          <w:rFonts w:eastAsiaTheme="minorEastAsia"/>
          <w:sz w:val="24"/>
        </w:rPr>
        <w:t>与此同时，我们饲料行业同样感受到价格的急剧上涨，特别是几宗饲料原料，菜</w:t>
      </w:r>
      <w:proofErr w:type="gramStart"/>
      <w:r>
        <w:rPr>
          <w:rFonts w:eastAsiaTheme="minorEastAsia"/>
          <w:sz w:val="24"/>
        </w:rPr>
        <w:t>粕</w:t>
      </w:r>
      <w:proofErr w:type="gramEnd"/>
      <w:r>
        <w:rPr>
          <w:rFonts w:eastAsiaTheme="minorEastAsia"/>
          <w:sz w:val="24"/>
        </w:rPr>
        <w:t>、棉</w:t>
      </w:r>
      <w:proofErr w:type="gramStart"/>
      <w:r>
        <w:rPr>
          <w:rFonts w:eastAsiaTheme="minorEastAsia"/>
          <w:sz w:val="24"/>
        </w:rPr>
        <w:t>粕</w:t>
      </w:r>
      <w:proofErr w:type="gramEnd"/>
      <w:r>
        <w:rPr>
          <w:rFonts w:eastAsiaTheme="minorEastAsia"/>
          <w:sz w:val="24"/>
        </w:rPr>
        <w:t>、玉米、鱼粉等均表现是强势上涨的劲头。而饲料原料价格的上涨，势必</w:t>
      </w:r>
      <w:proofErr w:type="gramStart"/>
      <w:r>
        <w:rPr>
          <w:rFonts w:eastAsiaTheme="minorEastAsia"/>
          <w:sz w:val="24"/>
        </w:rPr>
        <w:t>将推改饲料</w:t>
      </w:r>
      <w:proofErr w:type="gramEnd"/>
      <w:r>
        <w:rPr>
          <w:rFonts w:eastAsiaTheme="minorEastAsia"/>
          <w:sz w:val="24"/>
        </w:rPr>
        <w:t>价格上行，今年以来，各大饲料企业频繁上调饲料价格，而真正苦了的是需求终端的养殖户。</w:t>
      </w:r>
      <w:r>
        <w:rPr>
          <w:rFonts w:eastAsiaTheme="minorEastAsia"/>
          <w:sz w:val="24"/>
        </w:rPr>
        <w:t>12</w:t>
      </w:r>
      <w:r>
        <w:rPr>
          <w:rFonts w:eastAsiaTheme="minorEastAsia"/>
          <w:sz w:val="24"/>
        </w:rPr>
        <w:t>月伊始，数十家饲料企业再次宣布饲料价格上涨</w:t>
      </w:r>
      <w:r>
        <w:rPr>
          <w:rFonts w:eastAsiaTheme="minorEastAsia"/>
          <w:sz w:val="24"/>
        </w:rPr>
        <w:t>25-100</w:t>
      </w:r>
      <w:r>
        <w:rPr>
          <w:rFonts w:eastAsiaTheme="minorEastAsia"/>
          <w:sz w:val="24"/>
        </w:rPr>
        <w:t>元</w:t>
      </w:r>
      <w:r>
        <w:rPr>
          <w:rFonts w:eastAsiaTheme="minorEastAsia"/>
          <w:sz w:val="24"/>
        </w:rPr>
        <w:t>/</w:t>
      </w:r>
      <w:r>
        <w:rPr>
          <w:rFonts w:eastAsiaTheme="minorEastAsia"/>
          <w:sz w:val="24"/>
        </w:rPr>
        <w:t>吨，预混料价格涨幅高达</w:t>
      </w:r>
      <w:r>
        <w:rPr>
          <w:rFonts w:eastAsiaTheme="minorEastAsia"/>
          <w:sz w:val="24"/>
        </w:rPr>
        <w:t>500</w:t>
      </w:r>
      <w:r>
        <w:rPr>
          <w:rFonts w:eastAsiaTheme="minorEastAsia"/>
          <w:sz w:val="24"/>
        </w:rPr>
        <w:t>元</w:t>
      </w:r>
      <w:r>
        <w:rPr>
          <w:rFonts w:eastAsiaTheme="minorEastAsia"/>
          <w:sz w:val="24"/>
        </w:rPr>
        <w:t>/</w:t>
      </w:r>
      <w:r>
        <w:rPr>
          <w:rFonts w:eastAsiaTheme="minorEastAsia"/>
          <w:sz w:val="24"/>
        </w:rPr>
        <w:t>吨。</w:t>
      </w:r>
    </w:p>
    <w:p w14:paraId="4856EECE" w14:textId="77777777" w:rsidR="008F75C3" w:rsidRDefault="006614AC">
      <w:pPr>
        <w:spacing w:line="360" w:lineRule="auto"/>
        <w:ind w:firstLine="420"/>
        <w:rPr>
          <w:rFonts w:eastAsiaTheme="minorEastAsia"/>
          <w:sz w:val="24"/>
        </w:rPr>
      </w:pPr>
      <w:r>
        <w:rPr>
          <w:rFonts w:eastAsiaTheme="minorEastAsia"/>
          <w:sz w:val="24"/>
        </w:rPr>
        <w:t>截至</w:t>
      </w:r>
      <w:r>
        <w:rPr>
          <w:rFonts w:eastAsiaTheme="minorEastAsia"/>
          <w:sz w:val="24"/>
        </w:rPr>
        <w:t>12</w:t>
      </w:r>
      <w:r>
        <w:rPr>
          <w:rFonts w:eastAsiaTheme="minorEastAsia"/>
          <w:sz w:val="24"/>
        </w:rPr>
        <w:t>月</w:t>
      </w:r>
      <w:r>
        <w:rPr>
          <w:rFonts w:eastAsiaTheme="minorEastAsia"/>
          <w:sz w:val="24"/>
        </w:rPr>
        <w:t>7</w:t>
      </w:r>
      <w:r>
        <w:rPr>
          <w:rFonts w:eastAsiaTheme="minorEastAsia"/>
          <w:sz w:val="24"/>
        </w:rPr>
        <w:t>日全国玉米均价为</w:t>
      </w:r>
      <w:r>
        <w:rPr>
          <w:rFonts w:eastAsiaTheme="minorEastAsia"/>
          <w:sz w:val="24"/>
        </w:rPr>
        <w:t>2723</w:t>
      </w:r>
      <w:r>
        <w:rPr>
          <w:rFonts w:eastAsiaTheme="minorEastAsia"/>
          <w:sz w:val="24"/>
        </w:rPr>
        <w:t>元</w:t>
      </w:r>
      <w:r>
        <w:rPr>
          <w:rFonts w:eastAsiaTheme="minorEastAsia"/>
          <w:sz w:val="24"/>
        </w:rPr>
        <w:t>/</w:t>
      </w:r>
      <w:r>
        <w:rPr>
          <w:rFonts w:eastAsiaTheme="minorEastAsia"/>
          <w:sz w:val="24"/>
        </w:rPr>
        <w:t>吨，年初为</w:t>
      </w:r>
      <w:r>
        <w:rPr>
          <w:rFonts w:eastAsiaTheme="minorEastAsia"/>
          <w:sz w:val="24"/>
        </w:rPr>
        <w:t>258</w:t>
      </w:r>
      <w:r>
        <w:rPr>
          <w:rFonts w:eastAsiaTheme="minorEastAsia"/>
          <w:sz w:val="24"/>
        </w:rPr>
        <w:t>8</w:t>
      </w:r>
      <w:r>
        <w:rPr>
          <w:rFonts w:eastAsiaTheme="minorEastAsia"/>
          <w:sz w:val="24"/>
        </w:rPr>
        <w:t>元</w:t>
      </w:r>
      <w:r>
        <w:rPr>
          <w:rFonts w:eastAsiaTheme="minorEastAsia"/>
          <w:sz w:val="24"/>
        </w:rPr>
        <w:t>/</w:t>
      </w:r>
      <w:r>
        <w:rPr>
          <w:rFonts w:eastAsiaTheme="minorEastAsia"/>
          <w:sz w:val="24"/>
        </w:rPr>
        <w:t>吨，上涨</w:t>
      </w:r>
      <w:r>
        <w:rPr>
          <w:rFonts w:eastAsiaTheme="minorEastAsia"/>
          <w:sz w:val="24"/>
        </w:rPr>
        <w:t>135</w:t>
      </w:r>
      <w:r>
        <w:rPr>
          <w:rFonts w:eastAsiaTheme="minorEastAsia"/>
          <w:sz w:val="24"/>
        </w:rPr>
        <w:t>元</w:t>
      </w:r>
      <w:r>
        <w:rPr>
          <w:rFonts w:eastAsiaTheme="minorEastAsia"/>
          <w:sz w:val="24"/>
        </w:rPr>
        <w:t>/</w:t>
      </w:r>
      <w:r>
        <w:rPr>
          <w:rFonts w:eastAsiaTheme="minorEastAsia"/>
          <w:sz w:val="24"/>
        </w:rPr>
        <w:t>吨左右；秘鲁超级蒸汽级别鱼粉参考报价在</w:t>
      </w:r>
      <w:r>
        <w:rPr>
          <w:rFonts w:eastAsiaTheme="minorEastAsia"/>
          <w:sz w:val="24"/>
        </w:rPr>
        <w:t>11700-12100</w:t>
      </w:r>
      <w:r>
        <w:rPr>
          <w:rFonts w:eastAsiaTheme="minorEastAsia"/>
          <w:sz w:val="24"/>
        </w:rPr>
        <w:t>元</w:t>
      </w:r>
      <w:r>
        <w:rPr>
          <w:rFonts w:eastAsiaTheme="minorEastAsia"/>
          <w:sz w:val="24"/>
        </w:rPr>
        <w:t>/</w:t>
      </w:r>
      <w:r>
        <w:rPr>
          <w:rFonts w:eastAsiaTheme="minorEastAsia"/>
          <w:sz w:val="24"/>
        </w:rPr>
        <w:t>吨，较年初上涨</w:t>
      </w:r>
      <w:r>
        <w:rPr>
          <w:rFonts w:eastAsiaTheme="minorEastAsia"/>
          <w:sz w:val="24"/>
        </w:rPr>
        <w:t>500-600</w:t>
      </w:r>
      <w:r>
        <w:rPr>
          <w:rFonts w:eastAsiaTheme="minorEastAsia"/>
          <w:sz w:val="24"/>
        </w:rPr>
        <w:t>元</w:t>
      </w:r>
      <w:r>
        <w:rPr>
          <w:rFonts w:eastAsiaTheme="minorEastAsia"/>
          <w:sz w:val="24"/>
        </w:rPr>
        <w:t>/</w:t>
      </w:r>
      <w:r>
        <w:rPr>
          <w:rFonts w:eastAsiaTheme="minorEastAsia"/>
          <w:sz w:val="24"/>
        </w:rPr>
        <w:t>吨；磷酸</w:t>
      </w:r>
      <w:proofErr w:type="gramStart"/>
      <w:r>
        <w:rPr>
          <w:rFonts w:eastAsiaTheme="minorEastAsia"/>
          <w:sz w:val="24"/>
        </w:rPr>
        <w:t>氢钙至</w:t>
      </w:r>
      <w:r>
        <w:rPr>
          <w:rFonts w:eastAsiaTheme="minorEastAsia"/>
          <w:sz w:val="24"/>
        </w:rPr>
        <w:t>3500</w:t>
      </w:r>
      <w:r>
        <w:rPr>
          <w:rFonts w:eastAsiaTheme="minorEastAsia"/>
          <w:sz w:val="24"/>
        </w:rPr>
        <w:t>元</w:t>
      </w:r>
      <w:proofErr w:type="gramEnd"/>
      <w:r>
        <w:rPr>
          <w:rFonts w:eastAsiaTheme="minorEastAsia"/>
          <w:sz w:val="24"/>
        </w:rPr>
        <w:t>/</w:t>
      </w:r>
      <w:r>
        <w:rPr>
          <w:rFonts w:eastAsiaTheme="minorEastAsia"/>
          <w:sz w:val="24"/>
        </w:rPr>
        <w:t>吨，较年初</w:t>
      </w:r>
      <w:r>
        <w:rPr>
          <w:rFonts w:eastAsiaTheme="minorEastAsia"/>
          <w:sz w:val="24"/>
        </w:rPr>
        <w:t>1780</w:t>
      </w:r>
      <w:r>
        <w:rPr>
          <w:rFonts w:eastAsiaTheme="minorEastAsia"/>
          <w:sz w:val="24"/>
        </w:rPr>
        <w:t>元</w:t>
      </w:r>
      <w:r>
        <w:rPr>
          <w:rFonts w:eastAsiaTheme="minorEastAsia"/>
          <w:sz w:val="24"/>
        </w:rPr>
        <w:t>/</w:t>
      </w:r>
      <w:r>
        <w:rPr>
          <w:rFonts w:eastAsiaTheme="minorEastAsia"/>
          <w:sz w:val="24"/>
        </w:rPr>
        <w:t>吨，上涨</w:t>
      </w:r>
      <w:r>
        <w:rPr>
          <w:rFonts w:eastAsiaTheme="minorEastAsia"/>
          <w:sz w:val="24"/>
        </w:rPr>
        <w:t>1720</w:t>
      </w:r>
      <w:r>
        <w:rPr>
          <w:rFonts w:eastAsiaTheme="minorEastAsia"/>
          <w:sz w:val="24"/>
        </w:rPr>
        <w:t>元</w:t>
      </w:r>
      <w:r>
        <w:rPr>
          <w:rFonts w:eastAsiaTheme="minorEastAsia"/>
          <w:sz w:val="24"/>
        </w:rPr>
        <w:t>/</w:t>
      </w:r>
      <w:r>
        <w:rPr>
          <w:rFonts w:eastAsiaTheme="minorEastAsia"/>
          <w:sz w:val="24"/>
        </w:rPr>
        <w:t>吨；豆</w:t>
      </w:r>
      <w:proofErr w:type="gramStart"/>
      <w:r>
        <w:rPr>
          <w:rFonts w:eastAsiaTheme="minorEastAsia"/>
          <w:sz w:val="24"/>
        </w:rPr>
        <w:t>粕</w:t>
      </w:r>
      <w:proofErr w:type="gramEnd"/>
      <w:r>
        <w:rPr>
          <w:rFonts w:eastAsiaTheme="minorEastAsia"/>
          <w:sz w:val="24"/>
        </w:rPr>
        <w:t>上演止跌反弹，截止</w:t>
      </w:r>
      <w:r>
        <w:rPr>
          <w:rFonts w:eastAsiaTheme="minorEastAsia"/>
          <w:sz w:val="24"/>
        </w:rPr>
        <w:t xml:space="preserve"> 9</w:t>
      </w:r>
      <w:r>
        <w:rPr>
          <w:rFonts w:eastAsiaTheme="minorEastAsia"/>
          <w:sz w:val="24"/>
        </w:rPr>
        <w:t>月突破</w:t>
      </w:r>
      <w:r>
        <w:rPr>
          <w:rFonts w:eastAsiaTheme="minorEastAsia"/>
          <w:sz w:val="24"/>
        </w:rPr>
        <w:t>4000</w:t>
      </w:r>
      <w:r>
        <w:rPr>
          <w:rFonts w:eastAsiaTheme="minorEastAsia"/>
          <w:sz w:val="24"/>
        </w:rPr>
        <w:t>元</w:t>
      </w:r>
      <w:r>
        <w:rPr>
          <w:rFonts w:eastAsiaTheme="minorEastAsia"/>
          <w:sz w:val="24"/>
        </w:rPr>
        <w:t>/</w:t>
      </w:r>
      <w:r>
        <w:rPr>
          <w:rFonts w:eastAsiaTheme="minorEastAsia"/>
          <w:sz w:val="24"/>
        </w:rPr>
        <w:t>吨高点；棉</w:t>
      </w:r>
      <w:proofErr w:type="gramStart"/>
      <w:r>
        <w:rPr>
          <w:rFonts w:eastAsiaTheme="minorEastAsia"/>
          <w:sz w:val="24"/>
        </w:rPr>
        <w:t>粕</w:t>
      </w:r>
      <w:proofErr w:type="gramEnd"/>
      <w:r>
        <w:rPr>
          <w:rFonts w:eastAsiaTheme="minorEastAsia"/>
          <w:sz w:val="24"/>
        </w:rPr>
        <w:t>均价为</w:t>
      </w:r>
      <w:r>
        <w:rPr>
          <w:rFonts w:eastAsiaTheme="minorEastAsia"/>
          <w:sz w:val="24"/>
        </w:rPr>
        <w:t>3070</w:t>
      </w:r>
      <w:r>
        <w:rPr>
          <w:rFonts w:eastAsiaTheme="minorEastAsia"/>
          <w:sz w:val="24"/>
        </w:rPr>
        <w:t>元</w:t>
      </w:r>
      <w:r>
        <w:rPr>
          <w:rFonts w:eastAsiaTheme="minorEastAsia"/>
          <w:sz w:val="24"/>
        </w:rPr>
        <w:t>/</w:t>
      </w:r>
      <w:r>
        <w:rPr>
          <w:rFonts w:eastAsiaTheme="minorEastAsia"/>
          <w:sz w:val="24"/>
        </w:rPr>
        <w:t>吨，年初为</w:t>
      </w:r>
      <w:r>
        <w:rPr>
          <w:rFonts w:eastAsiaTheme="minorEastAsia"/>
          <w:sz w:val="24"/>
        </w:rPr>
        <w:t>2580</w:t>
      </w:r>
      <w:r>
        <w:rPr>
          <w:rFonts w:eastAsiaTheme="minorEastAsia"/>
          <w:sz w:val="24"/>
        </w:rPr>
        <w:t>元</w:t>
      </w:r>
      <w:r>
        <w:rPr>
          <w:rFonts w:eastAsiaTheme="minorEastAsia"/>
          <w:sz w:val="24"/>
        </w:rPr>
        <w:t>/</w:t>
      </w:r>
      <w:r>
        <w:rPr>
          <w:rFonts w:eastAsiaTheme="minorEastAsia"/>
          <w:sz w:val="24"/>
        </w:rPr>
        <w:t>吨，上涨</w:t>
      </w:r>
      <w:r>
        <w:rPr>
          <w:rFonts w:eastAsiaTheme="minorEastAsia"/>
          <w:sz w:val="24"/>
        </w:rPr>
        <w:t>490</w:t>
      </w:r>
      <w:r>
        <w:rPr>
          <w:rFonts w:eastAsiaTheme="minorEastAsia"/>
          <w:sz w:val="24"/>
        </w:rPr>
        <w:t>元左右；菜</w:t>
      </w:r>
      <w:proofErr w:type="gramStart"/>
      <w:r>
        <w:rPr>
          <w:rFonts w:eastAsiaTheme="minorEastAsia"/>
          <w:sz w:val="24"/>
        </w:rPr>
        <w:t>粕</w:t>
      </w:r>
      <w:proofErr w:type="gramEnd"/>
      <w:r>
        <w:rPr>
          <w:rFonts w:eastAsiaTheme="minorEastAsia"/>
          <w:sz w:val="24"/>
        </w:rPr>
        <w:t>均价为</w:t>
      </w:r>
      <w:r>
        <w:rPr>
          <w:rFonts w:eastAsiaTheme="minorEastAsia"/>
          <w:sz w:val="24"/>
        </w:rPr>
        <w:t>2890</w:t>
      </w:r>
      <w:r>
        <w:rPr>
          <w:rFonts w:eastAsiaTheme="minorEastAsia"/>
          <w:sz w:val="24"/>
        </w:rPr>
        <w:t>元</w:t>
      </w:r>
      <w:r>
        <w:rPr>
          <w:rFonts w:eastAsiaTheme="minorEastAsia"/>
          <w:sz w:val="24"/>
        </w:rPr>
        <w:t>/</w:t>
      </w:r>
      <w:r>
        <w:rPr>
          <w:rFonts w:eastAsiaTheme="minorEastAsia"/>
          <w:sz w:val="24"/>
        </w:rPr>
        <w:t>吨，年初为</w:t>
      </w:r>
      <w:r>
        <w:rPr>
          <w:rFonts w:eastAsiaTheme="minorEastAsia"/>
          <w:sz w:val="24"/>
        </w:rPr>
        <w:t>2695</w:t>
      </w:r>
      <w:r>
        <w:rPr>
          <w:rFonts w:eastAsiaTheme="minorEastAsia"/>
          <w:sz w:val="24"/>
        </w:rPr>
        <w:t>元</w:t>
      </w:r>
      <w:r>
        <w:rPr>
          <w:rFonts w:eastAsiaTheme="minorEastAsia"/>
          <w:sz w:val="24"/>
        </w:rPr>
        <w:t>/</w:t>
      </w:r>
      <w:r>
        <w:rPr>
          <w:rFonts w:eastAsiaTheme="minorEastAsia"/>
          <w:sz w:val="24"/>
        </w:rPr>
        <w:t>吨，上涨</w:t>
      </w:r>
      <w:r>
        <w:rPr>
          <w:rFonts w:eastAsiaTheme="minorEastAsia"/>
          <w:sz w:val="24"/>
        </w:rPr>
        <w:t>195</w:t>
      </w:r>
      <w:r>
        <w:rPr>
          <w:rFonts w:eastAsiaTheme="minorEastAsia"/>
          <w:sz w:val="24"/>
        </w:rPr>
        <w:t>元</w:t>
      </w:r>
      <w:r>
        <w:rPr>
          <w:rFonts w:eastAsiaTheme="minorEastAsia"/>
          <w:sz w:val="24"/>
        </w:rPr>
        <w:t>/</w:t>
      </w:r>
      <w:r>
        <w:rPr>
          <w:rFonts w:eastAsiaTheme="minorEastAsia"/>
          <w:sz w:val="24"/>
        </w:rPr>
        <w:t>吨左右。</w:t>
      </w:r>
    </w:p>
    <w:p w14:paraId="4A142994" w14:textId="77777777" w:rsidR="008F75C3" w:rsidRDefault="006614AC">
      <w:pPr>
        <w:spacing w:line="360" w:lineRule="auto"/>
        <w:ind w:firstLine="420"/>
        <w:rPr>
          <w:rFonts w:eastAsiaTheme="minorEastAsia"/>
          <w:sz w:val="24"/>
        </w:rPr>
      </w:pPr>
      <w:r>
        <w:rPr>
          <w:rFonts w:eastAsiaTheme="minorEastAsia"/>
          <w:sz w:val="24"/>
        </w:rPr>
        <w:t>2021</w:t>
      </w:r>
      <w:r>
        <w:rPr>
          <w:rFonts w:eastAsiaTheme="minorEastAsia"/>
          <w:sz w:val="24"/>
        </w:rPr>
        <w:t>年海外新冠疫情恶化，海运费飙涨，原油、天然气、煤炭、能耗双控，限电限产等令生产成本不断上涨，为饲料原料价格营造浓厚的上涨空</w:t>
      </w:r>
      <w:r>
        <w:rPr>
          <w:rFonts w:eastAsiaTheme="minorEastAsia"/>
          <w:sz w:val="24"/>
        </w:rPr>
        <w:t>间。玉米：今年玉米走高主要表现在一季度，</w:t>
      </w:r>
      <w:r>
        <w:rPr>
          <w:rFonts w:eastAsiaTheme="minorEastAsia"/>
          <w:sz w:val="24"/>
        </w:rPr>
        <w:t>3</w:t>
      </w:r>
      <w:r>
        <w:rPr>
          <w:rFonts w:eastAsiaTheme="minorEastAsia"/>
          <w:sz w:val="24"/>
        </w:rPr>
        <w:t>月底均价达到了</w:t>
      </w:r>
      <w:r>
        <w:rPr>
          <w:rFonts w:eastAsiaTheme="minorEastAsia"/>
          <w:sz w:val="24"/>
        </w:rPr>
        <w:t>2941</w:t>
      </w:r>
      <w:r>
        <w:rPr>
          <w:rFonts w:eastAsiaTheme="minorEastAsia"/>
          <w:sz w:val="24"/>
        </w:rPr>
        <w:t>元</w:t>
      </w:r>
      <w:r>
        <w:rPr>
          <w:rFonts w:eastAsiaTheme="minorEastAsia"/>
          <w:sz w:val="24"/>
        </w:rPr>
        <w:t>/</w:t>
      </w:r>
      <w:r>
        <w:rPr>
          <w:rFonts w:eastAsiaTheme="minorEastAsia"/>
          <w:sz w:val="24"/>
        </w:rPr>
        <w:t>吨，主要还是供应</w:t>
      </w:r>
      <w:proofErr w:type="gramStart"/>
      <w:r>
        <w:rPr>
          <w:rFonts w:eastAsiaTheme="minorEastAsia"/>
          <w:sz w:val="24"/>
        </w:rPr>
        <w:t>偏紧张提</w:t>
      </w:r>
      <w:proofErr w:type="gramEnd"/>
      <w:r>
        <w:rPr>
          <w:rFonts w:eastAsiaTheme="minorEastAsia"/>
          <w:sz w:val="24"/>
        </w:rPr>
        <w:t>振，之后表现有所走弱，主要是国产谷物，陈化小麦、水稻及进口谷物供应仍然较为充足，</w:t>
      </w:r>
      <w:r>
        <w:rPr>
          <w:rFonts w:eastAsiaTheme="minorEastAsia"/>
          <w:sz w:val="24"/>
        </w:rPr>
        <w:t>9</w:t>
      </w:r>
      <w:r>
        <w:rPr>
          <w:rFonts w:eastAsiaTheme="minorEastAsia"/>
          <w:sz w:val="24"/>
        </w:rPr>
        <w:t>月全国玉米月底均价更是跌到</w:t>
      </w:r>
      <w:r>
        <w:rPr>
          <w:rFonts w:eastAsiaTheme="minorEastAsia"/>
          <w:sz w:val="24"/>
        </w:rPr>
        <w:t>2703</w:t>
      </w:r>
      <w:r>
        <w:rPr>
          <w:rFonts w:eastAsiaTheme="minorEastAsia"/>
          <w:sz w:val="24"/>
        </w:rPr>
        <w:t>元</w:t>
      </w:r>
      <w:r>
        <w:rPr>
          <w:rFonts w:eastAsiaTheme="minorEastAsia"/>
          <w:sz w:val="24"/>
        </w:rPr>
        <w:t>/</w:t>
      </w:r>
      <w:r>
        <w:rPr>
          <w:rFonts w:eastAsiaTheme="minorEastAsia"/>
          <w:sz w:val="24"/>
        </w:rPr>
        <w:t>吨的低位水平；棉菜</w:t>
      </w:r>
      <w:proofErr w:type="gramStart"/>
      <w:r>
        <w:rPr>
          <w:rFonts w:eastAsiaTheme="minorEastAsia"/>
          <w:sz w:val="24"/>
        </w:rPr>
        <w:t>粕</w:t>
      </w:r>
      <w:proofErr w:type="gramEnd"/>
      <w:r>
        <w:rPr>
          <w:rFonts w:eastAsiaTheme="minorEastAsia"/>
          <w:sz w:val="24"/>
        </w:rPr>
        <w:t>：豆</w:t>
      </w:r>
      <w:proofErr w:type="gramStart"/>
      <w:r>
        <w:rPr>
          <w:rFonts w:eastAsiaTheme="minorEastAsia"/>
          <w:sz w:val="24"/>
        </w:rPr>
        <w:t>粕</w:t>
      </w:r>
      <w:proofErr w:type="gramEnd"/>
      <w:r>
        <w:rPr>
          <w:rFonts w:eastAsiaTheme="minorEastAsia"/>
          <w:sz w:val="24"/>
        </w:rPr>
        <w:t>跟随美盘走高，供应紧张叠加水产养殖规模扩大，成本对棉菜</w:t>
      </w:r>
      <w:proofErr w:type="gramStart"/>
      <w:r>
        <w:rPr>
          <w:rFonts w:eastAsiaTheme="minorEastAsia"/>
          <w:sz w:val="24"/>
        </w:rPr>
        <w:t>粕</w:t>
      </w:r>
      <w:proofErr w:type="gramEnd"/>
      <w:r>
        <w:rPr>
          <w:rFonts w:eastAsiaTheme="minorEastAsia"/>
          <w:sz w:val="24"/>
        </w:rPr>
        <w:t>构成较大支撑；鱼粉外盘的拉动，配额不及预期等，国内鱼粉库存的波动。</w:t>
      </w:r>
    </w:p>
    <w:p w14:paraId="028BFD51" w14:textId="77777777" w:rsidR="008F75C3" w:rsidRDefault="006614AC">
      <w:pPr>
        <w:spacing w:line="360" w:lineRule="auto"/>
        <w:ind w:firstLine="420"/>
        <w:jc w:val="right"/>
        <w:rPr>
          <w:rStyle w:val="vm"/>
          <w:rFonts w:eastAsiaTheme="minorEastAsia"/>
          <w:szCs w:val="21"/>
        </w:rPr>
      </w:pPr>
      <w:r>
        <w:rPr>
          <w:rStyle w:val="vm"/>
          <w:rFonts w:eastAsiaTheme="minorEastAsia"/>
          <w:szCs w:val="21"/>
        </w:rPr>
        <w:t>转</w:t>
      </w:r>
      <w:proofErr w:type="gramStart"/>
      <w:r>
        <w:rPr>
          <w:rStyle w:val="vm"/>
          <w:rFonts w:eastAsiaTheme="minorEastAsia"/>
          <w:szCs w:val="21"/>
        </w:rPr>
        <w:t>摘自腾氏水产</w:t>
      </w:r>
      <w:proofErr w:type="gramEnd"/>
      <w:r>
        <w:rPr>
          <w:rStyle w:val="vm"/>
          <w:rFonts w:eastAsiaTheme="minorEastAsia"/>
          <w:szCs w:val="21"/>
        </w:rPr>
        <w:t>商务</w:t>
      </w:r>
      <w:proofErr w:type="gramStart"/>
      <w:r>
        <w:rPr>
          <w:rStyle w:val="vm"/>
          <w:rFonts w:eastAsiaTheme="minorEastAsia"/>
          <w:szCs w:val="21"/>
        </w:rPr>
        <w:t>网微信公众号</w:t>
      </w:r>
      <w:proofErr w:type="gramEnd"/>
    </w:p>
    <w:p w14:paraId="4F81CB24" w14:textId="77777777" w:rsidR="008F75C3" w:rsidRDefault="006614AC">
      <w:pPr>
        <w:pStyle w:val="1"/>
        <w:spacing w:line="460" w:lineRule="exact"/>
        <w:rPr>
          <w:rStyle w:val="vm"/>
          <w:rFonts w:eastAsia="黑体"/>
          <w:b w:val="0"/>
          <w:bCs w:val="0"/>
          <w:sz w:val="32"/>
          <w:szCs w:val="32"/>
          <w:bdr w:val="single" w:sz="4" w:space="0" w:color="auto"/>
        </w:rPr>
      </w:pPr>
      <w:bookmarkStart w:id="17" w:name="_Toc90390758"/>
      <w:r>
        <w:rPr>
          <w:rStyle w:val="vm"/>
          <w:rFonts w:eastAsia="黑体"/>
          <w:sz w:val="32"/>
          <w:szCs w:val="32"/>
          <w:bdr w:val="single" w:sz="4" w:space="0" w:color="auto"/>
        </w:rPr>
        <w:t>典型案例</w:t>
      </w:r>
      <w:bookmarkEnd w:id="17"/>
    </w:p>
    <w:p w14:paraId="415AFF32" w14:textId="77777777" w:rsidR="008F75C3" w:rsidRDefault="006614AC">
      <w:pPr>
        <w:pStyle w:val="2"/>
        <w:spacing w:line="460" w:lineRule="exact"/>
        <w:jc w:val="center"/>
        <w:rPr>
          <w:rFonts w:ascii="Times New Roman" w:eastAsia="黑体" w:hAnsi="Times New Roman" w:cs="Times New Roman"/>
          <w:b w:val="0"/>
          <w:bCs w:val="0"/>
          <w:sz w:val="32"/>
          <w:szCs w:val="32"/>
        </w:rPr>
      </w:pPr>
      <w:bookmarkStart w:id="18" w:name="_Toc90390759"/>
      <w:r>
        <w:rPr>
          <w:rFonts w:ascii="Times New Roman" w:eastAsia="黑体" w:hAnsi="Times New Roman" w:cs="Times New Roman"/>
          <w:sz w:val="32"/>
          <w:szCs w:val="32"/>
        </w:rPr>
        <w:t>随意挖虾塘毁坏农用地，面临刑事处罚</w:t>
      </w:r>
      <w:bookmarkEnd w:id="18"/>
    </w:p>
    <w:p w14:paraId="5AFCE6D9" w14:textId="77777777" w:rsidR="008F75C3" w:rsidRDefault="006614AC">
      <w:pPr>
        <w:spacing w:line="360" w:lineRule="auto"/>
        <w:ind w:firstLine="420"/>
        <w:rPr>
          <w:rFonts w:eastAsiaTheme="minorEastAsia"/>
          <w:sz w:val="24"/>
        </w:rPr>
      </w:pPr>
      <w:r>
        <w:rPr>
          <w:rFonts w:eastAsiaTheme="minorEastAsia"/>
          <w:sz w:val="24"/>
        </w:rPr>
        <w:t>2021</w:t>
      </w:r>
      <w:r>
        <w:rPr>
          <w:rFonts w:eastAsiaTheme="minorEastAsia"/>
          <w:sz w:val="24"/>
        </w:rPr>
        <w:t>年</w:t>
      </w:r>
      <w:r>
        <w:rPr>
          <w:rFonts w:eastAsiaTheme="minorEastAsia"/>
          <w:sz w:val="24"/>
        </w:rPr>
        <w:t>11</w:t>
      </w:r>
      <w:r>
        <w:rPr>
          <w:rFonts w:eastAsiaTheme="minorEastAsia"/>
          <w:sz w:val="24"/>
        </w:rPr>
        <w:t>月</w:t>
      </w:r>
      <w:r>
        <w:rPr>
          <w:rFonts w:eastAsiaTheme="minorEastAsia"/>
          <w:sz w:val="24"/>
        </w:rPr>
        <w:t>8</w:t>
      </w:r>
      <w:r>
        <w:rPr>
          <w:rFonts w:eastAsiaTheme="minorEastAsia"/>
          <w:sz w:val="24"/>
        </w:rPr>
        <w:t>日，金寨县自然资源和规划局移送一起涉嫌非法占用</w:t>
      </w:r>
      <w:proofErr w:type="gramStart"/>
      <w:r>
        <w:rPr>
          <w:rFonts w:eastAsiaTheme="minorEastAsia"/>
          <w:sz w:val="24"/>
        </w:rPr>
        <w:t>农用地案</w:t>
      </w:r>
      <w:r>
        <w:rPr>
          <w:rFonts w:eastAsiaTheme="minorEastAsia"/>
          <w:sz w:val="24"/>
        </w:rPr>
        <w:t>至</w:t>
      </w:r>
      <w:proofErr w:type="gramEnd"/>
      <w:r>
        <w:rPr>
          <w:rFonts w:eastAsiaTheme="minorEastAsia"/>
          <w:sz w:val="24"/>
        </w:rPr>
        <w:t>金寨县公安局森林警察大队，大队接受后，高度重视，并迅速开展调查。经初查，犯罪嫌疑人张某某确有犯罪事实存在，于</w:t>
      </w:r>
      <w:r>
        <w:rPr>
          <w:rFonts w:eastAsiaTheme="minorEastAsia"/>
          <w:sz w:val="24"/>
        </w:rPr>
        <w:t>11</w:t>
      </w:r>
      <w:r>
        <w:rPr>
          <w:rFonts w:eastAsiaTheme="minorEastAsia"/>
          <w:sz w:val="24"/>
        </w:rPr>
        <w:t>月</w:t>
      </w:r>
      <w:r>
        <w:rPr>
          <w:rFonts w:eastAsiaTheme="minorEastAsia"/>
          <w:sz w:val="24"/>
        </w:rPr>
        <w:t>26</w:t>
      </w:r>
      <w:r>
        <w:rPr>
          <w:rFonts w:eastAsiaTheme="minorEastAsia"/>
          <w:sz w:val="24"/>
        </w:rPr>
        <w:t>日对该案立案侦查。</w:t>
      </w:r>
    </w:p>
    <w:p w14:paraId="3330E9D3" w14:textId="77777777" w:rsidR="008F75C3" w:rsidRDefault="006614AC">
      <w:pPr>
        <w:spacing w:line="360" w:lineRule="auto"/>
        <w:ind w:firstLine="420"/>
        <w:rPr>
          <w:rFonts w:eastAsiaTheme="minorEastAsia"/>
          <w:sz w:val="24"/>
        </w:rPr>
      </w:pPr>
      <w:r>
        <w:rPr>
          <w:rFonts w:eastAsiaTheme="minorEastAsia"/>
          <w:sz w:val="24"/>
        </w:rPr>
        <w:lastRenderedPageBreak/>
        <w:t>经查，犯罪嫌疑人张某某目前在金寨县梅山</w:t>
      </w:r>
      <w:proofErr w:type="gramStart"/>
      <w:r>
        <w:rPr>
          <w:rFonts w:eastAsiaTheme="minorEastAsia"/>
          <w:sz w:val="24"/>
        </w:rPr>
        <w:t>镇玉博园内</w:t>
      </w:r>
      <w:proofErr w:type="gramEnd"/>
      <w:r>
        <w:rPr>
          <w:rFonts w:eastAsiaTheme="minorEastAsia"/>
          <w:sz w:val="24"/>
        </w:rPr>
        <w:t>经营一家龙虾餐厅。由于生意火爆，龙虾经常供不应求，张某某便产生了自己养殖龙虾的想法，因为这样既环保又实惠，还能保证龙虾的及时供给。今年年初，他从亲戚的口中得知青山</w:t>
      </w:r>
      <w:proofErr w:type="gramStart"/>
      <w:r>
        <w:rPr>
          <w:rFonts w:eastAsiaTheme="minorEastAsia"/>
          <w:sz w:val="24"/>
        </w:rPr>
        <w:t>镇尧塘村</w:t>
      </w:r>
      <w:proofErr w:type="gramEnd"/>
      <w:r>
        <w:rPr>
          <w:rFonts w:eastAsiaTheme="minorEastAsia"/>
          <w:sz w:val="24"/>
        </w:rPr>
        <w:t>有块地方不错，适合搞龙虾养殖，说干就干，张某某隔天便驱车前往该村，几番查看后，便把中意的几块耕地从本地人手中租了下来。</w:t>
      </w:r>
    </w:p>
    <w:p w14:paraId="76871911" w14:textId="77777777" w:rsidR="008F75C3" w:rsidRDefault="006614AC">
      <w:pPr>
        <w:spacing w:line="360" w:lineRule="auto"/>
        <w:ind w:firstLine="420"/>
        <w:rPr>
          <w:rFonts w:eastAsiaTheme="minorEastAsia"/>
          <w:sz w:val="24"/>
        </w:rPr>
      </w:pPr>
      <w:r>
        <w:rPr>
          <w:rFonts w:eastAsiaTheme="minorEastAsia"/>
          <w:sz w:val="24"/>
        </w:rPr>
        <w:t>9</w:t>
      </w:r>
      <w:r>
        <w:rPr>
          <w:rFonts w:eastAsiaTheme="minorEastAsia"/>
          <w:sz w:val="24"/>
        </w:rPr>
        <w:t>月，张某某在未经自然资源主管部门</w:t>
      </w:r>
      <w:r>
        <w:rPr>
          <w:rFonts w:eastAsiaTheme="minorEastAsia"/>
          <w:sz w:val="24"/>
        </w:rPr>
        <w:t>用地审批的情况下，雇佣他人挖掘机在青山</w:t>
      </w:r>
      <w:proofErr w:type="gramStart"/>
      <w:r>
        <w:rPr>
          <w:rFonts w:eastAsiaTheme="minorEastAsia"/>
          <w:sz w:val="24"/>
        </w:rPr>
        <w:t>镇尧塘村</w:t>
      </w:r>
      <w:proofErr w:type="gramEnd"/>
      <w:r>
        <w:rPr>
          <w:rFonts w:eastAsiaTheme="minorEastAsia"/>
          <w:sz w:val="24"/>
        </w:rPr>
        <w:t>李某某等人的田地上擅自开挖三口水塘，准备放养虾苗。同时又雇佣王某某在三口水塘附近的薛某某家耕地上打水泥地坪，雇佣江某、丁某在水泥地坪上盖活动板房，充当临时住所，看护虾塘。正当张某某信心满满，准备大干一场的时候，却不知他的这种行为已经触犯了法律的红线。</w:t>
      </w:r>
    </w:p>
    <w:p w14:paraId="37D9A414" w14:textId="77777777" w:rsidR="008F75C3" w:rsidRDefault="006614AC">
      <w:pPr>
        <w:spacing w:line="360" w:lineRule="auto"/>
        <w:ind w:firstLine="420"/>
        <w:rPr>
          <w:rFonts w:eastAsiaTheme="minorEastAsia"/>
          <w:sz w:val="24"/>
        </w:rPr>
      </w:pPr>
      <w:r>
        <w:rPr>
          <w:rFonts w:eastAsiaTheme="minorEastAsia"/>
          <w:sz w:val="24"/>
        </w:rPr>
        <w:t>金寨县自然资源和规划局得知这个信息后，随即派人前往现场勘测，经勘测，三口水塘及活动板房占地面积</w:t>
      </w:r>
      <w:r>
        <w:rPr>
          <w:rFonts w:eastAsiaTheme="minorEastAsia"/>
          <w:sz w:val="24"/>
        </w:rPr>
        <w:t>8.88</w:t>
      </w:r>
      <w:r>
        <w:rPr>
          <w:rFonts w:eastAsiaTheme="minorEastAsia"/>
          <w:sz w:val="24"/>
        </w:rPr>
        <w:t>亩，占用地均为耕地，且为永久基本农田。</w:t>
      </w:r>
      <w:r>
        <w:rPr>
          <w:rFonts w:eastAsiaTheme="minorEastAsia"/>
          <w:sz w:val="24"/>
        </w:rPr>
        <w:t>10</w:t>
      </w:r>
      <w:r>
        <w:rPr>
          <w:rFonts w:eastAsiaTheme="minorEastAsia"/>
          <w:sz w:val="24"/>
        </w:rPr>
        <w:t>月</w:t>
      </w:r>
      <w:r>
        <w:rPr>
          <w:rFonts w:eastAsiaTheme="minorEastAsia"/>
          <w:sz w:val="24"/>
        </w:rPr>
        <w:t>27</w:t>
      </w:r>
      <w:r>
        <w:rPr>
          <w:rFonts w:eastAsiaTheme="minorEastAsia"/>
          <w:sz w:val="24"/>
        </w:rPr>
        <w:t>日，六安市自然资源和规划局组织专家进行耕地破坏鉴定，鉴定意见为张</w:t>
      </w:r>
      <w:r>
        <w:rPr>
          <w:rFonts w:eastAsiaTheme="minorEastAsia"/>
          <w:sz w:val="24"/>
        </w:rPr>
        <w:t>某某开挖的三口水塘及建设的活动板房占地现已不具备耕地土壤的基本属性，丧失农作物种植功能，耕地被破坏。张某某对耕地破坏鉴定意见无异议。</w:t>
      </w:r>
    </w:p>
    <w:p w14:paraId="33785355" w14:textId="77777777" w:rsidR="008F75C3" w:rsidRDefault="006614AC">
      <w:pPr>
        <w:spacing w:line="360" w:lineRule="auto"/>
        <w:ind w:firstLine="420"/>
        <w:rPr>
          <w:rFonts w:eastAsiaTheme="minorEastAsia"/>
          <w:sz w:val="24"/>
        </w:rPr>
      </w:pPr>
      <w:r>
        <w:rPr>
          <w:rFonts w:eastAsiaTheme="minorEastAsia"/>
          <w:sz w:val="24"/>
        </w:rPr>
        <w:t>张某某感到后怕，于是于</w:t>
      </w:r>
      <w:r>
        <w:rPr>
          <w:rFonts w:eastAsiaTheme="minorEastAsia"/>
          <w:sz w:val="24"/>
        </w:rPr>
        <w:t>2021</w:t>
      </w:r>
      <w:r>
        <w:rPr>
          <w:rFonts w:eastAsiaTheme="minorEastAsia"/>
          <w:sz w:val="24"/>
        </w:rPr>
        <w:t>年</w:t>
      </w:r>
      <w:r>
        <w:rPr>
          <w:rFonts w:eastAsiaTheme="minorEastAsia"/>
          <w:sz w:val="24"/>
        </w:rPr>
        <w:t>11</w:t>
      </w:r>
      <w:r>
        <w:rPr>
          <w:rFonts w:eastAsiaTheme="minorEastAsia"/>
          <w:sz w:val="24"/>
        </w:rPr>
        <w:t>月</w:t>
      </w:r>
      <w:r>
        <w:rPr>
          <w:rFonts w:eastAsiaTheme="minorEastAsia"/>
          <w:sz w:val="24"/>
        </w:rPr>
        <w:t>14</w:t>
      </w:r>
      <w:r>
        <w:rPr>
          <w:rFonts w:eastAsiaTheme="minorEastAsia"/>
          <w:sz w:val="24"/>
        </w:rPr>
        <w:t>日将其破坏的</w:t>
      </w:r>
      <w:r>
        <w:rPr>
          <w:rFonts w:eastAsiaTheme="minorEastAsia"/>
          <w:sz w:val="24"/>
        </w:rPr>
        <w:t>8.88</w:t>
      </w:r>
      <w:r>
        <w:rPr>
          <w:rFonts w:eastAsiaTheme="minorEastAsia"/>
          <w:sz w:val="24"/>
        </w:rPr>
        <w:t>亩基本农田整平。金寨县公安局立案后，办案民警履职尽责，内查外调，多次到现场进行勘察。并对犯罪嫌疑人张某某进行耐心细致地疏导教育，促使其主动投案。</w:t>
      </w:r>
      <w:r>
        <w:rPr>
          <w:rFonts w:eastAsiaTheme="minorEastAsia"/>
          <w:sz w:val="24"/>
        </w:rPr>
        <w:t>2021</w:t>
      </w:r>
      <w:r>
        <w:rPr>
          <w:rFonts w:eastAsiaTheme="minorEastAsia"/>
          <w:sz w:val="24"/>
        </w:rPr>
        <w:t>年</w:t>
      </w:r>
      <w:r>
        <w:rPr>
          <w:rFonts w:eastAsiaTheme="minorEastAsia"/>
          <w:sz w:val="24"/>
        </w:rPr>
        <w:t>11</w:t>
      </w:r>
      <w:r>
        <w:rPr>
          <w:rFonts w:eastAsiaTheme="minorEastAsia"/>
          <w:sz w:val="24"/>
        </w:rPr>
        <w:t>月</w:t>
      </w:r>
      <w:r>
        <w:rPr>
          <w:rFonts w:eastAsiaTheme="minorEastAsia"/>
          <w:sz w:val="24"/>
        </w:rPr>
        <w:t>30</w:t>
      </w:r>
      <w:r>
        <w:rPr>
          <w:rFonts w:eastAsiaTheme="minorEastAsia"/>
          <w:sz w:val="24"/>
        </w:rPr>
        <w:t>日，张某某因涉嫌非法占用</w:t>
      </w:r>
      <w:proofErr w:type="gramStart"/>
      <w:r>
        <w:rPr>
          <w:rFonts w:eastAsiaTheme="minorEastAsia"/>
          <w:sz w:val="24"/>
        </w:rPr>
        <w:t>农用地罪被</w:t>
      </w:r>
      <w:proofErr w:type="gramEnd"/>
      <w:r>
        <w:rPr>
          <w:rFonts w:eastAsiaTheme="minorEastAsia"/>
          <w:sz w:val="24"/>
        </w:rPr>
        <w:t>金寨县公安局依法采取刑事强制措施，目前此案正在进一步办理当中。</w:t>
      </w:r>
    </w:p>
    <w:p w14:paraId="2A21A2F8" w14:textId="77777777" w:rsidR="008F75C3" w:rsidRDefault="006614AC">
      <w:pPr>
        <w:spacing w:line="360" w:lineRule="auto"/>
        <w:ind w:firstLine="420"/>
        <w:rPr>
          <w:rFonts w:eastAsiaTheme="minorEastAsia"/>
          <w:sz w:val="24"/>
        </w:rPr>
      </w:pPr>
      <w:r>
        <w:rPr>
          <w:rFonts w:eastAsiaTheme="minorEastAsia"/>
          <w:sz w:val="24"/>
        </w:rPr>
        <w:t>案件发生后，张某某懊悔万分，感叹道：</w:t>
      </w:r>
      <w:r>
        <w:rPr>
          <w:rFonts w:eastAsiaTheme="minorEastAsia"/>
          <w:sz w:val="24"/>
        </w:rPr>
        <w:t>“</w:t>
      </w:r>
      <w:r>
        <w:rPr>
          <w:rFonts w:eastAsiaTheme="minorEastAsia"/>
          <w:sz w:val="24"/>
        </w:rPr>
        <w:t>当今法治社会，还</w:t>
      </w:r>
      <w:r>
        <w:rPr>
          <w:rFonts w:eastAsiaTheme="minorEastAsia"/>
          <w:sz w:val="24"/>
        </w:rPr>
        <w:t>是要学法、知法、守法，做什么事不能任由自身的想法，想怎么干就怎么干，这样是行不通的，到头来吃亏的只会是自己。</w:t>
      </w:r>
      <w:r>
        <w:rPr>
          <w:rFonts w:eastAsiaTheme="minorEastAsia"/>
          <w:sz w:val="24"/>
        </w:rPr>
        <w:t>”</w:t>
      </w:r>
    </w:p>
    <w:p w14:paraId="6775DBAF" w14:textId="77777777" w:rsidR="008F75C3" w:rsidRDefault="006614AC">
      <w:pPr>
        <w:spacing w:line="360" w:lineRule="auto"/>
        <w:ind w:firstLine="420"/>
        <w:rPr>
          <w:rFonts w:eastAsiaTheme="minorEastAsia"/>
          <w:sz w:val="24"/>
        </w:rPr>
      </w:pPr>
      <w:r>
        <w:rPr>
          <w:rFonts w:eastAsiaTheme="minorEastAsia"/>
          <w:sz w:val="24"/>
        </w:rPr>
        <w:t>非法占用农用地罪，是指违反土地管理法规，非法占用耕地、林地等农用地，改变被占用土地用途、数量较大，造成耕地、林地等农用地大量毁坏的行为。刑法第三百四十二条规定：违反土地管理法规，非法占用耕地、林地等农用地，改变被占用土地用途，数量较大，造成耕地、林地等农用地大量毁坏的，处五年以下有期徒刑或者拘役，并处或者单处罚金。</w:t>
      </w:r>
    </w:p>
    <w:p w14:paraId="2F79AF61" w14:textId="77777777" w:rsidR="008F75C3" w:rsidRDefault="006614AC">
      <w:pPr>
        <w:spacing w:line="360" w:lineRule="auto"/>
        <w:ind w:firstLine="420"/>
        <w:jc w:val="right"/>
        <w:rPr>
          <w:rStyle w:val="vm"/>
          <w:rFonts w:eastAsiaTheme="minorEastAsia"/>
          <w:szCs w:val="21"/>
        </w:rPr>
      </w:pPr>
      <w:r>
        <w:rPr>
          <w:rStyle w:val="vm"/>
          <w:rFonts w:eastAsiaTheme="minorEastAsia"/>
          <w:szCs w:val="21"/>
        </w:rPr>
        <w:t>转摘自中安在线</w:t>
      </w:r>
    </w:p>
    <w:p w14:paraId="6A49D7CE" w14:textId="77777777" w:rsidR="008F75C3" w:rsidRDefault="006614AC">
      <w:pPr>
        <w:pStyle w:val="1"/>
        <w:spacing w:line="460" w:lineRule="exact"/>
        <w:rPr>
          <w:rStyle w:val="vm"/>
          <w:rFonts w:eastAsia="黑体"/>
          <w:b w:val="0"/>
          <w:bCs w:val="0"/>
          <w:sz w:val="32"/>
          <w:szCs w:val="32"/>
          <w:bdr w:val="single" w:sz="4" w:space="0" w:color="auto"/>
        </w:rPr>
      </w:pPr>
      <w:bookmarkStart w:id="19" w:name="_Toc90390760"/>
      <w:r>
        <w:rPr>
          <w:rStyle w:val="vm"/>
          <w:rFonts w:eastAsia="黑体"/>
          <w:sz w:val="32"/>
          <w:szCs w:val="32"/>
          <w:bdr w:val="single" w:sz="4" w:space="0" w:color="auto"/>
        </w:rPr>
        <w:lastRenderedPageBreak/>
        <w:t>会议传递</w:t>
      </w:r>
      <w:bookmarkEnd w:id="19"/>
    </w:p>
    <w:p w14:paraId="2DE8E330" w14:textId="77777777" w:rsidR="008F75C3" w:rsidRDefault="006614AC">
      <w:pPr>
        <w:pStyle w:val="2"/>
        <w:spacing w:line="460" w:lineRule="exact"/>
        <w:jc w:val="center"/>
        <w:rPr>
          <w:rFonts w:ascii="Times New Roman" w:eastAsia="黑体" w:hAnsi="Times New Roman" w:cs="Times New Roman"/>
          <w:sz w:val="32"/>
          <w:szCs w:val="32"/>
        </w:rPr>
      </w:pPr>
      <w:bookmarkStart w:id="20" w:name="_Toc90390761"/>
      <w:r>
        <w:rPr>
          <w:rFonts w:ascii="Times New Roman" w:eastAsia="黑体" w:hAnsi="Times New Roman" w:cs="Times New Roman"/>
          <w:sz w:val="32"/>
          <w:szCs w:val="32"/>
        </w:rPr>
        <w:t>首届中国</w:t>
      </w:r>
      <w:r>
        <w:rPr>
          <w:rFonts w:ascii="Times New Roman" w:eastAsia="黑体" w:hAnsi="Times New Roman" w:cs="Times New Roman"/>
          <w:sz w:val="32"/>
          <w:szCs w:val="32"/>
        </w:rPr>
        <w:t>—</w:t>
      </w:r>
      <w:r>
        <w:rPr>
          <w:rFonts w:ascii="Times New Roman" w:eastAsia="黑体" w:hAnsi="Times New Roman" w:cs="Times New Roman"/>
          <w:sz w:val="32"/>
          <w:szCs w:val="32"/>
        </w:rPr>
        <w:t>太平洋岛国渔业合作发展论坛在广州召开</w:t>
      </w:r>
      <w:bookmarkEnd w:id="20"/>
    </w:p>
    <w:p w14:paraId="5A606ABF" w14:textId="77777777" w:rsidR="008F75C3" w:rsidRDefault="006614AC">
      <w:pPr>
        <w:spacing w:line="360" w:lineRule="auto"/>
        <w:ind w:firstLine="420"/>
        <w:rPr>
          <w:rFonts w:eastAsiaTheme="minorEastAsia"/>
          <w:sz w:val="24"/>
        </w:rPr>
      </w:pPr>
      <w:r>
        <w:rPr>
          <w:rFonts w:eastAsiaTheme="minorEastAsia"/>
          <w:sz w:val="24"/>
        </w:rPr>
        <w:t>首届中国</w:t>
      </w:r>
      <w:r>
        <w:rPr>
          <w:rFonts w:eastAsiaTheme="minorEastAsia"/>
          <w:sz w:val="24"/>
        </w:rPr>
        <w:t>—</w:t>
      </w:r>
      <w:r>
        <w:rPr>
          <w:rFonts w:eastAsiaTheme="minorEastAsia"/>
          <w:sz w:val="24"/>
        </w:rPr>
        <w:t>太平洋岛国渔业合作发展论坛于</w:t>
      </w:r>
      <w:r>
        <w:rPr>
          <w:rFonts w:eastAsiaTheme="minorEastAsia"/>
          <w:sz w:val="24"/>
        </w:rPr>
        <w:t>12</w:t>
      </w:r>
      <w:r>
        <w:rPr>
          <w:rFonts w:eastAsiaTheme="minorEastAsia"/>
          <w:sz w:val="24"/>
        </w:rPr>
        <w:t>月</w:t>
      </w:r>
      <w:r>
        <w:rPr>
          <w:rFonts w:eastAsiaTheme="minorEastAsia"/>
          <w:sz w:val="24"/>
        </w:rPr>
        <w:t>8</w:t>
      </w:r>
      <w:r>
        <w:rPr>
          <w:rFonts w:eastAsiaTheme="minorEastAsia"/>
          <w:sz w:val="24"/>
        </w:rPr>
        <w:t>日在广东省广州市召开。中国农业农村部副部长马有祥出席并致辞。</w:t>
      </w:r>
    </w:p>
    <w:p w14:paraId="3FEC1813" w14:textId="77777777" w:rsidR="008F75C3" w:rsidRDefault="006614AC">
      <w:pPr>
        <w:spacing w:line="360" w:lineRule="auto"/>
        <w:jc w:val="center"/>
        <w:rPr>
          <w:rFonts w:eastAsiaTheme="minorEastAsia"/>
          <w:sz w:val="24"/>
        </w:rPr>
      </w:pPr>
      <w:r>
        <w:rPr>
          <w:noProof/>
        </w:rPr>
        <w:drawing>
          <wp:inline distT="0" distB="0" distL="0" distR="0" wp14:anchorId="7C61E860" wp14:editId="531CB45E">
            <wp:extent cx="1782445" cy="1002030"/>
            <wp:effectExtent l="0" t="0" r="8255" b="7620"/>
            <wp:docPr id="5"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5"/>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a:xfrm>
                      <a:off x="0" y="0"/>
                      <a:ext cx="1782445" cy="1002030"/>
                    </a:xfrm>
                    <a:prstGeom prst="rect">
                      <a:avLst/>
                    </a:prstGeom>
                    <a:noFill/>
                    <a:ln>
                      <a:noFill/>
                    </a:ln>
                  </pic:spPr>
                </pic:pic>
              </a:graphicData>
            </a:graphic>
          </wp:inline>
        </w:drawing>
      </w:r>
    </w:p>
    <w:p w14:paraId="5F645FF3" w14:textId="77777777" w:rsidR="008F75C3" w:rsidRDefault="006614AC">
      <w:pPr>
        <w:spacing w:line="360" w:lineRule="auto"/>
        <w:ind w:firstLine="420"/>
        <w:rPr>
          <w:rFonts w:eastAsiaTheme="minorEastAsia"/>
          <w:sz w:val="24"/>
        </w:rPr>
      </w:pPr>
      <w:r>
        <w:rPr>
          <w:rFonts w:eastAsiaTheme="minorEastAsia"/>
          <w:sz w:val="24"/>
        </w:rPr>
        <w:t>马有祥指</w:t>
      </w:r>
      <w:r>
        <w:rPr>
          <w:rFonts w:eastAsiaTheme="minorEastAsia"/>
          <w:sz w:val="24"/>
        </w:rPr>
        <w:t>出，近年来中国与太平洋岛国落实第三届中国</w:t>
      </w:r>
      <w:r>
        <w:rPr>
          <w:rFonts w:eastAsiaTheme="minorEastAsia"/>
          <w:sz w:val="24"/>
        </w:rPr>
        <w:t>—</w:t>
      </w:r>
      <w:r>
        <w:rPr>
          <w:rFonts w:eastAsiaTheme="minorEastAsia"/>
          <w:sz w:val="24"/>
        </w:rPr>
        <w:t>太平洋岛国经济发展合作论坛、《中国</w:t>
      </w:r>
      <w:r>
        <w:rPr>
          <w:rFonts w:eastAsiaTheme="minorEastAsia"/>
          <w:sz w:val="24"/>
        </w:rPr>
        <w:t>—</w:t>
      </w:r>
      <w:r>
        <w:rPr>
          <w:rFonts w:eastAsiaTheme="minorEastAsia"/>
          <w:sz w:val="24"/>
        </w:rPr>
        <w:t>太平洋岛国农业部长会议楠迪宣言》，与太平洋岛国开展了捕捞、养殖、加工等多种形式的渔业合作，推动项目合作向全产业链延伸，取得丰硕成果。</w:t>
      </w:r>
      <w:r>
        <w:rPr>
          <w:rFonts w:eastAsiaTheme="minorEastAsia"/>
          <w:sz w:val="24"/>
        </w:rPr>
        <w:t xml:space="preserve"> </w:t>
      </w:r>
    </w:p>
    <w:p w14:paraId="28C1DF52" w14:textId="77777777" w:rsidR="008F75C3" w:rsidRDefault="006614AC">
      <w:pPr>
        <w:spacing w:line="360" w:lineRule="auto"/>
        <w:ind w:firstLine="420"/>
        <w:rPr>
          <w:rFonts w:eastAsiaTheme="minorEastAsia"/>
          <w:sz w:val="24"/>
        </w:rPr>
      </w:pPr>
      <w:r>
        <w:rPr>
          <w:rFonts w:eastAsiaTheme="minorEastAsia"/>
          <w:sz w:val="24"/>
        </w:rPr>
        <w:t>马有祥表示，中国与太平洋岛国合作潜力巨大，前景广阔。中国愿与太平洋岛国在平等互利基础上，携手打造更加紧密的关系。一是完善机制，推动建立政府间多边渔业磋商机制，定期举办中国</w:t>
      </w:r>
      <w:r>
        <w:rPr>
          <w:rFonts w:eastAsiaTheme="minorEastAsia"/>
          <w:sz w:val="24"/>
        </w:rPr>
        <w:t>—</w:t>
      </w:r>
      <w:r>
        <w:rPr>
          <w:rFonts w:eastAsiaTheme="minorEastAsia"/>
          <w:sz w:val="24"/>
        </w:rPr>
        <w:t>太平洋岛国渔业合作发展论坛；二是坚持绿色发展，打击非法、不报告和不管制（</w:t>
      </w:r>
      <w:r>
        <w:rPr>
          <w:rFonts w:eastAsiaTheme="minorEastAsia"/>
          <w:sz w:val="24"/>
        </w:rPr>
        <w:t>IUU</w:t>
      </w:r>
      <w:r>
        <w:rPr>
          <w:rFonts w:eastAsiaTheme="minorEastAsia"/>
          <w:sz w:val="24"/>
        </w:rPr>
        <w:t>）渔业活动，并与联合国粮农组织合作，利用南南合作信托基金，帮助太平洋岛国发展渔业；三是深化科技合作，在养殖技术、渔业设施和装备、水产品加工等领域开展合作，探索共建中国</w:t>
      </w:r>
      <w:r>
        <w:rPr>
          <w:rFonts w:eastAsiaTheme="minorEastAsia"/>
          <w:sz w:val="24"/>
        </w:rPr>
        <w:t>—</w:t>
      </w:r>
      <w:r>
        <w:rPr>
          <w:rFonts w:eastAsiaTheme="minorEastAsia"/>
          <w:sz w:val="24"/>
        </w:rPr>
        <w:t>太平洋岛国现代渔业合作交流中心；四是扩大经贸合作，推动市场准入和自由贸易，开展渔业捕捞、水产养</w:t>
      </w:r>
      <w:r>
        <w:rPr>
          <w:rFonts w:eastAsiaTheme="minorEastAsia"/>
          <w:sz w:val="24"/>
        </w:rPr>
        <w:t>殖、渔船修造、渔港建设、水产品加工和冷链物流等方面投资合作，帮助提升太平洋岛国基础设施水平。</w:t>
      </w:r>
      <w:r>
        <w:rPr>
          <w:rFonts w:eastAsiaTheme="minorEastAsia"/>
          <w:sz w:val="24"/>
        </w:rPr>
        <w:t xml:space="preserve"> </w:t>
      </w:r>
    </w:p>
    <w:p w14:paraId="30A111CD" w14:textId="77777777" w:rsidR="008F75C3" w:rsidRDefault="006614AC">
      <w:pPr>
        <w:spacing w:line="360" w:lineRule="auto"/>
        <w:ind w:firstLine="420"/>
        <w:rPr>
          <w:rFonts w:eastAsiaTheme="minorEastAsia"/>
          <w:sz w:val="24"/>
        </w:rPr>
      </w:pPr>
      <w:r>
        <w:rPr>
          <w:rFonts w:eastAsiaTheme="minorEastAsia"/>
          <w:sz w:val="24"/>
        </w:rPr>
        <w:t>本次论坛由中国农业农村部和广东省人民政府共同主办，会上通过了《首届中国</w:t>
      </w:r>
      <w:r>
        <w:rPr>
          <w:rFonts w:eastAsiaTheme="minorEastAsia"/>
          <w:sz w:val="24"/>
        </w:rPr>
        <w:t>—</w:t>
      </w:r>
      <w:r>
        <w:rPr>
          <w:rFonts w:eastAsiaTheme="minorEastAsia"/>
          <w:sz w:val="24"/>
        </w:rPr>
        <w:t>太平洋岛国渔业合作发展论坛广州共识》。广东省委常委叶贞琴、太平洋岛国农渔业部长及驻华使节、有关国际和区域组织代表出席论坛。</w:t>
      </w:r>
    </w:p>
    <w:p w14:paraId="2E34A41D" w14:textId="77777777" w:rsidR="008F75C3" w:rsidRDefault="006614AC">
      <w:pPr>
        <w:spacing w:line="360" w:lineRule="auto"/>
        <w:jc w:val="right"/>
        <w:rPr>
          <w:rStyle w:val="vm"/>
          <w:rFonts w:eastAsiaTheme="minorEastAsia"/>
          <w:szCs w:val="21"/>
        </w:rPr>
      </w:pPr>
      <w:r>
        <w:rPr>
          <w:rStyle w:val="vm"/>
          <w:rFonts w:eastAsiaTheme="minorEastAsia"/>
          <w:szCs w:val="21"/>
        </w:rPr>
        <w:t>转摘自农业农村部网站</w:t>
      </w:r>
    </w:p>
    <w:p w14:paraId="3488C0AE" w14:textId="77777777" w:rsidR="008F75C3" w:rsidRDefault="006614AC">
      <w:pPr>
        <w:pStyle w:val="2"/>
        <w:spacing w:line="460" w:lineRule="exact"/>
        <w:jc w:val="center"/>
        <w:rPr>
          <w:rFonts w:ascii="Times New Roman" w:eastAsiaTheme="minorEastAsia" w:hAnsi="Times New Roman" w:cs="Times New Roman"/>
          <w:sz w:val="24"/>
        </w:rPr>
      </w:pPr>
      <w:bookmarkStart w:id="21" w:name="_Toc90390762"/>
      <w:r>
        <w:rPr>
          <w:rFonts w:ascii="Times New Roman" w:eastAsia="黑体" w:hAnsi="Times New Roman" w:cs="Times New Roman"/>
          <w:sz w:val="32"/>
          <w:szCs w:val="32"/>
        </w:rPr>
        <w:t>第二届中国水产种业博览会在广州南沙举行</w:t>
      </w:r>
      <w:bookmarkEnd w:id="21"/>
    </w:p>
    <w:p w14:paraId="7D54AC5F" w14:textId="77777777" w:rsidR="008F75C3" w:rsidRDefault="006614AC">
      <w:pPr>
        <w:spacing w:line="360" w:lineRule="auto"/>
        <w:ind w:firstLine="420"/>
        <w:rPr>
          <w:rFonts w:eastAsiaTheme="minorEastAsia"/>
          <w:sz w:val="24"/>
        </w:rPr>
      </w:pPr>
      <w:r>
        <w:rPr>
          <w:rFonts w:eastAsiaTheme="minorEastAsia"/>
          <w:sz w:val="24"/>
        </w:rPr>
        <w:t>12</w:t>
      </w:r>
      <w:r>
        <w:rPr>
          <w:rFonts w:eastAsiaTheme="minorEastAsia"/>
          <w:sz w:val="24"/>
        </w:rPr>
        <w:t>月</w:t>
      </w:r>
      <w:r>
        <w:rPr>
          <w:rFonts w:eastAsiaTheme="minorEastAsia"/>
          <w:sz w:val="24"/>
        </w:rPr>
        <w:t>7</w:t>
      </w:r>
      <w:r>
        <w:rPr>
          <w:rFonts w:eastAsiaTheme="minorEastAsia"/>
          <w:sz w:val="24"/>
        </w:rPr>
        <w:t>日，第二届中国水产种业博览会暨第三届广东水产种</w:t>
      </w:r>
      <w:proofErr w:type="gramStart"/>
      <w:r>
        <w:rPr>
          <w:rFonts w:eastAsiaTheme="minorEastAsia"/>
          <w:sz w:val="24"/>
        </w:rPr>
        <w:t>业产业</w:t>
      </w:r>
      <w:proofErr w:type="gramEnd"/>
      <w:r>
        <w:rPr>
          <w:rFonts w:eastAsiaTheme="minorEastAsia"/>
          <w:sz w:val="24"/>
        </w:rPr>
        <w:t>大会在广东省广州市南沙区开幕。本届博览会由农业农村部渔业渔政管理局、全国水产技术推广总站、中国水产</w:t>
      </w:r>
      <w:r>
        <w:rPr>
          <w:rFonts w:eastAsiaTheme="minorEastAsia"/>
          <w:sz w:val="24"/>
        </w:rPr>
        <w:t>科学研究院指导，由中国水产学会、广东省农业农村厅和广州市南沙区人民政府共同</w:t>
      </w:r>
      <w:r>
        <w:rPr>
          <w:rFonts w:eastAsiaTheme="minorEastAsia"/>
          <w:sz w:val="24"/>
        </w:rPr>
        <w:lastRenderedPageBreak/>
        <w:t>主办，由广东省农业技术推广中心、广州市南沙区农业农村局承办。博览会以</w:t>
      </w:r>
      <w:r>
        <w:rPr>
          <w:rFonts w:eastAsiaTheme="minorEastAsia"/>
          <w:sz w:val="24"/>
        </w:rPr>
        <w:t>“</w:t>
      </w:r>
      <w:r>
        <w:rPr>
          <w:rFonts w:eastAsiaTheme="minorEastAsia"/>
          <w:sz w:val="24"/>
        </w:rPr>
        <w:t>领绿色渔业，谋种业振兴</w:t>
      </w:r>
      <w:r>
        <w:rPr>
          <w:rFonts w:eastAsiaTheme="minorEastAsia"/>
          <w:sz w:val="24"/>
        </w:rPr>
        <w:t>”</w:t>
      </w:r>
      <w:r>
        <w:rPr>
          <w:rFonts w:eastAsiaTheme="minorEastAsia"/>
          <w:sz w:val="24"/>
        </w:rPr>
        <w:t>为主题，吸引参展单位超</w:t>
      </w:r>
      <w:r>
        <w:rPr>
          <w:rFonts w:eastAsiaTheme="minorEastAsia"/>
          <w:sz w:val="24"/>
        </w:rPr>
        <w:t>300</w:t>
      </w:r>
      <w:r>
        <w:rPr>
          <w:rFonts w:eastAsiaTheme="minorEastAsia"/>
          <w:sz w:val="24"/>
        </w:rPr>
        <w:t>家，展示参展品种</w:t>
      </w:r>
      <w:r>
        <w:rPr>
          <w:rFonts w:eastAsiaTheme="minorEastAsia"/>
          <w:sz w:val="24"/>
        </w:rPr>
        <w:t>250</w:t>
      </w:r>
      <w:r>
        <w:rPr>
          <w:rFonts w:eastAsiaTheme="minorEastAsia"/>
          <w:sz w:val="24"/>
        </w:rPr>
        <w:t>余个。专家学者共聚一堂，共谋渔业发展新篇章。</w:t>
      </w:r>
    </w:p>
    <w:p w14:paraId="3465BE8F" w14:textId="77777777" w:rsidR="008F75C3" w:rsidRDefault="006614AC">
      <w:pPr>
        <w:spacing w:line="360" w:lineRule="auto"/>
        <w:jc w:val="center"/>
        <w:rPr>
          <w:rFonts w:eastAsiaTheme="minorEastAsia"/>
          <w:sz w:val="24"/>
        </w:rPr>
      </w:pPr>
      <w:r>
        <w:rPr>
          <w:noProof/>
        </w:rPr>
        <w:drawing>
          <wp:inline distT="0" distB="0" distL="0" distR="0" wp14:anchorId="0F405FFB" wp14:editId="33AECDE4">
            <wp:extent cx="2011045" cy="1341120"/>
            <wp:effectExtent l="0" t="0" r="8255" b="11430"/>
            <wp:docPr id="6"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6"/>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a:xfrm>
                      <a:off x="0" y="0"/>
                      <a:ext cx="2011045" cy="1341120"/>
                    </a:xfrm>
                    <a:prstGeom prst="rect">
                      <a:avLst/>
                    </a:prstGeom>
                    <a:noFill/>
                    <a:ln>
                      <a:noFill/>
                    </a:ln>
                  </pic:spPr>
                </pic:pic>
              </a:graphicData>
            </a:graphic>
          </wp:inline>
        </w:drawing>
      </w:r>
    </w:p>
    <w:p w14:paraId="3E4C4C24" w14:textId="77777777" w:rsidR="008F75C3" w:rsidRDefault="006614AC">
      <w:pPr>
        <w:spacing w:line="360" w:lineRule="auto"/>
        <w:ind w:firstLine="420"/>
        <w:rPr>
          <w:rFonts w:eastAsiaTheme="minorEastAsia"/>
          <w:sz w:val="24"/>
        </w:rPr>
      </w:pPr>
      <w:r>
        <w:rPr>
          <w:rFonts w:eastAsiaTheme="minorEastAsia"/>
          <w:sz w:val="24"/>
        </w:rPr>
        <w:t>农业农村部副部长马有祥，广东省委常委叶贞琴，中国科学院院士桂建芳，中国工程院院士罗锡文、刘少军、陈松林，农业农村部渔业渔政管理局局长刘新中，中国水产科学研究院院长王小虎，全国水产技术推广总站站长、中国水产学会秘书长崔利锋，广东省人民政府副秘书长</w:t>
      </w:r>
      <w:r>
        <w:rPr>
          <w:rFonts w:eastAsiaTheme="minorEastAsia"/>
          <w:sz w:val="24"/>
        </w:rPr>
        <w:t>郑伟仪等领导嘉宾出席开幕式。开幕式由广东省农业农村厅厅长顾幸伟主持。</w:t>
      </w:r>
    </w:p>
    <w:p w14:paraId="1011D2E7" w14:textId="77777777" w:rsidR="008F75C3" w:rsidRDefault="006614AC">
      <w:pPr>
        <w:spacing w:line="360" w:lineRule="auto"/>
        <w:jc w:val="center"/>
        <w:rPr>
          <w:rFonts w:eastAsiaTheme="minorEastAsia"/>
          <w:sz w:val="24"/>
        </w:rPr>
      </w:pPr>
      <w:r>
        <w:rPr>
          <w:noProof/>
        </w:rPr>
        <w:drawing>
          <wp:inline distT="0" distB="0" distL="0" distR="0" wp14:anchorId="541D7606" wp14:editId="0945A7FD">
            <wp:extent cx="2722880" cy="1815465"/>
            <wp:effectExtent l="0" t="0" r="1270" b="13335"/>
            <wp:docPr id="7" name="图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7"/>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a:xfrm>
                      <a:off x="0" y="0"/>
                      <a:ext cx="2722880" cy="1815465"/>
                    </a:xfrm>
                    <a:prstGeom prst="rect">
                      <a:avLst/>
                    </a:prstGeom>
                    <a:noFill/>
                    <a:ln>
                      <a:noFill/>
                    </a:ln>
                  </pic:spPr>
                </pic:pic>
              </a:graphicData>
            </a:graphic>
          </wp:inline>
        </w:drawing>
      </w:r>
    </w:p>
    <w:p w14:paraId="16D4A8E2" w14:textId="77777777" w:rsidR="008F75C3" w:rsidRDefault="006614AC">
      <w:pPr>
        <w:spacing w:line="360" w:lineRule="auto"/>
        <w:ind w:firstLine="420"/>
        <w:rPr>
          <w:rFonts w:eastAsiaTheme="minorEastAsia"/>
          <w:sz w:val="24"/>
        </w:rPr>
      </w:pPr>
      <w:r>
        <w:rPr>
          <w:rFonts w:eastAsiaTheme="minorEastAsia"/>
          <w:sz w:val="24"/>
        </w:rPr>
        <w:t>本届博览会的举办是贯彻党中央国务院关于种业振兴重要决策部署，落实《种业振兴行动方案》的具体行动，既是一年一度的全国水产种业大阅兵，又是渔业绿色发展、转型升级的新起点，将进一步推动水产种业高质量发展。</w:t>
      </w:r>
    </w:p>
    <w:p w14:paraId="775FAC15" w14:textId="77777777" w:rsidR="008F75C3" w:rsidRDefault="006614AC">
      <w:pPr>
        <w:spacing w:line="360" w:lineRule="auto"/>
        <w:ind w:firstLine="420"/>
        <w:rPr>
          <w:rFonts w:eastAsiaTheme="minorEastAsia"/>
          <w:sz w:val="24"/>
        </w:rPr>
      </w:pPr>
      <w:r>
        <w:rPr>
          <w:rFonts w:eastAsiaTheme="minorEastAsia"/>
          <w:sz w:val="24"/>
        </w:rPr>
        <w:t>在党中央国务院决策部署下，农业农村部认真谋划和落实水产种业振兴行动，</w:t>
      </w:r>
      <w:r>
        <w:rPr>
          <w:rFonts w:eastAsiaTheme="minorEastAsia"/>
          <w:sz w:val="24"/>
        </w:rPr>
        <w:t>2021</w:t>
      </w:r>
      <w:r>
        <w:rPr>
          <w:rFonts w:eastAsiaTheme="minorEastAsia"/>
          <w:sz w:val="24"/>
        </w:rPr>
        <w:t>年以来，积极推进第一次全国水产养殖种质资源普查工作，取得的阶段性成效和各地在普查工作中发现的部分代表性种质资源也在本届博览会上进行了展示。下一步，农业农村部将继续</w:t>
      </w:r>
      <w:r>
        <w:rPr>
          <w:rFonts w:eastAsiaTheme="minorEastAsia"/>
          <w:sz w:val="24"/>
        </w:rPr>
        <w:t>摸清家底，建立国家统筹、分级负责、有机衔接的水产养殖种质资源保护利用体系；大力推进种业创新攻关，加快突破一批重大新品种；全面提升水产良种生产能力；着力培育一批种业龙头企业；强化水产种业市场监管。</w:t>
      </w:r>
    </w:p>
    <w:p w14:paraId="2C59947F" w14:textId="77777777" w:rsidR="008F75C3" w:rsidRDefault="006614AC">
      <w:pPr>
        <w:spacing w:line="360" w:lineRule="auto"/>
        <w:ind w:firstLine="420"/>
        <w:rPr>
          <w:rFonts w:eastAsiaTheme="minorEastAsia"/>
          <w:sz w:val="24"/>
        </w:rPr>
      </w:pPr>
      <w:r>
        <w:rPr>
          <w:rFonts w:eastAsiaTheme="minorEastAsia"/>
          <w:sz w:val="24"/>
        </w:rPr>
        <w:t>广东省委、省政府一直以来也高度重视种业问题。在水产方面，广东省加快水产种业自主创新的联合攻关，构建广东省渔业种业交易平台，组建水产种业创新联盟，建立以企业</w:t>
      </w:r>
      <w:r>
        <w:rPr>
          <w:rFonts w:eastAsiaTheme="minorEastAsia"/>
          <w:sz w:val="24"/>
        </w:rPr>
        <w:lastRenderedPageBreak/>
        <w:t>为主体、基础公益研究为支撑的产学研用融合的水产种业创新体系，已建成国家级水产种质资源保护区</w:t>
      </w:r>
      <w:r>
        <w:rPr>
          <w:rFonts w:eastAsiaTheme="minorEastAsia"/>
          <w:sz w:val="24"/>
        </w:rPr>
        <w:t>17</w:t>
      </w:r>
      <w:r>
        <w:rPr>
          <w:rFonts w:eastAsiaTheme="minorEastAsia"/>
          <w:sz w:val="24"/>
        </w:rPr>
        <w:t>个，水产苗种生产数量居全国第一，淡水鱼苗产量占全国</w:t>
      </w:r>
      <w:r>
        <w:rPr>
          <w:rFonts w:eastAsiaTheme="minorEastAsia"/>
          <w:sz w:val="24"/>
        </w:rPr>
        <w:t>6</w:t>
      </w:r>
      <w:r>
        <w:rPr>
          <w:rFonts w:eastAsiaTheme="minorEastAsia"/>
          <w:sz w:val="24"/>
        </w:rPr>
        <w:t>成以上，海水鱼苗</w:t>
      </w:r>
      <w:r>
        <w:rPr>
          <w:rFonts w:eastAsiaTheme="minorEastAsia"/>
          <w:sz w:val="24"/>
        </w:rPr>
        <w:t>产量占全国近</w:t>
      </w:r>
      <w:r>
        <w:rPr>
          <w:rFonts w:eastAsiaTheme="minorEastAsia"/>
          <w:sz w:val="24"/>
        </w:rPr>
        <w:t>4</w:t>
      </w:r>
      <w:r>
        <w:rPr>
          <w:rFonts w:eastAsiaTheme="minorEastAsia"/>
          <w:sz w:val="24"/>
        </w:rPr>
        <w:t>成，罗非鱼、南美白对虾等多个品种的苗种生产与销售均在国内领先。</w:t>
      </w:r>
    </w:p>
    <w:p w14:paraId="03A29126" w14:textId="77777777" w:rsidR="008F75C3" w:rsidRDefault="006614AC">
      <w:pPr>
        <w:spacing w:line="360" w:lineRule="auto"/>
        <w:ind w:firstLine="420"/>
        <w:rPr>
          <w:rFonts w:eastAsiaTheme="minorEastAsia"/>
          <w:sz w:val="24"/>
        </w:rPr>
      </w:pPr>
      <w:r>
        <w:rPr>
          <w:rFonts w:eastAsiaTheme="minorEastAsia"/>
          <w:sz w:val="24"/>
        </w:rPr>
        <w:t>博览会提出，未来广东省将持续推动渔业转型升级高质量发展，实施水产种业振兴工程，推进水产养殖业绿色发展，打造健康</w:t>
      </w:r>
      <w:proofErr w:type="gramStart"/>
      <w:r>
        <w:rPr>
          <w:rFonts w:eastAsiaTheme="minorEastAsia"/>
          <w:sz w:val="24"/>
        </w:rPr>
        <w:t>绿色粤渔品牌</w:t>
      </w:r>
      <w:proofErr w:type="gramEnd"/>
      <w:r>
        <w:rPr>
          <w:rFonts w:eastAsiaTheme="minorEastAsia"/>
          <w:sz w:val="24"/>
        </w:rPr>
        <w:t>，加强数字渔业建设，深化省际及港澳台、太平洋岛国渔业交流合作，推动三产融合发展，着力打造</w:t>
      </w:r>
      <w:r>
        <w:rPr>
          <w:rFonts w:eastAsiaTheme="minorEastAsia"/>
          <w:sz w:val="24"/>
        </w:rPr>
        <w:t>“</w:t>
      </w:r>
      <w:r>
        <w:rPr>
          <w:rFonts w:eastAsiaTheme="minorEastAsia"/>
          <w:sz w:val="24"/>
        </w:rPr>
        <w:t>中国种业高地</w:t>
      </w:r>
      <w:r>
        <w:rPr>
          <w:rFonts w:eastAsiaTheme="minorEastAsia"/>
          <w:sz w:val="24"/>
        </w:rPr>
        <w:t>”“</w:t>
      </w:r>
      <w:r>
        <w:rPr>
          <w:rFonts w:eastAsiaTheme="minorEastAsia"/>
          <w:sz w:val="24"/>
        </w:rPr>
        <w:t>中国渔业高地</w:t>
      </w:r>
      <w:r>
        <w:rPr>
          <w:rFonts w:eastAsiaTheme="minorEastAsia"/>
          <w:sz w:val="24"/>
        </w:rPr>
        <w:t>”</w:t>
      </w:r>
      <w:r>
        <w:rPr>
          <w:rFonts w:eastAsiaTheme="minorEastAsia"/>
          <w:sz w:val="24"/>
        </w:rPr>
        <w:t>，助力乡村振兴。</w:t>
      </w:r>
    </w:p>
    <w:p w14:paraId="0EA71D73" w14:textId="77777777" w:rsidR="008F75C3" w:rsidRDefault="006614AC">
      <w:pPr>
        <w:spacing w:line="360" w:lineRule="auto"/>
        <w:jc w:val="right"/>
        <w:rPr>
          <w:rStyle w:val="vm"/>
          <w:rFonts w:eastAsiaTheme="minorEastAsia"/>
          <w:szCs w:val="21"/>
        </w:rPr>
      </w:pPr>
      <w:r>
        <w:rPr>
          <w:rStyle w:val="vm"/>
          <w:rFonts w:eastAsiaTheme="minorEastAsia"/>
          <w:szCs w:val="21"/>
        </w:rPr>
        <w:t>转摘自中国水产</w:t>
      </w:r>
      <w:proofErr w:type="gramStart"/>
      <w:r>
        <w:rPr>
          <w:rStyle w:val="vm"/>
          <w:rFonts w:eastAsiaTheme="minorEastAsia"/>
          <w:szCs w:val="21"/>
        </w:rPr>
        <w:t>微信公众号</w:t>
      </w:r>
      <w:proofErr w:type="gramEnd"/>
    </w:p>
    <w:p w14:paraId="3C21728F" w14:textId="77777777" w:rsidR="008F75C3" w:rsidRPr="00B32074" w:rsidRDefault="006614AC" w:rsidP="00B8006E">
      <w:pPr>
        <w:pStyle w:val="2"/>
        <w:shd w:val="clear" w:color="auto" w:fill="FFFFFF"/>
        <w:spacing w:before="225" w:beforeAutospacing="0" w:after="75" w:afterAutospacing="0" w:line="460" w:lineRule="exact"/>
        <w:ind w:right="227"/>
        <w:jc w:val="center"/>
        <w:rPr>
          <w:rFonts w:ascii="黑体" w:eastAsia="黑体" w:hAnsi="黑体" w:cs="黑体"/>
          <w:color w:val="000000" w:themeColor="text1"/>
          <w:sz w:val="32"/>
          <w:szCs w:val="32"/>
        </w:rPr>
      </w:pPr>
      <w:bookmarkStart w:id="22" w:name="_Toc90390763"/>
      <w:r w:rsidRPr="00B32074">
        <w:rPr>
          <w:rFonts w:ascii="黑体" w:eastAsia="黑体" w:hAnsi="黑体" w:cs="黑体" w:hint="eastAsia"/>
          <w:color w:val="000000" w:themeColor="text1"/>
          <w:sz w:val="32"/>
          <w:szCs w:val="32"/>
          <w:shd w:val="clear" w:color="auto" w:fill="FFFFFF"/>
        </w:rPr>
        <w:t>中国种，世界渔</w:t>
      </w:r>
      <w:bookmarkEnd w:id="22"/>
    </w:p>
    <w:p w14:paraId="6A34B11D" w14:textId="77777777" w:rsidR="008F75C3" w:rsidRDefault="006614AC">
      <w:pPr>
        <w:spacing w:line="360" w:lineRule="auto"/>
        <w:ind w:firstLineChars="200" w:firstLine="480"/>
        <w:jc w:val="left"/>
        <w:rPr>
          <w:sz w:val="24"/>
          <w:shd w:val="clear" w:color="auto" w:fill="FFFFFF"/>
        </w:rPr>
      </w:pPr>
      <w:r>
        <w:rPr>
          <w:sz w:val="24"/>
          <w:shd w:val="clear" w:color="auto" w:fill="FFFFFF"/>
        </w:rPr>
        <w:t>在国家高度重视种业振兴的背景下，</w:t>
      </w:r>
      <w:r>
        <w:rPr>
          <w:sz w:val="24"/>
          <w:shd w:val="clear" w:color="auto" w:fill="FFFFFF"/>
        </w:rPr>
        <w:t>2021</w:t>
      </w:r>
      <w:r>
        <w:rPr>
          <w:sz w:val="24"/>
          <w:shd w:val="clear" w:color="auto" w:fill="FFFFFF"/>
        </w:rPr>
        <w:t>年岁末，第二届中国水产种业博览会暨第三届广东水产种</w:t>
      </w:r>
      <w:proofErr w:type="gramStart"/>
      <w:r>
        <w:rPr>
          <w:sz w:val="24"/>
          <w:shd w:val="clear" w:color="auto" w:fill="FFFFFF"/>
        </w:rPr>
        <w:t>业产业</w:t>
      </w:r>
      <w:proofErr w:type="gramEnd"/>
      <w:r>
        <w:rPr>
          <w:sz w:val="24"/>
          <w:shd w:val="clear" w:color="auto" w:fill="FFFFFF"/>
        </w:rPr>
        <w:t>大会在广州举行。犹如一年一度的大阅兵，博览会吸引</w:t>
      </w:r>
      <w:r>
        <w:rPr>
          <w:sz w:val="24"/>
          <w:shd w:val="clear" w:color="auto" w:fill="FFFFFF"/>
        </w:rPr>
        <w:t>300</w:t>
      </w:r>
      <w:r>
        <w:rPr>
          <w:sz w:val="24"/>
          <w:shd w:val="clear" w:color="auto" w:fill="FFFFFF"/>
        </w:rPr>
        <w:t>多家企业参与，集中展示水产品种</w:t>
      </w:r>
      <w:r>
        <w:rPr>
          <w:sz w:val="24"/>
          <w:shd w:val="clear" w:color="auto" w:fill="FFFFFF"/>
        </w:rPr>
        <w:t>250</w:t>
      </w:r>
      <w:r>
        <w:rPr>
          <w:sz w:val="24"/>
          <w:shd w:val="clear" w:color="auto" w:fill="FFFFFF"/>
        </w:rPr>
        <w:t>多种，四位院士，上万名专业观众到场。这场高规格、专业化、国际化的行业盛会，全方位、立体化地展示全国水产种业发展新成就和新技术，成为水产种业创新发展的推进器和加速器，彰显大国渔业硬核实力。</w:t>
      </w:r>
    </w:p>
    <w:p w14:paraId="027B8539" w14:textId="77777777" w:rsidR="008F75C3" w:rsidRDefault="006614AC">
      <w:pPr>
        <w:pStyle w:val="ad"/>
        <w:shd w:val="clear" w:color="auto" w:fill="FFFFFF"/>
        <w:spacing w:before="0" w:beforeAutospacing="0" w:after="0" w:afterAutospacing="0" w:line="360" w:lineRule="auto"/>
        <w:ind w:firstLineChars="200" w:firstLine="480"/>
        <w:jc w:val="both"/>
        <w:rPr>
          <w:rFonts w:ascii="Times New Roman" w:hAnsi="Times New Roman" w:cs="Times New Roman"/>
        </w:rPr>
      </w:pPr>
      <w:r>
        <w:rPr>
          <w:rFonts w:ascii="Times New Roman" w:hAnsi="Times New Roman" w:cs="Times New Roman"/>
          <w:shd w:val="clear" w:color="auto" w:fill="FFFFFF"/>
        </w:rPr>
        <w:t>美国著名生态经济学家莱斯特</w:t>
      </w:r>
      <w:r>
        <w:rPr>
          <w:rFonts w:ascii="Times New Roman" w:hAnsi="Times New Roman" w:cs="Times New Roman"/>
          <w:shd w:val="clear" w:color="auto" w:fill="FFFFFF"/>
        </w:rPr>
        <w:t>·</w:t>
      </w:r>
      <w:r>
        <w:rPr>
          <w:rFonts w:ascii="Times New Roman" w:hAnsi="Times New Roman" w:cs="Times New Roman"/>
          <w:shd w:val="clear" w:color="auto" w:fill="FFFFFF"/>
        </w:rPr>
        <w:t>布朗在</w:t>
      </w:r>
      <w:r>
        <w:rPr>
          <w:rFonts w:ascii="Times New Roman" w:hAnsi="Times New Roman" w:cs="Times New Roman"/>
          <w:shd w:val="clear" w:color="auto" w:fill="FFFFFF"/>
        </w:rPr>
        <w:t>20</w:t>
      </w:r>
      <w:r>
        <w:rPr>
          <w:rFonts w:ascii="Times New Roman" w:hAnsi="Times New Roman" w:cs="Times New Roman"/>
          <w:shd w:val="clear" w:color="auto" w:fill="FFFFFF"/>
        </w:rPr>
        <w:t>世纪</w:t>
      </w:r>
      <w:r>
        <w:rPr>
          <w:rFonts w:ascii="Times New Roman" w:hAnsi="Times New Roman" w:cs="Times New Roman"/>
          <w:shd w:val="clear" w:color="auto" w:fill="FFFFFF"/>
        </w:rPr>
        <w:t>80</w:t>
      </w:r>
      <w:r>
        <w:rPr>
          <w:rFonts w:ascii="Times New Roman" w:hAnsi="Times New Roman" w:cs="Times New Roman"/>
          <w:shd w:val="clear" w:color="auto" w:fill="FFFFFF"/>
        </w:rPr>
        <w:t>年代曾发出</w:t>
      </w:r>
      <w:r>
        <w:rPr>
          <w:rFonts w:ascii="Times New Roman" w:hAnsi="Times New Roman" w:cs="Times New Roman"/>
          <w:shd w:val="clear" w:color="auto" w:fill="FFFFFF"/>
        </w:rPr>
        <w:t>“</w:t>
      </w:r>
      <w:r>
        <w:rPr>
          <w:rFonts w:ascii="Times New Roman" w:hAnsi="Times New Roman" w:cs="Times New Roman"/>
          <w:shd w:val="clear" w:color="auto" w:fill="FFFFFF"/>
        </w:rPr>
        <w:t>谁来养活中国？</w:t>
      </w:r>
      <w:r>
        <w:rPr>
          <w:rFonts w:ascii="Times New Roman" w:hAnsi="Times New Roman" w:cs="Times New Roman"/>
          <w:shd w:val="clear" w:color="auto" w:fill="FFFFFF"/>
        </w:rPr>
        <w:t>”</w:t>
      </w:r>
      <w:r>
        <w:rPr>
          <w:rFonts w:ascii="Times New Roman" w:hAnsi="Times New Roman" w:cs="Times New Roman"/>
          <w:shd w:val="clear" w:color="auto" w:fill="FFFFFF"/>
        </w:rPr>
        <w:t>的时代之问。</w:t>
      </w:r>
      <w:r>
        <w:rPr>
          <w:rFonts w:ascii="Times New Roman" w:hAnsi="Times New Roman" w:cs="Times New Roman"/>
          <w:shd w:val="clear" w:color="auto" w:fill="FFFFFF"/>
        </w:rPr>
        <w:t>2008</w:t>
      </w:r>
      <w:r>
        <w:rPr>
          <w:rFonts w:ascii="Times New Roman" w:hAnsi="Times New Roman" w:cs="Times New Roman"/>
          <w:shd w:val="clear" w:color="auto" w:fill="FFFFFF"/>
        </w:rPr>
        <w:t>年当他再次到访北京时，向媒体记者表示，过去的</w:t>
      </w:r>
      <w:r>
        <w:rPr>
          <w:rFonts w:ascii="Times New Roman" w:hAnsi="Times New Roman" w:cs="Times New Roman"/>
          <w:shd w:val="clear" w:color="auto" w:fill="FFFFFF"/>
        </w:rPr>
        <w:t>二三十年中，中国的淡水渔业取得长足的发展，对世界是一个重大贡献。</w:t>
      </w:r>
      <w:r>
        <w:rPr>
          <w:rStyle w:val="af"/>
          <w:rFonts w:ascii="Times New Roman" w:hAnsi="Times New Roman" w:cs="Times New Roman"/>
          <w:shd w:val="clear" w:color="auto" w:fill="FFFFFF"/>
        </w:rPr>
        <w:t>中国的水产养殖不仅为人们提供了大量优质蛋白质，还为国家粮食安全提供了重要保障。他认为</w:t>
      </w:r>
      <w:r>
        <w:rPr>
          <w:rStyle w:val="af"/>
          <w:rFonts w:ascii="Times New Roman" w:hAnsi="Times New Roman" w:cs="Times New Roman"/>
          <w:shd w:val="clear" w:color="auto" w:fill="FFFFFF"/>
        </w:rPr>
        <w:t>“</w:t>
      </w:r>
      <w:r>
        <w:rPr>
          <w:rStyle w:val="af"/>
          <w:rFonts w:ascii="Times New Roman" w:hAnsi="Times New Roman" w:cs="Times New Roman"/>
          <w:shd w:val="clear" w:color="auto" w:fill="FFFFFF"/>
        </w:rPr>
        <w:t>中国的淡水渔业，是世界上最有效率的技术。</w:t>
      </w:r>
      <w:r>
        <w:rPr>
          <w:rStyle w:val="af"/>
          <w:rFonts w:ascii="Times New Roman" w:hAnsi="Times New Roman" w:cs="Times New Roman"/>
          <w:shd w:val="clear" w:color="auto" w:fill="FFFFFF"/>
        </w:rPr>
        <w:t>”</w:t>
      </w:r>
    </w:p>
    <w:p w14:paraId="57B28D75" w14:textId="77777777" w:rsidR="008F75C3" w:rsidRDefault="006614AC">
      <w:pPr>
        <w:pStyle w:val="ad"/>
        <w:shd w:val="clear" w:color="auto" w:fill="FFFFFF"/>
        <w:spacing w:before="0" w:beforeAutospacing="0" w:after="0" w:afterAutospacing="0" w:line="360" w:lineRule="auto"/>
        <w:ind w:firstLineChars="200" w:firstLine="480"/>
        <w:jc w:val="both"/>
        <w:rPr>
          <w:rFonts w:ascii="Times New Roman" w:hAnsi="Times New Roman" w:cs="Times New Roman"/>
        </w:rPr>
      </w:pPr>
      <w:r>
        <w:rPr>
          <w:rFonts w:ascii="Times New Roman" w:hAnsi="Times New Roman" w:cs="Times New Roman"/>
          <w:shd w:val="clear" w:color="auto" w:fill="FFFFFF"/>
        </w:rPr>
        <w:t>中国水产养殖</w:t>
      </w:r>
      <w:proofErr w:type="gramStart"/>
      <w:r>
        <w:rPr>
          <w:rFonts w:ascii="Times New Roman" w:hAnsi="Times New Roman" w:cs="Times New Roman"/>
          <w:shd w:val="clear" w:color="auto" w:fill="FFFFFF"/>
        </w:rPr>
        <w:t>种类超</w:t>
      </w:r>
      <w:proofErr w:type="gramEnd"/>
      <w:r>
        <w:rPr>
          <w:rFonts w:ascii="Times New Roman" w:hAnsi="Times New Roman" w:cs="Times New Roman"/>
          <w:shd w:val="clear" w:color="auto" w:fill="FFFFFF"/>
        </w:rPr>
        <w:t>300</w:t>
      </w:r>
      <w:r>
        <w:rPr>
          <w:rFonts w:ascii="Times New Roman" w:hAnsi="Times New Roman" w:cs="Times New Roman"/>
          <w:shd w:val="clear" w:color="auto" w:fill="FFFFFF"/>
        </w:rPr>
        <w:t>种，是水产养殖第一大国，从</w:t>
      </w:r>
      <w:r>
        <w:rPr>
          <w:rFonts w:ascii="Times New Roman" w:hAnsi="Times New Roman" w:cs="Times New Roman"/>
          <w:shd w:val="clear" w:color="auto" w:fill="FFFFFF"/>
        </w:rPr>
        <w:t>2008</w:t>
      </w:r>
      <w:r>
        <w:rPr>
          <w:rFonts w:ascii="Times New Roman" w:hAnsi="Times New Roman" w:cs="Times New Roman"/>
          <w:shd w:val="clear" w:color="auto" w:fill="FFFFFF"/>
        </w:rPr>
        <w:t>年起养殖产量一直占世界养殖总产量的</w:t>
      </w:r>
      <w:r>
        <w:rPr>
          <w:rFonts w:ascii="Times New Roman" w:hAnsi="Times New Roman" w:cs="Times New Roman"/>
          <w:shd w:val="clear" w:color="auto" w:fill="FFFFFF"/>
        </w:rPr>
        <w:t>60%</w:t>
      </w:r>
      <w:r>
        <w:rPr>
          <w:rFonts w:ascii="Times New Roman" w:hAnsi="Times New Roman" w:cs="Times New Roman"/>
          <w:shd w:val="clear" w:color="auto" w:fill="FFFFFF"/>
        </w:rPr>
        <w:t>以上。</w:t>
      </w:r>
      <w:r>
        <w:rPr>
          <w:rFonts w:ascii="Times New Roman" w:hAnsi="Times New Roman" w:cs="Times New Roman"/>
          <w:shd w:val="clear" w:color="auto" w:fill="FFFFFF"/>
        </w:rPr>
        <w:t>2020</w:t>
      </w:r>
      <w:r>
        <w:rPr>
          <w:rFonts w:ascii="Times New Roman" w:hAnsi="Times New Roman" w:cs="Times New Roman"/>
          <w:shd w:val="clear" w:color="auto" w:fill="FFFFFF"/>
        </w:rPr>
        <w:t>年，中国水产养殖产量</w:t>
      </w:r>
      <w:r>
        <w:rPr>
          <w:rFonts w:ascii="Times New Roman" w:hAnsi="Times New Roman" w:cs="Times New Roman"/>
          <w:shd w:val="clear" w:color="auto" w:fill="FFFFFF"/>
        </w:rPr>
        <w:t>5200</w:t>
      </w:r>
      <w:r>
        <w:rPr>
          <w:rFonts w:ascii="Times New Roman" w:hAnsi="Times New Roman" w:cs="Times New Roman"/>
          <w:shd w:val="clear" w:color="auto" w:fill="FFFFFF"/>
        </w:rPr>
        <w:t>多万吨，人均年有量</w:t>
      </w:r>
      <w:r>
        <w:rPr>
          <w:rFonts w:ascii="Times New Roman" w:hAnsi="Times New Roman" w:cs="Times New Roman"/>
          <w:shd w:val="clear" w:color="auto" w:fill="FFFFFF"/>
        </w:rPr>
        <w:t>46</w:t>
      </w:r>
      <w:r>
        <w:rPr>
          <w:rFonts w:ascii="Times New Roman" w:hAnsi="Times New Roman" w:cs="Times New Roman"/>
          <w:shd w:val="clear" w:color="auto" w:fill="FFFFFF"/>
        </w:rPr>
        <w:t>公斤，是世界平均水平的</w:t>
      </w:r>
      <w:r>
        <w:rPr>
          <w:rFonts w:ascii="Times New Roman" w:hAnsi="Times New Roman" w:cs="Times New Roman"/>
          <w:shd w:val="clear" w:color="auto" w:fill="FFFFFF"/>
        </w:rPr>
        <w:t>2</w:t>
      </w:r>
      <w:r>
        <w:rPr>
          <w:rFonts w:ascii="Times New Roman" w:hAnsi="Times New Roman" w:cs="Times New Roman"/>
          <w:shd w:val="clear" w:color="auto" w:fill="FFFFFF"/>
        </w:rPr>
        <w:t>倍。据专家测算，</w:t>
      </w:r>
      <w:r>
        <w:rPr>
          <w:rStyle w:val="af"/>
          <w:rFonts w:ascii="Times New Roman" w:hAnsi="Times New Roman" w:cs="Times New Roman"/>
          <w:shd w:val="clear" w:color="auto" w:fill="FFFFFF"/>
        </w:rPr>
        <w:t>中国国民的动物蛋白消费约</w:t>
      </w:r>
      <w:r>
        <w:rPr>
          <w:rStyle w:val="af"/>
          <w:rFonts w:ascii="Times New Roman" w:hAnsi="Times New Roman" w:cs="Times New Roman"/>
          <w:shd w:val="clear" w:color="auto" w:fill="FFFFFF"/>
        </w:rPr>
        <w:t>30%</w:t>
      </w:r>
      <w:r>
        <w:rPr>
          <w:rStyle w:val="af"/>
          <w:rFonts w:ascii="Times New Roman" w:hAnsi="Times New Roman" w:cs="Times New Roman"/>
          <w:shd w:val="clear" w:color="auto" w:fill="FFFFFF"/>
        </w:rPr>
        <w:t>来源于养殖水产品，其中优良种苗起到巨大的推动和促进作用。中国工程院院士刘少军指出</w:t>
      </w:r>
      <w:r>
        <w:rPr>
          <w:rStyle w:val="af"/>
          <w:rFonts w:ascii="Times New Roman" w:hAnsi="Times New Roman" w:cs="Times New Roman" w:hint="eastAsia"/>
          <w:shd w:val="clear" w:color="auto" w:fill="FFFFFF"/>
        </w:rPr>
        <w:t>,</w:t>
      </w:r>
      <w:r>
        <w:rPr>
          <w:rStyle w:val="af"/>
          <w:rFonts w:ascii="Times New Roman" w:hAnsi="Times New Roman" w:cs="Times New Roman"/>
          <w:shd w:val="clear" w:color="auto" w:fill="FFFFFF"/>
        </w:rPr>
        <w:t>中国</w:t>
      </w:r>
      <w:r>
        <w:rPr>
          <w:rStyle w:val="af"/>
          <w:rFonts w:ascii="Times New Roman" w:hAnsi="Times New Roman" w:cs="Times New Roman"/>
          <w:shd w:val="clear" w:color="auto" w:fill="FFFFFF"/>
        </w:rPr>
        <w:t>水产种业产量规模位居全球首位，多项育种技术国际领先，并在世界渔业发展历程中，发挥了重要作用。</w:t>
      </w:r>
    </w:p>
    <w:p w14:paraId="77E9B2B8" w14:textId="77777777" w:rsidR="008F75C3" w:rsidRDefault="006614AC">
      <w:pPr>
        <w:pStyle w:val="ad"/>
        <w:shd w:val="clear" w:color="auto" w:fill="FFFFFF"/>
        <w:spacing w:before="0" w:beforeAutospacing="0" w:after="0" w:afterAutospacing="0" w:line="360" w:lineRule="auto"/>
        <w:ind w:firstLineChars="200" w:firstLine="480"/>
        <w:jc w:val="both"/>
        <w:rPr>
          <w:rFonts w:ascii="Times New Roman" w:hAnsi="Times New Roman" w:cs="Times New Roman"/>
        </w:rPr>
      </w:pPr>
      <w:r>
        <w:rPr>
          <w:rFonts w:ascii="Times New Roman" w:hAnsi="Times New Roman" w:cs="Times New Roman"/>
          <w:shd w:val="clear" w:color="auto" w:fill="FFFFFF"/>
        </w:rPr>
        <w:t>世界渔业看中国。中国当仁不让地成为全球水产业中心，这是全球最大的种苗生产基地，全球最大的水产品消费市场，全球最大的水产品贸易集散地，全球最大的水产品出口国和进口国，全球最完备的水产全产业链中心，全球最活跃和极具潜力的水产市场</w:t>
      </w:r>
      <w:r>
        <w:rPr>
          <w:rFonts w:ascii="Times New Roman" w:hAnsi="Times New Roman" w:cs="Times New Roman"/>
          <w:shd w:val="clear" w:color="auto" w:fill="FFFFFF"/>
        </w:rPr>
        <w:t>……</w:t>
      </w:r>
      <w:r>
        <w:rPr>
          <w:rFonts w:ascii="Times New Roman" w:hAnsi="Times New Roman" w:cs="Times New Roman"/>
          <w:shd w:val="clear" w:color="auto" w:fill="FFFFFF"/>
        </w:rPr>
        <w:t>对于任何一家拥有雄心的企业都是不可错过的市场，不仅培育了海大集团、恒兴集团、通威股份为代表的一批世界级企业，同样吸引嘉吉、正大等一批世界五百强落地生根。</w:t>
      </w:r>
    </w:p>
    <w:p w14:paraId="5B7A3F4B" w14:textId="77777777" w:rsidR="008F75C3" w:rsidRDefault="006614AC">
      <w:pPr>
        <w:pStyle w:val="ad"/>
        <w:pBdr>
          <w:left w:val="single" w:sz="18" w:space="3" w:color="F64E45"/>
        </w:pBdr>
        <w:shd w:val="clear" w:color="auto" w:fill="FFFFFF"/>
        <w:spacing w:before="0" w:beforeAutospacing="0" w:after="0" w:afterAutospacing="0" w:line="360" w:lineRule="auto"/>
        <w:jc w:val="both"/>
        <w:rPr>
          <w:rFonts w:ascii="Times New Roman" w:hAnsi="Times New Roman" w:cs="Times New Roman"/>
        </w:rPr>
      </w:pPr>
      <w:r>
        <w:rPr>
          <w:rStyle w:val="af"/>
          <w:rFonts w:ascii="Times New Roman" w:hAnsi="Times New Roman" w:cs="Times New Roman"/>
          <w:shd w:val="clear" w:color="auto" w:fill="FFFFFF"/>
        </w:rPr>
        <w:lastRenderedPageBreak/>
        <w:t>全球领先的中国水产种业：</w:t>
      </w:r>
    </w:p>
    <w:p w14:paraId="7BDB0339" w14:textId="77777777" w:rsidR="008F75C3" w:rsidRDefault="006614AC">
      <w:pPr>
        <w:pStyle w:val="ad"/>
        <w:pBdr>
          <w:left w:val="single" w:sz="18" w:space="3" w:color="F64E45"/>
        </w:pBdr>
        <w:shd w:val="clear" w:color="auto" w:fill="FFFFFF"/>
        <w:spacing w:before="0" w:beforeAutospacing="0" w:after="0" w:afterAutospacing="0" w:line="360" w:lineRule="auto"/>
        <w:jc w:val="both"/>
        <w:rPr>
          <w:rFonts w:ascii="Times New Roman" w:hAnsi="Times New Roman" w:cs="Times New Roman"/>
        </w:rPr>
      </w:pPr>
      <w:r>
        <w:rPr>
          <w:rStyle w:val="af"/>
          <w:rFonts w:ascii="Times New Roman" w:hAnsi="Times New Roman" w:cs="Times New Roman"/>
          <w:shd w:val="clear" w:color="auto" w:fill="FFFFFF"/>
        </w:rPr>
        <w:t>最大水产种苗生产基地和交易中心</w:t>
      </w:r>
    </w:p>
    <w:p w14:paraId="1C179FE4" w14:textId="77777777" w:rsidR="008F75C3" w:rsidRDefault="006614AC">
      <w:pPr>
        <w:pStyle w:val="ad"/>
        <w:shd w:val="clear" w:color="auto" w:fill="FFFFFF"/>
        <w:spacing w:before="0" w:beforeAutospacing="0" w:after="0" w:afterAutospacing="0" w:line="360" w:lineRule="auto"/>
        <w:ind w:firstLineChars="200" w:firstLine="480"/>
        <w:jc w:val="both"/>
        <w:rPr>
          <w:rFonts w:ascii="Times New Roman" w:hAnsi="Times New Roman" w:cs="Times New Roman"/>
        </w:rPr>
      </w:pPr>
      <w:r>
        <w:rPr>
          <w:rFonts w:ascii="Times New Roman" w:hAnsi="Times New Roman" w:cs="Times New Roman"/>
          <w:shd w:val="clear" w:color="auto" w:fill="FFFFFF"/>
        </w:rPr>
        <w:t>种子是农业的</w:t>
      </w:r>
      <w:r>
        <w:rPr>
          <w:rFonts w:ascii="Times New Roman" w:hAnsi="Times New Roman" w:cs="Times New Roman"/>
          <w:shd w:val="clear" w:color="auto" w:fill="FFFFFF"/>
        </w:rPr>
        <w:t>“</w:t>
      </w:r>
      <w:r>
        <w:rPr>
          <w:rFonts w:ascii="Times New Roman" w:hAnsi="Times New Roman" w:cs="Times New Roman"/>
          <w:shd w:val="clear" w:color="auto" w:fill="FFFFFF"/>
        </w:rPr>
        <w:t>芯片</w:t>
      </w:r>
      <w:r>
        <w:rPr>
          <w:rFonts w:ascii="Times New Roman" w:hAnsi="Times New Roman" w:cs="Times New Roman"/>
          <w:shd w:val="clear" w:color="auto" w:fill="FFFFFF"/>
        </w:rPr>
        <w:t>”</w:t>
      </w:r>
      <w:r>
        <w:rPr>
          <w:rFonts w:ascii="Times New Roman" w:hAnsi="Times New Roman" w:cs="Times New Roman"/>
          <w:shd w:val="clear" w:color="auto" w:fill="FFFFFF"/>
        </w:rPr>
        <w:t>，苗种也是水产养殖的</w:t>
      </w:r>
      <w:r>
        <w:rPr>
          <w:rFonts w:ascii="Times New Roman" w:hAnsi="Times New Roman" w:cs="Times New Roman"/>
          <w:shd w:val="clear" w:color="auto" w:fill="FFFFFF"/>
        </w:rPr>
        <w:t>“</w:t>
      </w:r>
      <w:r>
        <w:rPr>
          <w:rFonts w:ascii="Times New Roman" w:hAnsi="Times New Roman" w:cs="Times New Roman"/>
          <w:shd w:val="clear" w:color="auto" w:fill="FFFFFF"/>
        </w:rPr>
        <w:t>芯片</w:t>
      </w:r>
      <w:r>
        <w:rPr>
          <w:rFonts w:ascii="Times New Roman" w:hAnsi="Times New Roman" w:cs="Times New Roman"/>
          <w:shd w:val="clear" w:color="auto" w:fill="FFFFFF"/>
        </w:rPr>
        <w:t>”</w:t>
      </w:r>
      <w:r>
        <w:rPr>
          <w:rFonts w:ascii="Times New Roman" w:hAnsi="Times New Roman" w:cs="Times New Roman"/>
          <w:shd w:val="clear" w:color="auto" w:fill="FFFFFF"/>
        </w:rPr>
        <w:t>。</w:t>
      </w:r>
    </w:p>
    <w:p w14:paraId="515D9CCF" w14:textId="77777777" w:rsidR="008F75C3" w:rsidRDefault="006614AC">
      <w:pPr>
        <w:pStyle w:val="ad"/>
        <w:shd w:val="clear" w:color="auto" w:fill="FFFFFF"/>
        <w:spacing w:before="0" w:beforeAutospacing="0" w:after="0" w:afterAutospacing="0" w:line="360" w:lineRule="auto"/>
        <w:ind w:firstLineChars="200" w:firstLine="482"/>
        <w:jc w:val="both"/>
        <w:rPr>
          <w:rFonts w:ascii="Times New Roman" w:hAnsi="Times New Roman" w:cs="Times New Roman"/>
        </w:rPr>
      </w:pPr>
      <w:r>
        <w:rPr>
          <w:rStyle w:val="af"/>
          <w:rFonts w:ascii="Times New Roman" w:hAnsi="Times New Roman" w:cs="Times New Roman"/>
          <w:shd w:val="clear" w:color="auto" w:fill="FFFFFF"/>
        </w:rPr>
        <w:t>中国水产业和水产种业</w:t>
      </w:r>
      <w:r>
        <w:rPr>
          <w:rStyle w:val="af"/>
          <w:rFonts w:ascii="Times New Roman" w:hAnsi="Times New Roman" w:cs="Times New Roman"/>
          <w:shd w:val="clear" w:color="auto" w:fill="FFFFFF"/>
        </w:rPr>
        <w:t>从无到有、从小到大、从弱到强，是共和国历史进程的一个缩影，每一次养殖种类和品种上的突破，都给渔业特别是水产养殖业发展带来了革命性变化，推动了渔业从</w:t>
      </w:r>
      <w:r>
        <w:rPr>
          <w:rStyle w:val="af"/>
          <w:rFonts w:ascii="Times New Roman" w:hAnsi="Times New Roman" w:cs="Times New Roman"/>
          <w:shd w:val="clear" w:color="auto" w:fill="FFFFFF"/>
        </w:rPr>
        <w:t>“</w:t>
      </w:r>
      <w:r>
        <w:rPr>
          <w:rStyle w:val="af"/>
          <w:rFonts w:ascii="Times New Roman" w:hAnsi="Times New Roman" w:cs="Times New Roman"/>
          <w:shd w:val="clear" w:color="auto" w:fill="FFFFFF"/>
        </w:rPr>
        <w:t>狩猎型</w:t>
      </w:r>
      <w:r>
        <w:rPr>
          <w:rStyle w:val="af"/>
          <w:rFonts w:ascii="Times New Roman" w:hAnsi="Times New Roman" w:cs="Times New Roman"/>
          <w:shd w:val="clear" w:color="auto" w:fill="FFFFFF"/>
        </w:rPr>
        <w:t>”</w:t>
      </w:r>
      <w:r>
        <w:rPr>
          <w:rStyle w:val="af"/>
          <w:rFonts w:ascii="Times New Roman" w:hAnsi="Times New Roman" w:cs="Times New Roman"/>
          <w:shd w:val="clear" w:color="auto" w:fill="FFFFFF"/>
        </w:rPr>
        <w:t>向</w:t>
      </w:r>
      <w:r>
        <w:rPr>
          <w:rStyle w:val="af"/>
          <w:rFonts w:ascii="Times New Roman" w:hAnsi="Times New Roman" w:cs="Times New Roman"/>
          <w:shd w:val="clear" w:color="auto" w:fill="FFFFFF"/>
        </w:rPr>
        <w:t>“</w:t>
      </w:r>
      <w:r>
        <w:rPr>
          <w:rStyle w:val="af"/>
          <w:rFonts w:ascii="Times New Roman" w:hAnsi="Times New Roman" w:cs="Times New Roman"/>
          <w:shd w:val="clear" w:color="auto" w:fill="FFFFFF"/>
        </w:rPr>
        <w:t>农耕型</w:t>
      </w:r>
      <w:r>
        <w:rPr>
          <w:rStyle w:val="af"/>
          <w:rFonts w:ascii="Times New Roman" w:hAnsi="Times New Roman" w:cs="Times New Roman"/>
          <w:shd w:val="clear" w:color="auto" w:fill="FFFFFF"/>
        </w:rPr>
        <w:t>”</w:t>
      </w:r>
      <w:r>
        <w:rPr>
          <w:rStyle w:val="af"/>
          <w:rFonts w:ascii="Times New Roman" w:hAnsi="Times New Roman" w:cs="Times New Roman"/>
          <w:shd w:val="clear" w:color="auto" w:fill="FFFFFF"/>
        </w:rPr>
        <w:t>转变，促进了一次次的养殖浪潮和大发展，</w:t>
      </w:r>
      <w:r>
        <w:rPr>
          <w:rFonts w:ascii="Times New Roman" w:hAnsi="Times New Roman" w:cs="Times New Roman"/>
          <w:shd w:val="clear" w:color="auto" w:fill="FFFFFF"/>
        </w:rPr>
        <w:t>打破养殖对野生种的依赖，推动养殖主导品种的更新换代，探索出一条具有中国特色的现代化渔业发展道路。</w:t>
      </w:r>
    </w:p>
    <w:p w14:paraId="0F5586C5" w14:textId="77777777" w:rsidR="008F75C3" w:rsidRDefault="006614AC">
      <w:pPr>
        <w:pStyle w:val="ad"/>
        <w:shd w:val="clear" w:color="auto" w:fill="FFFFFF"/>
        <w:spacing w:before="0" w:beforeAutospacing="0" w:after="0" w:afterAutospacing="0" w:line="360" w:lineRule="auto"/>
        <w:ind w:firstLineChars="200" w:firstLine="480"/>
        <w:jc w:val="both"/>
        <w:rPr>
          <w:rFonts w:ascii="Times New Roman" w:hAnsi="Times New Roman" w:cs="Times New Roman"/>
        </w:rPr>
      </w:pPr>
      <w:r>
        <w:rPr>
          <w:rFonts w:ascii="Times New Roman" w:hAnsi="Times New Roman" w:cs="Times New Roman"/>
          <w:shd w:val="clear" w:color="auto" w:fill="FFFFFF"/>
        </w:rPr>
        <w:t>1958</w:t>
      </w:r>
      <w:r>
        <w:rPr>
          <w:rFonts w:ascii="Times New Roman" w:hAnsi="Times New Roman" w:cs="Times New Roman"/>
          <w:shd w:val="clear" w:color="auto" w:fill="FFFFFF"/>
        </w:rPr>
        <w:t>年起，以钟麟为代表的科学家团队先后攻克了鲢、鳙、草、青、鲮鱼的人工繁殖技术，建立完善了亲鱼培育、催情产卵、受精、孵化等一整套技术体系，结束了养殖鱼苗依赖天然捕捞丰歉难保的历史，成为渔业从</w:t>
      </w:r>
      <w:r>
        <w:rPr>
          <w:rFonts w:ascii="Times New Roman" w:hAnsi="Times New Roman" w:cs="Times New Roman"/>
          <w:shd w:val="clear" w:color="auto" w:fill="FFFFFF"/>
        </w:rPr>
        <w:t>“</w:t>
      </w:r>
      <w:r>
        <w:rPr>
          <w:rFonts w:ascii="Times New Roman" w:hAnsi="Times New Roman" w:cs="Times New Roman"/>
          <w:shd w:val="clear" w:color="auto" w:fill="FFFFFF"/>
        </w:rPr>
        <w:t>狩猎型</w:t>
      </w:r>
      <w:r>
        <w:rPr>
          <w:rFonts w:ascii="Times New Roman" w:hAnsi="Times New Roman" w:cs="Times New Roman"/>
          <w:shd w:val="clear" w:color="auto" w:fill="FFFFFF"/>
        </w:rPr>
        <w:t>”</w:t>
      </w:r>
      <w:r>
        <w:rPr>
          <w:rFonts w:ascii="Times New Roman" w:hAnsi="Times New Roman" w:cs="Times New Roman"/>
          <w:shd w:val="clear" w:color="auto" w:fill="FFFFFF"/>
        </w:rPr>
        <w:t>向</w:t>
      </w:r>
      <w:r>
        <w:rPr>
          <w:rFonts w:ascii="Times New Roman" w:hAnsi="Times New Roman" w:cs="Times New Roman"/>
          <w:shd w:val="clear" w:color="auto" w:fill="FFFFFF"/>
        </w:rPr>
        <w:t>“</w:t>
      </w:r>
      <w:r>
        <w:rPr>
          <w:rFonts w:ascii="Times New Roman" w:hAnsi="Times New Roman" w:cs="Times New Roman"/>
          <w:shd w:val="clear" w:color="auto" w:fill="FFFFFF"/>
        </w:rPr>
        <w:t>农耕型</w:t>
      </w:r>
      <w:r>
        <w:rPr>
          <w:rFonts w:ascii="Times New Roman" w:hAnsi="Times New Roman" w:cs="Times New Roman"/>
          <w:shd w:val="clear" w:color="auto" w:fill="FFFFFF"/>
        </w:rPr>
        <w:t>”</w:t>
      </w:r>
      <w:r>
        <w:rPr>
          <w:rFonts w:ascii="Times New Roman" w:hAnsi="Times New Roman" w:cs="Times New Roman"/>
          <w:shd w:val="clear" w:color="auto" w:fill="FFFFFF"/>
        </w:rPr>
        <w:t>过渡的关键标志，也为后来其他水产养殖动物的人工繁殖技术研究奠定了基础。</w:t>
      </w:r>
    </w:p>
    <w:p w14:paraId="5F1FF7AD" w14:textId="77777777" w:rsidR="008F75C3" w:rsidRDefault="006614AC">
      <w:pPr>
        <w:pStyle w:val="ad"/>
        <w:shd w:val="clear" w:color="auto" w:fill="FFFFFF"/>
        <w:spacing w:before="0" w:beforeAutospacing="0" w:after="0" w:afterAutospacing="0" w:line="360" w:lineRule="auto"/>
        <w:ind w:firstLineChars="200" w:firstLine="480"/>
        <w:jc w:val="both"/>
        <w:rPr>
          <w:rFonts w:ascii="Times New Roman" w:hAnsi="Times New Roman" w:cs="Times New Roman"/>
        </w:rPr>
      </w:pPr>
      <w:r>
        <w:rPr>
          <w:rFonts w:ascii="Times New Roman" w:hAnsi="Times New Roman" w:cs="Times New Roman"/>
          <w:shd w:val="clear" w:color="auto" w:fill="FFFFFF"/>
        </w:rPr>
        <w:t>1981</w:t>
      </w:r>
      <w:r>
        <w:rPr>
          <w:rFonts w:ascii="Times New Roman" w:hAnsi="Times New Roman" w:cs="Times New Roman"/>
          <w:shd w:val="clear" w:color="auto" w:fill="FFFFFF"/>
        </w:rPr>
        <w:t>年，赵法箴院士等攻克了对虾工厂化全人工育苗技术，使对虾养殖由原来主要依靠天然苗的小规模半人工养殖，进入到大规模全人工养殖时期。</w:t>
      </w:r>
    </w:p>
    <w:p w14:paraId="686D85F5" w14:textId="77777777" w:rsidR="008F75C3" w:rsidRDefault="006614AC">
      <w:pPr>
        <w:pStyle w:val="ad"/>
        <w:shd w:val="clear" w:color="auto" w:fill="FFFFFF"/>
        <w:spacing w:before="0" w:beforeAutospacing="0" w:after="0" w:afterAutospacing="0" w:line="360" w:lineRule="auto"/>
        <w:ind w:firstLineChars="200" w:firstLine="480"/>
        <w:jc w:val="both"/>
        <w:rPr>
          <w:rFonts w:ascii="Times New Roman" w:hAnsi="Times New Roman" w:cs="Times New Roman"/>
        </w:rPr>
      </w:pPr>
      <w:r>
        <w:rPr>
          <w:rFonts w:ascii="Times New Roman" w:hAnsi="Times New Roman" w:cs="Times New Roman"/>
          <w:shd w:val="clear" w:color="auto" w:fill="FFFFFF"/>
        </w:rPr>
        <w:t>1983</w:t>
      </w:r>
      <w:r>
        <w:rPr>
          <w:rFonts w:ascii="Times New Roman" w:hAnsi="Times New Roman" w:cs="Times New Roman"/>
          <w:shd w:val="clear" w:color="auto" w:fill="FFFFFF"/>
        </w:rPr>
        <w:t>年，赵乃刚</w:t>
      </w:r>
      <w:proofErr w:type="gramStart"/>
      <w:r>
        <w:rPr>
          <w:rFonts w:ascii="Times New Roman" w:hAnsi="Times New Roman" w:cs="Times New Roman"/>
          <w:shd w:val="clear" w:color="auto" w:fill="FFFFFF"/>
        </w:rPr>
        <w:t>等突破</w:t>
      </w:r>
      <w:proofErr w:type="gramEnd"/>
      <w:r>
        <w:rPr>
          <w:rFonts w:ascii="Times New Roman" w:hAnsi="Times New Roman" w:cs="Times New Roman"/>
          <w:shd w:val="clear" w:color="auto" w:fill="FFFFFF"/>
        </w:rPr>
        <w:t>了河蟹人工育苗技术。由农牧渔业部和安徽省科委投资兴建的我国第一个河蟹人工半咸水育苗基地，在安徽滁县竣工，</w:t>
      </w:r>
      <w:r>
        <w:rPr>
          <w:rFonts w:ascii="Times New Roman" w:hAnsi="Times New Roman" w:cs="Times New Roman"/>
          <w:shd w:val="clear" w:color="auto" w:fill="FFFFFF"/>
        </w:rPr>
        <w:t>1984</w:t>
      </w:r>
      <w:r>
        <w:rPr>
          <w:rFonts w:ascii="Times New Roman" w:hAnsi="Times New Roman" w:cs="Times New Roman"/>
          <w:shd w:val="clear" w:color="auto" w:fill="FFFFFF"/>
        </w:rPr>
        <w:t>年首次育成</w:t>
      </w:r>
      <w:r>
        <w:rPr>
          <w:rFonts w:ascii="Times New Roman" w:hAnsi="Times New Roman" w:cs="Times New Roman"/>
          <w:shd w:val="clear" w:color="auto" w:fill="FFFFFF"/>
        </w:rPr>
        <w:t>1050</w:t>
      </w:r>
      <w:r>
        <w:rPr>
          <w:rFonts w:ascii="Times New Roman" w:hAnsi="Times New Roman" w:cs="Times New Roman"/>
          <w:shd w:val="clear" w:color="auto" w:fill="FFFFFF"/>
        </w:rPr>
        <w:t>万只蟹苗。</w:t>
      </w:r>
    </w:p>
    <w:p w14:paraId="4CB8E73D" w14:textId="77777777" w:rsidR="008F75C3" w:rsidRDefault="006614AC">
      <w:pPr>
        <w:pStyle w:val="ad"/>
        <w:shd w:val="clear" w:color="auto" w:fill="FFFFFF"/>
        <w:spacing w:before="0" w:beforeAutospacing="0" w:after="0" w:afterAutospacing="0" w:line="360" w:lineRule="auto"/>
        <w:ind w:firstLineChars="200" w:firstLine="480"/>
        <w:jc w:val="both"/>
        <w:rPr>
          <w:rFonts w:ascii="Times New Roman" w:hAnsi="Times New Roman" w:cs="Times New Roman"/>
        </w:rPr>
      </w:pPr>
      <w:r>
        <w:rPr>
          <w:rFonts w:ascii="Times New Roman" w:hAnsi="Times New Roman" w:cs="Times New Roman"/>
          <w:shd w:val="clear" w:color="auto" w:fill="FFFFFF"/>
        </w:rPr>
        <w:t>1985</w:t>
      </w:r>
      <w:r>
        <w:rPr>
          <w:rFonts w:ascii="Times New Roman" w:hAnsi="Times New Roman" w:cs="Times New Roman"/>
          <w:shd w:val="clear" w:color="auto" w:fill="FFFFFF"/>
        </w:rPr>
        <w:t>年，刘家富团队以自然海区性成熟大黄鱼为亲鱼，成功培育出</w:t>
      </w:r>
      <w:r>
        <w:rPr>
          <w:rFonts w:ascii="Times New Roman" w:hAnsi="Times New Roman" w:cs="Times New Roman"/>
          <w:shd w:val="clear" w:color="auto" w:fill="FFFFFF"/>
        </w:rPr>
        <w:t>7343</w:t>
      </w:r>
      <w:r>
        <w:rPr>
          <w:rFonts w:ascii="Times New Roman" w:hAnsi="Times New Roman" w:cs="Times New Roman"/>
          <w:shd w:val="clear" w:color="auto" w:fill="FFFFFF"/>
        </w:rPr>
        <w:t>尾种苗，突破了大黄鱼</w:t>
      </w:r>
      <w:r>
        <w:rPr>
          <w:rFonts w:ascii="Times New Roman" w:hAnsi="Times New Roman" w:cs="Times New Roman"/>
          <w:shd w:val="clear" w:color="auto" w:fill="FFFFFF"/>
        </w:rPr>
        <w:t>“</w:t>
      </w:r>
      <w:r>
        <w:rPr>
          <w:rFonts w:ascii="Times New Roman" w:hAnsi="Times New Roman" w:cs="Times New Roman"/>
          <w:shd w:val="clear" w:color="auto" w:fill="FFFFFF"/>
        </w:rPr>
        <w:t>离水即死</w:t>
      </w:r>
      <w:r>
        <w:rPr>
          <w:rFonts w:ascii="Times New Roman" w:hAnsi="Times New Roman" w:cs="Times New Roman"/>
          <w:shd w:val="clear" w:color="auto" w:fill="FFFFFF"/>
        </w:rPr>
        <w:t>”</w:t>
      </w:r>
      <w:r>
        <w:rPr>
          <w:rFonts w:ascii="Times New Roman" w:hAnsi="Times New Roman" w:cs="Times New Roman"/>
          <w:shd w:val="clear" w:color="auto" w:fill="FFFFFF"/>
        </w:rPr>
        <w:t>的世界性技术难题。</w:t>
      </w:r>
    </w:p>
    <w:p w14:paraId="6C8BE3D4" w14:textId="77777777" w:rsidR="008F75C3" w:rsidRDefault="006614AC">
      <w:pPr>
        <w:pStyle w:val="ad"/>
        <w:shd w:val="clear" w:color="auto" w:fill="FFFFFF"/>
        <w:spacing w:before="0" w:beforeAutospacing="0" w:after="0" w:afterAutospacing="0" w:line="360" w:lineRule="auto"/>
        <w:ind w:firstLineChars="200" w:firstLine="480"/>
        <w:jc w:val="both"/>
        <w:rPr>
          <w:rFonts w:ascii="Times New Roman" w:hAnsi="Times New Roman" w:cs="Times New Roman"/>
        </w:rPr>
      </w:pPr>
      <w:r>
        <w:rPr>
          <w:rFonts w:ascii="Times New Roman" w:hAnsi="Times New Roman" w:cs="Times New Roman"/>
          <w:shd w:val="clear" w:color="auto" w:fill="FFFFFF"/>
        </w:rPr>
        <w:t>雷霁霖院士等从英国引进大菱</w:t>
      </w:r>
      <w:proofErr w:type="gramStart"/>
      <w:r>
        <w:rPr>
          <w:rFonts w:ascii="Times New Roman" w:hAnsi="Times New Roman" w:cs="Times New Roman"/>
          <w:shd w:val="clear" w:color="auto" w:fill="FFFFFF"/>
        </w:rPr>
        <w:t>鲆</w:t>
      </w:r>
      <w:proofErr w:type="gramEnd"/>
      <w:r>
        <w:rPr>
          <w:rFonts w:ascii="Times New Roman" w:hAnsi="Times New Roman" w:cs="Times New Roman"/>
          <w:shd w:val="clear" w:color="auto" w:fill="FFFFFF"/>
        </w:rPr>
        <w:t>，突破大规模育苗技术难关，完成了大菱</w:t>
      </w:r>
      <w:proofErr w:type="gramStart"/>
      <w:r>
        <w:rPr>
          <w:rFonts w:ascii="Times New Roman" w:hAnsi="Times New Roman" w:cs="Times New Roman"/>
          <w:shd w:val="clear" w:color="auto" w:fill="FFFFFF"/>
        </w:rPr>
        <w:t>鲆</w:t>
      </w:r>
      <w:proofErr w:type="gramEnd"/>
      <w:r>
        <w:rPr>
          <w:rFonts w:ascii="Times New Roman" w:hAnsi="Times New Roman" w:cs="Times New Roman"/>
          <w:shd w:val="clear" w:color="auto" w:fill="FFFFFF"/>
        </w:rPr>
        <w:t>繁殖和养殖系列工艺研究，并迅速形成新兴产业。夏德全院士、李思发研究员等全面突破</w:t>
      </w:r>
      <w:proofErr w:type="gramStart"/>
      <w:r>
        <w:rPr>
          <w:rFonts w:ascii="Times New Roman" w:hAnsi="Times New Roman" w:cs="Times New Roman"/>
          <w:shd w:val="clear" w:color="auto" w:fill="FFFFFF"/>
        </w:rPr>
        <w:t>了全雄罗非鱼</w:t>
      </w:r>
      <w:proofErr w:type="gramEnd"/>
      <w:r>
        <w:rPr>
          <w:rFonts w:ascii="Times New Roman" w:hAnsi="Times New Roman" w:cs="Times New Roman"/>
          <w:shd w:val="clear" w:color="auto" w:fill="FFFFFF"/>
        </w:rPr>
        <w:t>大规模育种技术，建立了罗非鱼规模化健康养殖技术体系</w:t>
      </w:r>
      <w:r>
        <w:rPr>
          <w:rFonts w:ascii="Times New Roman" w:hAnsi="Times New Roman" w:cs="Times New Roman" w:hint="eastAsia"/>
          <w:shd w:val="clear" w:color="auto" w:fill="FFFFFF"/>
        </w:rPr>
        <w:t>,</w:t>
      </w:r>
      <w:r>
        <w:rPr>
          <w:rFonts w:ascii="Times New Roman" w:hAnsi="Times New Roman" w:cs="Times New Roman"/>
          <w:shd w:val="clear" w:color="auto" w:fill="FFFFFF"/>
        </w:rPr>
        <w:t>罗非鱼出口居我国鱼类之首。</w:t>
      </w:r>
    </w:p>
    <w:p w14:paraId="4DB01F98" w14:textId="77777777" w:rsidR="008F75C3" w:rsidRDefault="006614AC">
      <w:pPr>
        <w:pStyle w:val="ad"/>
        <w:shd w:val="clear" w:color="auto" w:fill="FFFFFF"/>
        <w:spacing w:before="0" w:beforeAutospacing="0" w:after="0" w:afterAutospacing="0" w:line="360" w:lineRule="auto"/>
        <w:ind w:firstLineChars="200" w:firstLine="480"/>
        <w:jc w:val="both"/>
        <w:rPr>
          <w:rFonts w:ascii="Times New Roman" w:hAnsi="Times New Roman" w:cs="Times New Roman"/>
        </w:rPr>
      </w:pPr>
      <w:r>
        <w:rPr>
          <w:rFonts w:ascii="Times New Roman" w:hAnsi="Times New Roman" w:cs="Times New Roman"/>
          <w:shd w:val="clear" w:color="auto" w:fill="FFFFFF"/>
        </w:rPr>
        <w:t>2011</w:t>
      </w:r>
      <w:r>
        <w:rPr>
          <w:rFonts w:ascii="Times New Roman" w:hAnsi="Times New Roman" w:cs="Times New Roman"/>
          <w:shd w:val="clear" w:color="auto" w:fill="FFFFFF"/>
        </w:rPr>
        <w:t>年，恒兴和中山大学合作繁育</w:t>
      </w:r>
      <w:r>
        <w:rPr>
          <w:rFonts w:ascii="Times New Roman" w:hAnsi="Times New Roman" w:cs="Times New Roman"/>
          <w:shd w:val="clear" w:color="auto" w:fill="FFFFFF"/>
        </w:rPr>
        <w:t>“</w:t>
      </w:r>
      <w:r>
        <w:rPr>
          <w:rFonts w:ascii="Times New Roman" w:hAnsi="Times New Roman" w:cs="Times New Roman"/>
          <w:shd w:val="clear" w:color="auto" w:fill="FFFFFF"/>
        </w:rPr>
        <w:t>中兴</w:t>
      </w:r>
      <w:r>
        <w:rPr>
          <w:rFonts w:ascii="Times New Roman" w:hAnsi="Times New Roman" w:cs="Times New Roman"/>
          <w:shd w:val="clear" w:color="auto" w:fill="FFFFFF"/>
        </w:rPr>
        <w:t>1</w:t>
      </w:r>
      <w:r>
        <w:rPr>
          <w:rFonts w:ascii="Times New Roman" w:hAnsi="Times New Roman" w:cs="Times New Roman"/>
          <w:shd w:val="clear" w:color="auto" w:fill="FFFFFF"/>
        </w:rPr>
        <w:t>号</w:t>
      </w:r>
      <w:r>
        <w:rPr>
          <w:rFonts w:ascii="Times New Roman" w:hAnsi="Times New Roman" w:cs="Times New Roman"/>
          <w:shd w:val="clear" w:color="auto" w:fill="FFFFFF"/>
        </w:rPr>
        <w:t>”</w:t>
      </w:r>
      <w:r>
        <w:rPr>
          <w:rFonts w:ascii="Times New Roman" w:hAnsi="Times New Roman" w:cs="Times New Roman"/>
          <w:shd w:val="clear" w:color="auto" w:fill="FFFFFF"/>
        </w:rPr>
        <w:t>，是中国的第一个南美白对虾种虾，填补了国内种虾</w:t>
      </w:r>
      <w:proofErr w:type="gramStart"/>
      <w:r>
        <w:rPr>
          <w:rFonts w:ascii="Times New Roman" w:hAnsi="Times New Roman" w:cs="Times New Roman"/>
          <w:shd w:val="clear" w:color="auto" w:fill="FFFFFF"/>
        </w:rPr>
        <w:t>版块</w:t>
      </w:r>
      <w:proofErr w:type="gramEnd"/>
      <w:r>
        <w:rPr>
          <w:rFonts w:ascii="Times New Roman" w:hAnsi="Times New Roman" w:cs="Times New Roman"/>
          <w:shd w:val="clear" w:color="auto" w:fill="FFFFFF"/>
        </w:rPr>
        <w:t>的空白。</w:t>
      </w:r>
    </w:p>
    <w:p w14:paraId="78B8F37D" w14:textId="77777777" w:rsidR="008F75C3" w:rsidRDefault="006614AC">
      <w:pPr>
        <w:pStyle w:val="ad"/>
        <w:shd w:val="clear" w:color="auto" w:fill="FFFFFF"/>
        <w:spacing w:before="0" w:beforeAutospacing="0" w:after="0" w:afterAutospacing="0" w:line="360" w:lineRule="auto"/>
        <w:ind w:firstLineChars="200" w:firstLine="480"/>
        <w:jc w:val="both"/>
        <w:rPr>
          <w:rFonts w:ascii="Times New Roman" w:hAnsi="Times New Roman" w:cs="Times New Roman"/>
        </w:rPr>
      </w:pPr>
      <w:r>
        <w:rPr>
          <w:rFonts w:ascii="Times New Roman" w:hAnsi="Times New Roman" w:cs="Times New Roman"/>
          <w:shd w:val="clear" w:color="auto" w:fill="FFFFFF"/>
        </w:rPr>
        <w:t>2021</w:t>
      </w:r>
      <w:r>
        <w:rPr>
          <w:rFonts w:ascii="Times New Roman" w:hAnsi="Times New Roman" w:cs="Times New Roman"/>
          <w:shd w:val="clear" w:color="auto" w:fill="FFFFFF"/>
        </w:rPr>
        <w:t>年，海兴农成为全球南美白对虾苗销量最大的</w:t>
      </w:r>
      <w:r>
        <w:rPr>
          <w:rFonts w:ascii="Times New Roman" w:hAnsi="Times New Roman" w:cs="Times New Roman"/>
          <w:shd w:val="clear" w:color="auto" w:fill="FFFFFF"/>
        </w:rPr>
        <w:t>企业。</w:t>
      </w:r>
    </w:p>
    <w:p w14:paraId="4E38E521" w14:textId="77777777" w:rsidR="008F75C3" w:rsidRDefault="006614AC">
      <w:pPr>
        <w:pStyle w:val="21"/>
        <w:spacing w:after="0" w:line="360" w:lineRule="auto"/>
        <w:ind w:leftChars="0" w:left="0" w:firstLineChars="200" w:firstLine="480"/>
        <w:rPr>
          <w:sz w:val="24"/>
        </w:rPr>
      </w:pPr>
      <w:r>
        <w:rPr>
          <w:sz w:val="24"/>
        </w:rPr>
        <w:t>人工育苗及养殖技术的一次次突破，掀起淡水养殖、海水养殖的一次又一次浪潮。我国水产养殖形成了</w:t>
      </w:r>
      <w:r>
        <w:rPr>
          <w:sz w:val="24"/>
        </w:rPr>
        <w:t>“</w:t>
      </w:r>
      <w:r>
        <w:rPr>
          <w:sz w:val="24"/>
        </w:rPr>
        <w:t>研究开发一个品种、集成一套技术、发展一个产业</w:t>
      </w:r>
      <w:r>
        <w:rPr>
          <w:sz w:val="24"/>
        </w:rPr>
        <w:t>”</w:t>
      </w:r>
      <w:r>
        <w:rPr>
          <w:sz w:val="24"/>
        </w:rPr>
        <w:t>的主要发展模式。至此，我国水产种业体系形成了由保种、育种、扩繁、苗种生产等产业化体系。</w:t>
      </w:r>
    </w:p>
    <w:p w14:paraId="77BAF1A9" w14:textId="77777777" w:rsidR="008F75C3" w:rsidRDefault="006614AC">
      <w:pPr>
        <w:pStyle w:val="21"/>
        <w:spacing w:after="0" w:line="360" w:lineRule="auto"/>
        <w:ind w:leftChars="0" w:left="0" w:firstLineChars="200" w:firstLine="480"/>
        <w:rPr>
          <w:sz w:val="24"/>
        </w:rPr>
      </w:pPr>
      <w:r>
        <w:rPr>
          <w:sz w:val="24"/>
        </w:rPr>
        <w:t>全国水产技术推广总站副站长胡红浪</w:t>
      </w:r>
      <w:r>
        <w:rPr>
          <w:sz w:val="24"/>
        </w:rPr>
        <w:t>研究员</w:t>
      </w:r>
      <w:r>
        <w:rPr>
          <w:sz w:val="24"/>
        </w:rPr>
        <w:t>表示，从全球看，我国在种质资源保存、常规方法选育、良种规模化繁育等应用研究和技术推广方面有优势，整体上处于领先地位，</w:t>
      </w:r>
      <w:r>
        <w:rPr>
          <w:sz w:val="24"/>
        </w:rPr>
        <w:lastRenderedPageBreak/>
        <w:t>我国有</w:t>
      </w:r>
      <w:r>
        <w:rPr>
          <w:sz w:val="24"/>
        </w:rPr>
        <w:t>300</w:t>
      </w:r>
      <w:r>
        <w:rPr>
          <w:sz w:val="24"/>
        </w:rPr>
        <w:t>多种水产经济物种实现了全人工繁育。</w:t>
      </w:r>
    </w:p>
    <w:p w14:paraId="59D5D5F5" w14:textId="77777777" w:rsidR="008F75C3" w:rsidRDefault="006614AC">
      <w:pPr>
        <w:pStyle w:val="21"/>
        <w:spacing w:after="0" w:line="360" w:lineRule="auto"/>
        <w:ind w:leftChars="0" w:left="0" w:firstLineChars="200" w:firstLine="480"/>
        <w:rPr>
          <w:sz w:val="24"/>
        </w:rPr>
      </w:pPr>
      <w:r>
        <w:rPr>
          <w:sz w:val="24"/>
        </w:rPr>
        <w:t>目前，全国水产品种</w:t>
      </w:r>
      <w:r>
        <w:rPr>
          <w:sz w:val="24"/>
        </w:rPr>
        <w:t>550</w:t>
      </w:r>
      <w:r>
        <w:rPr>
          <w:sz w:val="24"/>
        </w:rPr>
        <w:t>多种，拥有</w:t>
      </w:r>
      <w:r>
        <w:rPr>
          <w:sz w:val="24"/>
        </w:rPr>
        <w:t>300</w:t>
      </w:r>
      <w:r>
        <w:rPr>
          <w:sz w:val="24"/>
        </w:rPr>
        <w:t>多种水产养殖经济品种，我国已审定和推广水产新品种</w:t>
      </w:r>
      <w:r>
        <w:rPr>
          <w:sz w:val="24"/>
        </w:rPr>
        <w:t xml:space="preserve"> 240 </w:t>
      </w:r>
      <w:proofErr w:type="gramStart"/>
      <w:r>
        <w:rPr>
          <w:sz w:val="24"/>
        </w:rPr>
        <w:t>个</w:t>
      </w:r>
      <w:proofErr w:type="gramEnd"/>
      <w:r>
        <w:rPr>
          <w:sz w:val="24"/>
        </w:rPr>
        <w:t>，水产养殖遗传改良率超</w:t>
      </w:r>
      <w:r>
        <w:rPr>
          <w:sz w:val="24"/>
        </w:rPr>
        <w:t>50%</w:t>
      </w:r>
      <w:r>
        <w:rPr>
          <w:sz w:val="24"/>
        </w:rPr>
        <w:t>，培育水产种业企业</w:t>
      </w:r>
      <w:r>
        <w:rPr>
          <w:sz w:val="24"/>
        </w:rPr>
        <w:t xml:space="preserve"> 1.9 </w:t>
      </w:r>
      <w:r>
        <w:rPr>
          <w:sz w:val="24"/>
        </w:rPr>
        <w:t>万余家，年提供苗种</w:t>
      </w:r>
      <w:r>
        <w:rPr>
          <w:sz w:val="24"/>
        </w:rPr>
        <w:t xml:space="preserve"> 6 </w:t>
      </w:r>
      <w:r>
        <w:rPr>
          <w:sz w:val="24"/>
        </w:rPr>
        <w:t>万亿尾（粒）以上，产值超</w:t>
      </w:r>
      <w:r>
        <w:rPr>
          <w:sz w:val="24"/>
        </w:rPr>
        <w:t>660</w:t>
      </w:r>
      <w:r>
        <w:rPr>
          <w:sz w:val="24"/>
        </w:rPr>
        <w:t>亿元，支撑了世界三分之二的养殖产量，除南美白对虾及个别冷水性鱼类</w:t>
      </w:r>
      <w:proofErr w:type="gramStart"/>
      <w:r>
        <w:rPr>
          <w:sz w:val="24"/>
        </w:rPr>
        <w:t>外完全</w:t>
      </w:r>
      <w:proofErr w:type="gramEnd"/>
      <w:r>
        <w:rPr>
          <w:sz w:val="24"/>
        </w:rPr>
        <w:t>能够自给有余。</w:t>
      </w:r>
    </w:p>
    <w:p w14:paraId="7B7DF1B1" w14:textId="77777777" w:rsidR="008F75C3" w:rsidRDefault="006614AC">
      <w:pPr>
        <w:pStyle w:val="21"/>
        <w:spacing w:after="0" w:line="360" w:lineRule="auto"/>
        <w:ind w:leftChars="0" w:left="0" w:firstLineChars="200" w:firstLine="480"/>
        <w:rPr>
          <w:sz w:val="24"/>
        </w:rPr>
      </w:pPr>
      <w:r>
        <w:rPr>
          <w:sz w:val="24"/>
        </w:rPr>
        <w:t>尤其是广东省发挥了巨大作用。</w:t>
      </w:r>
      <w:r>
        <w:rPr>
          <w:sz w:val="24"/>
        </w:rPr>
        <w:t>2018</w:t>
      </w:r>
      <w:r>
        <w:rPr>
          <w:sz w:val="24"/>
        </w:rPr>
        <w:t>年全国淡水鱼苗产</w:t>
      </w:r>
      <w:r>
        <w:rPr>
          <w:sz w:val="24"/>
        </w:rPr>
        <w:t>量</w:t>
      </w:r>
      <w:r>
        <w:rPr>
          <w:sz w:val="24"/>
        </w:rPr>
        <w:t>13109.93</w:t>
      </w:r>
      <w:r>
        <w:rPr>
          <w:sz w:val="24"/>
        </w:rPr>
        <w:t>亿尾，其中广东生产</w:t>
      </w:r>
      <w:r>
        <w:rPr>
          <w:sz w:val="24"/>
        </w:rPr>
        <w:t>8279.25</w:t>
      </w:r>
      <w:r>
        <w:rPr>
          <w:sz w:val="24"/>
        </w:rPr>
        <w:t>亿尾、占</w:t>
      </w:r>
      <w:r>
        <w:rPr>
          <w:sz w:val="24"/>
        </w:rPr>
        <w:t>63.15%</w:t>
      </w:r>
      <w:r>
        <w:rPr>
          <w:sz w:val="24"/>
        </w:rPr>
        <w:t>，而其鱼种的投放</w:t>
      </w:r>
      <w:proofErr w:type="gramStart"/>
      <w:r>
        <w:rPr>
          <w:sz w:val="24"/>
        </w:rPr>
        <w:t>量近占全国</w:t>
      </w:r>
      <w:proofErr w:type="gramEnd"/>
      <w:r>
        <w:rPr>
          <w:sz w:val="24"/>
        </w:rPr>
        <w:t>的</w:t>
      </w:r>
      <w:r>
        <w:rPr>
          <w:sz w:val="24"/>
        </w:rPr>
        <w:t>4.72%</w:t>
      </w:r>
      <w:r>
        <w:rPr>
          <w:sz w:val="24"/>
        </w:rPr>
        <w:t>；南美白对虾苗产量</w:t>
      </w:r>
      <w:r>
        <w:rPr>
          <w:sz w:val="24"/>
        </w:rPr>
        <w:t>4497</w:t>
      </w:r>
      <w:r>
        <w:rPr>
          <w:sz w:val="24"/>
        </w:rPr>
        <w:t>亿尾、占全国的</w:t>
      </w:r>
      <w:r>
        <w:rPr>
          <w:sz w:val="24"/>
        </w:rPr>
        <w:t>43.98%.</w:t>
      </w:r>
      <w:r>
        <w:rPr>
          <w:sz w:val="24"/>
        </w:rPr>
        <w:t>成为我国最重要的水产苗种生产、供应基地。</w:t>
      </w:r>
    </w:p>
    <w:p w14:paraId="29ADFD67" w14:textId="77777777" w:rsidR="008F75C3" w:rsidRDefault="006614AC">
      <w:pPr>
        <w:pStyle w:val="21"/>
        <w:spacing w:after="0" w:line="360" w:lineRule="auto"/>
        <w:ind w:leftChars="0" w:left="0" w:firstLineChars="200" w:firstLine="480"/>
        <w:rPr>
          <w:sz w:val="24"/>
        </w:rPr>
      </w:pPr>
      <w:r>
        <w:rPr>
          <w:sz w:val="24"/>
        </w:rPr>
        <w:t>刘少军</w:t>
      </w:r>
      <w:r>
        <w:rPr>
          <w:sz w:val="24"/>
        </w:rPr>
        <w:t>院士</w:t>
      </w:r>
      <w:r>
        <w:rPr>
          <w:sz w:val="24"/>
        </w:rPr>
        <w:t>认为，广东是我国水产大省，也是中国水产种业的排头兵、领军者。近年来，广东一批拥有自主知识产权（核心技术</w:t>
      </w:r>
      <w:r>
        <w:rPr>
          <w:sz w:val="24"/>
        </w:rPr>
        <w:t>+</w:t>
      </w:r>
      <w:r>
        <w:rPr>
          <w:sz w:val="24"/>
        </w:rPr>
        <w:t>优质种苗产品）的水产种业企业脱颖而出，表现出不凡的市场竞争力，海兴农、海茂、恒兴等南美白对虾种苗企业已实现从跟跑到并跑。</w:t>
      </w:r>
    </w:p>
    <w:p w14:paraId="12DF13B0" w14:textId="77777777" w:rsidR="008F75C3" w:rsidRDefault="006614AC">
      <w:pPr>
        <w:pStyle w:val="21"/>
        <w:spacing w:after="0" w:line="360" w:lineRule="auto"/>
        <w:ind w:leftChars="0" w:left="0" w:firstLineChars="200" w:firstLine="480"/>
        <w:rPr>
          <w:sz w:val="24"/>
        </w:rPr>
      </w:pPr>
      <w:r>
        <w:rPr>
          <w:sz w:val="24"/>
        </w:rPr>
        <w:t>胡红浪</w:t>
      </w:r>
      <w:r>
        <w:rPr>
          <w:rFonts w:hint="eastAsia"/>
          <w:sz w:val="24"/>
        </w:rPr>
        <w:t>研究员</w:t>
      </w:r>
      <w:r>
        <w:rPr>
          <w:sz w:val="24"/>
        </w:rPr>
        <w:t>强调，我国水产种业水平还有待进一步提升，重点做好五个方面工作</w:t>
      </w:r>
      <w:r>
        <w:rPr>
          <w:sz w:val="24"/>
        </w:rPr>
        <w:t>：一是加强水产种质资源的保护与利用；二是要加快水产种业自主创新的联合攻关，加快建立以企业为主体、基础公益研究为支撑的产学研用融合的水产种业创新体系；三是加强种业基础设施建设，继续实施《种业提升工程规划》；四是加快培育有核心竞争力的水产种业企业；五是要提高水产种</w:t>
      </w:r>
      <w:proofErr w:type="gramStart"/>
      <w:r>
        <w:rPr>
          <w:sz w:val="24"/>
        </w:rPr>
        <w:t>业治理</w:t>
      </w:r>
      <w:proofErr w:type="gramEnd"/>
      <w:r>
        <w:rPr>
          <w:sz w:val="24"/>
        </w:rPr>
        <w:t>能力和水平。</w:t>
      </w:r>
    </w:p>
    <w:p w14:paraId="1303146B" w14:textId="77777777" w:rsidR="008F75C3" w:rsidRDefault="006614AC">
      <w:pPr>
        <w:pStyle w:val="21"/>
        <w:spacing w:after="0" w:line="360" w:lineRule="auto"/>
        <w:rPr>
          <w:sz w:val="24"/>
        </w:rPr>
      </w:pPr>
      <w:r>
        <w:rPr>
          <w:sz w:val="24"/>
        </w:rPr>
        <w:t>全球领先的以养为主绿色发展模式：</w:t>
      </w:r>
    </w:p>
    <w:p w14:paraId="7832F94D" w14:textId="77777777" w:rsidR="008F75C3" w:rsidRDefault="006614AC">
      <w:pPr>
        <w:pStyle w:val="21"/>
        <w:spacing w:after="0" w:line="360" w:lineRule="auto"/>
        <w:rPr>
          <w:sz w:val="24"/>
        </w:rPr>
      </w:pPr>
      <w:r>
        <w:rPr>
          <w:sz w:val="24"/>
        </w:rPr>
        <w:t>水产品产量第一、人均拥有量第一</w:t>
      </w:r>
    </w:p>
    <w:p w14:paraId="5692F429" w14:textId="77777777" w:rsidR="008F75C3" w:rsidRDefault="006614AC">
      <w:pPr>
        <w:pStyle w:val="21"/>
        <w:spacing w:after="0" w:line="360" w:lineRule="auto"/>
        <w:ind w:leftChars="0" w:left="0" w:firstLineChars="200" w:firstLine="480"/>
        <w:rPr>
          <w:sz w:val="24"/>
        </w:rPr>
      </w:pPr>
      <w:r>
        <w:rPr>
          <w:sz w:val="24"/>
        </w:rPr>
        <w:t>农业农村部副部长马有祥指出，我国现在每年人均消费的动物产品约</w:t>
      </w:r>
      <w:r>
        <w:rPr>
          <w:sz w:val="24"/>
        </w:rPr>
        <w:t xml:space="preserve"> 150 </w:t>
      </w:r>
      <w:r>
        <w:rPr>
          <w:sz w:val="24"/>
        </w:rPr>
        <w:t>公斤，远远超过口粮，其中水产品</w:t>
      </w:r>
      <w:r>
        <w:rPr>
          <w:sz w:val="24"/>
        </w:rPr>
        <w:t xml:space="preserve"> 46 </w:t>
      </w:r>
      <w:r>
        <w:rPr>
          <w:sz w:val="24"/>
        </w:rPr>
        <w:t>公斤，占将近三分之一，所以水产品的地位越来越重要。大家长期</w:t>
      </w:r>
      <w:r>
        <w:rPr>
          <w:sz w:val="24"/>
        </w:rPr>
        <w:t>以来可能对水产的重视不够，但是现在我们生活质量提高以后水产品需求会上升，所以动物蛋白重要性应该越来越强。</w:t>
      </w:r>
    </w:p>
    <w:p w14:paraId="5EADA607" w14:textId="77777777" w:rsidR="008F75C3" w:rsidRDefault="006614AC">
      <w:pPr>
        <w:pStyle w:val="21"/>
        <w:spacing w:after="0" w:line="360" w:lineRule="auto"/>
        <w:rPr>
          <w:sz w:val="24"/>
        </w:rPr>
      </w:pPr>
      <w:r>
        <w:rPr>
          <w:sz w:val="24"/>
        </w:rPr>
        <w:t>1949</w:t>
      </w:r>
      <w:r>
        <w:rPr>
          <w:sz w:val="24"/>
        </w:rPr>
        <w:t>年，全国水产品总产量</w:t>
      </w:r>
      <w:r>
        <w:rPr>
          <w:sz w:val="24"/>
        </w:rPr>
        <w:t>45</w:t>
      </w:r>
      <w:r>
        <w:rPr>
          <w:sz w:val="24"/>
        </w:rPr>
        <w:t>万吨，人均占有量为</w:t>
      </w:r>
      <w:r>
        <w:rPr>
          <w:sz w:val="24"/>
        </w:rPr>
        <w:t>0.8</w:t>
      </w:r>
      <w:r>
        <w:rPr>
          <w:sz w:val="24"/>
        </w:rPr>
        <w:t>公斤；</w:t>
      </w:r>
    </w:p>
    <w:p w14:paraId="46C75247" w14:textId="77777777" w:rsidR="008F75C3" w:rsidRDefault="006614AC">
      <w:pPr>
        <w:pStyle w:val="21"/>
        <w:spacing w:after="0" w:line="360" w:lineRule="auto"/>
        <w:rPr>
          <w:sz w:val="24"/>
        </w:rPr>
      </w:pPr>
      <w:r>
        <w:rPr>
          <w:sz w:val="24"/>
        </w:rPr>
        <w:t>1978</w:t>
      </w:r>
      <w:r>
        <w:rPr>
          <w:sz w:val="24"/>
        </w:rPr>
        <w:t>年，全国水产品总产量</w:t>
      </w:r>
      <w:r>
        <w:rPr>
          <w:sz w:val="24"/>
        </w:rPr>
        <w:t>465</w:t>
      </w:r>
      <w:r>
        <w:rPr>
          <w:sz w:val="24"/>
        </w:rPr>
        <w:t>万吨，人均占有量为</w:t>
      </w:r>
      <w:r>
        <w:rPr>
          <w:sz w:val="24"/>
        </w:rPr>
        <w:t>4.8</w:t>
      </w:r>
      <w:r>
        <w:rPr>
          <w:sz w:val="24"/>
        </w:rPr>
        <w:t>公斤；</w:t>
      </w:r>
    </w:p>
    <w:p w14:paraId="67AC51AC" w14:textId="77777777" w:rsidR="008F75C3" w:rsidRDefault="006614AC">
      <w:pPr>
        <w:pStyle w:val="21"/>
        <w:spacing w:after="0" w:line="360" w:lineRule="auto"/>
        <w:rPr>
          <w:sz w:val="24"/>
        </w:rPr>
      </w:pPr>
      <w:r>
        <w:rPr>
          <w:sz w:val="24"/>
        </w:rPr>
        <w:t>1995</w:t>
      </w:r>
      <w:r>
        <w:rPr>
          <w:sz w:val="24"/>
        </w:rPr>
        <w:t>年，全国水产品总产量</w:t>
      </w:r>
      <w:r>
        <w:rPr>
          <w:sz w:val="24"/>
        </w:rPr>
        <w:t>2146</w:t>
      </w:r>
      <w:r>
        <w:rPr>
          <w:sz w:val="24"/>
        </w:rPr>
        <w:t>万吨，人均占有量提高到</w:t>
      </w:r>
      <w:r>
        <w:rPr>
          <w:sz w:val="24"/>
        </w:rPr>
        <w:t>18</w:t>
      </w:r>
      <w:r>
        <w:rPr>
          <w:sz w:val="24"/>
        </w:rPr>
        <w:t>公斤；</w:t>
      </w:r>
    </w:p>
    <w:p w14:paraId="58C61231" w14:textId="77777777" w:rsidR="008F75C3" w:rsidRDefault="006614AC">
      <w:pPr>
        <w:pStyle w:val="21"/>
        <w:spacing w:after="0" w:line="360" w:lineRule="auto"/>
        <w:ind w:leftChars="0" w:left="0" w:firstLineChars="200" w:firstLine="480"/>
        <w:rPr>
          <w:sz w:val="24"/>
        </w:rPr>
      </w:pPr>
      <w:r>
        <w:rPr>
          <w:sz w:val="24"/>
        </w:rPr>
        <w:t>2018</w:t>
      </w:r>
      <w:r>
        <w:rPr>
          <w:sz w:val="24"/>
        </w:rPr>
        <w:t>年，全国水产品总产量</w:t>
      </w:r>
      <w:r>
        <w:rPr>
          <w:sz w:val="24"/>
        </w:rPr>
        <w:t>6458</w:t>
      </w:r>
      <w:r>
        <w:rPr>
          <w:sz w:val="24"/>
        </w:rPr>
        <w:t>万吨，人均占有量</w:t>
      </w:r>
      <w:r>
        <w:rPr>
          <w:sz w:val="24"/>
        </w:rPr>
        <w:t>46</w:t>
      </w:r>
      <w:r>
        <w:rPr>
          <w:sz w:val="24"/>
        </w:rPr>
        <w:t>公斤，比全球人均占有量高出一倍。我国水产品总产量占全世界的近</w:t>
      </w:r>
      <w:r>
        <w:rPr>
          <w:sz w:val="24"/>
        </w:rPr>
        <w:t>40%</w:t>
      </w:r>
      <w:r>
        <w:rPr>
          <w:sz w:val="24"/>
        </w:rPr>
        <w:t>，水产养殖产量占</w:t>
      </w:r>
      <w:r>
        <w:rPr>
          <w:sz w:val="24"/>
        </w:rPr>
        <w:t>60%</w:t>
      </w:r>
      <w:r>
        <w:rPr>
          <w:sz w:val="24"/>
        </w:rPr>
        <w:t>以上。</w:t>
      </w:r>
    </w:p>
    <w:p w14:paraId="41B4D26B" w14:textId="77777777" w:rsidR="008F75C3" w:rsidRDefault="006614AC">
      <w:pPr>
        <w:pStyle w:val="21"/>
        <w:spacing w:after="0" w:line="360" w:lineRule="auto"/>
        <w:rPr>
          <w:sz w:val="24"/>
        </w:rPr>
      </w:pPr>
      <w:r>
        <w:rPr>
          <w:sz w:val="24"/>
        </w:rPr>
        <w:t>从</w:t>
      </w:r>
      <w:r>
        <w:rPr>
          <w:sz w:val="24"/>
        </w:rPr>
        <w:t>1989</w:t>
      </w:r>
      <w:r>
        <w:rPr>
          <w:sz w:val="24"/>
        </w:rPr>
        <w:t>年起，我国水产品产量跃居世界第一位，已经连续</w:t>
      </w:r>
      <w:r>
        <w:rPr>
          <w:sz w:val="24"/>
        </w:rPr>
        <w:t>31</w:t>
      </w:r>
      <w:r>
        <w:rPr>
          <w:sz w:val="24"/>
        </w:rPr>
        <w:t>年保持世界第一。</w:t>
      </w:r>
    </w:p>
    <w:p w14:paraId="50F92CEF" w14:textId="77777777" w:rsidR="008F75C3" w:rsidRDefault="006614AC">
      <w:pPr>
        <w:pStyle w:val="21"/>
        <w:spacing w:after="0" w:line="360" w:lineRule="auto"/>
        <w:ind w:leftChars="0" w:left="0" w:firstLineChars="200" w:firstLine="480"/>
        <w:rPr>
          <w:sz w:val="24"/>
        </w:rPr>
      </w:pPr>
      <w:r>
        <w:rPr>
          <w:sz w:val="24"/>
        </w:rPr>
        <w:t>一连串数字的背后，中国水产业不仅创下诸多世界第一，还是世界上率先改变以</w:t>
      </w:r>
      <w:proofErr w:type="gramStart"/>
      <w:r>
        <w:rPr>
          <w:sz w:val="24"/>
        </w:rPr>
        <w:t>捕为</w:t>
      </w:r>
      <w:r>
        <w:rPr>
          <w:sz w:val="24"/>
        </w:rPr>
        <w:lastRenderedPageBreak/>
        <w:t>主</w:t>
      </w:r>
      <w:proofErr w:type="gramEnd"/>
      <w:r>
        <w:rPr>
          <w:sz w:val="24"/>
        </w:rPr>
        <w:t>转向以养为主的国家，</w:t>
      </w:r>
      <w:r>
        <w:rPr>
          <w:sz w:val="24"/>
        </w:rPr>
        <w:t xml:space="preserve"> </w:t>
      </w:r>
      <w:r>
        <w:rPr>
          <w:sz w:val="24"/>
        </w:rPr>
        <w:t>水产养殖产量占全国总产量的近</w:t>
      </w:r>
      <w:r>
        <w:rPr>
          <w:sz w:val="24"/>
        </w:rPr>
        <w:t>80%</w:t>
      </w:r>
      <w:r>
        <w:rPr>
          <w:sz w:val="24"/>
        </w:rPr>
        <w:t>，占全球养殖总量的</w:t>
      </w:r>
      <w:r>
        <w:rPr>
          <w:sz w:val="24"/>
        </w:rPr>
        <w:t>60%</w:t>
      </w:r>
      <w:r>
        <w:rPr>
          <w:sz w:val="24"/>
        </w:rPr>
        <w:t>以上，这是一个具有十分重大的意义数字。</w:t>
      </w:r>
    </w:p>
    <w:p w14:paraId="023DB368" w14:textId="77777777" w:rsidR="008F75C3" w:rsidRDefault="006614AC">
      <w:pPr>
        <w:pStyle w:val="21"/>
        <w:spacing w:after="0" w:line="360" w:lineRule="auto"/>
        <w:ind w:leftChars="0" w:left="0" w:firstLineChars="200" w:firstLine="480"/>
        <w:rPr>
          <w:sz w:val="24"/>
        </w:rPr>
      </w:pPr>
      <w:r>
        <w:rPr>
          <w:sz w:val="24"/>
        </w:rPr>
        <w:t>据不完全统计，全球水产品产量十大国：中国</w:t>
      </w:r>
      <w:r>
        <w:rPr>
          <w:sz w:val="24"/>
        </w:rPr>
        <w:t>6500</w:t>
      </w:r>
      <w:r>
        <w:rPr>
          <w:sz w:val="24"/>
        </w:rPr>
        <w:t>多万吨</w:t>
      </w:r>
      <w:r>
        <w:rPr>
          <w:sz w:val="24"/>
        </w:rPr>
        <w:t>/</w:t>
      </w:r>
      <w:r>
        <w:rPr>
          <w:sz w:val="24"/>
        </w:rPr>
        <w:t>年、印度尼西亚</w:t>
      </w:r>
      <w:r>
        <w:rPr>
          <w:sz w:val="24"/>
        </w:rPr>
        <w:t>2000</w:t>
      </w:r>
      <w:r>
        <w:rPr>
          <w:sz w:val="24"/>
        </w:rPr>
        <w:t>多万吨</w:t>
      </w:r>
      <w:r>
        <w:rPr>
          <w:sz w:val="24"/>
        </w:rPr>
        <w:t>/</w:t>
      </w:r>
      <w:r>
        <w:rPr>
          <w:sz w:val="24"/>
        </w:rPr>
        <w:t>年、印度</w:t>
      </w:r>
      <w:r>
        <w:rPr>
          <w:sz w:val="24"/>
        </w:rPr>
        <w:t>1000</w:t>
      </w:r>
      <w:r>
        <w:rPr>
          <w:sz w:val="24"/>
        </w:rPr>
        <w:t>万吨</w:t>
      </w:r>
      <w:r>
        <w:rPr>
          <w:sz w:val="24"/>
        </w:rPr>
        <w:t>/</w:t>
      </w:r>
      <w:r>
        <w:rPr>
          <w:sz w:val="24"/>
        </w:rPr>
        <w:t>年、越南</w:t>
      </w:r>
      <w:r>
        <w:rPr>
          <w:sz w:val="24"/>
        </w:rPr>
        <w:t>640</w:t>
      </w:r>
      <w:r>
        <w:rPr>
          <w:sz w:val="24"/>
        </w:rPr>
        <w:t>万吨</w:t>
      </w:r>
      <w:r>
        <w:rPr>
          <w:sz w:val="24"/>
        </w:rPr>
        <w:t>/</w:t>
      </w:r>
      <w:r>
        <w:rPr>
          <w:sz w:val="24"/>
        </w:rPr>
        <w:t>年、美国</w:t>
      </w:r>
      <w:r>
        <w:rPr>
          <w:sz w:val="24"/>
        </w:rPr>
        <w:t>530</w:t>
      </w:r>
      <w:r>
        <w:rPr>
          <w:sz w:val="24"/>
        </w:rPr>
        <w:t>多万吨</w:t>
      </w:r>
      <w:r>
        <w:rPr>
          <w:sz w:val="24"/>
        </w:rPr>
        <w:t>/</w:t>
      </w:r>
      <w:r>
        <w:rPr>
          <w:sz w:val="24"/>
        </w:rPr>
        <w:t>年、俄罗斯近</w:t>
      </w:r>
      <w:r>
        <w:rPr>
          <w:sz w:val="24"/>
        </w:rPr>
        <w:t>500</w:t>
      </w:r>
      <w:r>
        <w:rPr>
          <w:sz w:val="24"/>
        </w:rPr>
        <w:t>万吨</w:t>
      </w:r>
      <w:r>
        <w:rPr>
          <w:sz w:val="24"/>
        </w:rPr>
        <w:t>/</w:t>
      </w:r>
      <w:r>
        <w:rPr>
          <w:sz w:val="24"/>
        </w:rPr>
        <w:t>年、日本</w:t>
      </w:r>
      <w:r>
        <w:rPr>
          <w:sz w:val="24"/>
        </w:rPr>
        <w:t>440</w:t>
      </w:r>
      <w:r>
        <w:rPr>
          <w:sz w:val="24"/>
        </w:rPr>
        <w:t>多万吨</w:t>
      </w:r>
      <w:r>
        <w:rPr>
          <w:sz w:val="24"/>
        </w:rPr>
        <w:t>/</w:t>
      </w:r>
      <w:r>
        <w:rPr>
          <w:sz w:val="24"/>
        </w:rPr>
        <w:t>年、菲律宾</w:t>
      </w:r>
      <w:r>
        <w:rPr>
          <w:sz w:val="24"/>
        </w:rPr>
        <w:t>420</w:t>
      </w:r>
      <w:r>
        <w:rPr>
          <w:sz w:val="24"/>
        </w:rPr>
        <w:t>万吨</w:t>
      </w:r>
      <w:r>
        <w:rPr>
          <w:sz w:val="24"/>
        </w:rPr>
        <w:t>/</w:t>
      </w:r>
      <w:r>
        <w:rPr>
          <w:sz w:val="24"/>
        </w:rPr>
        <w:t>年、秘鲁近</w:t>
      </w:r>
      <w:r>
        <w:rPr>
          <w:sz w:val="24"/>
        </w:rPr>
        <w:t>400</w:t>
      </w:r>
      <w:r>
        <w:rPr>
          <w:sz w:val="24"/>
        </w:rPr>
        <w:t>万吨</w:t>
      </w:r>
      <w:r>
        <w:rPr>
          <w:sz w:val="24"/>
        </w:rPr>
        <w:t>/</w:t>
      </w:r>
      <w:r>
        <w:rPr>
          <w:sz w:val="24"/>
        </w:rPr>
        <w:t>年、挪威</w:t>
      </w:r>
      <w:r>
        <w:rPr>
          <w:sz w:val="24"/>
        </w:rPr>
        <w:t>350</w:t>
      </w:r>
      <w:r>
        <w:rPr>
          <w:sz w:val="24"/>
        </w:rPr>
        <w:t>多万吨</w:t>
      </w:r>
      <w:r>
        <w:rPr>
          <w:sz w:val="24"/>
        </w:rPr>
        <w:t>/</w:t>
      </w:r>
      <w:r>
        <w:rPr>
          <w:sz w:val="24"/>
        </w:rPr>
        <w:t>年。其中，中国水产养殖产量占比最</w:t>
      </w:r>
      <w:r>
        <w:rPr>
          <w:sz w:val="24"/>
        </w:rPr>
        <w:t>高，多数国家仍处于以</w:t>
      </w:r>
      <w:proofErr w:type="gramStart"/>
      <w:r>
        <w:rPr>
          <w:sz w:val="24"/>
        </w:rPr>
        <w:t>捕为主</w:t>
      </w:r>
      <w:proofErr w:type="gramEnd"/>
      <w:r>
        <w:rPr>
          <w:sz w:val="24"/>
        </w:rPr>
        <w:t>的发展模式。</w:t>
      </w:r>
    </w:p>
    <w:p w14:paraId="14184372" w14:textId="77777777" w:rsidR="008F75C3" w:rsidRDefault="006614AC">
      <w:pPr>
        <w:pStyle w:val="21"/>
        <w:spacing w:after="0" w:line="360" w:lineRule="auto"/>
        <w:ind w:leftChars="0" w:left="0" w:firstLineChars="200" w:firstLine="480"/>
        <w:rPr>
          <w:sz w:val="24"/>
        </w:rPr>
      </w:pPr>
      <w:r>
        <w:rPr>
          <w:sz w:val="24"/>
        </w:rPr>
        <w:t>与石油等资源类似，目前全球渔业资源处于过度捕捞的状态，多数品种濒临灭绝的处境。绿色生态，是大国</w:t>
      </w:r>
      <w:r>
        <w:rPr>
          <w:sz w:val="24"/>
        </w:rPr>
        <w:t>“</w:t>
      </w:r>
      <w:r>
        <w:rPr>
          <w:sz w:val="24"/>
        </w:rPr>
        <w:t>三农</w:t>
      </w:r>
      <w:r>
        <w:rPr>
          <w:sz w:val="24"/>
        </w:rPr>
        <w:t>”</w:t>
      </w:r>
      <w:r>
        <w:rPr>
          <w:sz w:val="24"/>
        </w:rPr>
        <w:t>的底线，更是渔业的底色与依托。渔业是资源依赖型、资源养护型产业。不能竭泽而渔，必须处理好产业发展与资源、环境的关系，探索资源开发利用与生态环境保护并行的路子。</w:t>
      </w:r>
    </w:p>
    <w:p w14:paraId="01E03BC5" w14:textId="77777777" w:rsidR="008F75C3" w:rsidRDefault="006614AC">
      <w:pPr>
        <w:pStyle w:val="21"/>
        <w:spacing w:after="0" w:line="360" w:lineRule="auto"/>
        <w:ind w:leftChars="0" w:left="0" w:firstLineChars="200" w:firstLine="480"/>
        <w:rPr>
          <w:sz w:val="24"/>
        </w:rPr>
      </w:pPr>
      <w:r>
        <w:rPr>
          <w:sz w:val="24"/>
        </w:rPr>
        <w:t>1988</w:t>
      </w:r>
      <w:r>
        <w:rPr>
          <w:sz w:val="24"/>
        </w:rPr>
        <w:t>年我国水产养殖产量首次超过捕捞产量，成为当时世界上唯一养殖产量超过捕捞产量的国家。此后</w:t>
      </w:r>
      <w:r>
        <w:rPr>
          <w:sz w:val="24"/>
        </w:rPr>
        <w:t>30</w:t>
      </w:r>
      <w:r>
        <w:rPr>
          <w:sz w:val="24"/>
        </w:rPr>
        <w:t>多年中，中国始终保持以养为主的生产格局。渔业产量中养殖与捕捞之比，从</w:t>
      </w:r>
      <w:r>
        <w:rPr>
          <w:sz w:val="24"/>
        </w:rPr>
        <w:t>1978</w:t>
      </w:r>
      <w:r>
        <w:rPr>
          <w:sz w:val="24"/>
        </w:rPr>
        <w:t>年的</w:t>
      </w:r>
      <w:r>
        <w:rPr>
          <w:sz w:val="24"/>
        </w:rPr>
        <w:t>26∶74</w:t>
      </w:r>
      <w:r>
        <w:rPr>
          <w:sz w:val="24"/>
        </w:rPr>
        <w:t>、</w:t>
      </w:r>
      <w:r>
        <w:rPr>
          <w:sz w:val="24"/>
        </w:rPr>
        <w:t>1985</w:t>
      </w:r>
      <w:r>
        <w:rPr>
          <w:sz w:val="24"/>
        </w:rPr>
        <w:t>年的</w:t>
      </w:r>
      <w:r>
        <w:rPr>
          <w:sz w:val="24"/>
        </w:rPr>
        <w:t>45∶55</w:t>
      </w:r>
      <w:r>
        <w:rPr>
          <w:sz w:val="24"/>
        </w:rPr>
        <w:t>，到</w:t>
      </w:r>
      <w:r>
        <w:rPr>
          <w:sz w:val="24"/>
        </w:rPr>
        <w:t>2020</w:t>
      </w:r>
      <w:r>
        <w:rPr>
          <w:sz w:val="24"/>
        </w:rPr>
        <w:t>年达到</w:t>
      </w:r>
      <w:r>
        <w:rPr>
          <w:sz w:val="24"/>
        </w:rPr>
        <w:t>80∶20</w:t>
      </w:r>
      <w:r>
        <w:rPr>
          <w:sz w:val="24"/>
        </w:rPr>
        <w:t>。</w:t>
      </w:r>
    </w:p>
    <w:p w14:paraId="1261A666" w14:textId="77777777" w:rsidR="008F75C3" w:rsidRDefault="006614AC">
      <w:pPr>
        <w:pStyle w:val="21"/>
        <w:spacing w:after="0" w:line="360" w:lineRule="auto"/>
        <w:ind w:leftChars="0" w:left="0" w:firstLineChars="200" w:firstLine="480"/>
        <w:rPr>
          <w:sz w:val="24"/>
        </w:rPr>
      </w:pPr>
      <w:r>
        <w:rPr>
          <w:sz w:val="24"/>
        </w:rPr>
        <w:t>值得指出的是，受新冠肺炎疫情影响，</w:t>
      </w:r>
      <w:r>
        <w:rPr>
          <w:sz w:val="24"/>
        </w:rPr>
        <w:t>2020</w:t>
      </w:r>
      <w:r>
        <w:rPr>
          <w:sz w:val="24"/>
        </w:rPr>
        <w:t>年鱼类消费、贸易、供应都有所下降，全球水产养殖产量预计下降了</w:t>
      </w:r>
      <w:r>
        <w:rPr>
          <w:sz w:val="24"/>
        </w:rPr>
        <w:t>1.3%</w:t>
      </w:r>
      <w:r>
        <w:rPr>
          <w:sz w:val="24"/>
        </w:rPr>
        <w:t>，农业农村部渔业渔政管理局副局长</w:t>
      </w:r>
      <w:proofErr w:type="gramStart"/>
      <w:r>
        <w:rPr>
          <w:sz w:val="24"/>
        </w:rPr>
        <w:t>江开勇</w:t>
      </w:r>
      <w:proofErr w:type="gramEnd"/>
      <w:r>
        <w:rPr>
          <w:sz w:val="24"/>
        </w:rPr>
        <w:t>表示，这应该是水产养殖业产量数年来首次出现下降。通过系列措施，去年我国较早实现水产养殖的稳定发展和有效恢复生产，水产养殖</w:t>
      </w:r>
      <w:r>
        <w:rPr>
          <w:sz w:val="24"/>
        </w:rPr>
        <w:t>总产量较</w:t>
      </w:r>
      <w:r>
        <w:rPr>
          <w:sz w:val="24"/>
        </w:rPr>
        <w:t>2019</w:t>
      </w:r>
      <w:r>
        <w:rPr>
          <w:sz w:val="24"/>
        </w:rPr>
        <w:t>年增长了</w:t>
      </w:r>
      <w:r>
        <w:rPr>
          <w:sz w:val="24"/>
        </w:rPr>
        <w:t>2.86%</w:t>
      </w:r>
      <w:r>
        <w:rPr>
          <w:sz w:val="24"/>
        </w:rPr>
        <w:t>，有效保障了国内水产品市场供给。</w:t>
      </w:r>
    </w:p>
    <w:p w14:paraId="47394284" w14:textId="77777777" w:rsidR="008F75C3" w:rsidRDefault="006614AC">
      <w:pPr>
        <w:pStyle w:val="21"/>
        <w:spacing w:after="0" w:line="360" w:lineRule="auto"/>
        <w:ind w:leftChars="0" w:left="0" w:firstLineChars="200" w:firstLine="480"/>
        <w:rPr>
          <w:sz w:val="24"/>
        </w:rPr>
      </w:pPr>
      <w:r>
        <w:rPr>
          <w:sz w:val="24"/>
        </w:rPr>
        <w:t>农业农村部渔业渔政管理局局长刘新中认为，水产养殖是全世界增长最快的食品生产领域之一，不但为人类提供大量的优质蛋白质，成为保障世界粮食安全的重要补充，而且在降低水生生物资源的利用强度、消除贫困、促进增收、繁荣经济等方面，也</w:t>
      </w:r>
      <w:proofErr w:type="gramStart"/>
      <w:r>
        <w:rPr>
          <w:sz w:val="24"/>
        </w:rPr>
        <w:t>作出</w:t>
      </w:r>
      <w:proofErr w:type="gramEnd"/>
      <w:r>
        <w:rPr>
          <w:sz w:val="24"/>
        </w:rPr>
        <w:t>了突出贡献。</w:t>
      </w:r>
    </w:p>
    <w:p w14:paraId="7AB999EA" w14:textId="77777777" w:rsidR="008F75C3" w:rsidRDefault="006614AC">
      <w:pPr>
        <w:pStyle w:val="21"/>
        <w:spacing w:after="0" w:line="360" w:lineRule="auto"/>
        <w:ind w:leftChars="0" w:left="0" w:firstLineChars="200" w:firstLine="480"/>
        <w:rPr>
          <w:sz w:val="24"/>
        </w:rPr>
      </w:pPr>
      <w:r>
        <w:rPr>
          <w:sz w:val="24"/>
        </w:rPr>
        <w:t>2020</w:t>
      </w:r>
      <w:r>
        <w:rPr>
          <w:sz w:val="24"/>
        </w:rPr>
        <w:t>年我国人均水产品占有量达到</w:t>
      </w:r>
      <w:r>
        <w:rPr>
          <w:sz w:val="24"/>
        </w:rPr>
        <w:t>46</w:t>
      </w:r>
      <w:r>
        <w:rPr>
          <w:sz w:val="24"/>
        </w:rPr>
        <w:t>公斤，占人均动物蛋白消费量的近</w:t>
      </w:r>
      <w:r>
        <w:rPr>
          <w:sz w:val="24"/>
        </w:rPr>
        <w:t>1/3</w:t>
      </w:r>
      <w:r>
        <w:rPr>
          <w:sz w:val="24"/>
        </w:rPr>
        <w:t>。七十年来中国人口增长了</w:t>
      </w:r>
      <w:r>
        <w:rPr>
          <w:sz w:val="24"/>
        </w:rPr>
        <w:t>1</w:t>
      </w:r>
      <w:r>
        <w:rPr>
          <w:sz w:val="24"/>
        </w:rPr>
        <w:t>倍多，人均水产品消费量提升了</w:t>
      </w:r>
      <w:r>
        <w:rPr>
          <w:sz w:val="24"/>
        </w:rPr>
        <w:t>50</w:t>
      </w:r>
      <w:r>
        <w:rPr>
          <w:sz w:val="24"/>
        </w:rPr>
        <w:t>多倍。对于普通民众来说，</w:t>
      </w:r>
      <w:r>
        <w:rPr>
          <w:sz w:val="24"/>
        </w:rPr>
        <w:t>“</w:t>
      </w:r>
      <w:r>
        <w:rPr>
          <w:sz w:val="24"/>
        </w:rPr>
        <w:t>四大家鱼自由</w:t>
      </w:r>
      <w:r>
        <w:rPr>
          <w:sz w:val="24"/>
        </w:rPr>
        <w:t>”</w:t>
      </w:r>
      <w:r>
        <w:rPr>
          <w:sz w:val="24"/>
        </w:rPr>
        <w:t>一直有，</w:t>
      </w:r>
      <w:r>
        <w:rPr>
          <w:sz w:val="24"/>
        </w:rPr>
        <w:t>“</w:t>
      </w:r>
      <w:r>
        <w:rPr>
          <w:sz w:val="24"/>
        </w:rPr>
        <w:t>小龙虾自由</w:t>
      </w:r>
      <w:r>
        <w:rPr>
          <w:sz w:val="24"/>
        </w:rPr>
        <w:t>”“</w:t>
      </w:r>
      <w:r>
        <w:rPr>
          <w:sz w:val="24"/>
        </w:rPr>
        <w:t>大闸蟹自由</w:t>
      </w:r>
      <w:r>
        <w:rPr>
          <w:sz w:val="24"/>
        </w:rPr>
        <w:t>”“</w:t>
      </w:r>
      <w:r>
        <w:rPr>
          <w:sz w:val="24"/>
        </w:rPr>
        <w:t>海产品自由</w:t>
      </w:r>
      <w:r>
        <w:rPr>
          <w:sz w:val="24"/>
        </w:rPr>
        <w:t>”</w:t>
      </w:r>
      <w:r>
        <w:rPr>
          <w:sz w:val="24"/>
        </w:rPr>
        <w:t>可以有，为幸福生活提供了源泉。</w:t>
      </w:r>
    </w:p>
    <w:p w14:paraId="3D52AFA7" w14:textId="77777777" w:rsidR="008F75C3" w:rsidRDefault="006614AC">
      <w:pPr>
        <w:pStyle w:val="21"/>
        <w:spacing w:after="0" w:line="360" w:lineRule="auto"/>
        <w:ind w:leftChars="0" w:left="0" w:firstLineChars="200" w:firstLine="480"/>
        <w:rPr>
          <w:sz w:val="24"/>
        </w:rPr>
      </w:pPr>
      <w:r>
        <w:rPr>
          <w:sz w:val="24"/>
        </w:rPr>
        <w:t>在构建人类命运共同体的历史发展背景下，</w:t>
      </w:r>
      <w:r>
        <w:rPr>
          <w:sz w:val="24"/>
        </w:rPr>
        <w:t>“</w:t>
      </w:r>
      <w:r>
        <w:rPr>
          <w:sz w:val="24"/>
        </w:rPr>
        <w:t>不断满足人民群众对物质文化生活的需求</w:t>
      </w:r>
      <w:r>
        <w:rPr>
          <w:sz w:val="24"/>
        </w:rPr>
        <w:t>”“</w:t>
      </w:r>
      <w:r>
        <w:rPr>
          <w:sz w:val="24"/>
        </w:rPr>
        <w:t>把人民群众对美好生活的追求</w:t>
      </w:r>
      <w:r>
        <w:rPr>
          <w:sz w:val="24"/>
        </w:rPr>
        <w:t>”</w:t>
      </w:r>
      <w:r>
        <w:rPr>
          <w:sz w:val="24"/>
        </w:rPr>
        <w:t>，为全球人民的水产品消费自由成为我国新一代水产人的奋斗目标。</w:t>
      </w:r>
    </w:p>
    <w:p w14:paraId="28296712" w14:textId="77777777" w:rsidR="008F75C3" w:rsidRDefault="006614AC">
      <w:pPr>
        <w:pStyle w:val="21"/>
        <w:spacing w:after="0" w:line="360" w:lineRule="auto"/>
        <w:ind w:leftChars="0" w:left="0" w:firstLineChars="200" w:firstLine="480"/>
        <w:rPr>
          <w:sz w:val="24"/>
        </w:rPr>
      </w:pPr>
      <w:r>
        <w:rPr>
          <w:sz w:val="24"/>
        </w:rPr>
        <w:lastRenderedPageBreak/>
        <w:t>胡红浪认为，我国迎来构建有中国特色的渔业发展新格局的新征程。具体来说是三个发展目标：一是保障国家水产品有效供给、二是全面推进乡村产业振兴、三是推进产业</w:t>
      </w:r>
      <w:proofErr w:type="gramStart"/>
      <w:r>
        <w:rPr>
          <w:sz w:val="24"/>
        </w:rPr>
        <w:t>链供应</w:t>
      </w:r>
      <w:proofErr w:type="gramEnd"/>
      <w:r>
        <w:rPr>
          <w:sz w:val="24"/>
        </w:rPr>
        <w:t>链现代化，打造现代化渔业强国。在新的发展阶段，水产养殖业的发展目标不仅是数量上的扩增，更要以质量、效益为主攻方向。实现提质增效、高质量绿色</w:t>
      </w:r>
      <w:r>
        <w:rPr>
          <w:sz w:val="24"/>
        </w:rPr>
        <w:t>发展目标，必须从做大做强种业开始。</w:t>
      </w:r>
    </w:p>
    <w:p w14:paraId="5763E95E" w14:textId="77777777" w:rsidR="008F75C3" w:rsidRDefault="006614AC">
      <w:pPr>
        <w:pStyle w:val="21"/>
        <w:spacing w:after="0" w:line="360" w:lineRule="auto"/>
        <w:rPr>
          <w:sz w:val="24"/>
        </w:rPr>
      </w:pPr>
      <w:r>
        <w:rPr>
          <w:sz w:val="24"/>
        </w:rPr>
        <w:t>全球领先的中国水产全产业链：</w:t>
      </w:r>
    </w:p>
    <w:p w14:paraId="2EFC8E18" w14:textId="77777777" w:rsidR="008F75C3" w:rsidRDefault="006614AC">
      <w:pPr>
        <w:pStyle w:val="21"/>
        <w:spacing w:after="0" w:line="360" w:lineRule="auto"/>
        <w:rPr>
          <w:sz w:val="24"/>
        </w:rPr>
      </w:pPr>
      <w:r>
        <w:rPr>
          <w:sz w:val="24"/>
        </w:rPr>
        <w:t>“</w:t>
      </w:r>
      <w:r>
        <w:rPr>
          <w:sz w:val="24"/>
        </w:rPr>
        <w:t>中国专家</w:t>
      </w:r>
      <w:r>
        <w:rPr>
          <w:sz w:val="24"/>
        </w:rPr>
        <w:t xml:space="preserve"> </w:t>
      </w:r>
      <w:r>
        <w:rPr>
          <w:sz w:val="24"/>
        </w:rPr>
        <w:t>中国技术</w:t>
      </w:r>
      <w:r>
        <w:rPr>
          <w:sz w:val="24"/>
        </w:rPr>
        <w:t xml:space="preserve"> </w:t>
      </w:r>
      <w:r>
        <w:rPr>
          <w:sz w:val="24"/>
        </w:rPr>
        <w:t>中国方案</w:t>
      </w:r>
      <w:r>
        <w:rPr>
          <w:sz w:val="24"/>
        </w:rPr>
        <w:t>”</w:t>
      </w:r>
      <w:r>
        <w:rPr>
          <w:sz w:val="24"/>
        </w:rPr>
        <w:t>贡献巨大</w:t>
      </w:r>
    </w:p>
    <w:p w14:paraId="29E40B7B" w14:textId="77777777" w:rsidR="008F75C3" w:rsidRDefault="006614AC">
      <w:pPr>
        <w:pStyle w:val="21"/>
        <w:spacing w:after="0" w:line="360" w:lineRule="auto"/>
        <w:ind w:leftChars="0" w:left="0" w:firstLineChars="200" w:firstLine="480"/>
        <w:rPr>
          <w:sz w:val="24"/>
        </w:rPr>
      </w:pPr>
      <w:r>
        <w:rPr>
          <w:sz w:val="24"/>
        </w:rPr>
        <w:t>众所周知，我国是粮食进口大国，而我国却是全球水产品最大的出口国。</w:t>
      </w:r>
      <w:r>
        <w:rPr>
          <w:sz w:val="24"/>
        </w:rPr>
        <w:t>1978</w:t>
      </w:r>
      <w:r>
        <w:rPr>
          <w:sz w:val="24"/>
        </w:rPr>
        <w:t>年，我国水产品出口额只有</w:t>
      </w:r>
      <w:r>
        <w:rPr>
          <w:sz w:val="24"/>
        </w:rPr>
        <w:t>2.6</w:t>
      </w:r>
      <w:r>
        <w:rPr>
          <w:sz w:val="24"/>
        </w:rPr>
        <w:t>亿美元。到</w:t>
      </w:r>
      <w:r>
        <w:rPr>
          <w:sz w:val="24"/>
        </w:rPr>
        <w:t>2000</w:t>
      </w:r>
      <w:r>
        <w:rPr>
          <w:sz w:val="24"/>
        </w:rPr>
        <w:t>年，我国水产品出口额跃居大宗农产品首位。</w:t>
      </w:r>
    </w:p>
    <w:p w14:paraId="2C994294" w14:textId="77777777" w:rsidR="008F75C3" w:rsidRDefault="006614AC">
      <w:pPr>
        <w:pStyle w:val="21"/>
        <w:spacing w:after="0" w:line="360" w:lineRule="auto"/>
        <w:ind w:leftChars="0" w:left="0" w:firstLineChars="200" w:firstLine="480"/>
        <w:rPr>
          <w:sz w:val="24"/>
        </w:rPr>
      </w:pPr>
      <w:r>
        <w:rPr>
          <w:sz w:val="24"/>
        </w:rPr>
        <w:t>从</w:t>
      </w:r>
      <w:r>
        <w:rPr>
          <w:sz w:val="24"/>
        </w:rPr>
        <w:t>2002</w:t>
      </w:r>
      <w:r>
        <w:rPr>
          <w:sz w:val="24"/>
        </w:rPr>
        <w:t>年开始，我国水产品出口一直稳居世界第一，一直是世界第一水产品贸易大国。</w:t>
      </w:r>
      <w:r>
        <w:rPr>
          <w:sz w:val="24"/>
        </w:rPr>
        <w:t>2018</w:t>
      </w:r>
      <w:r>
        <w:rPr>
          <w:sz w:val="24"/>
        </w:rPr>
        <w:t>年我国水产品进出口总量</w:t>
      </w:r>
      <w:r>
        <w:rPr>
          <w:sz w:val="24"/>
        </w:rPr>
        <w:t>954</w:t>
      </w:r>
      <w:r>
        <w:rPr>
          <w:sz w:val="24"/>
        </w:rPr>
        <w:t>万吨、进出口总额</w:t>
      </w:r>
      <w:r>
        <w:rPr>
          <w:sz w:val="24"/>
        </w:rPr>
        <w:t>372</w:t>
      </w:r>
      <w:r>
        <w:rPr>
          <w:sz w:val="24"/>
        </w:rPr>
        <w:t>亿美元。其中，出口量</w:t>
      </w:r>
      <w:r>
        <w:rPr>
          <w:sz w:val="24"/>
        </w:rPr>
        <w:t>432</w:t>
      </w:r>
      <w:r>
        <w:rPr>
          <w:sz w:val="24"/>
        </w:rPr>
        <w:t>万吨、出口额</w:t>
      </w:r>
      <w:r>
        <w:rPr>
          <w:sz w:val="24"/>
        </w:rPr>
        <w:t>223</w:t>
      </w:r>
      <w:r>
        <w:rPr>
          <w:sz w:val="24"/>
        </w:rPr>
        <w:t>亿美元；进口量</w:t>
      </w:r>
      <w:r>
        <w:rPr>
          <w:sz w:val="24"/>
        </w:rPr>
        <w:t>522</w:t>
      </w:r>
      <w:r>
        <w:rPr>
          <w:sz w:val="24"/>
        </w:rPr>
        <w:t>万吨、进口额</w:t>
      </w:r>
      <w:r>
        <w:rPr>
          <w:sz w:val="24"/>
        </w:rPr>
        <w:t>149</w:t>
      </w:r>
      <w:r>
        <w:rPr>
          <w:sz w:val="24"/>
        </w:rPr>
        <w:t>亿美元，进出口总量和总</w:t>
      </w:r>
      <w:r>
        <w:rPr>
          <w:sz w:val="24"/>
        </w:rPr>
        <w:t>额均创历史新高，与</w:t>
      </w:r>
      <w:r>
        <w:rPr>
          <w:sz w:val="24"/>
        </w:rPr>
        <w:t>201</w:t>
      </w:r>
      <w:r>
        <w:rPr>
          <w:sz w:val="24"/>
        </w:rPr>
        <w:t>个国家和地区有水产贸易往来。</w:t>
      </w:r>
    </w:p>
    <w:p w14:paraId="0E9BF9E4" w14:textId="77777777" w:rsidR="008F75C3" w:rsidRDefault="006614AC">
      <w:pPr>
        <w:pStyle w:val="21"/>
        <w:spacing w:after="0" w:line="360" w:lineRule="auto"/>
        <w:ind w:leftChars="0" w:left="0" w:firstLineChars="200" w:firstLine="480"/>
        <w:rPr>
          <w:sz w:val="24"/>
        </w:rPr>
      </w:pPr>
      <w:r>
        <w:rPr>
          <w:sz w:val="24"/>
        </w:rPr>
        <w:t>进入新时代，中国开放的大门不会关闭，只会越开越大。中国是水产品生产大国，也是水产品贸易大国、消费大国。中国积极倡导水产品自由贸易，今后水产品市场必将更加开放。</w:t>
      </w:r>
    </w:p>
    <w:p w14:paraId="10CE564E" w14:textId="77777777" w:rsidR="008F75C3" w:rsidRDefault="006614AC">
      <w:pPr>
        <w:pStyle w:val="21"/>
        <w:spacing w:after="0" w:line="360" w:lineRule="auto"/>
        <w:ind w:leftChars="0" w:left="0" w:firstLineChars="200" w:firstLine="480"/>
        <w:rPr>
          <w:sz w:val="24"/>
        </w:rPr>
      </w:pPr>
      <w:r>
        <w:rPr>
          <w:sz w:val="24"/>
        </w:rPr>
        <w:t>作为全球最大的水产市场，中国无疑是当前最活跃和最大的水产经济体，美国嘉吉、邦基、礼蓝、泰国正大、荷兰泰高、比利时英伟、丹麦拜欧码、瑞士布勒、奥地利安德里茨等多国知名企业先后扎堆布局中国水产市场，带来了先进的生产技术，促进了我国水产业的转型升级。</w:t>
      </w:r>
    </w:p>
    <w:p w14:paraId="56D1A3D5" w14:textId="77777777" w:rsidR="008F75C3" w:rsidRDefault="006614AC">
      <w:pPr>
        <w:pStyle w:val="21"/>
        <w:spacing w:after="0" w:line="360" w:lineRule="auto"/>
        <w:ind w:leftChars="0" w:left="0" w:firstLineChars="200" w:firstLine="480"/>
        <w:rPr>
          <w:sz w:val="24"/>
        </w:rPr>
      </w:pPr>
      <w:r>
        <w:rPr>
          <w:sz w:val="24"/>
        </w:rPr>
        <w:t>同时，中国水产养殖发展模式进入了新的发展阶段，通过技术模式集成组装、新型技术模式熟化提升，传统技术模式升级改造，一二三产业融合发展和新型经营主体培育等措施，打造了一批可复制、可推广的现代化水产养殖新模式，形成了从种苗、养殖、饲料、流通加工、冷链物流等一体化的完备全产</w:t>
      </w:r>
      <w:r>
        <w:rPr>
          <w:sz w:val="24"/>
        </w:rPr>
        <w:t>业链和供应链，规模全球领先。</w:t>
      </w:r>
    </w:p>
    <w:p w14:paraId="438716BE" w14:textId="77777777" w:rsidR="008F75C3" w:rsidRDefault="006614AC">
      <w:pPr>
        <w:pStyle w:val="21"/>
        <w:spacing w:after="0" w:line="360" w:lineRule="auto"/>
        <w:ind w:leftChars="0" w:left="0" w:firstLineChars="200" w:firstLine="480"/>
        <w:rPr>
          <w:sz w:val="24"/>
        </w:rPr>
      </w:pPr>
      <w:r>
        <w:rPr>
          <w:sz w:val="24"/>
        </w:rPr>
        <w:t>以发展最集中的饲料工业为代表，</w:t>
      </w:r>
      <w:r>
        <w:rPr>
          <w:sz w:val="24"/>
        </w:rPr>
        <w:t>2020</w:t>
      </w:r>
      <w:r>
        <w:rPr>
          <w:sz w:val="24"/>
        </w:rPr>
        <w:t>年全球水产饲料产量</w:t>
      </w:r>
      <w:r>
        <w:rPr>
          <w:sz w:val="24"/>
        </w:rPr>
        <w:t>4939</w:t>
      </w:r>
      <w:r>
        <w:rPr>
          <w:sz w:val="24"/>
        </w:rPr>
        <w:t>万吨，中国产量</w:t>
      </w:r>
      <w:r>
        <w:rPr>
          <w:sz w:val="24"/>
        </w:rPr>
        <w:t>2132</w:t>
      </w:r>
      <w:r>
        <w:rPr>
          <w:sz w:val="24"/>
        </w:rPr>
        <w:t>万吨，占比</w:t>
      </w:r>
      <w:r>
        <w:rPr>
          <w:sz w:val="24"/>
        </w:rPr>
        <w:t>43.16%</w:t>
      </w:r>
      <w:r>
        <w:rPr>
          <w:sz w:val="24"/>
        </w:rPr>
        <w:t>，是全球最大的水产饲料生产国，培育了海大、通威、恒兴、粤海、新希望等一批全球领先的企业，这些企业也开始全球布局，输出中国水产养殖技术和中国模式。</w:t>
      </w:r>
    </w:p>
    <w:p w14:paraId="3080543C" w14:textId="77777777" w:rsidR="008F75C3" w:rsidRDefault="006614AC">
      <w:pPr>
        <w:pStyle w:val="21"/>
        <w:spacing w:after="0" w:line="360" w:lineRule="auto"/>
        <w:ind w:leftChars="0" w:left="0" w:firstLineChars="200" w:firstLine="480"/>
        <w:rPr>
          <w:sz w:val="24"/>
        </w:rPr>
      </w:pPr>
      <w:r>
        <w:rPr>
          <w:sz w:val="24"/>
        </w:rPr>
        <w:t>“</w:t>
      </w:r>
      <w:r>
        <w:rPr>
          <w:sz w:val="24"/>
        </w:rPr>
        <w:t>中国的市场规模足够大，满足得了所有企业在这张蓝图上挥毫泼墨，未来中国不仅是</w:t>
      </w:r>
      <w:r>
        <w:rPr>
          <w:sz w:val="24"/>
        </w:rPr>
        <w:lastRenderedPageBreak/>
        <w:t>水产大国，而且一定会成为水产强国。</w:t>
      </w:r>
      <w:r>
        <w:rPr>
          <w:sz w:val="24"/>
        </w:rPr>
        <w:t xml:space="preserve">” </w:t>
      </w:r>
      <w:r>
        <w:rPr>
          <w:sz w:val="24"/>
        </w:rPr>
        <w:t>恒兴集团董事长陈丹认为，中国已经建立完备的水产全产业链体系，技术达到国际先进水平，一直以来，恒兴都坚持三点：专业化</w:t>
      </w:r>
      <w:r>
        <w:rPr>
          <w:sz w:val="24"/>
        </w:rPr>
        <w:t>、产业化、国际化。在国际化发展方面，恒</w:t>
      </w:r>
      <w:proofErr w:type="gramStart"/>
      <w:r>
        <w:rPr>
          <w:sz w:val="24"/>
        </w:rPr>
        <w:t>兴一直</w:t>
      </w:r>
      <w:proofErr w:type="gramEnd"/>
      <w:r>
        <w:rPr>
          <w:sz w:val="24"/>
        </w:rPr>
        <w:t>是围绕着国家一带一路发展来实施的，也是朝着一带一路的国家来发展的，我们在东南亚和中东地区已经完成了布局。中国水产行业发展一定要找高起点，恒兴对整个产业发展是大有作为的。</w:t>
      </w:r>
    </w:p>
    <w:p w14:paraId="462C5A23" w14:textId="77777777" w:rsidR="008F75C3" w:rsidRDefault="006614AC">
      <w:pPr>
        <w:pStyle w:val="21"/>
        <w:spacing w:after="0" w:line="360" w:lineRule="auto"/>
        <w:ind w:leftChars="0" w:left="0" w:firstLineChars="200" w:firstLine="480"/>
        <w:rPr>
          <w:sz w:val="24"/>
        </w:rPr>
      </w:pPr>
      <w:r>
        <w:rPr>
          <w:sz w:val="24"/>
        </w:rPr>
        <w:t>2017</w:t>
      </w:r>
      <w:r>
        <w:rPr>
          <w:sz w:val="24"/>
        </w:rPr>
        <w:t>年，恒兴集团全程参与建设的埃及国家水产产业园，开创中国企业依靠技术、装备、经验、标准走出去的先河。这是中国首次有水产企业以</w:t>
      </w:r>
      <w:r>
        <w:rPr>
          <w:sz w:val="24"/>
        </w:rPr>
        <w:t>“</w:t>
      </w:r>
      <w:r>
        <w:rPr>
          <w:sz w:val="24"/>
        </w:rPr>
        <w:t>技术输出</w:t>
      </w:r>
      <w:r>
        <w:rPr>
          <w:sz w:val="24"/>
        </w:rPr>
        <w:t>+</w:t>
      </w:r>
      <w:r>
        <w:rPr>
          <w:sz w:val="24"/>
        </w:rPr>
        <w:t>标准输出</w:t>
      </w:r>
      <w:r>
        <w:rPr>
          <w:sz w:val="24"/>
        </w:rPr>
        <w:t>+</w:t>
      </w:r>
      <w:r>
        <w:rPr>
          <w:sz w:val="24"/>
        </w:rPr>
        <w:t>工程承建</w:t>
      </w:r>
      <w:r>
        <w:rPr>
          <w:sz w:val="24"/>
        </w:rPr>
        <w:t>+</w:t>
      </w:r>
      <w:r>
        <w:rPr>
          <w:sz w:val="24"/>
        </w:rPr>
        <w:t>管理咨询</w:t>
      </w:r>
      <w:r>
        <w:rPr>
          <w:sz w:val="24"/>
        </w:rPr>
        <w:t>+</w:t>
      </w:r>
      <w:r>
        <w:rPr>
          <w:sz w:val="24"/>
        </w:rPr>
        <w:t>设备出口</w:t>
      </w:r>
      <w:r>
        <w:rPr>
          <w:sz w:val="24"/>
        </w:rPr>
        <w:t>”</w:t>
      </w:r>
      <w:r>
        <w:rPr>
          <w:sz w:val="24"/>
        </w:rPr>
        <w:t>的全产业</w:t>
      </w:r>
      <w:proofErr w:type="gramStart"/>
      <w:r>
        <w:rPr>
          <w:sz w:val="24"/>
        </w:rPr>
        <w:t>链模式</w:t>
      </w:r>
      <w:proofErr w:type="gramEnd"/>
      <w:r>
        <w:rPr>
          <w:sz w:val="24"/>
        </w:rPr>
        <w:t>整体输出，彰显了大国渔业实力。</w:t>
      </w:r>
    </w:p>
    <w:p w14:paraId="2E8AD079" w14:textId="77777777" w:rsidR="008F75C3" w:rsidRDefault="006614AC">
      <w:pPr>
        <w:pStyle w:val="21"/>
        <w:spacing w:after="0" w:line="360" w:lineRule="auto"/>
        <w:ind w:leftChars="0" w:left="0" w:firstLineChars="200" w:firstLine="480"/>
        <w:rPr>
          <w:sz w:val="24"/>
        </w:rPr>
      </w:pPr>
      <w:r>
        <w:rPr>
          <w:sz w:val="24"/>
        </w:rPr>
        <w:t>“</w:t>
      </w:r>
      <w:r>
        <w:rPr>
          <w:sz w:val="24"/>
        </w:rPr>
        <w:t>未来十年是中国水产业与世界快速对接的十年，是中国水产企业发展的黄金时</w:t>
      </w:r>
      <w:r>
        <w:rPr>
          <w:sz w:val="24"/>
        </w:rPr>
        <w:t>期。</w:t>
      </w:r>
      <w:r>
        <w:rPr>
          <w:sz w:val="24"/>
        </w:rPr>
        <w:t>”</w:t>
      </w:r>
      <w:r>
        <w:rPr>
          <w:sz w:val="24"/>
        </w:rPr>
        <w:t>海大集团董事长薛华认为，未来一定会有一批中国水产企业发展成为世界巨头，目前中国饲料工业领先全球，未来水产全产业</w:t>
      </w:r>
      <w:proofErr w:type="gramStart"/>
      <w:r>
        <w:rPr>
          <w:sz w:val="24"/>
        </w:rPr>
        <w:t>链发展</w:t>
      </w:r>
      <w:proofErr w:type="gramEnd"/>
      <w:r>
        <w:rPr>
          <w:sz w:val="24"/>
        </w:rPr>
        <w:t>也会引领全球。</w:t>
      </w:r>
    </w:p>
    <w:p w14:paraId="1E6C910B" w14:textId="77777777" w:rsidR="008F75C3" w:rsidRDefault="006614AC">
      <w:pPr>
        <w:pStyle w:val="21"/>
        <w:spacing w:after="0" w:line="360" w:lineRule="auto"/>
        <w:ind w:leftChars="0" w:left="0" w:firstLineChars="200" w:firstLine="480"/>
        <w:rPr>
          <w:sz w:val="24"/>
        </w:rPr>
      </w:pPr>
      <w:r>
        <w:rPr>
          <w:sz w:val="24"/>
        </w:rPr>
        <w:t>近年，海大集团加快海外布局速度，除了建饲料厂外，海大集团还实现</w:t>
      </w:r>
      <w:proofErr w:type="gramStart"/>
      <w:r>
        <w:rPr>
          <w:sz w:val="24"/>
        </w:rPr>
        <w:t>种苗板块</w:t>
      </w:r>
      <w:proofErr w:type="gramEnd"/>
      <w:r>
        <w:rPr>
          <w:sz w:val="24"/>
        </w:rPr>
        <w:t>的国际化发展，已陆续在印度、厄瓜多尔、印尼、越南、埃及等多个国家或地区投建苗场。海大集团子公司海兴农于</w:t>
      </w:r>
      <w:r>
        <w:rPr>
          <w:sz w:val="24"/>
        </w:rPr>
        <w:t>2019</w:t>
      </w:r>
      <w:r>
        <w:rPr>
          <w:sz w:val="24"/>
        </w:rPr>
        <w:t>年</w:t>
      </w:r>
      <w:r>
        <w:rPr>
          <w:sz w:val="24"/>
        </w:rPr>
        <w:t>10</w:t>
      </w:r>
      <w:r>
        <w:rPr>
          <w:sz w:val="24"/>
        </w:rPr>
        <w:t>月在印度尼西亚东爪哇省建成首个海外苗场，当年实现虾苗销量</w:t>
      </w:r>
      <w:r>
        <w:rPr>
          <w:sz w:val="24"/>
        </w:rPr>
        <w:t>7000</w:t>
      </w:r>
      <w:r>
        <w:rPr>
          <w:sz w:val="24"/>
        </w:rPr>
        <w:t>万尾、</w:t>
      </w:r>
      <w:r>
        <w:rPr>
          <w:sz w:val="24"/>
        </w:rPr>
        <w:t>2020</w:t>
      </w:r>
      <w:r>
        <w:rPr>
          <w:sz w:val="24"/>
        </w:rPr>
        <w:t>年销量接近</w:t>
      </w:r>
      <w:r>
        <w:rPr>
          <w:sz w:val="24"/>
        </w:rPr>
        <w:t>7</w:t>
      </w:r>
      <w:r>
        <w:rPr>
          <w:sz w:val="24"/>
        </w:rPr>
        <w:t>亿尾。</w:t>
      </w:r>
      <w:r>
        <w:rPr>
          <w:sz w:val="24"/>
        </w:rPr>
        <w:t>2021</w:t>
      </w:r>
      <w:r>
        <w:rPr>
          <w:sz w:val="24"/>
        </w:rPr>
        <w:t>年，海兴农在印尼又建立三个苗场。</w:t>
      </w:r>
    </w:p>
    <w:p w14:paraId="460519BA" w14:textId="77777777" w:rsidR="008F75C3" w:rsidRDefault="006614AC">
      <w:pPr>
        <w:pStyle w:val="21"/>
        <w:spacing w:after="0" w:line="360" w:lineRule="auto"/>
        <w:ind w:leftChars="0" w:left="0" w:firstLineChars="200" w:firstLine="480"/>
        <w:rPr>
          <w:sz w:val="24"/>
        </w:rPr>
      </w:pPr>
      <w:r>
        <w:rPr>
          <w:sz w:val="24"/>
        </w:rPr>
        <w:t>不仅对外输出种苗和技术，中国企业还收购外国种虾企业</w:t>
      </w:r>
      <w:r>
        <w:rPr>
          <w:sz w:val="24"/>
        </w:rPr>
        <w:t>。</w:t>
      </w:r>
      <w:r>
        <w:rPr>
          <w:sz w:val="24"/>
        </w:rPr>
        <w:t>2016</w:t>
      </w:r>
      <w:r>
        <w:rPr>
          <w:sz w:val="24"/>
        </w:rPr>
        <w:t>年，广东海</w:t>
      </w:r>
      <w:proofErr w:type="gramStart"/>
      <w:r>
        <w:rPr>
          <w:sz w:val="24"/>
        </w:rPr>
        <w:t>茂通过</w:t>
      </w:r>
      <w:proofErr w:type="gramEnd"/>
      <w:r>
        <w:rPr>
          <w:sz w:val="24"/>
        </w:rPr>
        <w:t>收购美国</w:t>
      </w:r>
      <w:r>
        <w:rPr>
          <w:sz w:val="24"/>
        </w:rPr>
        <w:t>PRIMO</w:t>
      </w:r>
      <w:r>
        <w:rPr>
          <w:sz w:val="24"/>
        </w:rPr>
        <w:t>资产，掌握南美白对虾种质资源，是目前唯一掌握国际级别对虾种质资源的中国民营企业。另外，水产流通巨头国联水产在美国和印度，相继投资水产品贸易企业，进一步提升了中国水产品的</w:t>
      </w:r>
      <w:r>
        <w:rPr>
          <w:sz w:val="24"/>
        </w:rPr>
        <w:t>“</w:t>
      </w:r>
      <w:r>
        <w:rPr>
          <w:sz w:val="24"/>
        </w:rPr>
        <w:t>全球买，全球卖</w:t>
      </w:r>
      <w:r>
        <w:rPr>
          <w:sz w:val="24"/>
        </w:rPr>
        <w:t>”</w:t>
      </w:r>
      <w:r>
        <w:rPr>
          <w:sz w:val="24"/>
        </w:rPr>
        <w:t>能力。</w:t>
      </w:r>
    </w:p>
    <w:p w14:paraId="4CB8E064" w14:textId="77777777" w:rsidR="008F75C3" w:rsidRDefault="006614AC">
      <w:pPr>
        <w:pStyle w:val="21"/>
        <w:spacing w:after="0" w:line="360" w:lineRule="auto"/>
        <w:ind w:leftChars="0" w:left="0" w:firstLineChars="200" w:firstLine="480"/>
        <w:rPr>
          <w:sz w:val="24"/>
        </w:rPr>
      </w:pPr>
      <w:r>
        <w:rPr>
          <w:sz w:val="24"/>
        </w:rPr>
        <w:t>不仅如此，我国积极支持发展中国家特别是最不发达国家发展水产养殖、壮大渔业经济，派出渔业专家对贫困国家开展渔业技术援助与养殖指导。自</w:t>
      </w:r>
      <w:r>
        <w:rPr>
          <w:sz w:val="24"/>
        </w:rPr>
        <w:t>1981</w:t>
      </w:r>
      <w:r>
        <w:rPr>
          <w:sz w:val="24"/>
        </w:rPr>
        <w:t>年起，我国渔业承担多边、双边援外培训项目</w:t>
      </w:r>
      <w:r>
        <w:rPr>
          <w:sz w:val="24"/>
        </w:rPr>
        <w:t>148</w:t>
      </w:r>
      <w:r>
        <w:rPr>
          <w:sz w:val="24"/>
        </w:rPr>
        <w:t>个，为全球</w:t>
      </w:r>
      <w:r>
        <w:rPr>
          <w:sz w:val="24"/>
        </w:rPr>
        <w:t>137</w:t>
      </w:r>
      <w:r>
        <w:rPr>
          <w:sz w:val="24"/>
        </w:rPr>
        <w:t>个国家和地区，培训了</w:t>
      </w:r>
      <w:r>
        <w:rPr>
          <w:sz w:val="24"/>
        </w:rPr>
        <w:t>4</w:t>
      </w:r>
      <w:r>
        <w:rPr>
          <w:sz w:val="24"/>
        </w:rPr>
        <w:t>千多名高级渔业管理官员和技术人才。</w:t>
      </w:r>
    </w:p>
    <w:p w14:paraId="6B8544C7" w14:textId="77777777" w:rsidR="008F75C3" w:rsidRDefault="006614AC">
      <w:pPr>
        <w:pStyle w:val="21"/>
        <w:spacing w:after="0" w:line="360" w:lineRule="auto"/>
        <w:ind w:leftChars="0" w:left="0" w:firstLineChars="200" w:firstLine="480"/>
        <w:rPr>
          <w:sz w:val="24"/>
        </w:rPr>
      </w:pPr>
      <w:r>
        <w:rPr>
          <w:sz w:val="24"/>
        </w:rPr>
        <w:t>目前，在全球水产</w:t>
      </w:r>
      <w:r>
        <w:rPr>
          <w:sz w:val="24"/>
        </w:rPr>
        <w:t>养殖领域，最受欢迎的就是</w:t>
      </w:r>
      <w:r>
        <w:rPr>
          <w:sz w:val="24"/>
        </w:rPr>
        <w:t>“</w:t>
      </w:r>
      <w:r>
        <w:rPr>
          <w:sz w:val="24"/>
        </w:rPr>
        <w:t>中国专家、中国技术、中国方案</w:t>
      </w:r>
      <w:r>
        <w:rPr>
          <w:sz w:val="24"/>
        </w:rPr>
        <w:t>”</w:t>
      </w:r>
      <w:r>
        <w:rPr>
          <w:sz w:val="24"/>
        </w:rPr>
        <w:t>。在</w:t>
      </w:r>
      <w:r>
        <w:rPr>
          <w:sz w:val="24"/>
        </w:rPr>
        <w:t>RCEP</w:t>
      </w:r>
      <w:r>
        <w:rPr>
          <w:sz w:val="24"/>
        </w:rPr>
        <w:t>构建新发展格局</w:t>
      </w:r>
      <w:proofErr w:type="gramStart"/>
      <w:r>
        <w:rPr>
          <w:sz w:val="24"/>
        </w:rPr>
        <w:t>和双碳绿色</w:t>
      </w:r>
      <w:proofErr w:type="gramEnd"/>
      <w:r>
        <w:rPr>
          <w:sz w:val="24"/>
        </w:rPr>
        <w:t>发展新趋势下，中国企业由大到强，必将带领我国由水产大国和水产种业大国向水产强国和水产种业强国转变，推进我国水产业高质量发展，引领全球水产业绿色升级，成为我国水产业新的历史使命和责任担当。</w:t>
      </w:r>
    </w:p>
    <w:p w14:paraId="72AC6812" w14:textId="369688DC" w:rsidR="00B8006E" w:rsidRDefault="006614AC">
      <w:pPr>
        <w:pStyle w:val="ad"/>
        <w:shd w:val="clear" w:color="auto" w:fill="FFFFFF"/>
        <w:spacing w:before="0" w:beforeAutospacing="0" w:after="0" w:afterAutospacing="0" w:line="360" w:lineRule="auto"/>
        <w:jc w:val="right"/>
        <w:rPr>
          <w:color w:val="252525"/>
          <w:sz w:val="21"/>
          <w:szCs w:val="21"/>
          <w:shd w:val="clear" w:color="auto" w:fill="FFFFFF"/>
        </w:rPr>
      </w:pPr>
      <w:r>
        <w:rPr>
          <w:rFonts w:hint="eastAsia"/>
          <w:color w:val="252525"/>
          <w:sz w:val="21"/>
          <w:szCs w:val="21"/>
          <w:shd w:val="clear" w:color="auto" w:fill="FFFFFF"/>
        </w:rPr>
        <w:t>摘自</w:t>
      </w:r>
      <w:r>
        <w:rPr>
          <w:rFonts w:hint="eastAsia"/>
          <w:color w:val="252525"/>
          <w:sz w:val="21"/>
          <w:szCs w:val="21"/>
          <w:shd w:val="clear" w:color="auto" w:fill="FFFFFF"/>
        </w:rPr>
        <w:t>南方农村报</w:t>
      </w:r>
      <w:r>
        <w:rPr>
          <w:rFonts w:hint="eastAsia"/>
          <w:color w:val="252525"/>
          <w:sz w:val="21"/>
          <w:szCs w:val="21"/>
          <w:shd w:val="clear" w:color="auto" w:fill="FFFFFF"/>
        </w:rPr>
        <w:t>，</w:t>
      </w:r>
      <w:r>
        <w:rPr>
          <w:rFonts w:hint="eastAsia"/>
          <w:color w:val="252525"/>
          <w:sz w:val="21"/>
          <w:szCs w:val="21"/>
          <w:shd w:val="clear" w:color="auto" w:fill="FFFFFF"/>
        </w:rPr>
        <w:t>记者</w:t>
      </w:r>
      <w:r>
        <w:rPr>
          <w:rFonts w:hint="eastAsia"/>
          <w:color w:val="252525"/>
          <w:sz w:val="21"/>
          <w:szCs w:val="21"/>
          <w:shd w:val="clear" w:color="auto" w:fill="FFFFFF"/>
        </w:rPr>
        <w:t>苏若</w:t>
      </w:r>
      <w:proofErr w:type="gramStart"/>
      <w:r>
        <w:rPr>
          <w:rFonts w:hint="eastAsia"/>
          <w:color w:val="252525"/>
          <w:sz w:val="21"/>
          <w:szCs w:val="21"/>
          <w:shd w:val="clear" w:color="auto" w:fill="FFFFFF"/>
        </w:rPr>
        <w:t>晶</w:t>
      </w:r>
      <w:proofErr w:type="gramEnd"/>
    </w:p>
    <w:p w14:paraId="480D4094" w14:textId="77777777" w:rsidR="00B8006E" w:rsidRDefault="00B8006E">
      <w:pPr>
        <w:widowControl/>
        <w:jc w:val="left"/>
        <w:rPr>
          <w:rFonts w:ascii="宋体" w:hAnsi="宋体" w:cs="宋体"/>
          <w:color w:val="252525"/>
          <w:kern w:val="0"/>
          <w:szCs w:val="21"/>
          <w:shd w:val="clear" w:color="auto" w:fill="FFFFFF"/>
        </w:rPr>
      </w:pPr>
      <w:r>
        <w:rPr>
          <w:color w:val="252525"/>
          <w:szCs w:val="21"/>
          <w:shd w:val="clear" w:color="auto" w:fill="FFFFFF"/>
        </w:rPr>
        <w:br w:type="page"/>
      </w:r>
    </w:p>
    <w:p w14:paraId="2EADD9ED" w14:textId="6DAB24BD" w:rsidR="008F75C3" w:rsidRPr="00B8006E" w:rsidRDefault="006614AC" w:rsidP="00B32074">
      <w:pPr>
        <w:pStyle w:val="ad"/>
        <w:spacing w:before="0" w:beforeAutospacing="0" w:after="0" w:afterAutospacing="0" w:line="460" w:lineRule="exact"/>
        <w:jc w:val="center"/>
        <w:outlineLvl w:val="1"/>
        <w:rPr>
          <w:rFonts w:ascii="黑体" w:eastAsia="黑体" w:hAnsi="黑体" w:cs="Times New Roman"/>
          <w:b/>
          <w:bCs/>
          <w:color w:val="252525"/>
          <w:sz w:val="32"/>
          <w:szCs w:val="32"/>
        </w:rPr>
      </w:pPr>
      <w:bookmarkStart w:id="23" w:name="_Toc90390764"/>
      <w:r w:rsidRPr="00B8006E">
        <w:rPr>
          <w:rFonts w:ascii="黑体" w:eastAsia="黑体" w:hAnsi="黑体" w:cs="Times New Roman"/>
          <w:b/>
          <w:bCs/>
          <w:color w:val="252525"/>
          <w:sz w:val="32"/>
          <w:szCs w:val="32"/>
        </w:rPr>
        <w:lastRenderedPageBreak/>
        <w:t>首届中国海</w:t>
      </w:r>
      <w:proofErr w:type="gramStart"/>
      <w:r w:rsidRPr="00B8006E">
        <w:rPr>
          <w:rFonts w:ascii="黑体" w:eastAsia="黑体" w:hAnsi="黑体" w:cs="Times New Roman"/>
          <w:b/>
          <w:bCs/>
          <w:color w:val="252525"/>
          <w:sz w:val="32"/>
          <w:szCs w:val="32"/>
        </w:rPr>
        <w:t>鲈种业大</w:t>
      </w:r>
      <w:proofErr w:type="gramEnd"/>
      <w:r w:rsidRPr="00B8006E">
        <w:rPr>
          <w:rFonts w:ascii="黑体" w:eastAsia="黑体" w:hAnsi="黑体" w:cs="Times New Roman"/>
          <w:b/>
          <w:bCs/>
          <w:color w:val="252525"/>
          <w:sz w:val="32"/>
          <w:szCs w:val="32"/>
        </w:rPr>
        <w:t>会暨</w:t>
      </w:r>
      <w:r w:rsidRPr="00B8006E">
        <w:rPr>
          <w:rFonts w:ascii="黑体" w:eastAsia="黑体" w:hAnsi="黑体" w:cs="Times New Roman"/>
          <w:b/>
          <w:bCs/>
          <w:color w:val="252525"/>
          <w:sz w:val="32"/>
          <w:szCs w:val="32"/>
        </w:rPr>
        <w:t>“</w:t>
      </w:r>
      <w:r w:rsidRPr="00B8006E">
        <w:rPr>
          <w:rFonts w:ascii="黑体" w:eastAsia="黑体" w:hAnsi="黑体" w:cs="Times New Roman"/>
          <w:b/>
          <w:bCs/>
          <w:color w:val="252525"/>
          <w:sz w:val="32"/>
          <w:szCs w:val="32"/>
        </w:rPr>
        <w:t>白</w:t>
      </w:r>
      <w:proofErr w:type="gramStart"/>
      <w:r w:rsidRPr="00B8006E">
        <w:rPr>
          <w:rFonts w:ascii="黑体" w:eastAsia="黑体" w:hAnsi="黑体" w:cs="Times New Roman"/>
          <w:b/>
          <w:bCs/>
          <w:color w:val="252525"/>
          <w:sz w:val="32"/>
          <w:szCs w:val="32"/>
        </w:rPr>
        <w:t>蕉</w:t>
      </w:r>
      <w:proofErr w:type="gramEnd"/>
      <w:r w:rsidRPr="00B8006E">
        <w:rPr>
          <w:rFonts w:ascii="黑体" w:eastAsia="黑体" w:hAnsi="黑体" w:cs="Times New Roman"/>
          <w:b/>
          <w:bCs/>
          <w:color w:val="252525"/>
          <w:sz w:val="32"/>
          <w:szCs w:val="32"/>
        </w:rPr>
        <w:t>海鲈</w:t>
      </w:r>
      <w:r w:rsidRPr="00B8006E">
        <w:rPr>
          <w:rFonts w:ascii="黑体" w:eastAsia="黑体" w:hAnsi="黑体" w:cs="Times New Roman"/>
          <w:b/>
          <w:bCs/>
          <w:color w:val="252525"/>
          <w:sz w:val="32"/>
          <w:szCs w:val="32"/>
        </w:rPr>
        <w:t>”</w:t>
      </w:r>
      <w:r w:rsidRPr="00B8006E">
        <w:rPr>
          <w:rFonts w:ascii="黑体" w:eastAsia="黑体" w:hAnsi="黑体" w:cs="Times New Roman"/>
          <w:b/>
          <w:bCs/>
          <w:color w:val="252525"/>
          <w:sz w:val="32"/>
          <w:szCs w:val="32"/>
        </w:rPr>
        <w:t>产业高质量发展论坛</w:t>
      </w:r>
      <w:r w:rsidRPr="00B8006E">
        <w:rPr>
          <w:rFonts w:ascii="黑体" w:eastAsia="黑体" w:hAnsi="黑体" w:cs="Times New Roman"/>
          <w:b/>
          <w:bCs/>
          <w:color w:val="252525"/>
          <w:sz w:val="32"/>
          <w:szCs w:val="32"/>
        </w:rPr>
        <w:t>在广州南沙盛大召开</w:t>
      </w:r>
      <w:bookmarkEnd w:id="23"/>
    </w:p>
    <w:p w14:paraId="5E8E2B84" w14:textId="77777777" w:rsidR="008F75C3" w:rsidRDefault="006614AC">
      <w:pPr>
        <w:pStyle w:val="ad"/>
        <w:spacing w:before="0" w:beforeAutospacing="0" w:after="0" w:afterAutospacing="0" w:line="360" w:lineRule="auto"/>
        <w:ind w:firstLineChars="200" w:firstLine="480"/>
        <w:jc w:val="both"/>
        <w:rPr>
          <w:rFonts w:ascii="Times New Roman" w:hAnsi="Times New Roman" w:cs="Times New Roman"/>
          <w:color w:val="252525"/>
        </w:rPr>
      </w:pPr>
      <w:r>
        <w:rPr>
          <w:rFonts w:ascii="Times New Roman" w:hAnsi="Times New Roman" w:cs="Times New Roman"/>
          <w:color w:val="252525"/>
        </w:rPr>
        <w:t>12</w:t>
      </w:r>
      <w:r>
        <w:rPr>
          <w:rFonts w:ascii="Times New Roman" w:hAnsi="Times New Roman" w:cs="Times New Roman"/>
          <w:color w:val="252525"/>
        </w:rPr>
        <w:t>月</w:t>
      </w:r>
      <w:r>
        <w:rPr>
          <w:rFonts w:ascii="Times New Roman" w:hAnsi="Times New Roman" w:cs="Times New Roman"/>
          <w:color w:val="252525"/>
        </w:rPr>
        <w:t>7</w:t>
      </w:r>
      <w:r>
        <w:rPr>
          <w:rFonts w:ascii="Times New Roman" w:hAnsi="Times New Roman" w:cs="Times New Roman"/>
          <w:color w:val="252525"/>
        </w:rPr>
        <w:t>日，</w:t>
      </w:r>
      <w:bookmarkStart w:id="24" w:name="OLE_LINK1"/>
      <w:r>
        <w:rPr>
          <w:rFonts w:ascii="Times New Roman" w:hAnsi="Times New Roman" w:cs="Times New Roman"/>
          <w:color w:val="252525"/>
        </w:rPr>
        <w:t>首届中国海</w:t>
      </w:r>
      <w:proofErr w:type="gramStart"/>
      <w:r>
        <w:rPr>
          <w:rFonts w:ascii="Times New Roman" w:hAnsi="Times New Roman" w:cs="Times New Roman"/>
          <w:color w:val="252525"/>
        </w:rPr>
        <w:t>鲈种业大</w:t>
      </w:r>
      <w:proofErr w:type="gramEnd"/>
      <w:r>
        <w:rPr>
          <w:rFonts w:ascii="Times New Roman" w:hAnsi="Times New Roman" w:cs="Times New Roman"/>
          <w:color w:val="252525"/>
        </w:rPr>
        <w:t>会暨</w:t>
      </w:r>
      <w:r>
        <w:rPr>
          <w:rFonts w:ascii="Times New Roman" w:hAnsi="Times New Roman" w:cs="Times New Roman"/>
          <w:color w:val="252525"/>
        </w:rPr>
        <w:t>“</w:t>
      </w:r>
      <w:r>
        <w:rPr>
          <w:rFonts w:ascii="Times New Roman" w:hAnsi="Times New Roman" w:cs="Times New Roman"/>
          <w:color w:val="252525"/>
        </w:rPr>
        <w:t>白</w:t>
      </w:r>
      <w:proofErr w:type="gramStart"/>
      <w:r>
        <w:rPr>
          <w:rFonts w:ascii="Times New Roman" w:hAnsi="Times New Roman" w:cs="Times New Roman"/>
          <w:color w:val="252525"/>
        </w:rPr>
        <w:t>蕉</w:t>
      </w:r>
      <w:proofErr w:type="gramEnd"/>
      <w:r>
        <w:rPr>
          <w:rFonts w:ascii="Times New Roman" w:hAnsi="Times New Roman" w:cs="Times New Roman"/>
          <w:color w:val="252525"/>
        </w:rPr>
        <w:t>海鲈</w:t>
      </w:r>
      <w:r>
        <w:rPr>
          <w:rFonts w:ascii="Times New Roman" w:hAnsi="Times New Roman" w:cs="Times New Roman"/>
          <w:color w:val="252525"/>
        </w:rPr>
        <w:t>”</w:t>
      </w:r>
      <w:r>
        <w:rPr>
          <w:rFonts w:ascii="Times New Roman" w:hAnsi="Times New Roman" w:cs="Times New Roman"/>
          <w:color w:val="252525"/>
        </w:rPr>
        <w:t>产业高质量发展论坛在广州南沙盛大召开</w:t>
      </w:r>
      <w:bookmarkEnd w:id="24"/>
      <w:r>
        <w:rPr>
          <w:rFonts w:ascii="Times New Roman" w:hAnsi="Times New Roman" w:cs="Times New Roman"/>
          <w:color w:val="252525"/>
        </w:rPr>
        <w:t>。大会聚焦海鲈育种、精深加工，围绕海鲈产业转型升级，倡导</w:t>
      </w:r>
      <w:r>
        <w:rPr>
          <w:rFonts w:ascii="Times New Roman" w:hAnsi="Times New Roman" w:cs="Times New Roman"/>
          <w:color w:val="252525"/>
        </w:rPr>
        <w:t>“</w:t>
      </w:r>
      <w:r>
        <w:rPr>
          <w:rFonts w:ascii="Times New Roman" w:hAnsi="Times New Roman" w:cs="Times New Roman"/>
          <w:color w:val="252525"/>
        </w:rPr>
        <w:t>绿色、环保、节能、循环</w:t>
      </w:r>
      <w:r>
        <w:rPr>
          <w:rFonts w:ascii="Times New Roman" w:hAnsi="Times New Roman" w:cs="Times New Roman"/>
          <w:color w:val="252525"/>
        </w:rPr>
        <w:t>”</w:t>
      </w:r>
      <w:r>
        <w:rPr>
          <w:rFonts w:ascii="Times New Roman" w:hAnsi="Times New Roman" w:cs="Times New Roman"/>
          <w:color w:val="252525"/>
        </w:rPr>
        <w:t>的环境友好型生态养殖模式，以专业的角度审视行业，推动海鲈产业健康可持续发展。此次论坛是</w:t>
      </w:r>
      <w:r>
        <w:rPr>
          <w:rFonts w:ascii="Times New Roman" w:hAnsi="Times New Roman" w:cs="Times New Roman"/>
          <w:color w:val="252525"/>
        </w:rPr>
        <w:t>2021“</w:t>
      </w:r>
      <w:r>
        <w:rPr>
          <w:rFonts w:ascii="Times New Roman" w:hAnsi="Times New Roman" w:cs="Times New Roman"/>
          <w:color w:val="252525"/>
        </w:rPr>
        <w:t>白</w:t>
      </w:r>
      <w:proofErr w:type="gramStart"/>
      <w:r>
        <w:rPr>
          <w:rFonts w:ascii="Times New Roman" w:hAnsi="Times New Roman" w:cs="Times New Roman"/>
          <w:color w:val="252525"/>
        </w:rPr>
        <w:t>蕉</w:t>
      </w:r>
      <w:proofErr w:type="gramEnd"/>
      <w:r>
        <w:rPr>
          <w:rFonts w:ascii="Times New Roman" w:hAnsi="Times New Roman" w:cs="Times New Roman"/>
          <w:color w:val="252525"/>
        </w:rPr>
        <w:t>海鲈</w:t>
      </w:r>
      <w:r>
        <w:rPr>
          <w:rFonts w:ascii="Times New Roman" w:hAnsi="Times New Roman" w:cs="Times New Roman"/>
          <w:color w:val="252525"/>
        </w:rPr>
        <w:t>”</w:t>
      </w:r>
      <w:r>
        <w:rPr>
          <w:rFonts w:ascii="Times New Roman" w:hAnsi="Times New Roman" w:cs="Times New Roman"/>
          <w:color w:val="252525"/>
        </w:rPr>
        <w:t>品牌网络活动周暨第四届</w:t>
      </w:r>
      <w:r>
        <w:rPr>
          <w:rFonts w:ascii="Times New Roman" w:hAnsi="Times New Roman" w:cs="Times New Roman"/>
          <w:color w:val="252525"/>
        </w:rPr>
        <w:t>“</w:t>
      </w:r>
      <w:r>
        <w:rPr>
          <w:rFonts w:ascii="Times New Roman" w:hAnsi="Times New Roman" w:cs="Times New Roman"/>
          <w:color w:val="252525"/>
        </w:rPr>
        <w:t>白</w:t>
      </w:r>
      <w:proofErr w:type="gramStart"/>
      <w:r>
        <w:rPr>
          <w:rFonts w:ascii="Times New Roman" w:hAnsi="Times New Roman" w:cs="Times New Roman"/>
          <w:color w:val="252525"/>
        </w:rPr>
        <w:t>蕉</w:t>
      </w:r>
      <w:proofErr w:type="gramEnd"/>
      <w:r>
        <w:rPr>
          <w:rFonts w:ascii="Times New Roman" w:hAnsi="Times New Roman" w:cs="Times New Roman"/>
          <w:color w:val="252525"/>
        </w:rPr>
        <w:t>海鲈</w:t>
      </w:r>
      <w:r>
        <w:rPr>
          <w:rFonts w:ascii="Times New Roman" w:hAnsi="Times New Roman" w:cs="Times New Roman"/>
          <w:color w:val="252525"/>
        </w:rPr>
        <w:t>”</w:t>
      </w:r>
      <w:r>
        <w:rPr>
          <w:rFonts w:ascii="Times New Roman" w:hAnsi="Times New Roman" w:cs="Times New Roman"/>
          <w:color w:val="252525"/>
        </w:rPr>
        <w:t>旅游文化嘉年华系列活动之一，通过南方</w:t>
      </w:r>
      <w:r>
        <w:rPr>
          <w:rFonts w:ascii="Times New Roman" w:hAnsi="Times New Roman" w:cs="Times New Roman"/>
          <w:color w:val="252525"/>
        </w:rPr>
        <w:t>+</w:t>
      </w:r>
      <w:r>
        <w:rPr>
          <w:rFonts w:ascii="Times New Roman" w:hAnsi="Times New Roman" w:cs="Times New Roman"/>
          <w:color w:val="252525"/>
        </w:rPr>
        <w:t>、视频号、</w:t>
      </w:r>
      <w:proofErr w:type="gramStart"/>
      <w:r>
        <w:rPr>
          <w:rFonts w:ascii="Times New Roman" w:hAnsi="Times New Roman" w:cs="Times New Roman"/>
          <w:color w:val="252525"/>
        </w:rPr>
        <w:t>微赞等</w:t>
      </w:r>
      <w:proofErr w:type="gramEnd"/>
      <w:r>
        <w:rPr>
          <w:rFonts w:ascii="Times New Roman" w:hAnsi="Times New Roman" w:cs="Times New Roman"/>
          <w:color w:val="252525"/>
        </w:rPr>
        <w:t>网络云平台直播，观看量约</w:t>
      </w:r>
      <w:r>
        <w:rPr>
          <w:rFonts w:ascii="Times New Roman" w:hAnsi="Times New Roman" w:cs="Times New Roman"/>
          <w:color w:val="252525"/>
        </w:rPr>
        <w:t>50</w:t>
      </w:r>
      <w:r>
        <w:rPr>
          <w:rFonts w:ascii="Times New Roman" w:hAnsi="Times New Roman" w:cs="Times New Roman"/>
          <w:color w:val="252525"/>
        </w:rPr>
        <w:t>万人次。</w:t>
      </w:r>
    </w:p>
    <w:p w14:paraId="0F285FAA" w14:textId="77777777" w:rsidR="008F75C3" w:rsidRDefault="006614AC">
      <w:pPr>
        <w:pStyle w:val="ad"/>
        <w:spacing w:before="0" w:beforeAutospacing="0" w:after="0" w:afterAutospacing="0" w:line="360" w:lineRule="auto"/>
        <w:ind w:firstLineChars="200" w:firstLine="480"/>
        <w:jc w:val="both"/>
        <w:rPr>
          <w:rFonts w:ascii="Times New Roman" w:hAnsi="Times New Roman" w:cs="Times New Roman"/>
          <w:color w:val="252525"/>
        </w:rPr>
      </w:pPr>
      <w:r>
        <w:rPr>
          <w:rFonts w:ascii="Times New Roman" w:hAnsi="Times New Roman" w:cs="Times New Roman"/>
          <w:color w:val="252525"/>
        </w:rPr>
        <w:t>本届大会由广东省农业农村厅、广东省农业技术推广中心、中国水产流通与加工协会、珠海市</w:t>
      </w:r>
      <w:proofErr w:type="gramStart"/>
      <w:r>
        <w:rPr>
          <w:rFonts w:ascii="Times New Roman" w:hAnsi="Times New Roman" w:cs="Times New Roman"/>
          <w:color w:val="252525"/>
        </w:rPr>
        <w:t>斗门区</w:t>
      </w:r>
      <w:proofErr w:type="gramEnd"/>
      <w:r>
        <w:rPr>
          <w:rFonts w:ascii="Times New Roman" w:hAnsi="Times New Roman" w:cs="Times New Roman"/>
          <w:color w:val="252525"/>
        </w:rPr>
        <w:t>人民政府指导，珠海市</w:t>
      </w:r>
      <w:proofErr w:type="gramStart"/>
      <w:r>
        <w:rPr>
          <w:rFonts w:ascii="Times New Roman" w:hAnsi="Times New Roman" w:cs="Times New Roman"/>
          <w:color w:val="252525"/>
        </w:rPr>
        <w:t>斗门区白蕉</w:t>
      </w:r>
      <w:proofErr w:type="gramEnd"/>
      <w:r>
        <w:rPr>
          <w:rFonts w:ascii="Times New Roman" w:hAnsi="Times New Roman" w:cs="Times New Roman"/>
          <w:color w:val="252525"/>
        </w:rPr>
        <w:t>镇人民政府</w:t>
      </w:r>
      <w:r>
        <w:rPr>
          <w:rFonts w:ascii="Times New Roman" w:hAnsi="Times New Roman" w:cs="Times New Roman"/>
          <w:color w:val="252525"/>
        </w:rPr>
        <w:t>主办，南方报业传媒集团、南方农村报、农财宝典、大国渔业承办。</w:t>
      </w:r>
    </w:p>
    <w:p w14:paraId="1AEAC823" w14:textId="77777777" w:rsidR="008F75C3" w:rsidRDefault="006614AC">
      <w:pPr>
        <w:pStyle w:val="ad"/>
        <w:spacing w:before="0" w:beforeAutospacing="0" w:after="0" w:afterAutospacing="0" w:line="360" w:lineRule="auto"/>
        <w:ind w:firstLineChars="200" w:firstLine="480"/>
        <w:jc w:val="both"/>
        <w:rPr>
          <w:rFonts w:ascii="Times New Roman" w:hAnsi="Times New Roman" w:cs="Times New Roman"/>
          <w:color w:val="252525"/>
        </w:rPr>
      </w:pPr>
      <w:r>
        <w:rPr>
          <w:rFonts w:ascii="Times New Roman" w:hAnsi="Times New Roman" w:cs="Times New Roman"/>
          <w:color w:val="252525"/>
        </w:rPr>
        <w:t>广东省农业技术推广中心专职副书记刘胜敏，广东省直机关工委原副巡视员谢显扬，珠海市</w:t>
      </w:r>
      <w:proofErr w:type="gramStart"/>
      <w:r>
        <w:rPr>
          <w:rFonts w:ascii="Times New Roman" w:hAnsi="Times New Roman" w:cs="Times New Roman"/>
          <w:color w:val="252525"/>
        </w:rPr>
        <w:t>斗门区白蕉</w:t>
      </w:r>
      <w:proofErr w:type="gramEnd"/>
      <w:r>
        <w:rPr>
          <w:rFonts w:ascii="Times New Roman" w:hAnsi="Times New Roman" w:cs="Times New Roman"/>
          <w:color w:val="252525"/>
        </w:rPr>
        <w:t>镇委副书记、镇长向标，珠海市</w:t>
      </w:r>
      <w:proofErr w:type="gramStart"/>
      <w:r>
        <w:rPr>
          <w:rFonts w:ascii="Times New Roman" w:hAnsi="Times New Roman" w:cs="Times New Roman"/>
          <w:color w:val="252525"/>
        </w:rPr>
        <w:t>斗门区白蕉</w:t>
      </w:r>
      <w:proofErr w:type="gramEnd"/>
      <w:r>
        <w:rPr>
          <w:rFonts w:ascii="Times New Roman" w:hAnsi="Times New Roman" w:cs="Times New Roman"/>
          <w:color w:val="252525"/>
        </w:rPr>
        <w:t>镇副镇长谢杨光，中共白</w:t>
      </w:r>
      <w:proofErr w:type="gramStart"/>
      <w:r>
        <w:rPr>
          <w:rFonts w:ascii="Times New Roman" w:hAnsi="Times New Roman" w:cs="Times New Roman"/>
          <w:color w:val="252525"/>
        </w:rPr>
        <w:t>蕉</w:t>
      </w:r>
      <w:proofErr w:type="gramEnd"/>
      <w:r>
        <w:rPr>
          <w:rFonts w:ascii="Times New Roman" w:hAnsi="Times New Roman" w:cs="Times New Roman"/>
          <w:color w:val="252525"/>
        </w:rPr>
        <w:t>镇委委员申元凯，南方农村报社总经理张璐等领导嘉宾与会。</w:t>
      </w:r>
    </w:p>
    <w:p w14:paraId="3C0CB637" w14:textId="77777777" w:rsidR="008F75C3" w:rsidRPr="00A4235A" w:rsidRDefault="006614AC">
      <w:pPr>
        <w:pStyle w:val="ad"/>
        <w:spacing w:before="0" w:beforeAutospacing="0" w:after="0" w:afterAutospacing="0" w:line="360" w:lineRule="auto"/>
        <w:jc w:val="both"/>
        <w:rPr>
          <w:rFonts w:ascii="Times New Roman" w:hAnsi="Times New Roman" w:cs="Times New Roman"/>
          <w:color w:val="000000" w:themeColor="text1"/>
        </w:rPr>
      </w:pPr>
      <w:r w:rsidRPr="00A4235A">
        <w:rPr>
          <w:rFonts w:ascii="Times New Roman" w:hAnsi="Times New Roman" w:cs="Times New Roman"/>
          <w:color w:val="000000" w:themeColor="text1"/>
        </w:rPr>
        <w:t>与会领导嘉宾合影</w:t>
      </w:r>
    </w:p>
    <w:p w14:paraId="4EB72B1B" w14:textId="77777777" w:rsidR="008F75C3" w:rsidRDefault="006614AC">
      <w:pPr>
        <w:pStyle w:val="ad"/>
        <w:pBdr>
          <w:left w:val="single" w:sz="18" w:space="3" w:color="F64E45"/>
        </w:pBdr>
        <w:spacing w:before="0" w:beforeAutospacing="0" w:after="0" w:afterAutospacing="0" w:line="360" w:lineRule="auto"/>
        <w:jc w:val="both"/>
        <w:rPr>
          <w:rFonts w:ascii="Times New Roman" w:hAnsi="Times New Roman" w:cs="Times New Roman"/>
          <w:color w:val="252525"/>
        </w:rPr>
      </w:pPr>
      <w:r>
        <w:rPr>
          <w:rStyle w:val="af"/>
          <w:rFonts w:ascii="Times New Roman" w:hAnsi="Times New Roman" w:cs="Times New Roman"/>
          <w:color w:val="252525"/>
        </w:rPr>
        <w:t>年产</w:t>
      </w:r>
      <w:r>
        <w:rPr>
          <w:rStyle w:val="af"/>
          <w:rFonts w:ascii="Times New Roman" w:hAnsi="Times New Roman" w:cs="Times New Roman"/>
          <w:color w:val="252525"/>
        </w:rPr>
        <w:t>12</w:t>
      </w:r>
      <w:r>
        <w:rPr>
          <w:rStyle w:val="af"/>
          <w:rFonts w:ascii="Times New Roman" w:hAnsi="Times New Roman" w:cs="Times New Roman"/>
          <w:color w:val="252525"/>
        </w:rPr>
        <w:t>万吨！白</w:t>
      </w:r>
      <w:proofErr w:type="gramStart"/>
      <w:r>
        <w:rPr>
          <w:rStyle w:val="af"/>
          <w:rFonts w:ascii="Times New Roman" w:hAnsi="Times New Roman" w:cs="Times New Roman"/>
          <w:color w:val="252525"/>
        </w:rPr>
        <w:t>蕉</w:t>
      </w:r>
      <w:proofErr w:type="gramEnd"/>
      <w:r>
        <w:rPr>
          <w:rStyle w:val="af"/>
          <w:rFonts w:ascii="Times New Roman" w:hAnsi="Times New Roman" w:cs="Times New Roman"/>
          <w:color w:val="252525"/>
        </w:rPr>
        <w:t>海鲈世界标杆</w:t>
      </w:r>
    </w:p>
    <w:p w14:paraId="63FD7D74" w14:textId="77777777" w:rsidR="008F75C3" w:rsidRDefault="006614AC">
      <w:pPr>
        <w:pStyle w:val="ad"/>
        <w:spacing w:before="0" w:beforeAutospacing="0" w:after="0" w:afterAutospacing="0" w:line="360" w:lineRule="auto"/>
        <w:ind w:firstLineChars="200" w:firstLine="480"/>
        <w:jc w:val="both"/>
        <w:rPr>
          <w:rFonts w:ascii="Times New Roman" w:hAnsi="Times New Roman" w:cs="Times New Roman"/>
          <w:color w:val="252525"/>
        </w:rPr>
      </w:pPr>
      <w:r>
        <w:rPr>
          <w:rFonts w:ascii="Times New Roman" w:hAnsi="Times New Roman" w:cs="Times New Roman"/>
          <w:color w:val="252525"/>
        </w:rPr>
        <w:t>广东省农业技术推广中心专职副书记刘胜敏为大会致辞。海鲈是广东的特色水产品种，也是粤港澳大湾区养殖规模最大的海水鱼。目前，全国海鲈年产量近</w:t>
      </w:r>
      <w:r>
        <w:rPr>
          <w:rFonts w:ascii="Times New Roman" w:hAnsi="Times New Roman" w:cs="Times New Roman"/>
          <w:color w:val="252525"/>
        </w:rPr>
        <w:t>20</w:t>
      </w:r>
      <w:r>
        <w:rPr>
          <w:rFonts w:ascii="Times New Roman" w:hAnsi="Times New Roman" w:cs="Times New Roman"/>
          <w:color w:val="252525"/>
        </w:rPr>
        <w:t>万吨，位居国内海水鱼养殖产量第二名，是目前最有潜力和市场开发价值的水产品种之一。珠海白蕉镇是我国最大的海鲈养殖与加工产区。截至目前，白</w:t>
      </w:r>
      <w:proofErr w:type="gramStart"/>
      <w:r>
        <w:rPr>
          <w:rFonts w:ascii="Times New Roman" w:hAnsi="Times New Roman" w:cs="Times New Roman"/>
          <w:color w:val="252525"/>
        </w:rPr>
        <w:t>蕉</w:t>
      </w:r>
      <w:proofErr w:type="gramEnd"/>
      <w:r>
        <w:rPr>
          <w:rFonts w:ascii="Times New Roman" w:hAnsi="Times New Roman" w:cs="Times New Roman"/>
          <w:color w:val="252525"/>
        </w:rPr>
        <w:t>海鲈养殖面积</w:t>
      </w:r>
      <w:r>
        <w:rPr>
          <w:rFonts w:ascii="Times New Roman" w:hAnsi="Times New Roman" w:cs="Times New Roman"/>
          <w:color w:val="252525"/>
        </w:rPr>
        <w:t>3.2</w:t>
      </w:r>
      <w:r>
        <w:rPr>
          <w:rFonts w:ascii="Times New Roman" w:hAnsi="Times New Roman" w:cs="Times New Roman"/>
          <w:color w:val="252525"/>
        </w:rPr>
        <w:t>万亩，年产量达</w:t>
      </w:r>
      <w:r>
        <w:rPr>
          <w:rFonts w:ascii="Times New Roman" w:hAnsi="Times New Roman" w:cs="Times New Roman"/>
          <w:color w:val="252525"/>
        </w:rPr>
        <w:t>12.31</w:t>
      </w:r>
      <w:r>
        <w:rPr>
          <w:rFonts w:ascii="Times New Roman" w:hAnsi="Times New Roman" w:cs="Times New Roman"/>
          <w:color w:val="252525"/>
        </w:rPr>
        <w:t>万吨，超过全国的</w:t>
      </w:r>
      <w:r>
        <w:rPr>
          <w:rFonts w:ascii="Times New Roman" w:hAnsi="Times New Roman" w:cs="Times New Roman"/>
          <w:color w:val="252525"/>
        </w:rPr>
        <w:t>60%</w:t>
      </w:r>
      <w:r>
        <w:rPr>
          <w:rFonts w:ascii="Times New Roman" w:hAnsi="Times New Roman" w:cs="Times New Roman"/>
          <w:color w:val="252525"/>
        </w:rPr>
        <w:t>，可谓当仁不让的</w:t>
      </w:r>
      <w:r>
        <w:rPr>
          <w:rFonts w:ascii="Times New Roman" w:hAnsi="Times New Roman" w:cs="Times New Roman"/>
          <w:color w:val="252525"/>
        </w:rPr>
        <w:t>“</w:t>
      </w:r>
      <w:r>
        <w:rPr>
          <w:rFonts w:ascii="Times New Roman" w:hAnsi="Times New Roman" w:cs="Times New Roman"/>
          <w:color w:val="252525"/>
        </w:rPr>
        <w:t>中国海鲈之乡</w:t>
      </w:r>
      <w:r>
        <w:rPr>
          <w:rFonts w:ascii="Times New Roman" w:hAnsi="Times New Roman" w:cs="Times New Roman"/>
          <w:color w:val="252525"/>
        </w:rPr>
        <w:t>”</w:t>
      </w:r>
      <w:r>
        <w:rPr>
          <w:rFonts w:ascii="Times New Roman" w:hAnsi="Times New Roman" w:cs="Times New Roman"/>
          <w:color w:val="252525"/>
        </w:rPr>
        <w:t>。</w:t>
      </w:r>
    </w:p>
    <w:p w14:paraId="0EC2B265" w14:textId="77777777" w:rsidR="008F75C3" w:rsidRDefault="006614AC">
      <w:pPr>
        <w:pStyle w:val="ad"/>
        <w:spacing w:before="0" w:beforeAutospacing="0" w:after="0" w:afterAutospacing="0" w:line="360" w:lineRule="auto"/>
        <w:ind w:firstLineChars="200" w:firstLine="480"/>
        <w:jc w:val="both"/>
        <w:rPr>
          <w:rFonts w:ascii="Times New Roman" w:hAnsi="Times New Roman" w:cs="Times New Roman"/>
          <w:color w:val="252525"/>
        </w:rPr>
      </w:pPr>
      <w:r>
        <w:rPr>
          <w:rFonts w:ascii="Times New Roman" w:hAnsi="Times New Roman" w:cs="Times New Roman"/>
          <w:color w:val="252525"/>
        </w:rPr>
        <w:t>珠海市</w:t>
      </w:r>
      <w:proofErr w:type="gramStart"/>
      <w:r>
        <w:rPr>
          <w:rFonts w:ascii="Times New Roman" w:hAnsi="Times New Roman" w:cs="Times New Roman"/>
          <w:color w:val="252525"/>
        </w:rPr>
        <w:t>斗门区</w:t>
      </w:r>
      <w:proofErr w:type="gramEnd"/>
      <w:r>
        <w:rPr>
          <w:rFonts w:ascii="Times New Roman" w:hAnsi="Times New Roman" w:cs="Times New Roman"/>
          <w:color w:val="252525"/>
        </w:rPr>
        <w:t>白蕉镇委副书记、镇长向标致辞。白蕉镇拥有得天独厚的水产养殖环境，水产养殖历来是白蕉镇的支柱产业。白蕉镇出产的</w:t>
      </w:r>
      <w:r>
        <w:rPr>
          <w:rFonts w:ascii="Times New Roman" w:hAnsi="Times New Roman" w:cs="Times New Roman"/>
          <w:color w:val="252525"/>
        </w:rPr>
        <w:t>“</w:t>
      </w:r>
      <w:r>
        <w:rPr>
          <w:rFonts w:ascii="Times New Roman" w:hAnsi="Times New Roman" w:cs="Times New Roman"/>
          <w:color w:val="252525"/>
        </w:rPr>
        <w:t>白</w:t>
      </w:r>
      <w:proofErr w:type="gramStart"/>
      <w:r>
        <w:rPr>
          <w:rFonts w:ascii="Times New Roman" w:hAnsi="Times New Roman" w:cs="Times New Roman"/>
          <w:color w:val="252525"/>
        </w:rPr>
        <w:t>蕉</w:t>
      </w:r>
      <w:proofErr w:type="gramEnd"/>
      <w:r>
        <w:rPr>
          <w:rFonts w:ascii="Times New Roman" w:hAnsi="Times New Roman" w:cs="Times New Roman"/>
          <w:color w:val="252525"/>
        </w:rPr>
        <w:t>海鲈</w:t>
      </w:r>
      <w:r>
        <w:rPr>
          <w:rFonts w:ascii="Times New Roman" w:hAnsi="Times New Roman" w:cs="Times New Roman"/>
          <w:color w:val="252525"/>
        </w:rPr>
        <w:t>”20</w:t>
      </w:r>
      <w:r>
        <w:rPr>
          <w:rFonts w:ascii="Times New Roman" w:hAnsi="Times New Roman" w:cs="Times New Roman"/>
          <w:color w:val="252525"/>
        </w:rPr>
        <w:t>09</w:t>
      </w:r>
      <w:r>
        <w:rPr>
          <w:rFonts w:ascii="Times New Roman" w:hAnsi="Times New Roman" w:cs="Times New Roman"/>
          <w:color w:val="252525"/>
        </w:rPr>
        <w:t>年成为珠海首个获得国家地理标志认证的保护产品，</w:t>
      </w:r>
      <w:r>
        <w:rPr>
          <w:rFonts w:ascii="Times New Roman" w:hAnsi="Times New Roman" w:cs="Times New Roman"/>
          <w:color w:val="252525"/>
        </w:rPr>
        <w:t>2011</w:t>
      </w:r>
      <w:r>
        <w:rPr>
          <w:rFonts w:ascii="Times New Roman" w:hAnsi="Times New Roman" w:cs="Times New Roman"/>
          <w:color w:val="252525"/>
        </w:rPr>
        <w:t>年白蕉镇获得</w:t>
      </w:r>
      <w:r>
        <w:rPr>
          <w:rFonts w:ascii="Times New Roman" w:hAnsi="Times New Roman" w:cs="Times New Roman"/>
          <w:color w:val="252525"/>
        </w:rPr>
        <w:t>“</w:t>
      </w:r>
      <w:r>
        <w:rPr>
          <w:rFonts w:ascii="Times New Roman" w:hAnsi="Times New Roman" w:cs="Times New Roman"/>
          <w:color w:val="252525"/>
        </w:rPr>
        <w:t>中国海鲈之乡</w:t>
      </w:r>
      <w:r>
        <w:rPr>
          <w:rFonts w:ascii="Times New Roman" w:hAnsi="Times New Roman" w:cs="Times New Roman"/>
          <w:color w:val="252525"/>
        </w:rPr>
        <w:t>”</w:t>
      </w:r>
      <w:r>
        <w:rPr>
          <w:rFonts w:ascii="Times New Roman" w:hAnsi="Times New Roman" w:cs="Times New Roman"/>
          <w:color w:val="252525"/>
        </w:rPr>
        <w:t>荣誉称号。</w:t>
      </w:r>
      <w:r>
        <w:rPr>
          <w:rFonts w:ascii="Times New Roman" w:hAnsi="Times New Roman" w:cs="Times New Roman"/>
          <w:color w:val="252525"/>
        </w:rPr>
        <w:t>2017</w:t>
      </w:r>
      <w:r>
        <w:rPr>
          <w:rFonts w:ascii="Times New Roman" w:hAnsi="Times New Roman" w:cs="Times New Roman"/>
          <w:color w:val="252525"/>
        </w:rPr>
        <w:t>年</w:t>
      </w:r>
      <w:r>
        <w:rPr>
          <w:rFonts w:ascii="Times New Roman" w:hAnsi="Times New Roman" w:cs="Times New Roman"/>
          <w:color w:val="252525"/>
        </w:rPr>
        <w:t>“</w:t>
      </w:r>
      <w:r>
        <w:rPr>
          <w:rFonts w:ascii="Times New Roman" w:hAnsi="Times New Roman" w:cs="Times New Roman"/>
          <w:color w:val="252525"/>
        </w:rPr>
        <w:t>白</w:t>
      </w:r>
      <w:proofErr w:type="gramStart"/>
      <w:r>
        <w:rPr>
          <w:rFonts w:ascii="Times New Roman" w:hAnsi="Times New Roman" w:cs="Times New Roman"/>
          <w:color w:val="252525"/>
        </w:rPr>
        <w:t>蕉</w:t>
      </w:r>
      <w:proofErr w:type="gramEnd"/>
      <w:r>
        <w:rPr>
          <w:rFonts w:ascii="Times New Roman" w:hAnsi="Times New Roman" w:cs="Times New Roman"/>
          <w:color w:val="252525"/>
        </w:rPr>
        <w:t>海鲈</w:t>
      </w:r>
      <w:r>
        <w:rPr>
          <w:rFonts w:ascii="Times New Roman" w:hAnsi="Times New Roman" w:cs="Times New Roman"/>
          <w:color w:val="252525"/>
        </w:rPr>
        <w:t>”</w:t>
      </w:r>
      <w:r>
        <w:rPr>
          <w:rFonts w:ascii="Times New Roman" w:hAnsi="Times New Roman" w:cs="Times New Roman"/>
          <w:color w:val="252525"/>
        </w:rPr>
        <w:t>获评中国百强农产品区域公用品牌，</w:t>
      </w:r>
      <w:r>
        <w:rPr>
          <w:rFonts w:ascii="Times New Roman" w:hAnsi="Times New Roman" w:cs="Times New Roman"/>
          <w:color w:val="252525"/>
        </w:rPr>
        <w:t>“</w:t>
      </w:r>
      <w:r>
        <w:rPr>
          <w:rFonts w:ascii="Times New Roman" w:hAnsi="Times New Roman" w:cs="Times New Roman"/>
          <w:color w:val="252525"/>
        </w:rPr>
        <w:t>白</w:t>
      </w:r>
      <w:proofErr w:type="gramStart"/>
      <w:r>
        <w:rPr>
          <w:rFonts w:ascii="Times New Roman" w:hAnsi="Times New Roman" w:cs="Times New Roman"/>
          <w:color w:val="252525"/>
        </w:rPr>
        <w:t>蕉</w:t>
      </w:r>
      <w:proofErr w:type="gramEnd"/>
      <w:r>
        <w:rPr>
          <w:rFonts w:ascii="Times New Roman" w:hAnsi="Times New Roman" w:cs="Times New Roman"/>
          <w:color w:val="252525"/>
        </w:rPr>
        <w:t>海鲈</w:t>
      </w:r>
      <w:r>
        <w:rPr>
          <w:rFonts w:ascii="Times New Roman" w:hAnsi="Times New Roman" w:cs="Times New Roman"/>
          <w:color w:val="252525"/>
        </w:rPr>
        <w:t>”</w:t>
      </w:r>
      <w:r>
        <w:rPr>
          <w:rFonts w:ascii="Times New Roman" w:hAnsi="Times New Roman" w:cs="Times New Roman"/>
          <w:color w:val="252525"/>
        </w:rPr>
        <w:t>产区被评为全省唯一的中国特色农产品优势区。</w:t>
      </w:r>
    </w:p>
    <w:p w14:paraId="5E428BB4" w14:textId="77777777" w:rsidR="008F75C3" w:rsidRDefault="006614AC">
      <w:pPr>
        <w:pStyle w:val="ad"/>
        <w:spacing w:before="0" w:beforeAutospacing="0" w:after="0" w:afterAutospacing="0" w:line="360" w:lineRule="auto"/>
        <w:ind w:firstLineChars="200" w:firstLine="480"/>
        <w:jc w:val="both"/>
        <w:rPr>
          <w:rFonts w:ascii="Times New Roman" w:hAnsi="Times New Roman" w:cs="Times New Roman"/>
          <w:color w:val="252525"/>
        </w:rPr>
      </w:pPr>
      <w:r>
        <w:rPr>
          <w:rFonts w:ascii="Times New Roman" w:hAnsi="Times New Roman" w:cs="Times New Roman"/>
          <w:color w:val="252525"/>
        </w:rPr>
        <w:t>近年来，</w:t>
      </w:r>
      <w:r>
        <w:rPr>
          <w:rFonts w:ascii="Times New Roman" w:hAnsi="Times New Roman" w:cs="Times New Roman"/>
          <w:color w:val="252525"/>
        </w:rPr>
        <w:t>“</w:t>
      </w:r>
      <w:r>
        <w:rPr>
          <w:rFonts w:ascii="Times New Roman" w:hAnsi="Times New Roman" w:cs="Times New Roman"/>
          <w:color w:val="252525"/>
        </w:rPr>
        <w:t>白</w:t>
      </w:r>
      <w:proofErr w:type="gramStart"/>
      <w:r>
        <w:rPr>
          <w:rFonts w:ascii="Times New Roman" w:hAnsi="Times New Roman" w:cs="Times New Roman"/>
          <w:color w:val="252525"/>
        </w:rPr>
        <w:t>蕉</w:t>
      </w:r>
      <w:proofErr w:type="gramEnd"/>
      <w:r>
        <w:rPr>
          <w:rFonts w:ascii="Times New Roman" w:hAnsi="Times New Roman" w:cs="Times New Roman"/>
          <w:color w:val="252525"/>
        </w:rPr>
        <w:t>海鲈</w:t>
      </w:r>
      <w:r>
        <w:rPr>
          <w:rFonts w:ascii="Times New Roman" w:hAnsi="Times New Roman" w:cs="Times New Roman"/>
          <w:color w:val="252525"/>
        </w:rPr>
        <w:t>”</w:t>
      </w:r>
      <w:r>
        <w:rPr>
          <w:rFonts w:ascii="Times New Roman" w:hAnsi="Times New Roman" w:cs="Times New Roman"/>
          <w:color w:val="252525"/>
        </w:rPr>
        <w:t>的一二三</w:t>
      </w:r>
      <w:proofErr w:type="gramStart"/>
      <w:r>
        <w:rPr>
          <w:rFonts w:ascii="Times New Roman" w:hAnsi="Times New Roman" w:cs="Times New Roman"/>
          <w:color w:val="252525"/>
        </w:rPr>
        <w:t>产综合</w:t>
      </w:r>
      <w:proofErr w:type="gramEnd"/>
      <w:r>
        <w:rPr>
          <w:rFonts w:ascii="Times New Roman" w:hAnsi="Times New Roman" w:cs="Times New Roman"/>
          <w:color w:val="252525"/>
        </w:rPr>
        <w:t>产值不断上升，带动大量养殖户走上致富之路，产品销往全国各地和出口到日本、韩国和欧美等国家，闻名国内外市场。随着海鲈鱼深加工技术的不断提升，产品不断丰富，</w:t>
      </w:r>
      <w:r>
        <w:rPr>
          <w:rFonts w:ascii="Times New Roman" w:hAnsi="Times New Roman" w:cs="Times New Roman"/>
          <w:color w:val="252525"/>
        </w:rPr>
        <w:t>“</w:t>
      </w:r>
      <w:r>
        <w:rPr>
          <w:rFonts w:ascii="Times New Roman" w:hAnsi="Times New Roman" w:cs="Times New Roman"/>
          <w:color w:val="252525"/>
        </w:rPr>
        <w:t>白</w:t>
      </w:r>
      <w:proofErr w:type="gramStart"/>
      <w:r>
        <w:rPr>
          <w:rFonts w:ascii="Times New Roman" w:hAnsi="Times New Roman" w:cs="Times New Roman"/>
          <w:color w:val="252525"/>
        </w:rPr>
        <w:t>蕉</w:t>
      </w:r>
      <w:proofErr w:type="gramEnd"/>
      <w:r>
        <w:rPr>
          <w:rFonts w:ascii="Times New Roman" w:hAnsi="Times New Roman" w:cs="Times New Roman"/>
          <w:color w:val="252525"/>
        </w:rPr>
        <w:t>海鲈</w:t>
      </w:r>
      <w:r>
        <w:rPr>
          <w:rFonts w:ascii="Times New Roman" w:hAnsi="Times New Roman" w:cs="Times New Roman"/>
          <w:color w:val="252525"/>
        </w:rPr>
        <w:t>”</w:t>
      </w:r>
      <w:r>
        <w:rPr>
          <w:rFonts w:ascii="Times New Roman" w:hAnsi="Times New Roman" w:cs="Times New Roman"/>
          <w:color w:val="252525"/>
        </w:rPr>
        <w:t>产业将迎来百亿规模，有望打造成为广东乃至全国现代渔业最具特色、最具规模、最具竞争力的产业品牌之一。</w:t>
      </w:r>
    </w:p>
    <w:p w14:paraId="39F66F61" w14:textId="77777777" w:rsidR="008F75C3" w:rsidRDefault="006614AC">
      <w:pPr>
        <w:pStyle w:val="ad"/>
        <w:spacing w:before="0" w:beforeAutospacing="0" w:after="0" w:afterAutospacing="0" w:line="360" w:lineRule="auto"/>
        <w:ind w:firstLineChars="200" w:firstLine="480"/>
        <w:jc w:val="both"/>
        <w:rPr>
          <w:rFonts w:ascii="Times New Roman" w:hAnsi="Times New Roman" w:cs="Times New Roman"/>
          <w:color w:val="252525"/>
        </w:rPr>
      </w:pPr>
      <w:r>
        <w:rPr>
          <w:rFonts w:ascii="Times New Roman" w:hAnsi="Times New Roman" w:cs="Times New Roman"/>
          <w:color w:val="252525"/>
        </w:rPr>
        <w:lastRenderedPageBreak/>
        <w:t>在本届大</w:t>
      </w:r>
      <w:r>
        <w:rPr>
          <w:rFonts w:ascii="Times New Roman" w:hAnsi="Times New Roman" w:cs="Times New Roman"/>
          <w:color w:val="252525"/>
        </w:rPr>
        <w:t>会上，与会嘉宾针对加强海鲈遗传育种、海鲈养殖提质增效以及海鲈精深加工三大主题进行了深入分享交流。</w:t>
      </w:r>
    </w:p>
    <w:p w14:paraId="3E1BA0CC" w14:textId="77777777" w:rsidR="008F75C3" w:rsidRDefault="006614AC">
      <w:pPr>
        <w:pStyle w:val="ad"/>
        <w:pBdr>
          <w:left w:val="single" w:sz="18" w:space="3" w:color="F64E45"/>
        </w:pBdr>
        <w:spacing w:before="0" w:beforeAutospacing="0" w:after="0" w:afterAutospacing="0" w:line="360" w:lineRule="auto"/>
        <w:jc w:val="both"/>
        <w:rPr>
          <w:rFonts w:ascii="Times New Roman" w:hAnsi="Times New Roman" w:cs="Times New Roman"/>
          <w:color w:val="252525"/>
        </w:rPr>
      </w:pPr>
      <w:r>
        <w:rPr>
          <w:rStyle w:val="af"/>
          <w:rFonts w:ascii="Times New Roman" w:hAnsi="Times New Roman" w:cs="Times New Roman"/>
          <w:color w:val="252525"/>
        </w:rPr>
        <w:t>聚焦种业，打造海鲈</w:t>
      </w:r>
      <w:r>
        <w:rPr>
          <w:rStyle w:val="af"/>
          <w:rFonts w:ascii="Times New Roman" w:hAnsi="Times New Roman" w:cs="Times New Roman"/>
          <w:color w:val="252525"/>
        </w:rPr>
        <w:t>“</w:t>
      </w:r>
      <w:r>
        <w:rPr>
          <w:rStyle w:val="af"/>
          <w:rFonts w:ascii="Times New Roman" w:hAnsi="Times New Roman" w:cs="Times New Roman"/>
          <w:color w:val="252525"/>
        </w:rPr>
        <w:t>中国芯</w:t>
      </w:r>
      <w:r>
        <w:rPr>
          <w:rStyle w:val="af"/>
          <w:rFonts w:ascii="Times New Roman" w:hAnsi="Times New Roman" w:cs="Times New Roman"/>
          <w:color w:val="252525"/>
        </w:rPr>
        <w:t>”</w:t>
      </w:r>
    </w:p>
    <w:p w14:paraId="44F493AB" w14:textId="77777777" w:rsidR="008F75C3" w:rsidRDefault="006614AC">
      <w:pPr>
        <w:pStyle w:val="ad"/>
        <w:spacing w:before="0" w:beforeAutospacing="0" w:after="0" w:afterAutospacing="0" w:line="360" w:lineRule="auto"/>
        <w:ind w:firstLineChars="200" w:firstLine="480"/>
        <w:jc w:val="both"/>
        <w:rPr>
          <w:rFonts w:ascii="Times New Roman" w:hAnsi="Times New Roman" w:cs="Times New Roman"/>
          <w:color w:val="252525"/>
        </w:rPr>
      </w:pPr>
      <w:r>
        <w:rPr>
          <w:rFonts w:ascii="Times New Roman" w:hAnsi="Times New Roman" w:cs="Times New Roman"/>
          <w:color w:val="252525"/>
        </w:rPr>
        <w:t>从产业的源头种质资源来看，目前海鲈产业存在种苗严重短缺、质量参差不齐、种质资源混杂、病害频发等问题，同时养殖模式单一、水环境污染严重。行业亟需开展种质保存、资源鉴定和良种选育工作。做好海鲈的遗传育种研究，关系到海鲈产业能否持续稳定发展。</w:t>
      </w:r>
    </w:p>
    <w:p w14:paraId="75D1CDA0" w14:textId="77777777" w:rsidR="008F75C3" w:rsidRDefault="006614AC">
      <w:pPr>
        <w:pStyle w:val="ad"/>
        <w:spacing w:before="0" w:beforeAutospacing="0" w:after="0" w:afterAutospacing="0" w:line="360" w:lineRule="auto"/>
        <w:ind w:firstLineChars="200" w:firstLine="480"/>
        <w:jc w:val="both"/>
        <w:rPr>
          <w:rFonts w:ascii="Times New Roman" w:hAnsi="Times New Roman" w:cs="Times New Roman"/>
          <w:color w:val="252525"/>
        </w:rPr>
      </w:pPr>
      <w:r>
        <w:rPr>
          <w:rFonts w:ascii="Times New Roman" w:hAnsi="Times New Roman" w:cs="Times New Roman"/>
          <w:color w:val="252525"/>
        </w:rPr>
        <w:t>大会关注海鲈育种，中国水产科学研究院花鲈种质评价与遗传育种创新团队首席科学家、中国水产科学研究院南海水产研究所研究员邱丽华为解决以上产业问题提出方</w:t>
      </w:r>
      <w:r>
        <w:rPr>
          <w:rFonts w:ascii="Times New Roman" w:hAnsi="Times New Roman" w:cs="Times New Roman"/>
          <w:color w:val="252525"/>
        </w:rPr>
        <w:t>案策略。她介绍了攻克海鲈种业问题最新技术研究</w:t>
      </w:r>
      <w:r>
        <w:rPr>
          <w:rFonts w:ascii="Times New Roman" w:hAnsi="Times New Roman" w:cs="Times New Roman" w:hint="eastAsia"/>
          <w:color w:val="252525"/>
        </w:rPr>
        <w:t>,</w:t>
      </w:r>
      <w:r>
        <w:rPr>
          <w:rFonts w:ascii="Times New Roman" w:hAnsi="Times New Roman" w:cs="Times New Roman"/>
          <w:color w:val="252525"/>
        </w:rPr>
        <w:t>通过建立海鲈种质资源库，人工方法开展家系选育，加快苗种培育规模化、专业化、标准化，加强抗病育种等工作，助力打造海鲈</w:t>
      </w:r>
      <w:r>
        <w:rPr>
          <w:rFonts w:ascii="Times New Roman" w:hAnsi="Times New Roman" w:cs="Times New Roman"/>
          <w:color w:val="252525"/>
        </w:rPr>
        <w:t>“</w:t>
      </w:r>
      <w:r>
        <w:rPr>
          <w:rFonts w:ascii="Times New Roman" w:hAnsi="Times New Roman" w:cs="Times New Roman"/>
          <w:color w:val="252525"/>
        </w:rPr>
        <w:t>中国芯</w:t>
      </w:r>
      <w:r>
        <w:rPr>
          <w:rFonts w:ascii="Times New Roman" w:hAnsi="Times New Roman" w:cs="Times New Roman"/>
          <w:color w:val="252525"/>
        </w:rPr>
        <w:t>”</w:t>
      </w:r>
      <w:r>
        <w:rPr>
          <w:rFonts w:ascii="Times New Roman" w:hAnsi="Times New Roman" w:cs="Times New Roman"/>
          <w:color w:val="252525"/>
        </w:rPr>
        <w:t>。</w:t>
      </w:r>
    </w:p>
    <w:p w14:paraId="0CCA7069" w14:textId="77777777" w:rsidR="008F75C3" w:rsidRDefault="006614AC">
      <w:pPr>
        <w:pStyle w:val="ad"/>
        <w:pBdr>
          <w:left w:val="single" w:sz="18" w:space="3" w:color="F64E45"/>
        </w:pBdr>
        <w:spacing w:before="0" w:beforeAutospacing="0" w:after="0" w:afterAutospacing="0" w:line="360" w:lineRule="auto"/>
        <w:jc w:val="both"/>
        <w:rPr>
          <w:rFonts w:ascii="Times New Roman" w:hAnsi="Times New Roman" w:cs="Times New Roman"/>
          <w:color w:val="252525"/>
        </w:rPr>
      </w:pPr>
      <w:r>
        <w:rPr>
          <w:rStyle w:val="af"/>
          <w:rFonts w:ascii="Times New Roman" w:hAnsi="Times New Roman" w:cs="Times New Roman"/>
          <w:color w:val="252525"/>
        </w:rPr>
        <w:t>提质增效，健康养殖与精深加工齐头并进</w:t>
      </w:r>
    </w:p>
    <w:p w14:paraId="4D47143B" w14:textId="77777777" w:rsidR="008F75C3" w:rsidRDefault="006614AC">
      <w:pPr>
        <w:pStyle w:val="ad"/>
        <w:spacing w:before="0" w:beforeAutospacing="0" w:after="0" w:afterAutospacing="0" w:line="360" w:lineRule="auto"/>
        <w:ind w:firstLineChars="200" w:firstLine="480"/>
        <w:jc w:val="both"/>
        <w:rPr>
          <w:rFonts w:ascii="Times New Roman" w:hAnsi="Times New Roman" w:cs="Times New Roman"/>
          <w:color w:val="252525"/>
        </w:rPr>
      </w:pPr>
      <w:r>
        <w:rPr>
          <w:rFonts w:ascii="Times New Roman" w:hAnsi="Times New Roman" w:cs="Times New Roman"/>
          <w:color w:val="252525"/>
        </w:rPr>
        <w:t>随着消费不断升级，消费者对海鲈产品的多样性提出更多的诉求，从卖原料鱼到精深加工，构建海鲈全产业链是推动海鲈产业经济战略转型、快速发展的必经之路。海鲈精深加工产业大有可为、前景广阔。</w:t>
      </w:r>
    </w:p>
    <w:p w14:paraId="3ADFFC17" w14:textId="77777777" w:rsidR="008F75C3" w:rsidRDefault="006614AC">
      <w:pPr>
        <w:pStyle w:val="ad"/>
        <w:spacing w:before="0" w:beforeAutospacing="0" w:after="0" w:afterAutospacing="0" w:line="360" w:lineRule="auto"/>
        <w:ind w:firstLineChars="200" w:firstLine="480"/>
        <w:jc w:val="both"/>
        <w:rPr>
          <w:rFonts w:ascii="Times New Roman" w:hAnsi="Times New Roman" w:cs="Times New Roman"/>
          <w:color w:val="252525"/>
        </w:rPr>
      </w:pPr>
      <w:r>
        <w:rPr>
          <w:rFonts w:ascii="Times New Roman" w:hAnsi="Times New Roman" w:cs="Times New Roman"/>
          <w:color w:val="252525"/>
        </w:rPr>
        <w:t>广东省海鲈协会会长刘强在大会上分享了海鲈产业可持续发展思路。他指出，</w:t>
      </w:r>
      <w:r>
        <w:rPr>
          <w:rFonts w:ascii="Times New Roman" w:hAnsi="Times New Roman" w:cs="Times New Roman"/>
          <w:color w:val="252525"/>
        </w:rPr>
        <w:t>“</w:t>
      </w:r>
      <w:r>
        <w:rPr>
          <w:rFonts w:ascii="Times New Roman" w:hAnsi="Times New Roman" w:cs="Times New Roman"/>
          <w:color w:val="252525"/>
        </w:rPr>
        <w:t>蓝色食品</w:t>
      </w:r>
      <w:r>
        <w:rPr>
          <w:rFonts w:ascii="Times New Roman" w:hAnsi="Times New Roman" w:cs="Times New Roman"/>
          <w:color w:val="252525"/>
        </w:rPr>
        <w:t>”</w:t>
      </w:r>
      <w:r>
        <w:rPr>
          <w:rFonts w:ascii="Times New Roman" w:hAnsi="Times New Roman" w:cs="Times New Roman"/>
          <w:color w:val="252525"/>
        </w:rPr>
        <w:t>拥有巨大市场潜力，当前海鲈产业存在活鱼</w:t>
      </w:r>
      <w:r>
        <w:rPr>
          <w:rFonts w:ascii="Times New Roman" w:hAnsi="Times New Roman" w:cs="Times New Roman"/>
          <w:color w:val="252525"/>
        </w:rPr>
        <w:t>冰鲜产品附加值低、市场竞争激烈、规模化效益不明显，深度加工方式尚未形成规模化和高经济效益等问题，市场认知</w:t>
      </w:r>
      <w:proofErr w:type="gramStart"/>
      <w:r>
        <w:rPr>
          <w:rFonts w:ascii="Times New Roman" w:hAnsi="Times New Roman" w:cs="Times New Roman"/>
          <w:color w:val="252525"/>
        </w:rPr>
        <w:t>度整体</w:t>
      </w:r>
      <w:proofErr w:type="gramEnd"/>
      <w:r>
        <w:rPr>
          <w:rFonts w:ascii="Times New Roman" w:hAnsi="Times New Roman" w:cs="Times New Roman"/>
          <w:color w:val="252525"/>
        </w:rPr>
        <w:t>偏低、产品卖点不多、研发能力不足。他建议推进海鲈精深加工，提升产品附加值，打造差异化海鲈品牌，发挥一条海鲈的最大价值。</w:t>
      </w:r>
    </w:p>
    <w:p w14:paraId="3DD6E455" w14:textId="77777777" w:rsidR="008F75C3" w:rsidRDefault="006614AC">
      <w:pPr>
        <w:pStyle w:val="ad"/>
        <w:spacing w:before="0" w:beforeAutospacing="0" w:after="0" w:afterAutospacing="0" w:line="360" w:lineRule="auto"/>
        <w:ind w:firstLineChars="200" w:firstLine="480"/>
        <w:jc w:val="both"/>
        <w:rPr>
          <w:rFonts w:ascii="Times New Roman" w:hAnsi="Times New Roman" w:cs="Times New Roman"/>
          <w:color w:val="252525"/>
        </w:rPr>
      </w:pPr>
      <w:r>
        <w:rPr>
          <w:rFonts w:ascii="Times New Roman" w:hAnsi="Times New Roman" w:cs="Times New Roman"/>
          <w:color w:val="252525"/>
        </w:rPr>
        <w:t>国家海水</w:t>
      </w:r>
      <w:proofErr w:type="gramStart"/>
      <w:r>
        <w:rPr>
          <w:rFonts w:ascii="Times New Roman" w:hAnsi="Times New Roman" w:cs="Times New Roman"/>
          <w:color w:val="252525"/>
        </w:rPr>
        <w:t>鱼产业</w:t>
      </w:r>
      <w:proofErr w:type="gramEnd"/>
      <w:r>
        <w:rPr>
          <w:rFonts w:ascii="Times New Roman" w:hAnsi="Times New Roman" w:cs="Times New Roman"/>
          <w:color w:val="252525"/>
        </w:rPr>
        <w:t>技术体系鱼品加工岗位科学家、中国水产科学研究院南海水产研究所研究员吴燕燕讲述了海鲈加工产业现状及最新深加工技术应用前景。她分析了水产品加工趋势，着重介绍了保鲜、保活技术，海鲈鱼品质提升技术，特色调理食品加工技术，海鲈鱼</w:t>
      </w:r>
      <w:proofErr w:type="gramStart"/>
      <w:r>
        <w:rPr>
          <w:rFonts w:ascii="Times New Roman" w:hAnsi="Times New Roman" w:cs="Times New Roman"/>
          <w:color w:val="252525"/>
        </w:rPr>
        <w:t>糜</w:t>
      </w:r>
      <w:proofErr w:type="gramEnd"/>
      <w:r>
        <w:rPr>
          <w:rFonts w:ascii="Times New Roman" w:hAnsi="Times New Roman" w:cs="Times New Roman"/>
          <w:color w:val="252525"/>
        </w:rPr>
        <w:t>食品加工技术，海鲈鱼休闲食品加工技术，加工副产物</w:t>
      </w:r>
      <w:r>
        <w:rPr>
          <w:rFonts w:ascii="Times New Roman" w:hAnsi="Times New Roman" w:cs="Times New Roman"/>
          <w:color w:val="252525"/>
        </w:rPr>
        <w:t>“</w:t>
      </w:r>
      <w:r>
        <w:rPr>
          <w:rFonts w:ascii="Times New Roman" w:hAnsi="Times New Roman" w:cs="Times New Roman"/>
          <w:color w:val="252525"/>
        </w:rPr>
        <w:t>零废弃</w:t>
      </w:r>
      <w:r>
        <w:rPr>
          <w:rFonts w:ascii="Times New Roman" w:hAnsi="Times New Roman" w:cs="Times New Roman"/>
          <w:color w:val="252525"/>
        </w:rPr>
        <w:t>”</w:t>
      </w:r>
      <w:r>
        <w:rPr>
          <w:rFonts w:ascii="Times New Roman" w:hAnsi="Times New Roman" w:cs="Times New Roman"/>
          <w:color w:val="252525"/>
        </w:rPr>
        <w:t>利用技术，以及海鲈质量安全保障技术等前沿研究。</w:t>
      </w:r>
    </w:p>
    <w:p w14:paraId="780272E2" w14:textId="77777777" w:rsidR="008F75C3" w:rsidRDefault="006614AC">
      <w:pPr>
        <w:pStyle w:val="ad"/>
        <w:spacing w:before="0" w:beforeAutospacing="0" w:after="0" w:afterAutospacing="0" w:line="360" w:lineRule="auto"/>
        <w:ind w:firstLineChars="200" w:firstLine="480"/>
        <w:jc w:val="both"/>
        <w:rPr>
          <w:rFonts w:ascii="Times New Roman" w:hAnsi="Times New Roman" w:cs="Times New Roman"/>
          <w:color w:val="252525"/>
        </w:rPr>
      </w:pPr>
      <w:r>
        <w:rPr>
          <w:rFonts w:ascii="Times New Roman" w:hAnsi="Times New Roman" w:cs="Times New Roman"/>
          <w:color w:val="252525"/>
        </w:rPr>
        <w:t>随着近年来全国海鲈养殖面积的扩大，饲料需求量不断提高。疫情叠加饲料价格大幅上涨，海鲈养户及饲料企业面临压力明显增加。高效养殖方案成为海鲈养殖业的迫切需求。国家现代农业产业技术体系海鲈营养需求与饲料岗位科学家、集美大学水产学院院长张春晓阐述了海鲈养殖现状与水产养殖饲料利用问题，从营养角度探讨了优质高效养殖的方向，</w:t>
      </w:r>
      <w:r>
        <w:rPr>
          <w:rFonts w:ascii="Times New Roman" w:hAnsi="Times New Roman" w:cs="Times New Roman"/>
          <w:color w:val="252525"/>
        </w:rPr>
        <w:lastRenderedPageBreak/>
        <w:t>并提出通过生态学、营养学手段改善海鲈品质，形成差异化产品，满足市场对高端水产品的需求。</w:t>
      </w:r>
    </w:p>
    <w:p w14:paraId="10FE386C" w14:textId="77777777" w:rsidR="008F75C3" w:rsidRDefault="006614AC">
      <w:pPr>
        <w:pStyle w:val="ad"/>
        <w:pBdr>
          <w:left w:val="single" w:sz="18" w:space="3" w:color="F64E45"/>
        </w:pBdr>
        <w:spacing w:before="0" w:beforeAutospacing="0" w:after="0" w:afterAutospacing="0" w:line="360" w:lineRule="auto"/>
        <w:jc w:val="both"/>
        <w:rPr>
          <w:rFonts w:ascii="Times New Roman" w:hAnsi="Times New Roman" w:cs="Times New Roman"/>
          <w:color w:val="252525"/>
        </w:rPr>
      </w:pPr>
      <w:r>
        <w:rPr>
          <w:rStyle w:val="af"/>
          <w:rFonts w:ascii="Times New Roman" w:hAnsi="Times New Roman" w:cs="Times New Roman"/>
          <w:color w:val="252525"/>
        </w:rPr>
        <w:t>促进产业交流，为海鲈产业高质量发展搭建平台</w:t>
      </w:r>
    </w:p>
    <w:p w14:paraId="03C74581" w14:textId="77777777" w:rsidR="008F75C3" w:rsidRDefault="006614AC">
      <w:pPr>
        <w:pStyle w:val="ad"/>
        <w:spacing w:before="0" w:beforeAutospacing="0" w:after="0" w:afterAutospacing="0" w:line="360" w:lineRule="auto"/>
        <w:ind w:firstLineChars="200" w:firstLine="480"/>
        <w:jc w:val="both"/>
        <w:rPr>
          <w:rFonts w:ascii="Times New Roman" w:hAnsi="Times New Roman" w:cs="Times New Roman"/>
          <w:color w:val="252525"/>
        </w:rPr>
      </w:pPr>
      <w:r>
        <w:rPr>
          <w:rFonts w:ascii="Times New Roman" w:hAnsi="Times New Roman" w:cs="Times New Roman"/>
          <w:color w:val="252525"/>
        </w:rPr>
        <w:t>珠海市海川</w:t>
      </w:r>
      <w:r>
        <w:rPr>
          <w:rFonts w:ascii="Times New Roman" w:hAnsi="Times New Roman" w:cs="Times New Roman"/>
          <w:color w:val="252525"/>
        </w:rPr>
        <w:t>农业有限公司总经理李志明，珠海集元水产科技有限公司总经理谢祖铭作为企业代表在会上为海鲈产业发言，分享了海鲈养殖管理经验以及对白</w:t>
      </w:r>
      <w:proofErr w:type="gramStart"/>
      <w:r>
        <w:rPr>
          <w:rFonts w:ascii="Times New Roman" w:hAnsi="Times New Roman" w:cs="Times New Roman"/>
          <w:color w:val="252525"/>
        </w:rPr>
        <w:t>蕉</w:t>
      </w:r>
      <w:proofErr w:type="gramEnd"/>
      <w:r>
        <w:rPr>
          <w:rFonts w:ascii="Times New Roman" w:hAnsi="Times New Roman" w:cs="Times New Roman"/>
          <w:color w:val="252525"/>
        </w:rPr>
        <w:t>海鲈区域品牌建设的理解。</w:t>
      </w:r>
    </w:p>
    <w:p w14:paraId="0EC2172B" w14:textId="77777777" w:rsidR="008F75C3" w:rsidRDefault="006614AC">
      <w:pPr>
        <w:pStyle w:val="ad"/>
        <w:spacing w:before="0" w:beforeAutospacing="0" w:after="0" w:afterAutospacing="0" w:line="360" w:lineRule="auto"/>
        <w:ind w:firstLineChars="200" w:firstLine="480"/>
        <w:jc w:val="both"/>
        <w:rPr>
          <w:rFonts w:ascii="Times New Roman" w:hAnsi="Times New Roman" w:cs="Times New Roman"/>
          <w:color w:val="252525"/>
        </w:rPr>
      </w:pPr>
      <w:r>
        <w:rPr>
          <w:rFonts w:ascii="Times New Roman" w:hAnsi="Times New Roman" w:cs="Times New Roman"/>
          <w:color w:val="252525"/>
        </w:rPr>
        <w:t>大会开展了</w:t>
      </w:r>
      <w:r>
        <w:rPr>
          <w:rFonts w:ascii="Times New Roman" w:hAnsi="Times New Roman" w:cs="Times New Roman"/>
          <w:color w:val="252525"/>
        </w:rPr>
        <w:t>“</w:t>
      </w:r>
      <w:r>
        <w:rPr>
          <w:rFonts w:ascii="Times New Roman" w:hAnsi="Times New Roman" w:cs="Times New Roman"/>
          <w:color w:val="252525"/>
        </w:rPr>
        <w:t>白</w:t>
      </w:r>
      <w:proofErr w:type="gramStart"/>
      <w:r>
        <w:rPr>
          <w:rFonts w:ascii="Times New Roman" w:hAnsi="Times New Roman" w:cs="Times New Roman"/>
          <w:color w:val="252525"/>
        </w:rPr>
        <w:t>蕉</w:t>
      </w:r>
      <w:proofErr w:type="gramEnd"/>
      <w:r>
        <w:rPr>
          <w:rFonts w:ascii="Times New Roman" w:hAnsi="Times New Roman" w:cs="Times New Roman"/>
          <w:color w:val="252525"/>
        </w:rPr>
        <w:t>海鲈</w:t>
      </w:r>
      <w:r>
        <w:rPr>
          <w:rFonts w:ascii="Times New Roman" w:hAnsi="Times New Roman" w:cs="Times New Roman"/>
          <w:color w:val="252525"/>
        </w:rPr>
        <w:t>”</w:t>
      </w:r>
      <w:r>
        <w:rPr>
          <w:rFonts w:ascii="Times New Roman" w:hAnsi="Times New Roman" w:cs="Times New Roman"/>
          <w:color w:val="252525"/>
        </w:rPr>
        <w:t>产业思想汇，珠海市</w:t>
      </w:r>
      <w:proofErr w:type="gramStart"/>
      <w:r>
        <w:rPr>
          <w:rFonts w:ascii="Times New Roman" w:hAnsi="Times New Roman" w:cs="Times New Roman"/>
          <w:color w:val="252525"/>
        </w:rPr>
        <w:t>斗门区</w:t>
      </w:r>
      <w:proofErr w:type="gramEnd"/>
      <w:r>
        <w:rPr>
          <w:rFonts w:ascii="Times New Roman" w:hAnsi="Times New Roman" w:cs="Times New Roman"/>
          <w:color w:val="252525"/>
        </w:rPr>
        <w:t>白蕉镇生产办主任王瑞芳主持。集美大学水产学院院长张春晓，珠海市</w:t>
      </w:r>
      <w:proofErr w:type="gramStart"/>
      <w:r>
        <w:rPr>
          <w:rFonts w:ascii="Times New Roman" w:hAnsi="Times New Roman" w:cs="Times New Roman"/>
          <w:color w:val="252525"/>
        </w:rPr>
        <w:t>斗门区</w:t>
      </w:r>
      <w:proofErr w:type="gramEnd"/>
      <w:r>
        <w:rPr>
          <w:rFonts w:ascii="Times New Roman" w:hAnsi="Times New Roman" w:cs="Times New Roman"/>
          <w:color w:val="252525"/>
        </w:rPr>
        <w:t>白蕉镇委副书记、镇长向标，珠海市海川农业有限公司总经理李志明，珠海集元水产科技有限公司总经理谢祖铭同台交流。会上探讨了健康生态养殖、打造消海鲈牌、拓展流通渠道等行业热点问题。</w:t>
      </w:r>
    </w:p>
    <w:p w14:paraId="46FF9407" w14:textId="77777777" w:rsidR="008F75C3" w:rsidRDefault="006614AC">
      <w:pPr>
        <w:pStyle w:val="ad"/>
        <w:spacing w:before="0" w:beforeAutospacing="0" w:after="0" w:afterAutospacing="0" w:line="360" w:lineRule="auto"/>
        <w:ind w:firstLineChars="200" w:firstLine="480"/>
        <w:jc w:val="both"/>
        <w:rPr>
          <w:rFonts w:ascii="Times New Roman" w:hAnsi="Times New Roman" w:cs="Times New Roman"/>
          <w:color w:val="252525"/>
        </w:rPr>
      </w:pPr>
      <w:r>
        <w:rPr>
          <w:rFonts w:ascii="Times New Roman" w:hAnsi="Times New Roman" w:cs="Times New Roman"/>
          <w:color w:val="252525"/>
        </w:rPr>
        <w:t>会上还对</w:t>
      </w:r>
      <w:r>
        <w:rPr>
          <w:rFonts w:ascii="Times New Roman" w:hAnsi="Times New Roman" w:cs="Times New Roman"/>
          <w:color w:val="252525"/>
        </w:rPr>
        <w:t>2021</w:t>
      </w:r>
      <w:r>
        <w:rPr>
          <w:rFonts w:ascii="Times New Roman" w:hAnsi="Times New Roman" w:cs="Times New Roman"/>
          <w:color w:val="252525"/>
        </w:rPr>
        <w:t>中国海</w:t>
      </w:r>
      <w:proofErr w:type="gramStart"/>
      <w:r>
        <w:rPr>
          <w:rFonts w:ascii="Times New Roman" w:hAnsi="Times New Roman" w:cs="Times New Roman"/>
          <w:color w:val="252525"/>
        </w:rPr>
        <w:t>鲈</w:t>
      </w:r>
      <w:proofErr w:type="gramEnd"/>
      <w:r>
        <w:rPr>
          <w:rFonts w:ascii="Times New Roman" w:hAnsi="Times New Roman" w:cs="Times New Roman"/>
          <w:color w:val="252525"/>
        </w:rPr>
        <w:t>产业风云榜</w:t>
      </w:r>
      <w:r>
        <w:rPr>
          <w:rFonts w:ascii="Times New Roman" w:hAnsi="Times New Roman" w:cs="Times New Roman"/>
          <w:color w:val="252525"/>
        </w:rPr>
        <w:t>-</w:t>
      </w:r>
      <w:r>
        <w:rPr>
          <w:rFonts w:ascii="Times New Roman" w:hAnsi="Times New Roman" w:cs="Times New Roman"/>
          <w:color w:val="252525"/>
        </w:rPr>
        <w:t>年度饲料领军企业、</w:t>
      </w:r>
      <w:r>
        <w:rPr>
          <w:rFonts w:ascii="Times New Roman" w:hAnsi="Times New Roman" w:cs="Times New Roman"/>
          <w:color w:val="252525"/>
        </w:rPr>
        <w:t>2021</w:t>
      </w:r>
      <w:r>
        <w:rPr>
          <w:rFonts w:ascii="Times New Roman" w:hAnsi="Times New Roman" w:cs="Times New Roman"/>
          <w:color w:val="252525"/>
        </w:rPr>
        <w:t>中国海</w:t>
      </w:r>
      <w:proofErr w:type="gramStart"/>
      <w:r>
        <w:rPr>
          <w:rFonts w:ascii="Times New Roman" w:hAnsi="Times New Roman" w:cs="Times New Roman"/>
          <w:color w:val="252525"/>
        </w:rPr>
        <w:t>鲈</w:t>
      </w:r>
      <w:proofErr w:type="gramEnd"/>
      <w:r>
        <w:rPr>
          <w:rFonts w:ascii="Times New Roman" w:hAnsi="Times New Roman" w:cs="Times New Roman"/>
          <w:color w:val="252525"/>
        </w:rPr>
        <w:t>产业风云榜</w:t>
      </w:r>
      <w:r>
        <w:rPr>
          <w:rFonts w:ascii="Times New Roman" w:hAnsi="Times New Roman" w:cs="Times New Roman"/>
          <w:color w:val="252525"/>
        </w:rPr>
        <w:t>-</w:t>
      </w:r>
      <w:r>
        <w:rPr>
          <w:rFonts w:ascii="Times New Roman" w:hAnsi="Times New Roman" w:cs="Times New Roman"/>
          <w:color w:val="252525"/>
        </w:rPr>
        <w:t>年度流通加工企业进行了授牌。</w:t>
      </w:r>
    </w:p>
    <w:p w14:paraId="55DEAE5A" w14:textId="77777777" w:rsidR="008F75C3" w:rsidRDefault="006614AC">
      <w:pPr>
        <w:pStyle w:val="ad"/>
        <w:spacing w:before="0" w:beforeAutospacing="0" w:after="0" w:afterAutospacing="0" w:line="360" w:lineRule="auto"/>
        <w:ind w:firstLineChars="200" w:firstLine="480"/>
        <w:jc w:val="both"/>
        <w:rPr>
          <w:rFonts w:ascii="Times New Roman" w:hAnsi="Times New Roman" w:cs="Times New Roman"/>
          <w:color w:val="252525"/>
        </w:rPr>
      </w:pPr>
      <w:r>
        <w:rPr>
          <w:rFonts w:ascii="Times New Roman" w:hAnsi="Times New Roman" w:cs="Times New Roman"/>
          <w:color w:val="252525"/>
        </w:rPr>
        <w:t>本届中国海</w:t>
      </w:r>
      <w:proofErr w:type="gramStart"/>
      <w:r>
        <w:rPr>
          <w:rFonts w:ascii="Times New Roman" w:hAnsi="Times New Roman" w:cs="Times New Roman"/>
          <w:color w:val="252525"/>
        </w:rPr>
        <w:t>鲈种业大</w:t>
      </w:r>
      <w:proofErr w:type="gramEnd"/>
      <w:r>
        <w:rPr>
          <w:rFonts w:ascii="Times New Roman" w:hAnsi="Times New Roman" w:cs="Times New Roman"/>
          <w:color w:val="252525"/>
        </w:rPr>
        <w:t>会暨</w:t>
      </w:r>
      <w:r>
        <w:rPr>
          <w:rFonts w:ascii="Times New Roman" w:hAnsi="Times New Roman" w:cs="Times New Roman"/>
          <w:color w:val="252525"/>
        </w:rPr>
        <w:t>“</w:t>
      </w:r>
      <w:r>
        <w:rPr>
          <w:rFonts w:ascii="Times New Roman" w:hAnsi="Times New Roman" w:cs="Times New Roman"/>
          <w:color w:val="252525"/>
        </w:rPr>
        <w:t>白</w:t>
      </w:r>
      <w:proofErr w:type="gramStart"/>
      <w:r>
        <w:rPr>
          <w:rFonts w:ascii="Times New Roman" w:hAnsi="Times New Roman" w:cs="Times New Roman"/>
          <w:color w:val="252525"/>
        </w:rPr>
        <w:t>蕉</w:t>
      </w:r>
      <w:proofErr w:type="gramEnd"/>
      <w:r>
        <w:rPr>
          <w:rFonts w:ascii="Times New Roman" w:hAnsi="Times New Roman" w:cs="Times New Roman"/>
          <w:color w:val="252525"/>
        </w:rPr>
        <w:t>海鲈</w:t>
      </w:r>
      <w:r>
        <w:rPr>
          <w:rFonts w:ascii="Times New Roman" w:hAnsi="Times New Roman" w:cs="Times New Roman"/>
          <w:color w:val="252525"/>
        </w:rPr>
        <w:t>”</w:t>
      </w:r>
      <w:r>
        <w:rPr>
          <w:rFonts w:ascii="Times New Roman" w:hAnsi="Times New Roman" w:cs="Times New Roman"/>
          <w:color w:val="252525"/>
        </w:rPr>
        <w:t>产业高质量发展论坛的召开对提升</w:t>
      </w:r>
      <w:r>
        <w:rPr>
          <w:rFonts w:ascii="Times New Roman" w:hAnsi="Times New Roman" w:cs="Times New Roman"/>
          <w:color w:val="252525"/>
        </w:rPr>
        <w:t>“</w:t>
      </w:r>
      <w:r>
        <w:rPr>
          <w:rFonts w:ascii="Times New Roman" w:hAnsi="Times New Roman" w:cs="Times New Roman"/>
          <w:color w:val="252525"/>
        </w:rPr>
        <w:t>白</w:t>
      </w:r>
      <w:proofErr w:type="gramStart"/>
      <w:r>
        <w:rPr>
          <w:rFonts w:ascii="Times New Roman" w:hAnsi="Times New Roman" w:cs="Times New Roman"/>
          <w:color w:val="252525"/>
        </w:rPr>
        <w:t>蕉</w:t>
      </w:r>
      <w:proofErr w:type="gramEnd"/>
      <w:r>
        <w:rPr>
          <w:rFonts w:ascii="Times New Roman" w:hAnsi="Times New Roman" w:cs="Times New Roman"/>
          <w:color w:val="252525"/>
        </w:rPr>
        <w:t>海鲈</w:t>
      </w:r>
      <w:r>
        <w:rPr>
          <w:rFonts w:ascii="Times New Roman" w:hAnsi="Times New Roman" w:cs="Times New Roman"/>
          <w:color w:val="252525"/>
        </w:rPr>
        <w:t>”</w:t>
      </w:r>
      <w:r>
        <w:rPr>
          <w:rFonts w:ascii="Times New Roman" w:hAnsi="Times New Roman" w:cs="Times New Roman"/>
          <w:color w:val="252525"/>
        </w:rPr>
        <w:t>的知名度和影响力、提升</w:t>
      </w:r>
      <w:r>
        <w:rPr>
          <w:rFonts w:ascii="Times New Roman" w:hAnsi="Times New Roman" w:cs="Times New Roman"/>
          <w:color w:val="252525"/>
        </w:rPr>
        <w:t>“</w:t>
      </w:r>
      <w:r>
        <w:rPr>
          <w:rFonts w:ascii="Times New Roman" w:hAnsi="Times New Roman" w:cs="Times New Roman"/>
          <w:color w:val="252525"/>
        </w:rPr>
        <w:t>白</w:t>
      </w:r>
      <w:proofErr w:type="gramStart"/>
      <w:r>
        <w:rPr>
          <w:rFonts w:ascii="Times New Roman" w:hAnsi="Times New Roman" w:cs="Times New Roman"/>
          <w:color w:val="252525"/>
        </w:rPr>
        <w:t>蕉</w:t>
      </w:r>
      <w:proofErr w:type="gramEnd"/>
      <w:r>
        <w:rPr>
          <w:rFonts w:ascii="Times New Roman" w:hAnsi="Times New Roman" w:cs="Times New Roman"/>
          <w:color w:val="252525"/>
        </w:rPr>
        <w:t>海鲈</w:t>
      </w:r>
      <w:r>
        <w:rPr>
          <w:rFonts w:ascii="Times New Roman" w:hAnsi="Times New Roman" w:cs="Times New Roman"/>
          <w:color w:val="252525"/>
        </w:rPr>
        <w:t>”</w:t>
      </w:r>
      <w:r>
        <w:rPr>
          <w:rFonts w:ascii="Times New Roman" w:hAnsi="Times New Roman" w:cs="Times New Roman"/>
          <w:color w:val="252525"/>
        </w:rPr>
        <w:t>品牌养殖产业的产销能力、树立海鲈健康生态形象、引导海鲈产业高质量发展起到了积极作用，为促进海鲈产业技术交流、传播海鲈养殖先进理念搭建了平台。</w:t>
      </w:r>
    </w:p>
    <w:p w14:paraId="5AD39C6B" w14:textId="77777777" w:rsidR="008F75C3" w:rsidRDefault="006614AC">
      <w:pPr>
        <w:pStyle w:val="ad"/>
        <w:spacing w:before="300" w:beforeAutospacing="0" w:after="300" w:afterAutospacing="0" w:line="26" w:lineRule="atLeast"/>
        <w:jc w:val="right"/>
        <w:rPr>
          <w:rStyle w:val="vm"/>
          <w:rFonts w:ascii="Times New Roman" w:eastAsiaTheme="minorEastAsia" w:hAnsi="Times New Roman" w:cs="Times New Roman"/>
          <w:szCs w:val="21"/>
        </w:rPr>
      </w:pPr>
      <w:r>
        <w:rPr>
          <w:rFonts w:hint="eastAsia"/>
          <w:color w:val="252525"/>
          <w:sz w:val="21"/>
          <w:szCs w:val="21"/>
        </w:rPr>
        <w:t>摘自</w:t>
      </w:r>
      <w:r>
        <w:rPr>
          <w:color w:val="252525"/>
          <w:sz w:val="21"/>
          <w:szCs w:val="21"/>
        </w:rPr>
        <w:t>南方农村报</w:t>
      </w:r>
      <w:r>
        <w:rPr>
          <w:rFonts w:hint="eastAsia"/>
          <w:color w:val="252525"/>
          <w:sz w:val="21"/>
          <w:szCs w:val="21"/>
        </w:rPr>
        <w:t>，</w:t>
      </w:r>
      <w:r>
        <w:rPr>
          <w:rFonts w:hint="eastAsia"/>
          <w:color w:val="252525"/>
          <w:sz w:val="21"/>
          <w:szCs w:val="21"/>
        </w:rPr>
        <w:t>记者</w:t>
      </w:r>
      <w:r>
        <w:rPr>
          <w:color w:val="252525"/>
          <w:sz w:val="21"/>
          <w:szCs w:val="21"/>
        </w:rPr>
        <w:t>王之娴</w:t>
      </w:r>
    </w:p>
    <w:p w14:paraId="03249A07" w14:textId="77777777" w:rsidR="008F75C3" w:rsidRDefault="006614AC">
      <w:pPr>
        <w:pStyle w:val="1"/>
        <w:spacing w:line="460" w:lineRule="exact"/>
        <w:rPr>
          <w:rFonts w:eastAsia="黑体"/>
          <w:sz w:val="32"/>
          <w:szCs w:val="32"/>
          <w:bdr w:val="single" w:sz="4" w:space="0" w:color="auto"/>
        </w:rPr>
      </w:pPr>
      <w:bookmarkStart w:id="25" w:name="_Toc90390765"/>
      <w:r>
        <w:rPr>
          <w:rFonts w:eastAsia="黑体"/>
          <w:sz w:val="32"/>
          <w:szCs w:val="32"/>
          <w:bdr w:val="single" w:sz="4" w:space="0" w:color="auto"/>
        </w:rPr>
        <w:t>经营管理</w:t>
      </w:r>
      <w:bookmarkEnd w:id="25"/>
    </w:p>
    <w:p w14:paraId="2E35BA43" w14:textId="77777777" w:rsidR="008F75C3" w:rsidRDefault="006614AC">
      <w:pPr>
        <w:pStyle w:val="2"/>
        <w:spacing w:line="460" w:lineRule="exact"/>
        <w:jc w:val="center"/>
        <w:rPr>
          <w:rFonts w:ascii="Times New Roman" w:eastAsia="黑体" w:hAnsi="Times New Roman" w:cs="Times New Roman"/>
          <w:sz w:val="32"/>
          <w:szCs w:val="32"/>
        </w:rPr>
      </w:pPr>
      <w:bookmarkStart w:id="26" w:name="_Toc90390766"/>
      <w:r>
        <w:rPr>
          <w:rFonts w:ascii="Times New Roman" w:eastAsia="黑体" w:hAnsi="Times New Roman" w:cs="Times New Roman"/>
          <w:sz w:val="32"/>
          <w:szCs w:val="32"/>
        </w:rPr>
        <w:t>组织管理最重要的是让人有意义</w:t>
      </w:r>
      <w:bookmarkEnd w:id="26"/>
    </w:p>
    <w:p w14:paraId="5E376D43" w14:textId="77777777" w:rsidR="008F75C3" w:rsidRDefault="006614AC">
      <w:pPr>
        <w:spacing w:line="360" w:lineRule="auto"/>
        <w:jc w:val="center"/>
        <w:rPr>
          <w:kern w:val="0"/>
          <w:szCs w:val="21"/>
        </w:rPr>
      </w:pPr>
      <w:r>
        <w:rPr>
          <w:kern w:val="0"/>
          <w:szCs w:val="21"/>
        </w:rPr>
        <w:t>陈春花</w:t>
      </w:r>
    </w:p>
    <w:p w14:paraId="0F679AC7" w14:textId="77777777" w:rsidR="008F75C3" w:rsidRDefault="006614AC">
      <w:pPr>
        <w:spacing w:line="360" w:lineRule="auto"/>
        <w:jc w:val="center"/>
        <w:rPr>
          <w:kern w:val="0"/>
          <w:szCs w:val="21"/>
        </w:rPr>
      </w:pPr>
      <w:r>
        <w:rPr>
          <w:kern w:val="0"/>
          <w:szCs w:val="21"/>
        </w:rPr>
        <w:t>北京大学国家发展研究院</w:t>
      </w:r>
    </w:p>
    <w:p w14:paraId="14A98C4D" w14:textId="77777777" w:rsidR="008F75C3" w:rsidRDefault="006614AC">
      <w:pPr>
        <w:spacing w:line="360" w:lineRule="auto"/>
        <w:ind w:firstLine="420"/>
        <w:rPr>
          <w:kern w:val="0"/>
          <w:sz w:val="24"/>
        </w:rPr>
      </w:pPr>
      <w:r>
        <w:rPr>
          <w:kern w:val="0"/>
          <w:sz w:val="24"/>
        </w:rPr>
        <w:t>我们在考虑未来人才的时候，需要考虑在什么样的组织系统下，人才能够得以发挥价值。过去的时间里，我专注于组织发展和组织成长的研究，因为人类的每一次变迁和成长，其实都是源于新的组织模式的跃迁。人类的进步，其实是人类合作方式的成功。在这个合作的组织方式中，人发挥什么作用，是我们要关注的话题。</w:t>
      </w:r>
    </w:p>
    <w:p w14:paraId="47782ECE" w14:textId="77777777" w:rsidR="008F75C3" w:rsidRDefault="006614AC">
      <w:pPr>
        <w:spacing w:line="360" w:lineRule="auto"/>
        <w:ind w:firstLine="420"/>
        <w:rPr>
          <w:b/>
          <w:bCs/>
          <w:kern w:val="0"/>
          <w:sz w:val="24"/>
        </w:rPr>
      </w:pPr>
      <w:r>
        <w:rPr>
          <w:b/>
          <w:bCs/>
          <w:kern w:val="0"/>
          <w:sz w:val="24"/>
        </w:rPr>
        <w:t>01</w:t>
      </w:r>
      <w:r>
        <w:rPr>
          <w:b/>
          <w:bCs/>
          <w:kern w:val="0"/>
          <w:sz w:val="24"/>
        </w:rPr>
        <w:t>组织面对的四个基本现实</w:t>
      </w:r>
    </w:p>
    <w:p w14:paraId="68A85D97" w14:textId="77777777" w:rsidR="008F75C3" w:rsidRDefault="006614AC">
      <w:pPr>
        <w:spacing w:line="360" w:lineRule="auto"/>
        <w:ind w:firstLine="420"/>
        <w:rPr>
          <w:kern w:val="0"/>
          <w:sz w:val="24"/>
        </w:rPr>
      </w:pPr>
      <w:r>
        <w:rPr>
          <w:kern w:val="0"/>
          <w:sz w:val="24"/>
        </w:rPr>
        <w:t>我一直关注的一个核心命题是</w:t>
      </w:r>
      <w:r>
        <w:rPr>
          <w:kern w:val="0"/>
          <w:sz w:val="24"/>
        </w:rPr>
        <w:t>“</w:t>
      </w:r>
      <w:r>
        <w:rPr>
          <w:kern w:val="0"/>
          <w:sz w:val="24"/>
        </w:rPr>
        <w:t>数字化的本质与组织价值重塑</w:t>
      </w:r>
      <w:r>
        <w:rPr>
          <w:kern w:val="0"/>
          <w:sz w:val="24"/>
        </w:rPr>
        <w:t>”</w:t>
      </w:r>
      <w:r>
        <w:rPr>
          <w:kern w:val="0"/>
          <w:sz w:val="24"/>
        </w:rPr>
        <w:t>。过去我们了解组织所处</w:t>
      </w:r>
      <w:r>
        <w:rPr>
          <w:kern w:val="0"/>
          <w:sz w:val="24"/>
        </w:rPr>
        <w:lastRenderedPageBreak/>
        <w:t>的环境时，更多关注的是组织本身；今天，我们要关注组织跟外部的关系。这时，你会发现，在管理中，组织面对的基本现实有四个：</w:t>
      </w:r>
    </w:p>
    <w:p w14:paraId="1E1B5202" w14:textId="77777777" w:rsidR="008F75C3" w:rsidRDefault="006614AC">
      <w:pPr>
        <w:spacing w:line="360" w:lineRule="auto"/>
        <w:ind w:firstLine="420"/>
        <w:rPr>
          <w:kern w:val="0"/>
          <w:sz w:val="24"/>
        </w:rPr>
      </w:pPr>
      <w:r>
        <w:rPr>
          <w:kern w:val="0"/>
          <w:sz w:val="24"/>
        </w:rPr>
        <w:t>第一，组织处在无限的链接之中。对组织非常重要的要求就是它必须是一个很活的结构，能够跟外部充分地开放，能够不断地与外界交互，并真正地获得能量并输出价值。</w:t>
      </w:r>
    </w:p>
    <w:p w14:paraId="1925DCA3" w14:textId="77777777" w:rsidR="008F75C3" w:rsidRDefault="006614AC">
      <w:pPr>
        <w:spacing w:line="360" w:lineRule="auto"/>
        <w:ind w:firstLine="420"/>
        <w:rPr>
          <w:kern w:val="0"/>
          <w:sz w:val="24"/>
        </w:rPr>
      </w:pPr>
      <w:r>
        <w:rPr>
          <w:kern w:val="0"/>
          <w:sz w:val="24"/>
        </w:rPr>
        <w:t>第二，组织处在一个非常动荡的环境里，没有人能够对正在发生的、将要发生的情形有足够的了解。在这个过程中，你一定会遇到非常多的不确定性，我们能做的其实就是跟它产生连接后，形成动态的、持续进化的能力。</w:t>
      </w:r>
    </w:p>
    <w:p w14:paraId="5C8E1EBF" w14:textId="77777777" w:rsidR="008F75C3" w:rsidRDefault="006614AC">
      <w:pPr>
        <w:spacing w:line="360" w:lineRule="auto"/>
        <w:ind w:firstLine="420"/>
        <w:rPr>
          <w:kern w:val="0"/>
          <w:sz w:val="24"/>
        </w:rPr>
      </w:pPr>
      <w:r>
        <w:rPr>
          <w:kern w:val="0"/>
          <w:sz w:val="24"/>
        </w:rPr>
        <w:t>第三，今天的发展方式不再是线性的，而是一种新的经济方式。数字经济跟工业经济，两者之间最大的不同其实是发展方式的改变，由线性的、封闭的、稳定的，转向更加开放的、互动的</w:t>
      </w:r>
      <w:r>
        <w:rPr>
          <w:kern w:val="0"/>
          <w:sz w:val="24"/>
        </w:rPr>
        <w:t>、互联的、协同的模式。</w:t>
      </w:r>
    </w:p>
    <w:p w14:paraId="533E74CE" w14:textId="77777777" w:rsidR="008F75C3" w:rsidRDefault="006614AC">
      <w:pPr>
        <w:spacing w:line="360" w:lineRule="auto"/>
        <w:ind w:firstLine="420"/>
        <w:rPr>
          <w:kern w:val="0"/>
          <w:sz w:val="24"/>
        </w:rPr>
      </w:pPr>
      <w:r>
        <w:rPr>
          <w:kern w:val="0"/>
          <w:sz w:val="24"/>
        </w:rPr>
        <w:t>最后一个新的现实是《反脆弱》的作者提的一个观点，他说：</w:t>
      </w:r>
      <w:r>
        <w:rPr>
          <w:kern w:val="0"/>
          <w:sz w:val="24"/>
        </w:rPr>
        <w:t>“</w:t>
      </w:r>
      <w:r>
        <w:rPr>
          <w:kern w:val="0"/>
          <w:sz w:val="24"/>
        </w:rPr>
        <w:t>当你寻求秩序，你得到的不过是表面的秩序。当你拥抱随机性，你却能把握秩序，掌控局面。</w:t>
      </w:r>
      <w:r>
        <w:rPr>
          <w:kern w:val="0"/>
          <w:sz w:val="24"/>
        </w:rPr>
        <w:t>”</w:t>
      </w:r>
      <w:r>
        <w:rPr>
          <w:kern w:val="0"/>
          <w:sz w:val="24"/>
        </w:rPr>
        <w:t>这就是我们今天的一个基本现实。</w:t>
      </w:r>
    </w:p>
    <w:p w14:paraId="1E13E080" w14:textId="77777777" w:rsidR="008F75C3" w:rsidRDefault="006614AC">
      <w:pPr>
        <w:spacing w:line="360" w:lineRule="auto"/>
        <w:ind w:firstLine="420"/>
        <w:rPr>
          <w:b/>
          <w:bCs/>
          <w:kern w:val="0"/>
          <w:sz w:val="24"/>
        </w:rPr>
      </w:pPr>
      <w:r>
        <w:rPr>
          <w:b/>
          <w:bCs/>
          <w:kern w:val="0"/>
          <w:sz w:val="24"/>
        </w:rPr>
        <w:t>02</w:t>
      </w:r>
      <w:r>
        <w:rPr>
          <w:b/>
          <w:bCs/>
          <w:kern w:val="0"/>
          <w:sz w:val="24"/>
        </w:rPr>
        <w:t>组织管理进入第五个阶段</w:t>
      </w:r>
      <w:r>
        <w:rPr>
          <w:b/>
          <w:bCs/>
          <w:kern w:val="0"/>
          <w:sz w:val="24"/>
        </w:rPr>
        <w:t>——</w:t>
      </w:r>
      <w:r>
        <w:rPr>
          <w:b/>
          <w:bCs/>
          <w:kern w:val="0"/>
          <w:sz w:val="24"/>
        </w:rPr>
        <w:t>共生型组织</w:t>
      </w:r>
    </w:p>
    <w:p w14:paraId="7B9843EC" w14:textId="77777777" w:rsidR="008F75C3" w:rsidRDefault="006614AC">
      <w:pPr>
        <w:spacing w:line="360" w:lineRule="auto"/>
        <w:ind w:firstLine="420"/>
        <w:rPr>
          <w:kern w:val="0"/>
          <w:sz w:val="24"/>
        </w:rPr>
      </w:pPr>
      <w:r>
        <w:rPr>
          <w:kern w:val="0"/>
          <w:sz w:val="24"/>
        </w:rPr>
        <w:t>我们需要理解，管理思想是怎么发展过来的？组织管理的发展经历了五个阶段，前四个阶段其实是管理学已经成熟的理论：</w:t>
      </w:r>
    </w:p>
    <w:p w14:paraId="1B72A222" w14:textId="77777777" w:rsidR="008F75C3" w:rsidRDefault="006614AC">
      <w:pPr>
        <w:spacing w:line="360" w:lineRule="auto"/>
        <w:ind w:firstLine="420"/>
        <w:rPr>
          <w:kern w:val="0"/>
          <w:sz w:val="24"/>
        </w:rPr>
      </w:pPr>
      <w:r>
        <w:rPr>
          <w:kern w:val="0"/>
          <w:sz w:val="24"/>
        </w:rPr>
        <w:t>（</w:t>
      </w:r>
      <w:r>
        <w:rPr>
          <w:kern w:val="0"/>
          <w:sz w:val="24"/>
        </w:rPr>
        <w:t>1</w:t>
      </w:r>
      <w:r>
        <w:rPr>
          <w:kern w:val="0"/>
          <w:sz w:val="24"/>
        </w:rPr>
        <w:t>）科学管理</w:t>
      </w:r>
    </w:p>
    <w:p w14:paraId="17C2AD53" w14:textId="77777777" w:rsidR="008F75C3" w:rsidRDefault="006614AC">
      <w:pPr>
        <w:spacing w:line="360" w:lineRule="auto"/>
        <w:ind w:firstLine="420"/>
        <w:rPr>
          <w:kern w:val="0"/>
          <w:sz w:val="24"/>
        </w:rPr>
      </w:pPr>
      <w:r>
        <w:rPr>
          <w:kern w:val="0"/>
          <w:sz w:val="24"/>
        </w:rPr>
        <w:t>最早的组织管理发展，是源于我们能不能真正地回答效率的问题。这个阶段，主要源自机械效率，所以工业时代的开始就是大机器革命，用流水线和分工得到了很大的效</w:t>
      </w:r>
      <w:r>
        <w:rPr>
          <w:kern w:val="0"/>
          <w:sz w:val="24"/>
        </w:rPr>
        <w:t>率，换来的结果是牺牲了人的价值。就像卓别林先生演的电影《摩登时代》中所呈现的，人变成了流水线上的一个分工，</w:t>
      </w:r>
      <w:proofErr w:type="gramStart"/>
      <w:r>
        <w:rPr>
          <w:kern w:val="0"/>
          <w:sz w:val="24"/>
        </w:rPr>
        <w:t>最终人</w:t>
      </w:r>
      <w:proofErr w:type="gramEnd"/>
      <w:r>
        <w:rPr>
          <w:kern w:val="0"/>
          <w:sz w:val="24"/>
        </w:rPr>
        <w:t>变成了机器。这并不是人类发展所要的一个方向。</w:t>
      </w:r>
    </w:p>
    <w:p w14:paraId="227FFAC2" w14:textId="77777777" w:rsidR="008F75C3" w:rsidRDefault="006614AC">
      <w:pPr>
        <w:spacing w:line="360" w:lineRule="auto"/>
        <w:ind w:firstLine="420"/>
        <w:rPr>
          <w:kern w:val="0"/>
          <w:sz w:val="24"/>
        </w:rPr>
      </w:pPr>
      <w:r>
        <w:rPr>
          <w:kern w:val="0"/>
          <w:sz w:val="24"/>
        </w:rPr>
        <w:t>（</w:t>
      </w:r>
      <w:r>
        <w:rPr>
          <w:kern w:val="0"/>
          <w:sz w:val="24"/>
        </w:rPr>
        <w:t>2</w:t>
      </w:r>
      <w:r>
        <w:rPr>
          <w:kern w:val="0"/>
          <w:sz w:val="24"/>
        </w:rPr>
        <w:t>）以人为本</w:t>
      </w:r>
    </w:p>
    <w:p w14:paraId="22C3A165" w14:textId="77777777" w:rsidR="008F75C3" w:rsidRDefault="006614AC">
      <w:pPr>
        <w:spacing w:line="360" w:lineRule="auto"/>
        <w:ind w:firstLine="420"/>
        <w:rPr>
          <w:kern w:val="0"/>
          <w:sz w:val="24"/>
        </w:rPr>
      </w:pPr>
      <w:r>
        <w:rPr>
          <w:kern w:val="0"/>
          <w:sz w:val="24"/>
        </w:rPr>
        <w:t>第二个阶段，来到人本身，我们称为以人为本的人本管理。我们把人放在组织中，把组织看作是一个社会系统，我们不再讨论人是机器，人是社会的人。这个阶段的发展，我们既获得了组织的机械效率，又回归到对人的照顾。</w:t>
      </w:r>
    </w:p>
    <w:p w14:paraId="46136D04" w14:textId="77777777" w:rsidR="008F75C3" w:rsidRDefault="006614AC">
      <w:pPr>
        <w:spacing w:line="360" w:lineRule="auto"/>
        <w:ind w:firstLine="420"/>
        <w:rPr>
          <w:kern w:val="0"/>
          <w:sz w:val="24"/>
        </w:rPr>
      </w:pPr>
      <w:r>
        <w:rPr>
          <w:kern w:val="0"/>
          <w:sz w:val="24"/>
        </w:rPr>
        <w:t>（</w:t>
      </w:r>
      <w:r>
        <w:rPr>
          <w:kern w:val="0"/>
          <w:sz w:val="24"/>
        </w:rPr>
        <w:t>3</w:t>
      </w:r>
      <w:r>
        <w:rPr>
          <w:kern w:val="0"/>
          <w:sz w:val="24"/>
        </w:rPr>
        <w:t>）战略竞争</w:t>
      </w:r>
    </w:p>
    <w:p w14:paraId="724A1DAC" w14:textId="77777777" w:rsidR="008F75C3" w:rsidRDefault="006614AC">
      <w:pPr>
        <w:spacing w:line="360" w:lineRule="auto"/>
        <w:ind w:firstLine="420"/>
        <w:rPr>
          <w:kern w:val="0"/>
          <w:sz w:val="24"/>
        </w:rPr>
      </w:pPr>
      <w:r>
        <w:rPr>
          <w:kern w:val="0"/>
          <w:sz w:val="24"/>
        </w:rPr>
        <w:t>但是组织的进程不会因此停留，会继续寻求更大的发展，这时我们把眼光从组织移到了外部，就有了企业战略。企业战略的一个根本变化就</w:t>
      </w:r>
      <w:r>
        <w:rPr>
          <w:kern w:val="0"/>
          <w:sz w:val="24"/>
        </w:rPr>
        <w:t>是让组织开始整合组织外部的资源，组织因此会拥有一个核心能力，从原来的内部分工获得更大的成长性，到开始有比较优势，</w:t>
      </w:r>
      <w:r>
        <w:rPr>
          <w:kern w:val="0"/>
          <w:sz w:val="24"/>
        </w:rPr>
        <w:lastRenderedPageBreak/>
        <w:t>企业开始更高的发展。</w:t>
      </w:r>
    </w:p>
    <w:p w14:paraId="20614CEB" w14:textId="77777777" w:rsidR="008F75C3" w:rsidRDefault="006614AC">
      <w:pPr>
        <w:spacing w:line="360" w:lineRule="auto"/>
        <w:ind w:firstLine="420"/>
        <w:rPr>
          <w:kern w:val="0"/>
          <w:sz w:val="24"/>
        </w:rPr>
      </w:pPr>
      <w:r>
        <w:rPr>
          <w:kern w:val="0"/>
          <w:sz w:val="24"/>
        </w:rPr>
        <w:t>（</w:t>
      </w:r>
      <w:r>
        <w:rPr>
          <w:kern w:val="0"/>
          <w:sz w:val="24"/>
        </w:rPr>
        <w:t>4</w:t>
      </w:r>
      <w:r>
        <w:rPr>
          <w:kern w:val="0"/>
          <w:sz w:val="24"/>
        </w:rPr>
        <w:t>）学习型组织</w:t>
      </w:r>
    </w:p>
    <w:p w14:paraId="4FD0898B" w14:textId="77777777" w:rsidR="008F75C3" w:rsidRDefault="006614AC">
      <w:pPr>
        <w:spacing w:line="360" w:lineRule="auto"/>
        <w:ind w:firstLine="420"/>
        <w:rPr>
          <w:kern w:val="0"/>
          <w:sz w:val="24"/>
        </w:rPr>
      </w:pPr>
      <w:r>
        <w:rPr>
          <w:kern w:val="0"/>
          <w:sz w:val="24"/>
        </w:rPr>
        <w:t>接着，我们发现外部的资源好像并不是固定的，甚至变化本身就是成长的可能性。此时我们就来到了第四个阶段，学习型组织。在这个阶段中，我们有一个明确的认识：谁的学习能力比变化还要快，谁就能有更高的成长。所以，组织学习、企业学习就成为企业发展、企业成长的一个非常重要的手段。所有的企业都要有力量把自己打造成学习型组织，让组织拥有超越变化的能力，获得更大的成长机会。</w:t>
      </w:r>
    </w:p>
    <w:p w14:paraId="0E397FDA" w14:textId="77777777" w:rsidR="008F75C3" w:rsidRDefault="006614AC">
      <w:pPr>
        <w:spacing w:line="360" w:lineRule="auto"/>
        <w:ind w:firstLine="420"/>
        <w:rPr>
          <w:kern w:val="0"/>
          <w:sz w:val="24"/>
        </w:rPr>
      </w:pPr>
      <w:r>
        <w:rPr>
          <w:kern w:val="0"/>
          <w:sz w:val="24"/>
        </w:rPr>
        <w:t>（</w:t>
      </w:r>
      <w:r>
        <w:rPr>
          <w:kern w:val="0"/>
          <w:sz w:val="24"/>
        </w:rPr>
        <w:t>5</w:t>
      </w:r>
      <w:r>
        <w:rPr>
          <w:kern w:val="0"/>
          <w:sz w:val="24"/>
        </w:rPr>
        <w:t>）共生型组织</w:t>
      </w:r>
    </w:p>
    <w:p w14:paraId="4EEA8651" w14:textId="77777777" w:rsidR="008F75C3" w:rsidRDefault="006614AC">
      <w:pPr>
        <w:spacing w:line="360" w:lineRule="auto"/>
        <w:ind w:firstLine="420"/>
        <w:rPr>
          <w:kern w:val="0"/>
          <w:sz w:val="24"/>
        </w:rPr>
      </w:pPr>
      <w:r>
        <w:rPr>
          <w:kern w:val="0"/>
          <w:sz w:val="24"/>
        </w:rPr>
        <w:t>今天，数字技术来了，你会发现不是学习能力超越变化的问题，而是我们有没有能力与变化共处，并把变化转为机会的问题。就像这次疫情，为什么面对同一个变化，有的企业将其变成是机会，变得更具成长性，而对有的企业却是挑战，甚至是阻力，根本的原因就是你如何与这个变化共处，你能否把变化变成机会。</w:t>
      </w:r>
    </w:p>
    <w:p w14:paraId="162FAD24" w14:textId="77777777" w:rsidR="008F75C3" w:rsidRDefault="006614AC">
      <w:pPr>
        <w:spacing w:line="360" w:lineRule="auto"/>
        <w:ind w:firstLine="420"/>
        <w:rPr>
          <w:kern w:val="0"/>
          <w:sz w:val="24"/>
        </w:rPr>
      </w:pPr>
      <w:r>
        <w:rPr>
          <w:kern w:val="0"/>
          <w:sz w:val="24"/>
        </w:rPr>
        <w:t>所以我提了一个新的组织管理理论，把它命名为共生型组织。组织被看作自然整体的一部分，所有的变化都涵盖在这个自然的整体中，当我们愿意接受这个变化时，就会得到一个非常高的成长性。</w:t>
      </w:r>
    </w:p>
    <w:p w14:paraId="3E11FE24" w14:textId="77777777" w:rsidR="008F75C3" w:rsidRDefault="006614AC">
      <w:pPr>
        <w:spacing w:line="360" w:lineRule="auto"/>
        <w:ind w:firstLine="420"/>
        <w:rPr>
          <w:kern w:val="0"/>
          <w:sz w:val="24"/>
        </w:rPr>
      </w:pPr>
      <w:r>
        <w:rPr>
          <w:kern w:val="0"/>
          <w:sz w:val="24"/>
        </w:rPr>
        <w:t>当我们来到一个以变化为主要特征的环境下时，面</w:t>
      </w:r>
      <w:r>
        <w:rPr>
          <w:kern w:val="0"/>
          <w:sz w:val="24"/>
        </w:rPr>
        <w:t>对的事实的改变，也使得我们对组织和管理的理解要有一些新的变化。如果我们依然以传统的逻辑来看今天所面对的变化，这些变化一定是阻力。如果你真正能够与其共处，并转化为机会，变化对你来说反而是一种提供无限可能的条件。而这本身其实是对我们组织能力的一个考验。</w:t>
      </w:r>
    </w:p>
    <w:p w14:paraId="534F9088" w14:textId="77777777" w:rsidR="008F75C3" w:rsidRDefault="006614AC">
      <w:pPr>
        <w:spacing w:line="360" w:lineRule="auto"/>
        <w:ind w:firstLine="420"/>
        <w:rPr>
          <w:b/>
          <w:bCs/>
          <w:kern w:val="0"/>
          <w:sz w:val="24"/>
        </w:rPr>
      </w:pPr>
      <w:r>
        <w:rPr>
          <w:b/>
          <w:bCs/>
          <w:kern w:val="0"/>
          <w:sz w:val="24"/>
        </w:rPr>
        <w:t>03</w:t>
      </w:r>
      <w:r>
        <w:rPr>
          <w:b/>
          <w:bCs/>
          <w:kern w:val="0"/>
          <w:sz w:val="24"/>
        </w:rPr>
        <w:t>数字化的本质特征</w:t>
      </w:r>
    </w:p>
    <w:p w14:paraId="2E688900" w14:textId="77777777" w:rsidR="008F75C3" w:rsidRDefault="006614AC">
      <w:pPr>
        <w:spacing w:line="360" w:lineRule="auto"/>
        <w:ind w:firstLine="420"/>
        <w:rPr>
          <w:kern w:val="0"/>
          <w:sz w:val="24"/>
        </w:rPr>
      </w:pPr>
      <w:r>
        <w:rPr>
          <w:kern w:val="0"/>
          <w:sz w:val="24"/>
        </w:rPr>
        <w:t>连接、共生、当下</w:t>
      </w:r>
    </w:p>
    <w:p w14:paraId="7B5C856F" w14:textId="77777777" w:rsidR="008F75C3" w:rsidRDefault="006614AC">
      <w:pPr>
        <w:spacing w:line="360" w:lineRule="auto"/>
        <w:ind w:firstLine="420"/>
        <w:rPr>
          <w:kern w:val="0"/>
          <w:sz w:val="24"/>
        </w:rPr>
      </w:pPr>
      <w:r>
        <w:rPr>
          <w:kern w:val="0"/>
          <w:sz w:val="24"/>
        </w:rPr>
        <w:t>变化背后的一个本质要素是数字技术。数字技术为什么会带来如此巨大的变化？为什么数字技术来了之后，我们会觉得如此紧张，陷入一种焦虑困顿，甚至犹豫之中？</w:t>
      </w:r>
    </w:p>
    <w:p w14:paraId="2777FB9F" w14:textId="77777777" w:rsidR="008F75C3" w:rsidRDefault="006614AC">
      <w:pPr>
        <w:spacing w:line="360" w:lineRule="auto"/>
        <w:ind w:firstLine="420"/>
        <w:rPr>
          <w:kern w:val="0"/>
          <w:sz w:val="24"/>
        </w:rPr>
      </w:pPr>
      <w:r>
        <w:rPr>
          <w:kern w:val="0"/>
          <w:sz w:val="24"/>
        </w:rPr>
        <w:t>因为数字化其实是一个代际的概念，不仅是一个技术的概念。从技术的角度看数字化</w:t>
      </w:r>
      <w:r>
        <w:rPr>
          <w:kern w:val="0"/>
          <w:sz w:val="24"/>
        </w:rPr>
        <w:t>，就是把模拟数据转化为</w:t>
      </w:r>
      <w:r>
        <w:rPr>
          <w:kern w:val="0"/>
          <w:sz w:val="24"/>
        </w:rPr>
        <w:t>0</w:t>
      </w:r>
      <w:r>
        <w:rPr>
          <w:kern w:val="0"/>
          <w:sz w:val="24"/>
        </w:rPr>
        <w:t>和</w:t>
      </w:r>
      <w:r>
        <w:rPr>
          <w:kern w:val="0"/>
          <w:sz w:val="24"/>
        </w:rPr>
        <w:t>1</w:t>
      </w:r>
      <w:r>
        <w:rPr>
          <w:kern w:val="0"/>
          <w:sz w:val="24"/>
        </w:rPr>
        <w:t>表示的二进制代码。可是当我们把它看成代</w:t>
      </w:r>
      <w:proofErr w:type="gramStart"/>
      <w:r>
        <w:rPr>
          <w:kern w:val="0"/>
          <w:sz w:val="24"/>
        </w:rPr>
        <w:t>际概念</w:t>
      </w:r>
      <w:proofErr w:type="gramEnd"/>
      <w:r>
        <w:rPr>
          <w:kern w:val="0"/>
          <w:sz w:val="24"/>
        </w:rPr>
        <w:t>时，会发现数字化创造了一个新的世界</w:t>
      </w:r>
      <w:r>
        <w:rPr>
          <w:kern w:val="0"/>
          <w:sz w:val="24"/>
        </w:rPr>
        <w:t>——</w:t>
      </w:r>
      <w:r>
        <w:rPr>
          <w:kern w:val="0"/>
          <w:sz w:val="24"/>
        </w:rPr>
        <w:t>数字世界。</w:t>
      </w:r>
    </w:p>
    <w:p w14:paraId="40FCC5D3" w14:textId="77777777" w:rsidR="008F75C3" w:rsidRDefault="006614AC">
      <w:pPr>
        <w:spacing w:line="360" w:lineRule="auto"/>
        <w:ind w:firstLine="420"/>
        <w:rPr>
          <w:kern w:val="0"/>
          <w:sz w:val="24"/>
        </w:rPr>
      </w:pPr>
      <w:r>
        <w:rPr>
          <w:kern w:val="0"/>
          <w:sz w:val="24"/>
        </w:rPr>
        <w:t>今天，人类又开始</w:t>
      </w:r>
      <w:proofErr w:type="gramStart"/>
      <w:r>
        <w:rPr>
          <w:kern w:val="0"/>
          <w:sz w:val="24"/>
        </w:rPr>
        <w:t>构建第</w:t>
      </w:r>
      <w:proofErr w:type="gramEnd"/>
      <w:r>
        <w:rPr>
          <w:kern w:val="0"/>
          <w:sz w:val="24"/>
        </w:rPr>
        <w:t>三个世界，叫「元宇宙」，它是虚拟世界。而我们还没有很好地理解虚拟世界的时候，人类又帮我们来到第四个世界，这个世界是星辰大海，是火星。</w:t>
      </w:r>
    </w:p>
    <w:p w14:paraId="3C3DF8EF" w14:textId="77777777" w:rsidR="008F75C3" w:rsidRDefault="006614AC">
      <w:pPr>
        <w:spacing w:line="360" w:lineRule="auto"/>
        <w:ind w:firstLine="420"/>
        <w:rPr>
          <w:kern w:val="0"/>
          <w:sz w:val="24"/>
        </w:rPr>
      </w:pPr>
      <w:r>
        <w:rPr>
          <w:kern w:val="0"/>
          <w:sz w:val="24"/>
        </w:rPr>
        <w:t>一旦进入一个新的世界，就意味着我们所有的动作，所有的操作，所有的理解，可能都</w:t>
      </w:r>
      <w:r>
        <w:rPr>
          <w:kern w:val="0"/>
          <w:sz w:val="24"/>
        </w:rPr>
        <w:lastRenderedPageBreak/>
        <w:t>是要变化。</w:t>
      </w:r>
    </w:p>
    <w:p w14:paraId="3083B507" w14:textId="77777777" w:rsidR="008F75C3" w:rsidRDefault="006614AC">
      <w:pPr>
        <w:spacing w:line="360" w:lineRule="auto"/>
        <w:ind w:firstLine="420"/>
        <w:rPr>
          <w:kern w:val="0"/>
          <w:sz w:val="24"/>
        </w:rPr>
      </w:pPr>
      <w:r>
        <w:rPr>
          <w:kern w:val="0"/>
          <w:sz w:val="24"/>
        </w:rPr>
        <w:t>从这个概念理解，我认为数字化有三个本质特征：</w:t>
      </w:r>
    </w:p>
    <w:p w14:paraId="47C49CF8" w14:textId="77777777" w:rsidR="008F75C3" w:rsidRDefault="006614AC">
      <w:pPr>
        <w:spacing w:line="360" w:lineRule="auto"/>
        <w:ind w:firstLine="420"/>
        <w:rPr>
          <w:kern w:val="0"/>
          <w:sz w:val="24"/>
        </w:rPr>
      </w:pPr>
      <w:r>
        <w:rPr>
          <w:kern w:val="0"/>
          <w:sz w:val="24"/>
        </w:rPr>
        <w:t>连接，连接大于拥有。我以前常常很骄傲地告诉别人我有</w:t>
      </w:r>
      <w:r>
        <w:rPr>
          <w:kern w:val="0"/>
          <w:sz w:val="24"/>
        </w:rPr>
        <w:t>5000</w:t>
      </w:r>
      <w:r>
        <w:rPr>
          <w:kern w:val="0"/>
          <w:sz w:val="24"/>
        </w:rPr>
        <w:t>～</w:t>
      </w:r>
      <w:r>
        <w:rPr>
          <w:kern w:val="0"/>
          <w:sz w:val="24"/>
        </w:rPr>
        <w:t>10000</w:t>
      </w:r>
      <w:r>
        <w:rPr>
          <w:kern w:val="0"/>
          <w:sz w:val="24"/>
        </w:rPr>
        <w:t>册藏书，作为个体，我已经是藏书很多的一位了。但是，今天你会发现这个没有意义，因为如果你去嫁接一个跟</w:t>
      </w:r>
      <w:proofErr w:type="gramStart"/>
      <w:r>
        <w:rPr>
          <w:kern w:val="0"/>
          <w:sz w:val="24"/>
        </w:rPr>
        <w:t>书相关</w:t>
      </w:r>
      <w:proofErr w:type="gramEnd"/>
      <w:r>
        <w:rPr>
          <w:kern w:val="0"/>
          <w:sz w:val="24"/>
        </w:rPr>
        <w:t>的平台，你可能可以连接几十万册或者是千万册。你拥有书和你</w:t>
      </w:r>
      <w:proofErr w:type="gramStart"/>
      <w:r>
        <w:rPr>
          <w:kern w:val="0"/>
          <w:sz w:val="24"/>
        </w:rPr>
        <w:t>连接书</w:t>
      </w:r>
      <w:proofErr w:type="gramEnd"/>
      <w:r>
        <w:rPr>
          <w:kern w:val="0"/>
          <w:sz w:val="24"/>
        </w:rPr>
        <w:t>这件事，连接肯定大于拥有，而且它还可以随身而动，随时在线。</w:t>
      </w:r>
    </w:p>
    <w:p w14:paraId="5CC69E40" w14:textId="77777777" w:rsidR="008F75C3" w:rsidRDefault="006614AC">
      <w:pPr>
        <w:spacing w:line="360" w:lineRule="auto"/>
        <w:ind w:firstLine="420"/>
        <w:rPr>
          <w:kern w:val="0"/>
          <w:sz w:val="24"/>
        </w:rPr>
      </w:pPr>
      <w:r>
        <w:rPr>
          <w:kern w:val="0"/>
          <w:sz w:val="24"/>
        </w:rPr>
        <w:t>共生，数字化最大的一个特点就是创造了一个新世界，而且这个新世界是现实世界</w:t>
      </w:r>
      <w:proofErr w:type="gramStart"/>
      <w:r>
        <w:rPr>
          <w:kern w:val="0"/>
          <w:sz w:val="24"/>
        </w:rPr>
        <w:t>跟数字</w:t>
      </w:r>
      <w:proofErr w:type="gramEnd"/>
      <w:r>
        <w:rPr>
          <w:kern w:val="0"/>
          <w:sz w:val="24"/>
        </w:rPr>
        <w:t>世界的融合。过去很长一段时间，我们讨论虚拟经济对实体经济的冲击，今天我们会告诉各位，实体经济和虚拟经济之间必须融合，如果没有能力打通线上线</w:t>
      </w:r>
      <w:r>
        <w:rPr>
          <w:kern w:val="0"/>
          <w:sz w:val="24"/>
        </w:rPr>
        <w:t>下，没有能力在两个世界同时存活，那你就会被这个世界淘汰。</w:t>
      </w:r>
      <w:r>
        <w:rPr>
          <w:kern w:val="0"/>
          <w:sz w:val="24"/>
        </w:rPr>
        <w:t>2020</w:t>
      </w:r>
      <w:r>
        <w:rPr>
          <w:kern w:val="0"/>
          <w:sz w:val="24"/>
        </w:rPr>
        <w:t>年，我们就是生活在两个世界里，在物理世界被隔断的同时，数字信息让工作、生活、学习完全可以贯通。</w:t>
      </w:r>
    </w:p>
    <w:p w14:paraId="4AB1D404" w14:textId="77777777" w:rsidR="008F75C3" w:rsidRDefault="006614AC">
      <w:pPr>
        <w:spacing w:line="360" w:lineRule="auto"/>
        <w:ind w:firstLine="420"/>
        <w:rPr>
          <w:kern w:val="0"/>
          <w:sz w:val="24"/>
        </w:rPr>
      </w:pPr>
      <w:r>
        <w:rPr>
          <w:kern w:val="0"/>
          <w:sz w:val="24"/>
        </w:rPr>
        <w:t>当下，它是数字化本质特征中，最具创造力，最具想象力的部分，它意味着你过去的经验，你的竞争优势其实没有意义了，因为它所探讨的都是从当下向未来，每个行业都可以重做一遍。我们今天的数字化路径，不再是从过去到现在到未来，而特别像打游戏，从现在开始打，怎么能够一直通关，最后一直打下去。</w:t>
      </w:r>
    </w:p>
    <w:p w14:paraId="231F8455" w14:textId="77777777" w:rsidR="008F75C3" w:rsidRDefault="006614AC">
      <w:pPr>
        <w:spacing w:line="360" w:lineRule="auto"/>
        <w:ind w:firstLine="420"/>
        <w:rPr>
          <w:kern w:val="0"/>
          <w:sz w:val="24"/>
        </w:rPr>
      </w:pPr>
      <w:r>
        <w:rPr>
          <w:kern w:val="0"/>
          <w:sz w:val="24"/>
        </w:rPr>
        <w:t>因此，我想告诉各位，有三件事情发生了巨大的变化：其一，你的核心优势不能保护</w:t>
      </w:r>
      <w:r>
        <w:rPr>
          <w:kern w:val="0"/>
          <w:sz w:val="24"/>
        </w:rPr>
        <w:t>你很久；其二，争夺客户的窗口</w:t>
      </w:r>
      <w:proofErr w:type="gramStart"/>
      <w:r>
        <w:rPr>
          <w:kern w:val="0"/>
          <w:sz w:val="24"/>
        </w:rPr>
        <w:t>期变得</w:t>
      </w:r>
      <w:proofErr w:type="gramEnd"/>
      <w:r>
        <w:rPr>
          <w:kern w:val="0"/>
          <w:sz w:val="24"/>
        </w:rPr>
        <w:t>越来越短；其三，企业的生命周期也因此而改变。</w:t>
      </w:r>
    </w:p>
    <w:p w14:paraId="0B24736B" w14:textId="77777777" w:rsidR="008F75C3" w:rsidRDefault="006614AC">
      <w:pPr>
        <w:spacing w:line="360" w:lineRule="auto"/>
        <w:ind w:firstLine="420"/>
        <w:rPr>
          <w:kern w:val="0"/>
          <w:sz w:val="24"/>
        </w:rPr>
      </w:pPr>
      <w:r>
        <w:rPr>
          <w:kern w:val="0"/>
          <w:sz w:val="24"/>
        </w:rPr>
        <w:t>为什么产业数字化在今天变成一个更具创造空间和价值的地方？</w:t>
      </w:r>
    </w:p>
    <w:p w14:paraId="106C8EBD" w14:textId="77777777" w:rsidR="008F75C3" w:rsidRDefault="006614AC">
      <w:pPr>
        <w:spacing w:line="360" w:lineRule="auto"/>
        <w:ind w:firstLine="420"/>
        <w:rPr>
          <w:kern w:val="0"/>
          <w:sz w:val="24"/>
        </w:rPr>
      </w:pPr>
      <w:r>
        <w:rPr>
          <w:kern w:val="0"/>
          <w:sz w:val="24"/>
        </w:rPr>
        <w:t>按照熊彼特的创新定义就非常好理解。创新可以</w:t>
      </w:r>
      <w:proofErr w:type="gramStart"/>
      <w:r>
        <w:rPr>
          <w:kern w:val="0"/>
          <w:sz w:val="24"/>
        </w:rPr>
        <w:t>简单被</w:t>
      </w:r>
      <w:proofErr w:type="gramEnd"/>
      <w:r>
        <w:rPr>
          <w:kern w:val="0"/>
          <w:sz w:val="24"/>
        </w:rPr>
        <w:t>定义为建立一种新的生产函数。而企业家的职责就是把生产条件、生产要素组合在一起，然后把它从低产出的地方移到高产出的地方。</w:t>
      </w:r>
    </w:p>
    <w:p w14:paraId="2FACAB59" w14:textId="77777777" w:rsidR="008F75C3" w:rsidRDefault="006614AC">
      <w:pPr>
        <w:spacing w:line="360" w:lineRule="auto"/>
        <w:ind w:firstLine="420"/>
        <w:rPr>
          <w:kern w:val="0"/>
          <w:sz w:val="24"/>
        </w:rPr>
      </w:pPr>
      <w:r>
        <w:rPr>
          <w:kern w:val="0"/>
          <w:sz w:val="24"/>
        </w:rPr>
        <w:t>为什么所有的行业都可以重新做一遍？这是因为数字技术可以通过各种形式源源不断地渗透进产业链的每一个环节，诞生无限可能的</w:t>
      </w:r>
      <w:r>
        <w:rPr>
          <w:kern w:val="0"/>
          <w:sz w:val="24"/>
        </w:rPr>
        <w:t>“</w:t>
      </w:r>
      <w:r>
        <w:rPr>
          <w:kern w:val="0"/>
          <w:sz w:val="24"/>
        </w:rPr>
        <w:t>新产业组合</w:t>
      </w:r>
      <w:r>
        <w:rPr>
          <w:kern w:val="0"/>
          <w:sz w:val="24"/>
        </w:rPr>
        <w:t>”</w:t>
      </w:r>
      <w:r>
        <w:rPr>
          <w:kern w:val="0"/>
          <w:sz w:val="24"/>
        </w:rPr>
        <w:t>。</w:t>
      </w:r>
    </w:p>
    <w:p w14:paraId="0E364223" w14:textId="77777777" w:rsidR="008F75C3" w:rsidRDefault="006614AC">
      <w:pPr>
        <w:spacing w:line="360" w:lineRule="auto"/>
        <w:ind w:firstLine="420"/>
        <w:rPr>
          <w:kern w:val="0"/>
          <w:sz w:val="24"/>
        </w:rPr>
      </w:pPr>
      <w:r>
        <w:rPr>
          <w:kern w:val="0"/>
          <w:sz w:val="24"/>
        </w:rPr>
        <w:t>我是一个做知识产品的人，我的输出就是课程、上课的内容、对理论的理解以及我</w:t>
      </w:r>
      <w:r>
        <w:rPr>
          <w:kern w:val="0"/>
          <w:sz w:val="24"/>
        </w:rPr>
        <w:t>写的书和文章。在工业时代，陈老师也仅仅是个作者而已，可是来到数字化时代，你会发现阅读的场景跟内容做组合，可以提供服务，就产生一个新行业，叫知识付费。然后你会发现知识付费并没有直接付费给做知识的人，其实先付费给了做知识服务的人，整个价值就被重新定义了，产生出更多新的可能性。</w:t>
      </w:r>
    </w:p>
    <w:p w14:paraId="5293F328" w14:textId="77777777" w:rsidR="008F75C3" w:rsidRDefault="006614AC">
      <w:pPr>
        <w:spacing w:line="360" w:lineRule="auto"/>
        <w:ind w:firstLine="420"/>
        <w:rPr>
          <w:b/>
          <w:bCs/>
          <w:kern w:val="0"/>
          <w:sz w:val="24"/>
        </w:rPr>
      </w:pPr>
      <w:r>
        <w:rPr>
          <w:b/>
          <w:bCs/>
          <w:kern w:val="0"/>
          <w:sz w:val="24"/>
        </w:rPr>
        <w:t>04</w:t>
      </w:r>
      <w:r>
        <w:rPr>
          <w:b/>
          <w:bCs/>
          <w:kern w:val="0"/>
          <w:sz w:val="24"/>
        </w:rPr>
        <w:t>组织管理的四个命题完全变化</w:t>
      </w:r>
    </w:p>
    <w:p w14:paraId="10E43973" w14:textId="77777777" w:rsidR="008F75C3" w:rsidRDefault="006614AC">
      <w:pPr>
        <w:spacing w:line="360" w:lineRule="auto"/>
        <w:ind w:firstLine="420"/>
        <w:rPr>
          <w:kern w:val="0"/>
          <w:sz w:val="24"/>
        </w:rPr>
      </w:pPr>
      <w:r>
        <w:rPr>
          <w:kern w:val="0"/>
          <w:sz w:val="24"/>
        </w:rPr>
        <w:lastRenderedPageBreak/>
        <w:t>如何理解在数字化背景下，组织的重新定义？</w:t>
      </w:r>
    </w:p>
    <w:p w14:paraId="1E7CA42E" w14:textId="77777777" w:rsidR="008F75C3" w:rsidRDefault="006614AC">
      <w:pPr>
        <w:spacing w:line="360" w:lineRule="auto"/>
        <w:ind w:firstLine="420"/>
        <w:rPr>
          <w:kern w:val="0"/>
          <w:sz w:val="24"/>
        </w:rPr>
      </w:pPr>
      <w:r>
        <w:rPr>
          <w:kern w:val="0"/>
          <w:sz w:val="24"/>
        </w:rPr>
        <w:t>讨论这个部分时，遇到的最大难题是组织管理的四个命题变了。组织管理，如果把它说得再简单些，其实就是四对关系：个人</w:t>
      </w:r>
      <w:proofErr w:type="gramStart"/>
      <w:r>
        <w:rPr>
          <w:kern w:val="0"/>
          <w:sz w:val="24"/>
        </w:rPr>
        <w:t>跟目标</w:t>
      </w:r>
      <w:proofErr w:type="gramEnd"/>
      <w:r>
        <w:rPr>
          <w:kern w:val="0"/>
          <w:sz w:val="24"/>
        </w:rPr>
        <w:t>的关系，个人跟组织的关系，组织跟环境的关系，组织</w:t>
      </w:r>
      <w:r>
        <w:rPr>
          <w:kern w:val="0"/>
          <w:sz w:val="24"/>
        </w:rPr>
        <w:t>跟变化的关系。</w:t>
      </w:r>
    </w:p>
    <w:p w14:paraId="2EB3436A" w14:textId="77777777" w:rsidR="008F75C3" w:rsidRDefault="006614AC">
      <w:pPr>
        <w:spacing w:line="360" w:lineRule="auto"/>
        <w:ind w:firstLine="420"/>
        <w:rPr>
          <w:kern w:val="0"/>
          <w:sz w:val="24"/>
        </w:rPr>
      </w:pPr>
      <w:r>
        <w:rPr>
          <w:kern w:val="0"/>
          <w:sz w:val="24"/>
        </w:rPr>
        <w:t>过去的组织管理，组织比个人大，目标比个人大，组织比变化大，组织比环境大，所以组织自己是最大的。对于个人来讲，管理非常简单，比如你不服从目标和不对目标有贡献，组织就淘汰你。相对来说它可以形成一个稳定的环境，不受外部的干扰，甚至变化本身也没有那么剧烈。所以过去的组织管理者其实是相对容易的，因为一切都比个体大的时候，权威性就会让组织管理者产生组织的影响力。</w:t>
      </w:r>
    </w:p>
    <w:p w14:paraId="2E2E1705" w14:textId="77777777" w:rsidR="008F75C3" w:rsidRDefault="006614AC">
      <w:pPr>
        <w:spacing w:line="360" w:lineRule="auto"/>
        <w:ind w:firstLine="420"/>
        <w:rPr>
          <w:kern w:val="0"/>
          <w:sz w:val="24"/>
        </w:rPr>
      </w:pPr>
      <w:r>
        <w:rPr>
          <w:kern w:val="0"/>
          <w:sz w:val="24"/>
        </w:rPr>
        <w:t>可是今天这四对关系全部发生了变化：</w:t>
      </w:r>
    </w:p>
    <w:p w14:paraId="3935E8AB" w14:textId="77777777" w:rsidR="008F75C3" w:rsidRDefault="006614AC">
      <w:pPr>
        <w:spacing w:line="360" w:lineRule="auto"/>
        <w:ind w:firstLine="420"/>
        <w:rPr>
          <w:kern w:val="0"/>
          <w:sz w:val="24"/>
        </w:rPr>
      </w:pPr>
      <w:r>
        <w:rPr>
          <w:kern w:val="0"/>
          <w:sz w:val="24"/>
        </w:rPr>
        <w:t>第一，强个体出现。所以个体跟组织之间，个体开始有自己的话语权。</w:t>
      </w:r>
    </w:p>
    <w:p w14:paraId="642BB765" w14:textId="77777777" w:rsidR="008F75C3" w:rsidRDefault="006614AC">
      <w:pPr>
        <w:spacing w:line="360" w:lineRule="auto"/>
        <w:ind w:firstLine="420"/>
        <w:rPr>
          <w:kern w:val="0"/>
          <w:sz w:val="24"/>
        </w:rPr>
      </w:pPr>
      <w:r>
        <w:rPr>
          <w:kern w:val="0"/>
          <w:sz w:val="24"/>
        </w:rPr>
        <w:t>第二，组织目标中涵盖个人目标。组织目标如果不考虑个体目标，优秀的人就不会来。今天与强个体讨论的都是提供一个事业平台给你，而不是</w:t>
      </w:r>
      <w:proofErr w:type="gramStart"/>
      <w:r>
        <w:rPr>
          <w:kern w:val="0"/>
          <w:sz w:val="24"/>
        </w:rPr>
        <w:t>简单给</w:t>
      </w:r>
      <w:proofErr w:type="gramEnd"/>
      <w:r>
        <w:rPr>
          <w:kern w:val="0"/>
          <w:sz w:val="24"/>
        </w:rPr>
        <w:t>一个岗位，讨论一下工资，讨论的话题都会是变的。</w:t>
      </w:r>
    </w:p>
    <w:p w14:paraId="7C277E45" w14:textId="77777777" w:rsidR="008F75C3" w:rsidRDefault="006614AC">
      <w:pPr>
        <w:spacing w:line="360" w:lineRule="auto"/>
        <w:ind w:firstLine="420"/>
        <w:rPr>
          <w:kern w:val="0"/>
          <w:sz w:val="24"/>
        </w:rPr>
      </w:pPr>
      <w:r>
        <w:rPr>
          <w:kern w:val="0"/>
          <w:sz w:val="24"/>
        </w:rPr>
        <w:t>第三，环境变得影响更大。今天组织绩效的影响因素从内部移到了外部。今天不再是把自己做好就能取得绩效，因为外部的影响因素变得更大，比如疫情、跨界颠覆、碳排放、气候，你会发现环境远大过组织。</w:t>
      </w:r>
    </w:p>
    <w:p w14:paraId="12242271" w14:textId="77777777" w:rsidR="008F75C3" w:rsidRDefault="006614AC">
      <w:pPr>
        <w:spacing w:line="360" w:lineRule="auto"/>
        <w:ind w:firstLine="420"/>
        <w:rPr>
          <w:kern w:val="0"/>
          <w:sz w:val="24"/>
        </w:rPr>
      </w:pPr>
      <w:r>
        <w:rPr>
          <w:kern w:val="0"/>
          <w:sz w:val="24"/>
        </w:rPr>
        <w:t>第四，变化的影响超越组织本身。我们今天的变化就是不可预测和不确定。</w:t>
      </w:r>
    </w:p>
    <w:p w14:paraId="0F4A08D1" w14:textId="77777777" w:rsidR="008F75C3" w:rsidRDefault="006614AC">
      <w:pPr>
        <w:spacing w:line="360" w:lineRule="auto"/>
        <w:ind w:firstLine="420"/>
        <w:rPr>
          <w:kern w:val="0"/>
          <w:sz w:val="24"/>
        </w:rPr>
      </w:pPr>
      <w:r>
        <w:rPr>
          <w:kern w:val="0"/>
          <w:sz w:val="24"/>
        </w:rPr>
        <w:t>这些改变就导致了组织也随之发生变化。比如人在组织中的作用，传统的结构中，我们尽</w:t>
      </w:r>
      <w:r>
        <w:rPr>
          <w:kern w:val="0"/>
          <w:sz w:val="24"/>
        </w:rPr>
        <w:t>量把组织中的人培养成通才，对人的要求非常高，既要懂专业，又要有管理水平，还要有非常高的情商，符合领导人的不同风格。但现实是，首先通才的人本来就很少，其次培养一个通才的时间成本和投入资源都会非常大。</w:t>
      </w:r>
    </w:p>
    <w:p w14:paraId="26410382" w14:textId="77777777" w:rsidR="008F75C3" w:rsidRDefault="006614AC">
      <w:pPr>
        <w:spacing w:line="360" w:lineRule="auto"/>
        <w:ind w:firstLine="420"/>
        <w:rPr>
          <w:kern w:val="0"/>
          <w:sz w:val="24"/>
        </w:rPr>
      </w:pPr>
      <w:r>
        <w:rPr>
          <w:kern w:val="0"/>
          <w:sz w:val="24"/>
        </w:rPr>
        <w:t>为什么在数字化时代下，我们的组织成长速度非常快，指数倍增长，或者独角兽企业快速地成长起来，原因是什么？</w:t>
      </w:r>
    </w:p>
    <w:p w14:paraId="273053F1" w14:textId="77777777" w:rsidR="008F75C3" w:rsidRDefault="006614AC">
      <w:pPr>
        <w:spacing w:line="360" w:lineRule="auto"/>
        <w:ind w:firstLine="420"/>
        <w:rPr>
          <w:kern w:val="0"/>
          <w:sz w:val="24"/>
        </w:rPr>
      </w:pPr>
      <w:r>
        <w:rPr>
          <w:kern w:val="0"/>
          <w:sz w:val="24"/>
        </w:rPr>
        <w:t>这是因为它不需要花心思培养通才，需要的是专家，让专家能够协同工作就可以了。一个组织能够发挥每个人的优势长处，和必须把一个人培养成各个方面都有长处的通才，两种形式的成本和效益是完全不一样的。</w:t>
      </w:r>
    </w:p>
    <w:p w14:paraId="0411037F" w14:textId="77777777" w:rsidR="008F75C3" w:rsidRDefault="006614AC">
      <w:pPr>
        <w:spacing w:line="360" w:lineRule="auto"/>
        <w:ind w:firstLine="420"/>
        <w:rPr>
          <w:kern w:val="0"/>
          <w:sz w:val="24"/>
        </w:rPr>
      </w:pPr>
      <w:r>
        <w:rPr>
          <w:kern w:val="0"/>
          <w:sz w:val="24"/>
        </w:rPr>
        <w:t>这些变化意味着数字化</w:t>
      </w:r>
      <w:r>
        <w:rPr>
          <w:kern w:val="0"/>
          <w:sz w:val="24"/>
        </w:rPr>
        <w:t>对组织价值的重构，意味着企业与顾客、合作伙伴、员工之间，共生出新的价值。</w:t>
      </w:r>
    </w:p>
    <w:p w14:paraId="1BBFC26E" w14:textId="77777777" w:rsidR="008F75C3" w:rsidRDefault="006614AC">
      <w:pPr>
        <w:spacing w:line="360" w:lineRule="auto"/>
        <w:ind w:firstLine="420"/>
        <w:rPr>
          <w:b/>
          <w:bCs/>
          <w:kern w:val="0"/>
          <w:sz w:val="24"/>
        </w:rPr>
      </w:pPr>
      <w:r>
        <w:rPr>
          <w:b/>
          <w:bCs/>
          <w:kern w:val="0"/>
          <w:sz w:val="24"/>
        </w:rPr>
        <w:lastRenderedPageBreak/>
        <w:t>05</w:t>
      </w:r>
      <w:r>
        <w:rPr>
          <w:b/>
          <w:bCs/>
          <w:kern w:val="0"/>
          <w:sz w:val="24"/>
        </w:rPr>
        <w:t>组织运行的底层逻辑</w:t>
      </w:r>
    </w:p>
    <w:p w14:paraId="2692BEA5" w14:textId="77777777" w:rsidR="008F75C3" w:rsidRDefault="006614AC">
      <w:pPr>
        <w:spacing w:line="360" w:lineRule="auto"/>
        <w:ind w:firstLine="420"/>
        <w:rPr>
          <w:kern w:val="0"/>
          <w:sz w:val="24"/>
        </w:rPr>
      </w:pPr>
      <w:r>
        <w:rPr>
          <w:kern w:val="0"/>
          <w:sz w:val="24"/>
        </w:rPr>
        <w:t>从</w:t>
      </w:r>
      <w:r>
        <w:rPr>
          <w:kern w:val="0"/>
          <w:sz w:val="24"/>
        </w:rPr>
        <w:t>“</w:t>
      </w:r>
      <w:r>
        <w:rPr>
          <w:kern w:val="0"/>
          <w:sz w:val="24"/>
        </w:rPr>
        <w:t>分</w:t>
      </w:r>
      <w:r>
        <w:rPr>
          <w:kern w:val="0"/>
          <w:sz w:val="24"/>
        </w:rPr>
        <w:t>”</w:t>
      </w:r>
      <w:r>
        <w:rPr>
          <w:kern w:val="0"/>
          <w:sz w:val="24"/>
        </w:rPr>
        <w:t>到</w:t>
      </w:r>
      <w:r>
        <w:rPr>
          <w:kern w:val="0"/>
          <w:sz w:val="24"/>
        </w:rPr>
        <w:t>“</w:t>
      </w:r>
      <w:r>
        <w:rPr>
          <w:kern w:val="0"/>
          <w:sz w:val="24"/>
        </w:rPr>
        <w:t>协同</w:t>
      </w:r>
      <w:r>
        <w:rPr>
          <w:kern w:val="0"/>
          <w:sz w:val="24"/>
        </w:rPr>
        <w:t>”</w:t>
      </w:r>
    </w:p>
    <w:p w14:paraId="66A87AC2" w14:textId="77777777" w:rsidR="008F75C3" w:rsidRDefault="006614AC">
      <w:pPr>
        <w:spacing w:line="360" w:lineRule="auto"/>
        <w:ind w:firstLine="420"/>
        <w:rPr>
          <w:kern w:val="0"/>
          <w:sz w:val="24"/>
        </w:rPr>
      </w:pPr>
      <w:r>
        <w:rPr>
          <w:kern w:val="0"/>
          <w:sz w:val="24"/>
        </w:rPr>
        <w:t>今天，在组织价值重构的时候，就不再是最初的组织管理形式：管控、命令和决策，而是赋能、共生和协同。</w:t>
      </w:r>
    </w:p>
    <w:p w14:paraId="687A54DE" w14:textId="77777777" w:rsidR="008F75C3" w:rsidRDefault="006614AC">
      <w:pPr>
        <w:spacing w:line="360" w:lineRule="auto"/>
        <w:ind w:firstLine="420"/>
        <w:rPr>
          <w:kern w:val="0"/>
          <w:sz w:val="24"/>
        </w:rPr>
      </w:pPr>
      <w:r>
        <w:rPr>
          <w:kern w:val="0"/>
          <w:sz w:val="24"/>
        </w:rPr>
        <w:t>（</w:t>
      </w:r>
      <w:r>
        <w:rPr>
          <w:kern w:val="0"/>
          <w:sz w:val="24"/>
        </w:rPr>
        <w:t>1</w:t>
      </w:r>
      <w:r>
        <w:rPr>
          <w:kern w:val="0"/>
          <w:sz w:val="24"/>
        </w:rPr>
        <w:t>）工业化时代，组织运行的底层逻辑是</w:t>
      </w:r>
      <w:r>
        <w:rPr>
          <w:kern w:val="0"/>
          <w:sz w:val="24"/>
        </w:rPr>
        <w:t>“</w:t>
      </w:r>
      <w:r>
        <w:rPr>
          <w:kern w:val="0"/>
          <w:sz w:val="24"/>
        </w:rPr>
        <w:t>分</w:t>
      </w:r>
      <w:r>
        <w:rPr>
          <w:kern w:val="0"/>
          <w:sz w:val="24"/>
        </w:rPr>
        <w:t>”</w:t>
      </w:r>
      <w:r>
        <w:rPr>
          <w:kern w:val="0"/>
          <w:sz w:val="24"/>
        </w:rPr>
        <w:t>：</w:t>
      </w:r>
    </w:p>
    <w:p w14:paraId="3816B42C" w14:textId="77777777" w:rsidR="008F75C3" w:rsidRDefault="006614AC">
      <w:pPr>
        <w:spacing w:line="360" w:lineRule="auto"/>
        <w:ind w:firstLine="420"/>
        <w:rPr>
          <w:kern w:val="0"/>
          <w:sz w:val="24"/>
        </w:rPr>
      </w:pPr>
      <w:r>
        <w:rPr>
          <w:kern w:val="0"/>
          <w:sz w:val="24"/>
        </w:rPr>
        <w:t>组织管理当中，我们最关注的是什么？其实是你整个组织效率能不能很好地被释放出来。我们在组织管理中最喜欢说的一句话叫责权利对等，其实就是三个效率：劳动效率、组织效率和人的效率。一个企业的效率不够好，要么就是责、权不对等，要么就是责、利不对等，要么就是人、利不对等，只要是对等的，组织效率就会是最大化的。工业化时代，效率源自组织内部，所以只要责权利对等就可以得到了。</w:t>
      </w:r>
    </w:p>
    <w:p w14:paraId="5A0AC88F" w14:textId="77777777" w:rsidR="008F75C3" w:rsidRDefault="006614AC">
      <w:pPr>
        <w:spacing w:line="360" w:lineRule="auto"/>
        <w:ind w:firstLine="420"/>
        <w:rPr>
          <w:kern w:val="0"/>
          <w:sz w:val="24"/>
        </w:rPr>
      </w:pPr>
      <w:r>
        <w:rPr>
          <w:kern w:val="0"/>
          <w:sz w:val="24"/>
        </w:rPr>
        <w:t>（</w:t>
      </w:r>
      <w:r>
        <w:rPr>
          <w:kern w:val="0"/>
          <w:sz w:val="24"/>
        </w:rPr>
        <w:t>2</w:t>
      </w:r>
      <w:r>
        <w:rPr>
          <w:kern w:val="0"/>
          <w:sz w:val="24"/>
        </w:rPr>
        <w:t>）数字化时代，组织运行的底层逻辑是</w:t>
      </w:r>
      <w:r>
        <w:rPr>
          <w:kern w:val="0"/>
          <w:sz w:val="24"/>
        </w:rPr>
        <w:t>“</w:t>
      </w:r>
      <w:r>
        <w:rPr>
          <w:kern w:val="0"/>
          <w:sz w:val="24"/>
        </w:rPr>
        <w:t>协同</w:t>
      </w:r>
      <w:r>
        <w:rPr>
          <w:kern w:val="0"/>
          <w:sz w:val="24"/>
        </w:rPr>
        <w:t>”</w:t>
      </w:r>
      <w:r>
        <w:rPr>
          <w:kern w:val="0"/>
          <w:sz w:val="24"/>
        </w:rPr>
        <w:t>：</w:t>
      </w:r>
    </w:p>
    <w:p w14:paraId="6ABD0836" w14:textId="77777777" w:rsidR="008F75C3" w:rsidRDefault="006614AC">
      <w:pPr>
        <w:spacing w:line="360" w:lineRule="auto"/>
        <w:ind w:firstLine="420"/>
        <w:rPr>
          <w:kern w:val="0"/>
          <w:sz w:val="24"/>
        </w:rPr>
      </w:pPr>
      <w:r>
        <w:rPr>
          <w:kern w:val="0"/>
          <w:sz w:val="24"/>
        </w:rPr>
        <w:t>数字化时代，影响组织绩效的因素从内部移到了外部，所以仅有内部的效率不能解决问题。过去</w:t>
      </w:r>
      <w:r>
        <w:rPr>
          <w:kern w:val="0"/>
          <w:sz w:val="24"/>
        </w:rPr>
        <w:t>10</w:t>
      </w:r>
      <w:r>
        <w:rPr>
          <w:kern w:val="0"/>
          <w:sz w:val="24"/>
        </w:rPr>
        <w:t>年做调研的过</w:t>
      </w:r>
      <w:r>
        <w:rPr>
          <w:kern w:val="0"/>
          <w:sz w:val="24"/>
        </w:rPr>
        <w:t>程中，非常多的企业家问我，他现在比过去做得还要好，品质更高，成本更低，效率更高，为什么反而在竞争中输了？也有一些企业家说了一句非常哲学的话：赢过了自己，但是输给了时代。</w:t>
      </w:r>
    </w:p>
    <w:p w14:paraId="70F0FFE4" w14:textId="77777777" w:rsidR="008F75C3" w:rsidRDefault="006614AC">
      <w:pPr>
        <w:spacing w:line="360" w:lineRule="auto"/>
        <w:ind w:firstLine="420"/>
        <w:rPr>
          <w:kern w:val="0"/>
          <w:sz w:val="24"/>
        </w:rPr>
      </w:pPr>
      <w:r>
        <w:rPr>
          <w:kern w:val="0"/>
          <w:sz w:val="24"/>
        </w:rPr>
        <w:t>为什么大家会有这样一些结论和感受？是源于影响绩效的因素移到了外部，此时不是分工的问题，是能不能做组织之间的协同，你可不可以跟别人合作。如果你没有能力跟外部合作，你就会被淘汰。</w:t>
      </w:r>
    </w:p>
    <w:p w14:paraId="6895CCD4" w14:textId="77777777" w:rsidR="008F75C3" w:rsidRDefault="006614AC">
      <w:pPr>
        <w:spacing w:line="360" w:lineRule="auto"/>
        <w:ind w:firstLine="420"/>
        <w:rPr>
          <w:kern w:val="0"/>
          <w:sz w:val="24"/>
        </w:rPr>
      </w:pPr>
      <w:r>
        <w:rPr>
          <w:kern w:val="0"/>
          <w:sz w:val="24"/>
        </w:rPr>
        <w:t>所以，今天有一个很重要的概念叫数字化转型。数字化转型到底转什么？一方面是基于数字技术，转向为顾客创造价值的战略端、业务端；另一方面是基于数字化转型中的组织端可以怎么做</w:t>
      </w:r>
      <w:r>
        <w:rPr>
          <w:kern w:val="0"/>
          <w:sz w:val="24"/>
        </w:rPr>
        <w:t>。</w:t>
      </w:r>
    </w:p>
    <w:p w14:paraId="55DFDCB9" w14:textId="77777777" w:rsidR="008F75C3" w:rsidRDefault="006614AC">
      <w:pPr>
        <w:spacing w:line="360" w:lineRule="auto"/>
        <w:ind w:firstLine="420"/>
        <w:rPr>
          <w:kern w:val="0"/>
          <w:sz w:val="24"/>
        </w:rPr>
      </w:pPr>
      <w:r>
        <w:rPr>
          <w:kern w:val="0"/>
          <w:sz w:val="24"/>
        </w:rPr>
        <w:t>在数字化转型的组织端，基本上就是内外部同时进行。在内部形成企业整体的协同效率。我自己对人力资源的一个认识是在数字化时代能够高效地匹配公司的战略。因为你大部分的专业领域，也许智能化、数字化就可以解决。但唯一不能替代的是，你能不能真正地让组织的人</w:t>
      </w:r>
      <w:proofErr w:type="gramStart"/>
      <w:r>
        <w:rPr>
          <w:kern w:val="0"/>
          <w:sz w:val="24"/>
        </w:rPr>
        <w:t>跟战略</w:t>
      </w:r>
      <w:proofErr w:type="gramEnd"/>
      <w:r>
        <w:rPr>
          <w:kern w:val="0"/>
          <w:sz w:val="24"/>
        </w:rPr>
        <w:t>之间有一个高效的契合匹配，如果能，那你一定会真正地发挥人力资源的作用。</w:t>
      </w:r>
    </w:p>
    <w:p w14:paraId="08237AC7" w14:textId="77777777" w:rsidR="008F75C3" w:rsidRDefault="006614AC">
      <w:pPr>
        <w:spacing w:line="360" w:lineRule="auto"/>
        <w:ind w:firstLine="420"/>
        <w:rPr>
          <w:kern w:val="0"/>
          <w:sz w:val="24"/>
        </w:rPr>
      </w:pPr>
      <w:r>
        <w:rPr>
          <w:kern w:val="0"/>
          <w:sz w:val="24"/>
        </w:rPr>
        <w:t>从外部看，几乎所有的组织都要讨论一个话题：平台化或生态化。没有一个组织是孤立的，你要么在一个平台里，要么构建一个平台；你要么在一个生态里，要么构建一个生态，你不是一个孤立的概念。</w:t>
      </w:r>
    </w:p>
    <w:p w14:paraId="5429E867" w14:textId="77777777" w:rsidR="008F75C3" w:rsidRDefault="006614AC">
      <w:pPr>
        <w:spacing w:line="360" w:lineRule="auto"/>
        <w:ind w:firstLine="420"/>
        <w:rPr>
          <w:b/>
          <w:bCs/>
          <w:kern w:val="0"/>
          <w:sz w:val="24"/>
        </w:rPr>
      </w:pPr>
      <w:r>
        <w:rPr>
          <w:b/>
          <w:bCs/>
          <w:kern w:val="0"/>
          <w:sz w:val="24"/>
        </w:rPr>
        <w:lastRenderedPageBreak/>
        <w:t>06</w:t>
      </w:r>
      <w:r>
        <w:rPr>
          <w:b/>
          <w:bCs/>
          <w:kern w:val="0"/>
          <w:sz w:val="24"/>
        </w:rPr>
        <w:t>组织</w:t>
      </w:r>
      <w:r>
        <w:rPr>
          <w:b/>
          <w:bCs/>
          <w:kern w:val="0"/>
          <w:sz w:val="24"/>
        </w:rPr>
        <w:t>价值重塑的五个根本性改变</w:t>
      </w:r>
    </w:p>
    <w:p w14:paraId="66C59587" w14:textId="77777777" w:rsidR="008F75C3" w:rsidRDefault="006614AC">
      <w:pPr>
        <w:spacing w:line="360" w:lineRule="auto"/>
        <w:ind w:firstLine="420"/>
        <w:rPr>
          <w:kern w:val="0"/>
          <w:sz w:val="24"/>
        </w:rPr>
      </w:pPr>
      <w:r>
        <w:rPr>
          <w:kern w:val="0"/>
          <w:sz w:val="24"/>
        </w:rPr>
        <w:t>以上这些调整，带来了组织价值重塑的五个根本性改变。我相信很多企业的实践已经走在了前面。过去</w:t>
      </w:r>
      <w:r>
        <w:rPr>
          <w:kern w:val="0"/>
          <w:sz w:val="24"/>
        </w:rPr>
        <w:t>10</w:t>
      </w:r>
      <w:r>
        <w:rPr>
          <w:kern w:val="0"/>
          <w:sz w:val="24"/>
        </w:rPr>
        <w:t>年来，我用数字化作为一个脉络来研究组织的重塑和组织的发展，对几十家数字化转型的领先企业进行调研，它们鲜活的实践让我理解在这些变化中，我们到底做了哪些事情。</w:t>
      </w:r>
    </w:p>
    <w:p w14:paraId="45063B47" w14:textId="77777777" w:rsidR="008F75C3" w:rsidRDefault="006614AC">
      <w:pPr>
        <w:spacing w:line="360" w:lineRule="auto"/>
        <w:ind w:firstLine="420"/>
        <w:rPr>
          <w:kern w:val="0"/>
          <w:sz w:val="24"/>
        </w:rPr>
      </w:pPr>
      <w:r>
        <w:rPr>
          <w:kern w:val="0"/>
          <w:sz w:val="24"/>
        </w:rPr>
        <w:t>以下的分享，某种意义上是对他们实践的一个总结，所以我也没有</w:t>
      </w:r>
      <w:proofErr w:type="gramStart"/>
      <w:r>
        <w:rPr>
          <w:kern w:val="0"/>
          <w:sz w:val="24"/>
        </w:rPr>
        <w:t>完全认为</w:t>
      </w:r>
      <w:proofErr w:type="gramEnd"/>
      <w:r>
        <w:rPr>
          <w:kern w:val="0"/>
          <w:sz w:val="24"/>
        </w:rPr>
        <w:t>这是我自己独创的，反而它是一个跟企业实践互动结果。</w:t>
      </w:r>
    </w:p>
    <w:p w14:paraId="1B1CE777" w14:textId="77777777" w:rsidR="008F75C3" w:rsidRDefault="006614AC">
      <w:pPr>
        <w:spacing w:line="360" w:lineRule="auto"/>
        <w:ind w:firstLine="420"/>
        <w:rPr>
          <w:kern w:val="0"/>
          <w:sz w:val="24"/>
        </w:rPr>
      </w:pPr>
      <w:r>
        <w:rPr>
          <w:kern w:val="0"/>
          <w:sz w:val="24"/>
        </w:rPr>
        <w:t>1.</w:t>
      </w:r>
      <w:r>
        <w:rPr>
          <w:kern w:val="0"/>
          <w:sz w:val="24"/>
        </w:rPr>
        <w:t>从</w:t>
      </w:r>
      <w:proofErr w:type="gramStart"/>
      <w:r>
        <w:rPr>
          <w:kern w:val="0"/>
          <w:sz w:val="24"/>
        </w:rPr>
        <w:t>管控到赋能</w:t>
      </w:r>
      <w:proofErr w:type="gramEnd"/>
    </w:p>
    <w:p w14:paraId="3EE87D73" w14:textId="77777777" w:rsidR="008F75C3" w:rsidRDefault="006614AC">
      <w:pPr>
        <w:spacing w:line="360" w:lineRule="auto"/>
        <w:ind w:firstLine="420"/>
        <w:rPr>
          <w:kern w:val="0"/>
          <w:sz w:val="24"/>
        </w:rPr>
      </w:pPr>
      <w:r>
        <w:rPr>
          <w:kern w:val="0"/>
          <w:sz w:val="24"/>
        </w:rPr>
        <w:t>在管理中，我们习惯于控制，可是在今天做控制会遇到两个难题：第一，员工不愿意给你控制；第二，在一个变化</w:t>
      </w:r>
      <w:r>
        <w:rPr>
          <w:kern w:val="0"/>
          <w:sz w:val="24"/>
        </w:rPr>
        <w:t>的环境中，你会控制比我们想象的要难得多。</w:t>
      </w:r>
    </w:p>
    <w:p w14:paraId="7821679C" w14:textId="77777777" w:rsidR="008F75C3" w:rsidRDefault="006614AC">
      <w:pPr>
        <w:spacing w:line="360" w:lineRule="auto"/>
        <w:ind w:firstLine="420"/>
        <w:rPr>
          <w:kern w:val="0"/>
          <w:sz w:val="24"/>
        </w:rPr>
      </w:pPr>
      <w:r>
        <w:rPr>
          <w:kern w:val="0"/>
          <w:sz w:val="24"/>
        </w:rPr>
        <w:t>那么，在组织管理中，从管控转向赋能，我们到底做什么？我们可以做三件事情：</w:t>
      </w:r>
    </w:p>
    <w:p w14:paraId="3490CCC6" w14:textId="77777777" w:rsidR="008F75C3" w:rsidRDefault="006614AC">
      <w:pPr>
        <w:spacing w:line="360" w:lineRule="auto"/>
        <w:ind w:firstLine="420"/>
        <w:rPr>
          <w:kern w:val="0"/>
          <w:sz w:val="24"/>
        </w:rPr>
      </w:pPr>
      <w:r>
        <w:rPr>
          <w:kern w:val="0"/>
          <w:sz w:val="24"/>
        </w:rPr>
        <w:t>（</w:t>
      </w:r>
      <w:r>
        <w:rPr>
          <w:kern w:val="0"/>
          <w:sz w:val="24"/>
        </w:rPr>
        <w:t>1</w:t>
      </w:r>
      <w:r>
        <w:rPr>
          <w:kern w:val="0"/>
          <w:sz w:val="24"/>
        </w:rPr>
        <w:t>）给予更多的角色机会。</w:t>
      </w:r>
    </w:p>
    <w:p w14:paraId="320CA092" w14:textId="77777777" w:rsidR="008F75C3" w:rsidRDefault="006614AC">
      <w:pPr>
        <w:spacing w:line="360" w:lineRule="auto"/>
        <w:ind w:firstLine="420"/>
        <w:rPr>
          <w:kern w:val="0"/>
          <w:sz w:val="24"/>
        </w:rPr>
      </w:pPr>
      <w:r>
        <w:rPr>
          <w:kern w:val="0"/>
          <w:sz w:val="24"/>
        </w:rPr>
        <w:t>你千万不要说我赋能给你，就是给你上课，我就教你。很多企业家和管理层就跟我说，他现在花很多功夫，天天去教他的下属。我的回答是那不是赋能，赋能不是你去教他。</w:t>
      </w:r>
      <w:proofErr w:type="gramStart"/>
      <w:r>
        <w:rPr>
          <w:kern w:val="0"/>
          <w:sz w:val="24"/>
        </w:rPr>
        <w:t>教当然</w:t>
      </w:r>
      <w:proofErr w:type="gramEnd"/>
      <w:r>
        <w:rPr>
          <w:kern w:val="0"/>
          <w:sz w:val="24"/>
        </w:rPr>
        <w:t>有用，但最重要的是你要给机会。人是在岗位中成长的，学习可以帮你成长，但真正的成长必须在责任之下，必须要给岗位，给机会，并尊重这个角色付出的价值贡献。</w:t>
      </w:r>
    </w:p>
    <w:p w14:paraId="2978D64F" w14:textId="77777777" w:rsidR="008F75C3" w:rsidRDefault="006614AC">
      <w:pPr>
        <w:spacing w:line="360" w:lineRule="auto"/>
        <w:ind w:firstLine="420"/>
        <w:rPr>
          <w:kern w:val="0"/>
          <w:sz w:val="24"/>
        </w:rPr>
      </w:pPr>
      <w:r>
        <w:rPr>
          <w:kern w:val="0"/>
          <w:sz w:val="24"/>
        </w:rPr>
        <w:t>（</w:t>
      </w:r>
      <w:r>
        <w:rPr>
          <w:kern w:val="0"/>
          <w:sz w:val="24"/>
        </w:rPr>
        <w:t>2</w:t>
      </w:r>
      <w:r>
        <w:rPr>
          <w:kern w:val="0"/>
          <w:sz w:val="24"/>
        </w:rPr>
        <w:t>）给予很高的身份认同。</w:t>
      </w:r>
    </w:p>
    <w:p w14:paraId="1BC2634D" w14:textId="77777777" w:rsidR="008F75C3" w:rsidRDefault="006614AC">
      <w:pPr>
        <w:spacing w:line="360" w:lineRule="auto"/>
        <w:ind w:firstLine="420"/>
        <w:rPr>
          <w:kern w:val="0"/>
          <w:sz w:val="24"/>
        </w:rPr>
      </w:pPr>
      <w:r>
        <w:rPr>
          <w:kern w:val="0"/>
          <w:sz w:val="24"/>
        </w:rPr>
        <w:t>在组织管理中，我们常常喜欢的身份</w:t>
      </w:r>
      <w:r>
        <w:rPr>
          <w:kern w:val="0"/>
          <w:sz w:val="24"/>
        </w:rPr>
        <w:t>认同是管理者，好像当了管理者都会比较被认同。但如果你愿意给更多的身份认同，比如专业的身份认同、绩效的身份认同、有特殊贡献的身份认同，你就会发现更多的人被赋能成长，机会也变得更多。</w:t>
      </w:r>
    </w:p>
    <w:p w14:paraId="0B684935" w14:textId="77777777" w:rsidR="008F75C3" w:rsidRDefault="006614AC">
      <w:pPr>
        <w:spacing w:line="360" w:lineRule="auto"/>
        <w:ind w:firstLine="420"/>
        <w:rPr>
          <w:kern w:val="0"/>
          <w:sz w:val="24"/>
        </w:rPr>
      </w:pPr>
      <w:r>
        <w:rPr>
          <w:kern w:val="0"/>
          <w:sz w:val="24"/>
        </w:rPr>
        <w:t>（</w:t>
      </w:r>
      <w:r>
        <w:rPr>
          <w:kern w:val="0"/>
          <w:sz w:val="24"/>
        </w:rPr>
        <w:t>3</w:t>
      </w:r>
      <w:r>
        <w:rPr>
          <w:kern w:val="0"/>
          <w:sz w:val="24"/>
        </w:rPr>
        <w:t>）工作场景让他得到收获，变得更加成长。</w:t>
      </w:r>
    </w:p>
    <w:p w14:paraId="3ACD2DA0" w14:textId="77777777" w:rsidR="008F75C3" w:rsidRDefault="006614AC">
      <w:pPr>
        <w:spacing w:line="360" w:lineRule="auto"/>
        <w:ind w:firstLine="420"/>
        <w:rPr>
          <w:kern w:val="0"/>
          <w:sz w:val="24"/>
        </w:rPr>
      </w:pPr>
      <w:r>
        <w:rPr>
          <w:kern w:val="0"/>
          <w:sz w:val="24"/>
        </w:rPr>
        <w:t>因此，从</w:t>
      </w:r>
      <w:proofErr w:type="gramStart"/>
      <w:r>
        <w:rPr>
          <w:kern w:val="0"/>
          <w:sz w:val="24"/>
        </w:rPr>
        <w:t>管控到赋能</w:t>
      </w:r>
      <w:proofErr w:type="gramEnd"/>
      <w:r>
        <w:rPr>
          <w:kern w:val="0"/>
          <w:sz w:val="24"/>
        </w:rPr>
        <w:t>，管理层需要真正做出改变，做好五件事情，在日常管理中赋能：</w:t>
      </w:r>
    </w:p>
    <w:p w14:paraId="6C5C35E1" w14:textId="77777777" w:rsidR="008F75C3" w:rsidRDefault="006614AC">
      <w:pPr>
        <w:spacing w:line="360" w:lineRule="auto"/>
        <w:ind w:firstLine="420"/>
        <w:rPr>
          <w:kern w:val="0"/>
          <w:sz w:val="24"/>
        </w:rPr>
      </w:pPr>
      <w:r>
        <w:rPr>
          <w:kern w:val="0"/>
          <w:sz w:val="24"/>
        </w:rPr>
        <w:t>给员工上课，让员工分享自己。每一个员工能够分享自己，其实就是一个自我赋能的过程，因为他在总结自己的知识，他会认真地去了解他跟工作目标和工作绩效的关系。</w:t>
      </w:r>
    </w:p>
    <w:p w14:paraId="288BE204" w14:textId="77777777" w:rsidR="008F75C3" w:rsidRDefault="006614AC">
      <w:pPr>
        <w:spacing w:line="360" w:lineRule="auto"/>
        <w:ind w:firstLine="420"/>
        <w:rPr>
          <w:kern w:val="0"/>
          <w:sz w:val="24"/>
        </w:rPr>
      </w:pPr>
      <w:r>
        <w:rPr>
          <w:kern w:val="0"/>
          <w:sz w:val="24"/>
        </w:rPr>
        <w:t>让大家得到授权，你只有授权才能让别人更放心地、更有资源地去</w:t>
      </w:r>
      <w:r>
        <w:rPr>
          <w:kern w:val="0"/>
          <w:sz w:val="24"/>
        </w:rPr>
        <w:t>做事情。</w:t>
      </w:r>
    </w:p>
    <w:p w14:paraId="196A6EE0" w14:textId="77777777" w:rsidR="008F75C3" w:rsidRDefault="006614AC">
      <w:pPr>
        <w:spacing w:line="360" w:lineRule="auto"/>
        <w:ind w:firstLine="420"/>
        <w:rPr>
          <w:kern w:val="0"/>
          <w:sz w:val="24"/>
        </w:rPr>
      </w:pPr>
      <w:r>
        <w:rPr>
          <w:kern w:val="0"/>
          <w:sz w:val="24"/>
        </w:rPr>
        <w:t>要给更多的岗位；</w:t>
      </w:r>
    </w:p>
    <w:p w14:paraId="232C3C6D" w14:textId="77777777" w:rsidR="008F75C3" w:rsidRDefault="006614AC">
      <w:pPr>
        <w:spacing w:line="360" w:lineRule="auto"/>
        <w:ind w:firstLine="420"/>
        <w:rPr>
          <w:kern w:val="0"/>
          <w:sz w:val="24"/>
        </w:rPr>
      </w:pPr>
      <w:r>
        <w:rPr>
          <w:kern w:val="0"/>
          <w:sz w:val="24"/>
        </w:rPr>
        <w:t>要有效地沟通；</w:t>
      </w:r>
    </w:p>
    <w:p w14:paraId="7316EC26" w14:textId="77777777" w:rsidR="008F75C3" w:rsidRDefault="006614AC">
      <w:pPr>
        <w:spacing w:line="360" w:lineRule="auto"/>
        <w:ind w:firstLine="420"/>
        <w:rPr>
          <w:kern w:val="0"/>
          <w:sz w:val="24"/>
        </w:rPr>
      </w:pPr>
      <w:r>
        <w:rPr>
          <w:kern w:val="0"/>
          <w:sz w:val="24"/>
        </w:rPr>
        <w:t>要上下同欲，能够集合共同的智慧。</w:t>
      </w:r>
    </w:p>
    <w:p w14:paraId="516E63BE" w14:textId="77777777" w:rsidR="008F75C3" w:rsidRDefault="006614AC">
      <w:pPr>
        <w:spacing w:line="360" w:lineRule="auto"/>
        <w:ind w:firstLine="420"/>
        <w:rPr>
          <w:kern w:val="0"/>
          <w:sz w:val="24"/>
        </w:rPr>
      </w:pPr>
      <w:r>
        <w:rPr>
          <w:kern w:val="0"/>
          <w:sz w:val="24"/>
        </w:rPr>
        <w:t xml:space="preserve">2. </w:t>
      </w:r>
      <w:r>
        <w:rPr>
          <w:kern w:val="0"/>
          <w:sz w:val="24"/>
        </w:rPr>
        <w:t>从科层制到平台化</w:t>
      </w:r>
    </w:p>
    <w:p w14:paraId="12F54645" w14:textId="77777777" w:rsidR="008F75C3" w:rsidRDefault="006614AC">
      <w:pPr>
        <w:spacing w:line="360" w:lineRule="auto"/>
        <w:ind w:firstLine="420"/>
        <w:rPr>
          <w:kern w:val="0"/>
          <w:sz w:val="24"/>
        </w:rPr>
      </w:pPr>
      <w:r>
        <w:rPr>
          <w:kern w:val="0"/>
          <w:sz w:val="24"/>
        </w:rPr>
        <w:lastRenderedPageBreak/>
        <w:t>做这个转换，并不是科层制不好，科层制是非常好的一个组织管理模式，权力</w:t>
      </w:r>
      <w:proofErr w:type="gramStart"/>
      <w:r>
        <w:rPr>
          <w:kern w:val="0"/>
          <w:sz w:val="24"/>
        </w:rPr>
        <w:t>跟责任</w:t>
      </w:r>
      <w:proofErr w:type="gramEnd"/>
      <w:r>
        <w:rPr>
          <w:kern w:val="0"/>
          <w:sz w:val="24"/>
        </w:rPr>
        <w:t>的关系非常清晰，而且不同层级的人承担的责任不同，权利不同。某种意义上，整个工业时代的高效率是由科层制决定的，制造业的高效率也是由科层制决定的。所以在一个稳定的环境里，科层</w:t>
      </w:r>
      <w:proofErr w:type="gramStart"/>
      <w:r>
        <w:rPr>
          <w:kern w:val="0"/>
          <w:sz w:val="24"/>
        </w:rPr>
        <w:t>制其实</w:t>
      </w:r>
      <w:proofErr w:type="gramEnd"/>
      <w:r>
        <w:rPr>
          <w:kern w:val="0"/>
          <w:sz w:val="24"/>
        </w:rPr>
        <w:t>是保障了组织的统一性，严格的标准，品质的可靠性和绩效的出现。</w:t>
      </w:r>
    </w:p>
    <w:p w14:paraId="66957B2A" w14:textId="77777777" w:rsidR="008F75C3" w:rsidRDefault="006614AC">
      <w:pPr>
        <w:spacing w:line="360" w:lineRule="auto"/>
        <w:ind w:firstLine="420"/>
        <w:rPr>
          <w:kern w:val="0"/>
          <w:sz w:val="24"/>
        </w:rPr>
      </w:pPr>
      <w:r>
        <w:rPr>
          <w:kern w:val="0"/>
          <w:sz w:val="24"/>
        </w:rPr>
        <w:t>我们不要因为今天有全新的东西，就都要变成新的东西。所有的管理手段和管理选择都是要服务于经营，服务于</w:t>
      </w:r>
      <w:r>
        <w:rPr>
          <w:kern w:val="0"/>
          <w:sz w:val="24"/>
        </w:rPr>
        <w:t>目标，服务于战略。如果你的战略、经营就是要品质、规模和成本，那依然还是科层制比较好。</w:t>
      </w:r>
    </w:p>
    <w:p w14:paraId="0FA2D9A5" w14:textId="77777777" w:rsidR="008F75C3" w:rsidRDefault="006614AC">
      <w:pPr>
        <w:spacing w:line="360" w:lineRule="auto"/>
        <w:ind w:firstLine="420"/>
        <w:rPr>
          <w:kern w:val="0"/>
          <w:sz w:val="24"/>
        </w:rPr>
      </w:pPr>
      <w:r>
        <w:rPr>
          <w:kern w:val="0"/>
          <w:sz w:val="24"/>
        </w:rPr>
        <w:t>平台</w:t>
      </w:r>
      <w:proofErr w:type="gramStart"/>
      <w:r>
        <w:rPr>
          <w:kern w:val="0"/>
          <w:sz w:val="24"/>
        </w:rPr>
        <w:t>化其实</w:t>
      </w:r>
      <w:proofErr w:type="gramEnd"/>
      <w:r>
        <w:rPr>
          <w:kern w:val="0"/>
          <w:sz w:val="24"/>
        </w:rPr>
        <w:t>是解决另外两个问题</w:t>
      </w:r>
      <w:r>
        <w:rPr>
          <w:kern w:val="0"/>
          <w:sz w:val="24"/>
        </w:rPr>
        <w:t>——</w:t>
      </w:r>
      <w:r>
        <w:rPr>
          <w:kern w:val="0"/>
          <w:sz w:val="24"/>
        </w:rPr>
        <w:t>统一性和多样性，或者某种程度上就是稳定性和灵活性的结合。当你想要稳定性又要灵活性的时候，平台化的管理就会出现。今天的外部环境需要你是灵活的，你要随时应对各种变化，所以我们就不得不谈平台化的问题。</w:t>
      </w:r>
    </w:p>
    <w:p w14:paraId="75844B2E" w14:textId="77777777" w:rsidR="008F75C3" w:rsidRDefault="006614AC">
      <w:pPr>
        <w:spacing w:line="360" w:lineRule="auto"/>
        <w:ind w:firstLine="420"/>
        <w:rPr>
          <w:kern w:val="0"/>
          <w:sz w:val="24"/>
        </w:rPr>
      </w:pPr>
      <w:r>
        <w:rPr>
          <w:kern w:val="0"/>
          <w:sz w:val="24"/>
        </w:rPr>
        <w:t>平台</w:t>
      </w:r>
      <w:proofErr w:type="gramStart"/>
      <w:r>
        <w:rPr>
          <w:kern w:val="0"/>
          <w:sz w:val="24"/>
        </w:rPr>
        <w:t>化能够</w:t>
      </w:r>
      <w:proofErr w:type="gramEnd"/>
      <w:r>
        <w:rPr>
          <w:kern w:val="0"/>
          <w:sz w:val="24"/>
        </w:rPr>
        <w:t>解决灵活性，能处理复杂性，是因为平台可以有信息对等，可以有更多的交互。在今天一个复杂性很高，变化非常高的环境下，平台化管理基本上你是要懂的，也许你也是要用的。但是，从科层制到平台化，不是一个替代的关系。</w:t>
      </w:r>
    </w:p>
    <w:p w14:paraId="6F452569" w14:textId="77777777" w:rsidR="008F75C3" w:rsidRDefault="006614AC">
      <w:pPr>
        <w:spacing w:line="360" w:lineRule="auto"/>
        <w:ind w:firstLine="420"/>
        <w:rPr>
          <w:kern w:val="0"/>
          <w:sz w:val="24"/>
        </w:rPr>
      </w:pPr>
      <w:r>
        <w:rPr>
          <w:kern w:val="0"/>
          <w:sz w:val="24"/>
        </w:rPr>
        <w:t>3.</w:t>
      </w:r>
      <w:r>
        <w:rPr>
          <w:kern w:val="0"/>
          <w:sz w:val="24"/>
        </w:rPr>
        <w:t>分工到协同共生</w:t>
      </w:r>
    </w:p>
    <w:p w14:paraId="4AB9172B" w14:textId="77777777" w:rsidR="008F75C3" w:rsidRDefault="006614AC">
      <w:pPr>
        <w:spacing w:line="360" w:lineRule="auto"/>
        <w:ind w:firstLine="420"/>
        <w:rPr>
          <w:kern w:val="0"/>
          <w:sz w:val="24"/>
        </w:rPr>
      </w:pPr>
      <w:r>
        <w:rPr>
          <w:kern w:val="0"/>
          <w:sz w:val="24"/>
        </w:rPr>
        <w:t>克里斯坦森是创新理论最重要的一位学者，他对于企业能力的一个定义是：企业的价值活动会受限于它的能力。我从他的理论当中也得到了一个明确的定义</w:t>
      </w:r>
      <w:r>
        <w:rPr>
          <w:kern w:val="0"/>
          <w:sz w:val="24"/>
        </w:rPr>
        <w:t>——</w:t>
      </w:r>
      <w:r>
        <w:rPr>
          <w:kern w:val="0"/>
          <w:sz w:val="24"/>
        </w:rPr>
        <w:t>企业已有的能力有可能成为你的局限性。</w:t>
      </w:r>
    </w:p>
    <w:p w14:paraId="39BAA75C" w14:textId="77777777" w:rsidR="008F75C3" w:rsidRDefault="006614AC">
      <w:pPr>
        <w:spacing w:line="360" w:lineRule="auto"/>
        <w:ind w:firstLine="420"/>
        <w:rPr>
          <w:kern w:val="0"/>
          <w:sz w:val="24"/>
        </w:rPr>
      </w:pPr>
      <w:r>
        <w:rPr>
          <w:kern w:val="0"/>
          <w:sz w:val="24"/>
        </w:rPr>
        <w:t>讨论一个企业已有的能力，我们最主要关注的是三样东西：资源、流程和价值观。拿到同样的资源，通过不同流程组合起来，然后得到的那些结果是符合价值观的，企业能力就是这样定义的。</w:t>
      </w:r>
    </w:p>
    <w:p w14:paraId="48B34CFD" w14:textId="77777777" w:rsidR="008F75C3" w:rsidRDefault="006614AC">
      <w:pPr>
        <w:spacing w:line="360" w:lineRule="auto"/>
        <w:ind w:firstLine="420"/>
        <w:rPr>
          <w:kern w:val="0"/>
          <w:sz w:val="24"/>
        </w:rPr>
      </w:pPr>
      <w:r>
        <w:rPr>
          <w:kern w:val="0"/>
          <w:sz w:val="24"/>
        </w:rPr>
        <w:t>今天，无论是你得到的资源，还是你的流程、价值观，都有一个非常重要的要求，就是要跟得上顾客价值的变化。今天，顾客变了。</w:t>
      </w:r>
    </w:p>
    <w:p w14:paraId="219D5436" w14:textId="77777777" w:rsidR="008F75C3" w:rsidRDefault="006614AC">
      <w:pPr>
        <w:spacing w:line="360" w:lineRule="auto"/>
        <w:ind w:firstLine="420"/>
        <w:rPr>
          <w:kern w:val="0"/>
          <w:sz w:val="24"/>
        </w:rPr>
      </w:pPr>
      <w:r>
        <w:rPr>
          <w:kern w:val="0"/>
          <w:sz w:val="24"/>
        </w:rPr>
        <w:t>很多人问我，新零售冲击了零售、百货业，是技术的</w:t>
      </w:r>
      <w:r>
        <w:rPr>
          <w:kern w:val="0"/>
          <w:sz w:val="24"/>
        </w:rPr>
        <w:t>问题吗？我说不是，根本的原因是我们更多人已经习惯了在线上买东西，不再到店里面买东西，可是我们实体的百货零售业还认为开店是最重要的，还认为是新零售冲击了它。我认为这是一个根本的认知错误，实际上是消费者行为变了，你没有跟得上。</w:t>
      </w:r>
    </w:p>
    <w:p w14:paraId="2BB46E57" w14:textId="77777777" w:rsidR="008F75C3" w:rsidRDefault="006614AC">
      <w:pPr>
        <w:spacing w:line="360" w:lineRule="auto"/>
        <w:ind w:firstLine="420"/>
        <w:rPr>
          <w:kern w:val="0"/>
          <w:sz w:val="24"/>
        </w:rPr>
      </w:pPr>
      <w:r>
        <w:rPr>
          <w:kern w:val="0"/>
          <w:sz w:val="24"/>
        </w:rPr>
        <w:t>我们讨论分工到协同，是因为我们的顾客价值，现在要求更广泛的协同力量才能实现，所以你必须做一些调整，把组织看成是一个整体，不能分割地去看，而且这个整体又必须跟顾客在一起。</w:t>
      </w:r>
    </w:p>
    <w:p w14:paraId="43F9C776" w14:textId="77777777" w:rsidR="008F75C3" w:rsidRDefault="006614AC">
      <w:pPr>
        <w:spacing w:line="360" w:lineRule="auto"/>
        <w:ind w:firstLine="420"/>
        <w:rPr>
          <w:kern w:val="0"/>
          <w:sz w:val="24"/>
        </w:rPr>
      </w:pPr>
      <w:r>
        <w:rPr>
          <w:kern w:val="0"/>
          <w:sz w:val="24"/>
        </w:rPr>
        <w:lastRenderedPageBreak/>
        <w:t>综合是管理真正的精髓。你是在一个协同共生的体系中，而不是一个孤立的体系中。一个综合的运行系统，彼此就要协同；跟顾客在一</w:t>
      </w:r>
      <w:r>
        <w:rPr>
          <w:kern w:val="0"/>
          <w:sz w:val="24"/>
        </w:rPr>
        <w:t>起，你就需要与外部协同；成员之间要上下同欲，也就是我们整个内部的文化，必须是一个共识性的文化；我们跟环境之间也必须是一个共生的关系。</w:t>
      </w:r>
    </w:p>
    <w:p w14:paraId="6065DB1F" w14:textId="77777777" w:rsidR="008F75C3" w:rsidRDefault="006614AC">
      <w:pPr>
        <w:spacing w:line="360" w:lineRule="auto"/>
        <w:ind w:firstLine="420"/>
        <w:rPr>
          <w:kern w:val="0"/>
          <w:sz w:val="24"/>
        </w:rPr>
      </w:pPr>
      <w:r>
        <w:rPr>
          <w:kern w:val="0"/>
          <w:sz w:val="24"/>
        </w:rPr>
        <w:t>4.</w:t>
      </w:r>
      <w:r>
        <w:rPr>
          <w:kern w:val="0"/>
          <w:sz w:val="24"/>
        </w:rPr>
        <w:t>从实现组织目标，到兼顾人的意义</w:t>
      </w:r>
    </w:p>
    <w:p w14:paraId="3E942B9F" w14:textId="77777777" w:rsidR="008F75C3" w:rsidRDefault="006614AC">
      <w:pPr>
        <w:spacing w:line="360" w:lineRule="auto"/>
        <w:ind w:firstLine="420"/>
        <w:rPr>
          <w:kern w:val="0"/>
          <w:sz w:val="24"/>
        </w:rPr>
      </w:pPr>
      <w:r>
        <w:rPr>
          <w:kern w:val="0"/>
          <w:sz w:val="24"/>
        </w:rPr>
        <w:t>实现组织目标和兼顾人的意义这两件事情都必须做。如果把绩效完成了，但没有关心人，这个组织在今天是不具竞争力的。</w:t>
      </w:r>
    </w:p>
    <w:p w14:paraId="555A5A29" w14:textId="77777777" w:rsidR="008F75C3" w:rsidRDefault="006614AC">
      <w:pPr>
        <w:spacing w:line="360" w:lineRule="auto"/>
        <w:ind w:firstLine="420"/>
        <w:rPr>
          <w:kern w:val="0"/>
          <w:sz w:val="24"/>
        </w:rPr>
      </w:pPr>
      <w:r>
        <w:rPr>
          <w:kern w:val="0"/>
          <w:sz w:val="24"/>
        </w:rPr>
        <w:t>如何让人变得有意义？我建议先解决两件事情：碎片化和虚假繁忙。</w:t>
      </w:r>
    </w:p>
    <w:p w14:paraId="0641CA37" w14:textId="77777777" w:rsidR="008F75C3" w:rsidRDefault="006614AC">
      <w:pPr>
        <w:spacing w:line="360" w:lineRule="auto"/>
        <w:ind w:firstLine="420"/>
        <w:rPr>
          <w:kern w:val="0"/>
          <w:sz w:val="24"/>
        </w:rPr>
      </w:pPr>
      <w:r>
        <w:rPr>
          <w:kern w:val="0"/>
          <w:sz w:val="24"/>
        </w:rPr>
        <w:t>我特别喜欢用的一个词是虚假繁忙，它</w:t>
      </w:r>
      <w:proofErr w:type="gramStart"/>
      <w:r>
        <w:rPr>
          <w:kern w:val="0"/>
          <w:sz w:val="24"/>
        </w:rPr>
        <w:t>跟流行词</w:t>
      </w:r>
      <w:proofErr w:type="gramEnd"/>
      <w:r>
        <w:rPr>
          <w:kern w:val="0"/>
          <w:sz w:val="24"/>
        </w:rPr>
        <w:t>“</w:t>
      </w:r>
      <w:r>
        <w:rPr>
          <w:kern w:val="0"/>
          <w:sz w:val="24"/>
        </w:rPr>
        <w:t>内卷</w:t>
      </w:r>
      <w:r>
        <w:rPr>
          <w:kern w:val="0"/>
          <w:sz w:val="24"/>
        </w:rPr>
        <w:t>”</w:t>
      </w:r>
      <w:r>
        <w:rPr>
          <w:kern w:val="0"/>
          <w:sz w:val="24"/>
        </w:rPr>
        <w:t>实际上是一样的，指的是你在做一件</w:t>
      </w:r>
      <w:proofErr w:type="gramStart"/>
      <w:r>
        <w:rPr>
          <w:kern w:val="0"/>
          <w:sz w:val="24"/>
        </w:rPr>
        <w:t>跟目标</w:t>
      </w:r>
      <w:proofErr w:type="gramEnd"/>
      <w:r>
        <w:rPr>
          <w:kern w:val="0"/>
          <w:sz w:val="24"/>
        </w:rPr>
        <w:t>和绩效完全不相关的事情，但是却做得精益求精。所以你会发现你非常地忙，非常地努力，但</w:t>
      </w:r>
      <w:r>
        <w:rPr>
          <w:kern w:val="0"/>
          <w:sz w:val="24"/>
        </w:rPr>
        <w:t>实际上没有任何意义。</w:t>
      </w:r>
    </w:p>
    <w:p w14:paraId="24F74200" w14:textId="77777777" w:rsidR="008F75C3" w:rsidRDefault="006614AC">
      <w:pPr>
        <w:spacing w:line="360" w:lineRule="auto"/>
        <w:ind w:firstLine="420"/>
        <w:rPr>
          <w:kern w:val="0"/>
          <w:sz w:val="24"/>
        </w:rPr>
      </w:pPr>
      <w:r>
        <w:rPr>
          <w:kern w:val="0"/>
          <w:sz w:val="24"/>
        </w:rPr>
        <w:t>所以我们就要讨论如何避免虚假繁忙，让你的创造跟责任、价值组合在一起。因此，我们特别关心你的创造力，而不仅仅是你的胜任力；你的工作场景也会变，我们要讨论的是学习成长，发挥创意；我们要管理员工的期望，真正地把人的价值释放出来。</w:t>
      </w:r>
    </w:p>
    <w:p w14:paraId="3CABBF4F" w14:textId="77777777" w:rsidR="008F75C3" w:rsidRDefault="006614AC">
      <w:pPr>
        <w:spacing w:line="360" w:lineRule="auto"/>
        <w:ind w:firstLine="420"/>
        <w:rPr>
          <w:kern w:val="0"/>
          <w:sz w:val="24"/>
        </w:rPr>
      </w:pPr>
      <w:r>
        <w:rPr>
          <w:kern w:val="0"/>
          <w:sz w:val="24"/>
        </w:rPr>
        <w:t>5.</w:t>
      </w:r>
      <w:r>
        <w:rPr>
          <w:kern w:val="0"/>
          <w:sz w:val="24"/>
        </w:rPr>
        <w:t>知识革命与组织学习</w:t>
      </w:r>
    </w:p>
    <w:p w14:paraId="23D71437" w14:textId="77777777" w:rsidR="008F75C3" w:rsidRDefault="006614AC">
      <w:pPr>
        <w:spacing w:line="360" w:lineRule="auto"/>
        <w:ind w:firstLine="420"/>
        <w:rPr>
          <w:kern w:val="0"/>
          <w:sz w:val="24"/>
        </w:rPr>
      </w:pPr>
      <w:r>
        <w:rPr>
          <w:kern w:val="0"/>
          <w:sz w:val="24"/>
        </w:rPr>
        <w:t>这是我认为在组织管理中最需要大家关注的部分。之前的组织管理是不讨论这个话题的。前面讲的四个变化，是在传统的组织管理当中转化。但今天的组织管理有一个最大的挑战，就是组织能否跟上变化？</w:t>
      </w:r>
    </w:p>
    <w:p w14:paraId="0D2F45A5" w14:textId="77777777" w:rsidR="008F75C3" w:rsidRDefault="006614AC">
      <w:pPr>
        <w:spacing w:line="360" w:lineRule="auto"/>
        <w:ind w:firstLine="420"/>
        <w:rPr>
          <w:kern w:val="0"/>
          <w:sz w:val="24"/>
        </w:rPr>
      </w:pPr>
      <w:r>
        <w:rPr>
          <w:kern w:val="0"/>
          <w:sz w:val="24"/>
        </w:rPr>
        <w:t>组织如果要跟上变化，这个变化的核心驱动力量是「知识」。为什么</w:t>
      </w:r>
      <w:r>
        <w:rPr>
          <w:kern w:val="0"/>
          <w:sz w:val="24"/>
        </w:rPr>
        <w:t>是知识？未来是创造出来的，它并不是一个预测，也不是一个过去的延展，它其实是一个全新的创造，而创造的核心力量是知识的更新以及知识能力的积累。今天的知识已经是生产力要素，它不再是一个名词，而是动词。</w:t>
      </w:r>
    </w:p>
    <w:p w14:paraId="698F7F3D" w14:textId="77777777" w:rsidR="008F75C3" w:rsidRDefault="006614AC">
      <w:pPr>
        <w:spacing w:line="360" w:lineRule="auto"/>
        <w:ind w:firstLine="420"/>
        <w:rPr>
          <w:kern w:val="0"/>
          <w:sz w:val="24"/>
        </w:rPr>
      </w:pPr>
      <w:r>
        <w:rPr>
          <w:kern w:val="0"/>
          <w:sz w:val="24"/>
        </w:rPr>
        <w:t>过去</w:t>
      </w:r>
      <w:r>
        <w:rPr>
          <w:kern w:val="0"/>
          <w:sz w:val="24"/>
        </w:rPr>
        <w:t>100</w:t>
      </w:r>
      <w:r>
        <w:rPr>
          <w:kern w:val="0"/>
          <w:sz w:val="24"/>
        </w:rPr>
        <w:t>年间，为什么整个经济发展和社会财富增加得如此之快？用德鲁克的划分方法，是因为有三次革命，第一次是知识运用于生产工具，叫工业革命；第二次是知识运用于工作之中，叫生产力革命；第三次是知识本身被应用，叫管理革命。</w:t>
      </w:r>
    </w:p>
    <w:p w14:paraId="41113F1F" w14:textId="77777777" w:rsidR="008F75C3" w:rsidRDefault="006614AC">
      <w:pPr>
        <w:spacing w:line="360" w:lineRule="auto"/>
        <w:ind w:firstLine="420"/>
        <w:rPr>
          <w:kern w:val="0"/>
          <w:sz w:val="24"/>
        </w:rPr>
      </w:pPr>
      <w:r>
        <w:rPr>
          <w:kern w:val="0"/>
          <w:sz w:val="24"/>
        </w:rPr>
        <w:t>我沿着德鲁克的逻辑走到第四个阶段，我把它称为「知识革命」阶段，知识正在迅速成为首要的生产要素。</w:t>
      </w:r>
    </w:p>
    <w:p w14:paraId="4DAF5AAF" w14:textId="77777777" w:rsidR="008F75C3" w:rsidRDefault="006614AC">
      <w:pPr>
        <w:spacing w:line="360" w:lineRule="auto"/>
        <w:ind w:firstLine="420"/>
        <w:rPr>
          <w:kern w:val="0"/>
          <w:sz w:val="24"/>
        </w:rPr>
      </w:pPr>
      <w:r>
        <w:rPr>
          <w:kern w:val="0"/>
          <w:sz w:val="24"/>
        </w:rPr>
        <w:t>今</w:t>
      </w:r>
      <w:r>
        <w:rPr>
          <w:kern w:val="0"/>
          <w:sz w:val="24"/>
        </w:rPr>
        <w:t>天，人工智能、数字化、生命科学，要淘汰的其实是没有知识的人，这实际上是一个根本性的革命。前三次工业革命，机器不是拿来淘汰人的，机器是拿来帮人的。你跑得不</w:t>
      </w:r>
      <w:r>
        <w:rPr>
          <w:kern w:val="0"/>
          <w:sz w:val="24"/>
        </w:rPr>
        <w:lastRenderedPageBreak/>
        <w:t>快，我给你火车、汽车。你运转得不够快，我给你一个电脑。但是在智能时代和数字化时代，机器是来优化的。如果你的知识系统不够，你就会被淘汰。</w:t>
      </w:r>
    </w:p>
    <w:p w14:paraId="5B36BDEB" w14:textId="77777777" w:rsidR="008F75C3" w:rsidRDefault="006614AC">
      <w:pPr>
        <w:spacing w:line="360" w:lineRule="auto"/>
        <w:ind w:firstLine="420"/>
        <w:rPr>
          <w:kern w:val="0"/>
          <w:sz w:val="24"/>
        </w:rPr>
      </w:pPr>
      <w:r>
        <w:rPr>
          <w:kern w:val="0"/>
          <w:sz w:val="24"/>
        </w:rPr>
        <w:t>对于今天的组织，唯有知识，可以让你面向未来。甚至我可以很明确地说：学习者掌握未来。</w:t>
      </w:r>
    </w:p>
    <w:p w14:paraId="5E20D21C" w14:textId="77777777" w:rsidR="008F75C3" w:rsidRDefault="006614AC">
      <w:pPr>
        <w:spacing w:line="360" w:lineRule="auto"/>
        <w:ind w:firstLine="420"/>
        <w:rPr>
          <w:kern w:val="0"/>
          <w:sz w:val="24"/>
        </w:rPr>
      </w:pPr>
      <w:r>
        <w:rPr>
          <w:kern w:val="0"/>
          <w:sz w:val="24"/>
        </w:rPr>
        <w:t>我做「知识实验室」也是为这个事情去做的，即通过组织学习，拥有面向未来的能力，才可以真正地成长，坦然地面对未来的挑战，把它转化为创新的可能性。</w:t>
      </w:r>
    </w:p>
    <w:p w14:paraId="2C297209" w14:textId="77777777" w:rsidR="008F75C3" w:rsidRDefault="006614AC">
      <w:pPr>
        <w:spacing w:line="360" w:lineRule="auto"/>
        <w:ind w:firstLine="420"/>
        <w:rPr>
          <w:b/>
          <w:bCs/>
          <w:kern w:val="0"/>
          <w:sz w:val="24"/>
        </w:rPr>
      </w:pPr>
      <w:r>
        <w:rPr>
          <w:b/>
          <w:bCs/>
          <w:kern w:val="0"/>
          <w:sz w:val="24"/>
        </w:rPr>
        <w:t>07</w:t>
      </w:r>
      <w:r>
        <w:rPr>
          <w:b/>
          <w:bCs/>
          <w:kern w:val="0"/>
          <w:sz w:val="24"/>
        </w:rPr>
        <w:t>结语</w:t>
      </w:r>
    </w:p>
    <w:p w14:paraId="4D089265" w14:textId="77777777" w:rsidR="008F75C3" w:rsidRDefault="006614AC">
      <w:pPr>
        <w:spacing w:line="360" w:lineRule="auto"/>
        <w:ind w:firstLine="420"/>
        <w:rPr>
          <w:kern w:val="0"/>
          <w:sz w:val="24"/>
        </w:rPr>
      </w:pPr>
      <w:r>
        <w:rPr>
          <w:kern w:val="0"/>
          <w:sz w:val="24"/>
        </w:rPr>
        <w:t>最后，我想跟大家讨论的一个核心话题是对于今天的企业最难的一件事情。</w:t>
      </w:r>
    </w:p>
    <w:p w14:paraId="5CE4FF56" w14:textId="77777777" w:rsidR="008F75C3" w:rsidRDefault="006614AC">
      <w:pPr>
        <w:spacing w:line="360" w:lineRule="auto"/>
        <w:ind w:firstLine="420"/>
        <w:rPr>
          <w:kern w:val="0"/>
          <w:sz w:val="24"/>
        </w:rPr>
      </w:pPr>
      <w:r>
        <w:rPr>
          <w:kern w:val="0"/>
          <w:sz w:val="24"/>
        </w:rPr>
        <w:t>今天几乎所有优秀的个体都不愿意在一个没有灵魂、没有意义、没有创造的地方工作。今天每一个产品、每一个商业模型，其实都要指向让人类的生活变得更好、给生活提供更大的便利。</w:t>
      </w:r>
    </w:p>
    <w:p w14:paraId="58246D7E" w14:textId="77777777" w:rsidR="008F75C3" w:rsidRDefault="006614AC">
      <w:pPr>
        <w:spacing w:line="360" w:lineRule="auto"/>
        <w:ind w:firstLine="420"/>
        <w:rPr>
          <w:kern w:val="0"/>
          <w:sz w:val="24"/>
        </w:rPr>
      </w:pPr>
      <w:r>
        <w:rPr>
          <w:kern w:val="0"/>
          <w:sz w:val="24"/>
        </w:rPr>
        <w:t>我曾经研究那些真正具有影响力的公司到底为什么有影响力，发现不是因为它规模大，不是因为它具有野心，也不是因为它有资源能够创造，而是因为它们能够解决人类实际的问题，赋予人类一个美好的未来。今天去看万亿市值的公司，你会发现它给的是一个人</w:t>
      </w:r>
      <w:proofErr w:type="gramStart"/>
      <w:r>
        <w:rPr>
          <w:kern w:val="0"/>
          <w:sz w:val="24"/>
        </w:rPr>
        <w:t>类未来</w:t>
      </w:r>
      <w:proofErr w:type="gramEnd"/>
      <w:r>
        <w:rPr>
          <w:kern w:val="0"/>
          <w:sz w:val="24"/>
        </w:rPr>
        <w:t>的可能性和机会。</w:t>
      </w:r>
    </w:p>
    <w:p w14:paraId="08896028" w14:textId="77777777" w:rsidR="008F75C3" w:rsidRDefault="006614AC">
      <w:pPr>
        <w:spacing w:line="360" w:lineRule="auto"/>
        <w:ind w:firstLine="420"/>
        <w:rPr>
          <w:kern w:val="0"/>
          <w:sz w:val="24"/>
        </w:rPr>
      </w:pPr>
      <w:r>
        <w:rPr>
          <w:kern w:val="0"/>
          <w:sz w:val="24"/>
        </w:rPr>
        <w:t>我们所做的组</w:t>
      </w:r>
      <w:r>
        <w:rPr>
          <w:kern w:val="0"/>
          <w:sz w:val="24"/>
        </w:rPr>
        <w:t>织管理，最应该关注的是什么？</w:t>
      </w:r>
    </w:p>
    <w:p w14:paraId="193A88CB" w14:textId="77777777" w:rsidR="008F75C3" w:rsidRDefault="006614AC">
      <w:pPr>
        <w:spacing w:line="360" w:lineRule="auto"/>
        <w:ind w:firstLine="420"/>
        <w:rPr>
          <w:kern w:val="0"/>
          <w:sz w:val="24"/>
        </w:rPr>
      </w:pPr>
      <w:r>
        <w:rPr>
          <w:kern w:val="0"/>
          <w:sz w:val="24"/>
        </w:rPr>
        <w:t>其实是你能不能创造一个更有灵魂、更懂得意义、更具创造力的一个工作场所，让更多的人来到这个工作场景中，为推动人类的进步和社会的美好，创造他个人的价值。而这样的新组织和新个体才是我们今天所必须的，也愿意去实现的部分。</w:t>
      </w:r>
    </w:p>
    <w:p w14:paraId="759E984D" w14:textId="77777777" w:rsidR="008F75C3" w:rsidRDefault="008F75C3">
      <w:pPr>
        <w:spacing w:line="360" w:lineRule="auto"/>
        <w:rPr>
          <w:kern w:val="0"/>
          <w:sz w:val="24"/>
        </w:rPr>
      </w:pPr>
    </w:p>
    <w:p w14:paraId="6045C9E4" w14:textId="77777777" w:rsidR="008F75C3" w:rsidRDefault="006614AC">
      <w:pPr>
        <w:spacing w:line="360" w:lineRule="auto"/>
        <w:ind w:firstLine="420"/>
        <w:rPr>
          <w:kern w:val="0"/>
          <w:sz w:val="24"/>
        </w:rPr>
      </w:pPr>
      <w:r>
        <w:rPr>
          <w:kern w:val="0"/>
          <w:sz w:val="24"/>
        </w:rPr>
        <w:t>请所有从事人力资源的朋友们，帮助我们一起，让每一个组织更有创造力、更有灵魂、更富意义，让我们每个人因组织而成长！</w:t>
      </w:r>
    </w:p>
    <w:p w14:paraId="705F1CD9" w14:textId="77777777" w:rsidR="008F75C3" w:rsidRDefault="006614AC">
      <w:pPr>
        <w:spacing w:line="360" w:lineRule="auto"/>
        <w:ind w:firstLine="420"/>
        <w:jc w:val="right"/>
        <w:rPr>
          <w:rFonts w:eastAsiaTheme="minorEastAsia"/>
          <w:szCs w:val="21"/>
        </w:rPr>
      </w:pPr>
      <w:r>
        <w:rPr>
          <w:rFonts w:eastAsiaTheme="minorEastAsia"/>
          <w:szCs w:val="21"/>
        </w:rPr>
        <w:t>摘自春暖花开</w:t>
      </w:r>
      <w:proofErr w:type="gramStart"/>
      <w:r>
        <w:rPr>
          <w:rFonts w:eastAsiaTheme="minorEastAsia"/>
          <w:szCs w:val="21"/>
        </w:rPr>
        <w:t>微信公众号</w:t>
      </w:r>
      <w:proofErr w:type="gramEnd"/>
    </w:p>
    <w:p w14:paraId="0BE295B0" w14:textId="77777777" w:rsidR="008F75C3" w:rsidRDefault="006614AC">
      <w:pPr>
        <w:pStyle w:val="1"/>
        <w:spacing w:line="460" w:lineRule="exact"/>
        <w:rPr>
          <w:rFonts w:eastAsia="黑体"/>
          <w:sz w:val="32"/>
          <w:szCs w:val="32"/>
          <w:bdr w:val="single" w:sz="4" w:space="0" w:color="auto"/>
        </w:rPr>
      </w:pPr>
      <w:bookmarkStart w:id="27" w:name="_Toc90390767"/>
      <w:r>
        <w:rPr>
          <w:rFonts w:eastAsia="黑体"/>
          <w:sz w:val="32"/>
          <w:szCs w:val="32"/>
          <w:bdr w:val="single" w:sz="4" w:space="0" w:color="auto"/>
        </w:rPr>
        <w:t>研究进展</w:t>
      </w:r>
      <w:bookmarkEnd w:id="27"/>
    </w:p>
    <w:p w14:paraId="0E95474C" w14:textId="77777777" w:rsidR="008F75C3" w:rsidRDefault="006614AC">
      <w:pPr>
        <w:pStyle w:val="2"/>
        <w:spacing w:line="460" w:lineRule="exact"/>
        <w:jc w:val="center"/>
        <w:rPr>
          <w:rFonts w:ascii="Times New Roman" w:eastAsia="黑体" w:hAnsi="Times New Roman" w:cs="Times New Roman"/>
          <w:b w:val="0"/>
          <w:bCs w:val="0"/>
          <w:sz w:val="32"/>
          <w:szCs w:val="32"/>
        </w:rPr>
      </w:pPr>
      <w:bookmarkStart w:id="28" w:name="_Toc90390768"/>
      <w:r>
        <w:rPr>
          <w:rFonts w:ascii="Times New Roman" w:eastAsia="黑体" w:hAnsi="Times New Roman" w:cs="Times New Roman"/>
          <w:sz w:val="32"/>
          <w:szCs w:val="32"/>
        </w:rPr>
        <w:t>南极磷虾粉潜在危害因子分析及风险评价进展</w:t>
      </w:r>
      <w:bookmarkEnd w:id="28"/>
    </w:p>
    <w:p w14:paraId="0FDCF798" w14:textId="77777777" w:rsidR="008F75C3" w:rsidRDefault="006614AC">
      <w:pPr>
        <w:ind w:firstLineChars="200" w:firstLine="420"/>
        <w:jc w:val="center"/>
        <w:rPr>
          <w:szCs w:val="21"/>
        </w:rPr>
      </w:pPr>
      <w:proofErr w:type="gramStart"/>
      <w:r>
        <w:rPr>
          <w:szCs w:val="21"/>
        </w:rPr>
        <w:t>韩银双</w:t>
      </w:r>
      <w:proofErr w:type="gramEnd"/>
      <w:r>
        <w:rPr>
          <w:szCs w:val="21"/>
          <w:vertAlign w:val="superscript"/>
        </w:rPr>
        <w:t>1</w:t>
      </w:r>
      <w:r>
        <w:rPr>
          <w:szCs w:val="21"/>
          <w:vertAlign w:val="superscript"/>
        </w:rPr>
        <w:t>，</w:t>
      </w:r>
      <w:r>
        <w:rPr>
          <w:szCs w:val="21"/>
          <w:vertAlign w:val="superscript"/>
        </w:rPr>
        <w:t>2</w:t>
      </w:r>
      <w:r>
        <w:rPr>
          <w:szCs w:val="21"/>
        </w:rPr>
        <w:t xml:space="preserve"> </w:t>
      </w:r>
      <w:r>
        <w:rPr>
          <w:szCs w:val="21"/>
        </w:rPr>
        <w:t>邓红亮</w:t>
      </w:r>
      <w:r>
        <w:rPr>
          <w:szCs w:val="21"/>
          <w:vertAlign w:val="superscript"/>
        </w:rPr>
        <w:t>3</w:t>
      </w:r>
      <w:r>
        <w:rPr>
          <w:szCs w:val="21"/>
        </w:rPr>
        <w:t xml:space="preserve"> </w:t>
      </w:r>
      <w:r>
        <w:rPr>
          <w:szCs w:val="21"/>
        </w:rPr>
        <w:t>刘志东</w:t>
      </w:r>
      <w:r>
        <w:rPr>
          <w:szCs w:val="21"/>
          <w:vertAlign w:val="superscript"/>
        </w:rPr>
        <w:t>2*</w:t>
      </w:r>
      <w:r>
        <w:rPr>
          <w:szCs w:val="21"/>
        </w:rPr>
        <w:t xml:space="preserve"> </w:t>
      </w:r>
      <w:r>
        <w:rPr>
          <w:szCs w:val="21"/>
        </w:rPr>
        <w:t>刘宝林</w:t>
      </w:r>
      <w:r>
        <w:rPr>
          <w:szCs w:val="21"/>
          <w:vertAlign w:val="superscript"/>
        </w:rPr>
        <w:t>1</w:t>
      </w:r>
    </w:p>
    <w:p w14:paraId="2B13328D" w14:textId="77777777" w:rsidR="008F75C3" w:rsidRDefault="006614AC">
      <w:pPr>
        <w:ind w:firstLineChars="200" w:firstLine="420"/>
        <w:jc w:val="center"/>
        <w:rPr>
          <w:szCs w:val="21"/>
        </w:rPr>
      </w:pPr>
      <w:r>
        <w:rPr>
          <w:szCs w:val="21"/>
        </w:rPr>
        <w:t xml:space="preserve">( </w:t>
      </w:r>
      <w:r>
        <w:rPr>
          <w:szCs w:val="21"/>
        </w:rPr>
        <w:t>1</w:t>
      </w:r>
      <w:r>
        <w:rPr>
          <w:szCs w:val="21"/>
        </w:rPr>
        <w:t>．上海理工大学健康科学与工程学院，上海</w:t>
      </w:r>
      <w:r>
        <w:rPr>
          <w:szCs w:val="21"/>
        </w:rPr>
        <w:t xml:space="preserve"> 200093; 2</w:t>
      </w:r>
      <w:r>
        <w:rPr>
          <w:szCs w:val="21"/>
        </w:rPr>
        <w:t>．中国水产科学研究院东海水产研究所，上海</w:t>
      </w:r>
      <w:r>
        <w:rPr>
          <w:szCs w:val="21"/>
        </w:rPr>
        <w:t xml:space="preserve"> 200090; 3</w:t>
      </w:r>
      <w:r>
        <w:rPr>
          <w:szCs w:val="21"/>
        </w:rPr>
        <w:t>．中国农业科学院农产品加工所，北京</w:t>
      </w:r>
      <w:r>
        <w:rPr>
          <w:szCs w:val="21"/>
        </w:rPr>
        <w:t xml:space="preserve"> 100193)</w:t>
      </w:r>
    </w:p>
    <w:p w14:paraId="1A8704C5" w14:textId="77777777" w:rsidR="008F75C3" w:rsidRDefault="006614AC">
      <w:pPr>
        <w:rPr>
          <w:b/>
          <w:bCs/>
        </w:rPr>
      </w:pPr>
      <w:r>
        <w:rPr>
          <w:b/>
          <w:bCs/>
        </w:rPr>
        <w:t>摘</w:t>
      </w:r>
      <w:r>
        <w:rPr>
          <w:b/>
          <w:bCs/>
        </w:rPr>
        <w:t xml:space="preserve"> </w:t>
      </w:r>
      <w:r>
        <w:rPr>
          <w:b/>
          <w:bCs/>
        </w:rPr>
        <w:t>要</w:t>
      </w:r>
      <w:r>
        <w:rPr>
          <w:b/>
          <w:bCs/>
        </w:rPr>
        <w:t xml:space="preserve">: </w:t>
      </w:r>
      <w:r>
        <w:t>南极磷虾粉是目前南极磷虾船载加工的主要产品之一，富含优质蛋白质、脂质、磷脂、</w:t>
      </w:r>
      <w:r>
        <w:t xml:space="preserve"> </w:t>
      </w:r>
      <w:r>
        <w:t>虾青素</w:t>
      </w:r>
      <w:r>
        <w:lastRenderedPageBreak/>
        <w:t>和矿物质等物质，具有良好的开发利用前景。目前，南极磷虾粉主要用作水产动物饲料及提取油脂等的原料。然而，研究表明南极磷虾粉也存在潜在危害因子不明确等问题，严重限制了其应用领域和范围的拓展。因此，本文分析了南极磷虾粉潜在危害因子的来源、限量标准、检测</w:t>
      </w:r>
      <w:r>
        <w:t>方法等，介绍了南极磷虾</w:t>
      </w:r>
      <w:proofErr w:type="gramStart"/>
      <w:r>
        <w:t>粉风险</w:t>
      </w:r>
      <w:proofErr w:type="gramEnd"/>
      <w:r>
        <w:t>评估进展，旨在为南极磷虾粉危害因子的减除和深度利用提供参考依据。</w:t>
      </w:r>
    </w:p>
    <w:p w14:paraId="48CEC039" w14:textId="77777777" w:rsidR="008F75C3" w:rsidRDefault="006614AC">
      <w:r>
        <w:rPr>
          <w:b/>
          <w:bCs/>
        </w:rPr>
        <w:t>关键词：</w:t>
      </w:r>
      <w:r>
        <w:t>南极磷虾粉</w:t>
      </w:r>
      <w:r>
        <w:t xml:space="preserve">; </w:t>
      </w:r>
      <w:r>
        <w:t>危害因子</w:t>
      </w:r>
      <w:r>
        <w:t xml:space="preserve">; </w:t>
      </w:r>
      <w:r>
        <w:t>分析</w:t>
      </w:r>
      <w:r>
        <w:t xml:space="preserve">; </w:t>
      </w:r>
      <w:r>
        <w:t>风险评价</w:t>
      </w:r>
    </w:p>
    <w:p w14:paraId="3EB12F90" w14:textId="77777777" w:rsidR="008F75C3" w:rsidRDefault="006614AC">
      <w:pPr>
        <w:jc w:val="center"/>
        <w:rPr>
          <w:b/>
          <w:bCs/>
          <w:sz w:val="24"/>
        </w:rPr>
      </w:pPr>
      <w:r>
        <w:rPr>
          <w:b/>
          <w:bCs/>
          <w:sz w:val="24"/>
        </w:rPr>
        <w:t xml:space="preserve">Advancement of Potential Hazard Factor Analysis and </w:t>
      </w:r>
      <w:r>
        <w:rPr>
          <w:b/>
          <w:bCs/>
          <w:sz w:val="24"/>
        </w:rPr>
        <w:t>Ｒ</w:t>
      </w:r>
      <w:proofErr w:type="spellStart"/>
      <w:r>
        <w:rPr>
          <w:b/>
          <w:bCs/>
          <w:sz w:val="24"/>
        </w:rPr>
        <w:t>isk</w:t>
      </w:r>
      <w:proofErr w:type="spellEnd"/>
      <w:r>
        <w:rPr>
          <w:b/>
          <w:bCs/>
          <w:sz w:val="24"/>
        </w:rPr>
        <w:t xml:space="preserve"> Assessment of Antarctic Krill Powder</w:t>
      </w:r>
    </w:p>
    <w:p w14:paraId="2E7A6D86" w14:textId="77777777" w:rsidR="008F75C3" w:rsidRDefault="006614AC">
      <w:pPr>
        <w:jc w:val="center"/>
        <w:rPr>
          <w:szCs w:val="21"/>
        </w:rPr>
      </w:pPr>
      <w:r>
        <w:rPr>
          <w:szCs w:val="21"/>
        </w:rPr>
        <w:t xml:space="preserve">HAN </w:t>
      </w:r>
      <w:proofErr w:type="spellStart"/>
      <w:r>
        <w:rPr>
          <w:szCs w:val="21"/>
        </w:rPr>
        <w:t>Yinshuang</w:t>
      </w:r>
      <w:proofErr w:type="spellEnd"/>
      <w:r>
        <w:rPr>
          <w:szCs w:val="21"/>
        </w:rPr>
        <w:t xml:space="preserve"> </w:t>
      </w:r>
      <w:r>
        <w:rPr>
          <w:szCs w:val="21"/>
          <w:vertAlign w:val="superscript"/>
        </w:rPr>
        <w:t>1</w:t>
      </w:r>
      <w:r>
        <w:rPr>
          <w:szCs w:val="21"/>
          <w:vertAlign w:val="superscript"/>
        </w:rPr>
        <w:t>，</w:t>
      </w:r>
      <w:r>
        <w:rPr>
          <w:szCs w:val="21"/>
          <w:vertAlign w:val="superscript"/>
        </w:rPr>
        <w:t xml:space="preserve">2 </w:t>
      </w:r>
      <w:r>
        <w:rPr>
          <w:szCs w:val="21"/>
        </w:rPr>
        <w:t xml:space="preserve">DENG </w:t>
      </w:r>
      <w:proofErr w:type="spellStart"/>
      <w:r>
        <w:rPr>
          <w:szCs w:val="21"/>
        </w:rPr>
        <w:t>Hongliang</w:t>
      </w:r>
      <w:proofErr w:type="spellEnd"/>
      <w:r>
        <w:rPr>
          <w:szCs w:val="21"/>
        </w:rPr>
        <w:t xml:space="preserve"> </w:t>
      </w:r>
      <w:r>
        <w:rPr>
          <w:szCs w:val="21"/>
          <w:vertAlign w:val="superscript"/>
        </w:rPr>
        <w:t xml:space="preserve">3 </w:t>
      </w:r>
      <w:r>
        <w:rPr>
          <w:szCs w:val="21"/>
        </w:rPr>
        <w:t xml:space="preserve">LIU Zhidong </w:t>
      </w:r>
      <w:r>
        <w:rPr>
          <w:szCs w:val="21"/>
          <w:vertAlign w:val="superscript"/>
        </w:rPr>
        <w:t>2*</w:t>
      </w:r>
      <w:r>
        <w:rPr>
          <w:szCs w:val="21"/>
        </w:rPr>
        <w:t xml:space="preserve"> LIU Baolin</w:t>
      </w:r>
      <w:r>
        <w:rPr>
          <w:szCs w:val="21"/>
          <w:vertAlign w:val="superscript"/>
        </w:rPr>
        <w:t>1</w:t>
      </w:r>
    </w:p>
    <w:p w14:paraId="29C868BA" w14:textId="77777777" w:rsidR="008F75C3" w:rsidRDefault="006614AC">
      <w:pPr>
        <w:jc w:val="center"/>
        <w:rPr>
          <w:b/>
          <w:bCs/>
          <w:szCs w:val="21"/>
        </w:rPr>
      </w:pPr>
      <w:r>
        <w:rPr>
          <w:i/>
          <w:iCs/>
          <w:szCs w:val="21"/>
        </w:rPr>
        <w:t>( 1</w:t>
      </w:r>
      <w:r>
        <w:rPr>
          <w:i/>
          <w:iCs/>
          <w:szCs w:val="21"/>
        </w:rPr>
        <w:t>．</w:t>
      </w:r>
      <w:r>
        <w:rPr>
          <w:i/>
          <w:iCs/>
          <w:szCs w:val="21"/>
        </w:rPr>
        <w:t>School of Health Scienc</w:t>
      </w:r>
      <w:r>
        <w:rPr>
          <w:i/>
          <w:iCs/>
          <w:szCs w:val="21"/>
        </w:rPr>
        <w:t>e and Engineering</w:t>
      </w:r>
      <w:r>
        <w:rPr>
          <w:i/>
          <w:iCs/>
          <w:szCs w:val="21"/>
        </w:rPr>
        <w:t>，</w:t>
      </w:r>
      <w:r>
        <w:rPr>
          <w:i/>
          <w:iCs/>
          <w:szCs w:val="21"/>
        </w:rPr>
        <w:t>University of Shanghai for Science and Technology</w:t>
      </w:r>
      <w:r>
        <w:rPr>
          <w:i/>
          <w:iCs/>
          <w:szCs w:val="21"/>
        </w:rPr>
        <w:t>，</w:t>
      </w:r>
      <w:r>
        <w:rPr>
          <w:i/>
          <w:iCs/>
          <w:szCs w:val="21"/>
        </w:rPr>
        <w:t>Shanghai 200093</w:t>
      </w:r>
      <w:r>
        <w:rPr>
          <w:i/>
          <w:iCs/>
          <w:szCs w:val="21"/>
        </w:rPr>
        <w:t>，</w:t>
      </w:r>
      <w:r>
        <w:rPr>
          <w:i/>
          <w:iCs/>
          <w:szCs w:val="21"/>
        </w:rPr>
        <w:t>China; 2</w:t>
      </w:r>
      <w:r>
        <w:rPr>
          <w:i/>
          <w:iCs/>
          <w:szCs w:val="21"/>
        </w:rPr>
        <w:t>．</w:t>
      </w:r>
      <w:r>
        <w:rPr>
          <w:i/>
          <w:iCs/>
          <w:szCs w:val="21"/>
        </w:rPr>
        <w:t xml:space="preserve">East China Sea Fisheries </w:t>
      </w:r>
      <w:r>
        <w:rPr>
          <w:i/>
          <w:iCs/>
          <w:szCs w:val="21"/>
        </w:rPr>
        <w:t>Ｒ</w:t>
      </w:r>
      <w:proofErr w:type="spellStart"/>
      <w:r>
        <w:rPr>
          <w:i/>
          <w:iCs/>
          <w:szCs w:val="21"/>
        </w:rPr>
        <w:t>esearch</w:t>
      </w:r>
      <w:proofErr w:type="spellEnd"/>
      <w:r>
        <w:rPr>
          <w:i/>
          <w:iCs/>
          <w:szCs w:val="21"/>
        </w:rPr>
        <w:t xml:space="preserve"> Institute</w:t>
      </w:r>
      <w:r>
        <w:rPr>
          <w:i/>
          <w:iCs/>
          <w:szCs w:val="21"/>
        </w:rPr>
        <w:t>，</w:t>
      </w:r>
      <w:r>
        <w:rPr>
          <w:i/>
          <w:iCs/>
          <w:szCs w:val="21"/>
        </w:rPr>
        <w:t>Chinese Academy of Fishery Sciences</w:t>
      </w:r>
      <w:r>
        <w:rPr>
          <w:i/>
          <w:iCs/>
          <w:szCs w:val="21"/>
        </w:rPr>
        <w:t>，</w:t>
      </w:r>
      <w:r>
        <w:rPr>
          <w:i/>
          <w:iCs/>
          <w:szCs w:val="21"/>
        </w:rPr>
        <w:t>Shanghai 200090</w:t>
      </w:r>
      <w:r>
        <w:rPr>
          <w:i/>
          <w:iCs/>
          <w:szCs w:val="21"/>
        </w:rPr>
        <w:t>，</w:t>
      </w:r>
      <w:r>
        <w:rPr>
          <w:i/>
          <w:iCs/>
          <w:szCs w:val="21"/>
        </w:rPr>
        <w:t>China; 3</w:t>
      </w:r>
      <w:r>
        <w:rPr>
          <w:i/>
          <w:iCs/>
          <w:szCs w:val="21"/>
        </w:rPr>
        <w:t>．</w:t>
      </w:r>
      <w:r>
        <w:rPr>
          <w:i/>
          <w:iCs/>
          <w:szCs w:val="21"/>
        </w:rPr>
        <w:t>Institute of Food</w:t>
      </w:r>
      <w:r>
        <w:t xml:space="preserve"> </w:t>
      </w:r>
      <w:r>
        <w:rPr>
          <w:i/>
          <w:iCs/>
          <w:szCs w:val="21"/>
        </w:rPr>
        <w:t>Science and Technology</w:t>
      </w:r>
      <w:r>
        <w:rPr>
          <w:i/>
          <w:iCs/>
          <w:szCs w:val="21"/>
        </w:rPr>
        <w:t>，</w:t>
      </w:r>
      <w:r>
        <w:rPr>
          <w:i/>
          <w:iCs/>
          <w:szCs w:val="21"/>
        </w:rPr>
        <w:t>Chinese Academy o</w:t>
      </w:r>
      <w:r>
        <w:rPr>
          <w:i/>
          <w:iCs/>
          <w:szCs w:val="21"/>
        </w:rPr>
        <w:t>f Agricultural Sciences</w:t>
      </w:r>
      <w:r>
        <w:rPr>
          <w:i/>
          <w:iCs/>
          <w:szCs w:val="21"/>
        </w:rPr>
        <w:t>，</w:t>
      </w:r>
      <w:r>
        <w:rPr>
          <w:i/>
          <w:iCs/>
          <w:szCs w:val="21"/>
        </w:rPr>
        <w:t>Beijing 100193</w:t>
      </w:r>
      <w:r>
        <w:rPr>
          <w:i/>
          <w:iCs/>
          <w:szCs w:val="21"/>
        </w:rPr>
        <w:t>，</w:t>
      </w:r>
      <w:r>
        <w:rPr>
          <w:i/>
          <w:iCs/>
          <w:szCs w:val="21"/>
        </w:rPr>
        <w:t>China)</w:t>
      </w:r>
    </w:p>
    <w:p w14:paraId="08666025" w14:textId="77777777" w:rsidR="008F75C3" w:rsidRDefault="006614AC">
      <w:r>
        <w:rPr>
          <w:b/>
          <w:bCs/>
          <w:szCs w:val="21"/>
        </w:rPr>
        <w:t>Abstract:</w:t>
      </w:r>
      <w:r>
        <w:t xml:space="preserve"> </w:t>
      </w:r>
      <w:r>
        <w:rPr>
          <w:szCs w:val="21"/>
        </w:rPr>
        <w:t>Antarctic krill powder is a product processed from Antarctic krill</w:t>
      </w:r>
      <w:r>
        <w:rPr>
          <w:szCs w:val="21"/>
        </w:rPr>
        <w:t>，</w:t>
      </w:r>
      <w:r>
        <w:rPr>
          <w:szCs w:val="21"/>
        </w:rPr>
        <w:t>which is rich in high-quality proteins</w:t>
      </w:r>
      <w:r>
        <w:rPr>
          <w:szCs w:val="21"/>
        </w:rPr>
        <w:t>，</w:t>
      </w:r>
      <w:r>
        <w:rPr>
          <w:szCs w:val="21"/>
        </w:rPr>
        <w:t>lipids</w:t>
      </w:r>
      <w:r>
        <w:rPr>
          <w:szCs w:val="21"/>
        </w:rPr>
        <w:t>，</w:t>
      </w:r>
      <w:r>
        <w:rPr>
          <w:szCs w:val="21"/>
        </w:rPr>
        <w:t>phospholipid</w:t>
      </w:r>
      <w:r>
        <w:rPr>
          <w:szCs w:val="21"/>
        </w:rPr>
        <w:t>，</w:t>
      </w:r>
      <w:r>
        <w:rPr>
          <w:szCs w:val="21"/>
        </w:rPr>
        <w:t>astaxanthin and mineral substances</w:t>
      </w:r>
      <w:r>
        <w:rPr>
          <w:szCs w:val="21"/>
        </w:rPr>
        <w:t>，</w:t>
      </w:r>
      <w:r>
        <w:rPr>
          <w:szCs w:val="21"/>
        </w:rPr>
        <w:t xml:space="preserve">and has a good prospect of development </w:t>
      </w:r>
      <w:r>
        <w:rPr>
          <w:szCs w:val="21"/>
        </w:rPr>
        <w:t>and utilization</w:t>
      </w:r>
      <w:r>
        <w:rPr>
          <w:szCs w:val="21"/>
        </w:rPr>
        <w:t>．</w:t>
      </w:r>
      <w:r>
        <w:rPr>
          <w:szCs w:val="21"/>
        </w:rPr>
        <w:t xml:space="preserve">Antarctic krill powder is mainly used as raw material for aquatic animal feed and oil extraction now </w:t>
      </w:r>
      <w:r>
        <w:rPr>
          <w:szCs w:val="21"/>
        </w:rPr>
        <w:t>．</w:t>
      </w:r>
      <w:r>
        <w:rPr>
          <w:szCs w:val="21"/>
        </w:rPr>
        <w:t>However</w:t>
      </w:r>
      <w:r>
        <w:rPr>
          <w:szCs w:val="21"/>
        </w:rPr>
        <w:t>，</w:t>
      </w:r>
      <w:r>
        <w:rPr>
          <w:szCs w:val="21"/>
        </w:rPr>
        <w:t>various researches indicated that the potential hazard factors existed in Antarctic krill powder</w:t>
      </w:r>
      <w:r>
        <w:rPr>
          <w:szCs w:val="21"/>
        </w:rPr>
        <w:t>，</w:t>
      </w:r>
      <w:r>
        <w:rPr>
          <w:szCs w:val="21"/>
        </w:rPr>
        <w:t>which limits its application fiel</w:t>
      </w:r>
      <w:r>
        <w:rPr>
          <w:szCs w:val="21"/>
        </w:rPr>
        <w:t>d and scope</w:t>
      </w:r>
      <w:r>
        <w:rPr>
          <w:szCs w:val="21"/>
        </w:rPr>
        <w:t>．</w:t>
      </w:r>
      <w:r>
        <w:rPr>
          <w:szCs w:val="21"/>
        </w:rPr>
        <w:t>Therefore</w:t>
      </w:r>
      <w:r>
        <w:rPr>
          <w:szCs w:val="21"/>
        </w:rPr>
        <w:t>，</w:t>
      </w:r>
      <w:r>
        <w:rPr>
          <w:szCs w:val="21"/>
        </w:rPr>
        <w:t>this review analyzed the source</w:t>
      </w:r>
      <w:r>
        <w:rPr>
          <w:szCs w:val="21"/>
        </w:rPr>
        <w:t>，</w:t>
      </w:r>
      <w:r>
        <w:rPr>
          <w:szCs w:val="21"/>
        </w:rPr>
        <w:t>limit standard</w:t>
      </w:r>
      <w:r>
        <w:rPr>
          <w:szCs w:val="21"/>
        </w:rPr>
        <w:t>，</w:t>
      </w:r>
      <w:r>
        <w:rPr>
          <w:szCs w:val="21"/>
        </w:rPr>
        <w:t>detection method of the hazard factors in Antarctic krill powder</w:t>
      </w:r>
      <w:r>
        <w:rPr>
          <w:szCs w:val="21"/>
        </w:rPr>
        <w:t>，</w:t>
      </w:r>
      <w:r>
        <w:rPr>
          <w:szCs w:val="21"/>
        </w:rPr>
        <w:t>and introduced the advancement of its risk assessment</w:t>
      </w:r>
      <w:r>
        <w:rPr>
          <w:szCs w:val="21"/>
        </w:rPr>
        <w:t>，</w:t>
      </w:r>
      <w:r>
        <w:rPr>
          <w:szCs w:val="21"/>
        </w:rPr>
        <w:t xml:space="preserve">aiming to provide reference basis for the alleviation of the hazard </w:t>
      </w:r>
      <w:r>
        <w:rPr>
          <w:szCs w:val="21"/>
        </w:rPr>
        <w:t>factors and the in-depth utilization of Antarctic krill powder</w:t>
      </w:r>
      <w:r>
        <w:rPr>
          <w:szCs w:val="21"/>
        </w:rPr>
        <w:t>．［</w:t>
      </w:r>
      <w:r>
        <w:rPr>
          <w:szCs w:val="21"/>
        </w:rPr>
        <w:t>Chinese Journal of Animal Nutrition</w:t>
      </w:r>
      <w:r>
        <w:rPr>
          <w:szCs w:val="21"/>
        </w:rPr>
        <w:t>］</w:t>
      </w:r>
    </w:p>
    <w:p w14:paraId="5A83243C" w14:textId="77777777" w:rsidR="008F75C3" w:rsidRDefault="006614AC">
      <w:pPr>
        <w:rPr>
          <w:szCs w:val="21"/>
        </w:rPr>
      </w:pPr>
      <w:r>
        <w:rPr>
          <w:b/>
          <w:bCs/>
          <w:szCs w:val="21"/>
        </w:rPr>
        <w:t>Key words:</w:t>
      </w:r>
      <w:r>
        <w:t xml:space="preserve"> </w:t>
      </w:r>
      <w:r>
        <w:rPr>
          <w:szCs w:val="21"/>
        </w:rPr>
        <w:t>Antarctic krill powder; hazard factors; analysis; risk assessment</w:t>
      </w:r>
    </w:p>
    <w:p w14:paraId="741205DC" w14:textId="77777777" w:rsidR="008F75C3" w:rsidRDefault="008F75C3">
      <w:pPr>
        <w:rPr>
          <w:i/>
          <w:iCs/>
          <w:szCs w:val="21"/>
        </w:rPr>
      </w:pPr>
    </w:p>
    <w:p w14:paraId="7277B09F" w14:textId="77777777" w:rsidR="008F75C3" w:rsidRDefault="006614AC">
      <w:pPr>
        <w:spacing w:line="360" w:lineRule="auto"/>
        <w:ind w:firstLineChars="200" w:firstLine="480"/>
        <w:rPr>
          <w:sz w:val="24"/>
        </w:rPr>
      </w:pPr>
      <w:r>
        <w:rPr>
          <w:sz w:val="24"/>
        </w:rPr>
        <w:t>南极磷虾</w:t>
      </w:r>
      <w:r>
        <w:rPr>
          <w:sz w:val="24"/>
        </w:rPr>
        <w:t xml:space="preserve">( </w:t>
      </w:r>
      <w:proofErr w:type="spellStart"/>
      <w:r>
        <w:rPr>
          <w:i/>
          <w:iCs/>
          <w:sz w:val="24"/>
        </w:rPr>
        <w:t>Euphausia</w:t>
      </w:r>
      <w:proofErr w:type="spellEnd"/>
      <w:r>
        <w:rPr>
          <w:i/>
          <w:iCs/>
          <w:sz w:val="24"/>
        </w:rPr>
        <w:t xml:space="preserve"> superba</w:t>
      </w:r>
      <w:r>
        <w:rPr>
          <w:sz w:val="24"/>
        </w:rPr>
        <w:t xml:space="preserve">) </w:t>
      </w:r>
      <w:r>
        <w:rPr>
          <w:sz w:val="24"/>
        </w:rPr>
        <w:t>是一种生活在南极海域的甲壳类动物。资源评估表明，南极磷虾现有资源量约为</w:t>
      </w:r>
      <w:r>
        <w:rPr>
          <w:sz w:val="24"/>
        </w:rPr>
        <w:t xml:space="preserve">3.79 </w:t>
      </w:r>
      <w:r>
        <w:rPr>
          <w:sz w:val="24"/>
        </w:rPr>
        <w:t>亿</w:t>
      </w:r>
      <w:r>
        <w:rPr>
          <w:sz w:val="24"/>
        </w:rPr>
        <w:t xml:space="preserve"> t </w:t>
      </w:r>
      <w:r>
        <w:rPr>
          <w:sz w:val="24"/>
          <w:vertAlign w:val="superscript"/>
        </w:rPr>
        <w:t>［</w:t>
      </w:r>
      <w:r>
        <w:rPr>
          <w:sz w:val="24"/>
          <w:vertAlign w:val="superscript"/>
        </w:rPr>
        <w:t>1</w:t>
      </w:r>
      <w:r>
        <w:rPr>
          <w:sz w:val="24"/>
          <w:vertAlign w:val="superscript"/>
        </w:rPr>
        <w:t>－</w:t>
      </w:r>
      <w:r>
        <w:rPr>
          <w:sz w:val="24"/>
          <w:vertAlign w:val="superscript"/>
        </w:rPr>
        <w:t>2</w:t>
      </w:r>
      <w:r>
        <w:rPr>
          <w:sz w:val="24"/>
          <w:vertAlign w:val="superscript"/>
        </w:rPr>
        <w:t>］</w:t>
      </w:r>
      <w:r>
        <w:rPr>
          <w:sz w:val="24"/>
        </w:rPr>
        <w:t>，南极磷虾粉是目前南极磷虾船载加工的主要产品之一。研究表明，南极磷虾粉营养价值较高、开发利用潜能较大，目前主要作为水产动物饲料等的原料，是缓解我国优质水产动物饲料短缺问题的良好饲料原料</w:t>
      </w:r>
      <w:r>
        <w:rPr>
          <w:sz w:val="24"/>
          <w:vertAlign w:val="superscript"/>
        </w:rPr>
        <w:t>［</w:t>
      </w:r>
      <w:r>
        <w:rPr>
          <w:sz w:val="24"/>
          <w:vertAlign w:val="superscript"/>
        </w:rPr>
        <w:t>3</w:t>
      </w:r>
      <w:r>
        <w:rPr>
          <w:sz w:val="24"/>
          <w:vertAlign w:val="superscript"/>
        </w:rPr>
        <w:t>－</w:t>
      </w:r>
      <w:r>
        <w:rPr>
          <w:sz w:val="24"/>
          <w:vertAlign w:val="superscript"/>
        </w:rPr>
        <w:t>4</w:t>
      </w:r>
      <w:r>
        <w:rPr>
          <w:sz w:val="24"/>
          <w:vertAlign w:val="superscript"/>
        </w:rPr>
        <w:t>］</w:t>
      </w:r>
      <w:r>
        <w:rPr>
          <w:sz w:val="24"/>
        </w:rPr>
        <w:t>。然而，南极磷虾粉也存在着潜在危害因子不明确、风险评估不系统等问题，作为水产动物饲料原料及添加剂影响了某些养殖对象的生长性能、品质安全等，极大地限制了南极磷虾粉的深度利用，亟需开展全面、系统的分析总结。到目前为止，南极磷</w:t>
      </w:r>
      <w:r>
        <w:rPr>
          <w:sz w:val="24"/>
        </w:rPr>
        <w:t>虾粉的潜在危害因子是阻碍南极磷虾粉深度开发利用的主要障碍。因此，为了提升南极磷虾粉的附加值，扩大其应用领域和范围，亟需开展南极磷虾粉潜在危害因子的筛查、分析及风险评估，为南极磷虾粉的高质利用提供基础信息。</w:t>
      </w:r>
    </w:p>
    <w:p w14:paraId="74BFAC95" w14:textId="77777777" w:rsidR="008F75C3" w:rsidRDefault="006614AC">
      <w:pPr>
        <w:pStyle w:val="af3"/>
        <w:numPr>
          <w:ilvl w:val="0"/>
          <w:numId w:val="1"/>
        </w:numPr>
        <w:spacing w:line="360" w:lineRule="auto"/>
        <w:ind w:firstLineChars="0"/>
        <w:rPr>
          <w:rFonts w:ascii="Times New Roman" w:eastAsia="宋体" w:hAnsi="Times New Roman" w:cs="Times New Roman"/>
          <w:sz w:val="24"/>
        </w:rPr>
      </w:pPr>
      <w:r>
        <w:rPr>
          <w:rFonts w:ascii="Times New Roman" w:eastAsia="宋体" w:hAnsi="Times New Roman" w:cs="Times New Roman"/>
          <w:sz w:val="24"/>
        </w:rPr>
        <w:t>南极磷虾粉潜在危害因子分析</w:t>
      </w:r>
    </w:p>
    <w:p w14:paraId="784CD4D3" w14:textId="77777777" w:rsidR="008F75C3" w:rsidRDefault="006614AC">
      <w:pPr>
        <w:spacing w:line="360" w:lineRule="auto"/>
        <w:ind w:firstLineChars="200" w:firstLine="480"/>
        <w:rPr>
          <w:sz w:val="24"/>
        </w:rPr>
      </w:pPr>
      <w:r>
        <w:rPr>
          <w:sz w:val="24"/>
        </w:rPr>
        <w:t>南极磷虾粉是以南极磷虾为原料，经过一系列加工工序制成的南极磷虾产品。因此，南极磷虾粉潜在危害因子按照产生阶段可以分为原料、加工及贮藏过程产生</w:t>
      </w:r>
      <w:r>
        <w:rPr>
          <w:sz w:val="24"/>
        </w:rPr>
        <w:t>/</w:t>
      </w:r>
      <w:r>
        <w:rPr>
          <w:sz w:val="24"/>
        </w:rPr>
        <w:t>引入的危害因子等。研究表明，南极磷虾原料含有较高的氟、砷和汞等危害</w:t>
      </w:r>
      <w:r>
        <w:rPr>
          <w:sz w:val="24"/>
        </w:rPr>
        <w:t xml:space="preserve"> </w:t>
      </w:r>
      <w:r>
        <w:rPr>
          <w:sz w:val="24"/>
        </w:rPr>
        <w:t>因子，通过加工转移至南极</w:t>
      </w:r>
      <w:r>
        <w:rPr>
          <w:sz w:val="24"/>
        </w:rPr>
        <w:lastRenderedPageBreak/>
        <w:t>磷虾粉中。同时，在南极磷虾粉加工过程中也存在</w:t>
      </w:r>
      <w:r>
        <w:rPr>
          <w:sz w:val="24"/>
        </w:rPr>
        <w:t>一定的潜在危害因子，例如</w:t>
      </w:r>
      <w:r>
        <w:rPr>
          <w:sz w:val="24"/>
        </w:rPr>
        <w:t xml:space="preserve">: </w:t>
      </w:r>
      <w:r>
        <w:rPr>
          <w:sz w:val="24"/>
        </w:rPr>
        <w:t>在原料贮存期间混入金属杂质和有害微生物等</w:t>
      </w:r>
      <w:r>
        <w:rPr>
          <w:sz w:val="24"/>
        </w:rPr>
        <w:t xml:space="preserve">; </w:t>
      </w:r>
      <w:r>
        <w:rPr>
          <w:sz w:val="24"/>
        </w:rPr>
        <w:t>在加</w:t>
      </w:r>
      <w:r>
        <w:rPr>
          <w:sz w:val="24"/>
        </w:rPr>
        <w:t xml:space="preserve"> </w:t>
      </w:r>
      <w:proofErr w:type="gramStart"/>
      <w:r>
        <w:rPr>
          <w:sz w:val="24"/>
        </w:rPr>
        <w:t>工</w:t>
      </w:r>
      <w:proofErr w:type="gramEnd"/>
      <w:r>
        <w:rPr>
          <w:sz w:val="24"/>
        </w:rPr>
        <w:t>工序</w:t>
      </w:r>
      <w:r>
        <w:rPr>
          <w:sz w:val="24"/>
        </w:rPr>
        <w:t>(</w:t>
      </w:r>
      <w:r>
        <w:rPr>
          <w:sz w:val="24"/>
        </w:rPr>
        <w:t>蒸煮、分离、干燥、粉碎、冷却</w:t>
      </w:r>
      <w:r>
        <w:rPr>
          <w:sz w:val="24"/>
        </w:rPr>
        <w:t xml:space="preserve">) </w:t>
      </w:r>
      <w:r>
        <w:rPr>
          <w:sz w:val="24"/>
        </w:rPr>
        <w:t>也存在金属杂质等物质进入南极磷虾粉的可能</w:t>
      </w:r>
      <w:r>
        <w:rPr>
          <w:sz w:val="24"/>
        </w:rPr>
        <w:t xml:space="preserve">; </w:t>
      </w:r>
      <w:r>
        <w:rPr>
          <w:sz w:val="24"/>
        </w:rPr>
        <w:t>在包装工序也存在金属杂质、化学物残留、金属元素及有害微生物等进入南极磷虾粉的可能。此外，在贮藏过程中还存在包装材料迁移及有害微生物等进入南极磷虾粉，导致南极磷虾</w:t>
      </w:r>
      <w:proofErr w:type="gramStart"/>
      <w:r>
        <w:rPr>
          <w:sz w:val="24"/>
        </w:rPr>
        <w:t>粉最终</w:t>
      </w:r>
      <w:proofErr w:type="gramEnd"/>
      <w:r>
        <w:rPr>
          <w:sz w:val="24"/>
        </w:rPr>
        <w:t>品质的下降，利用价值降低</w:t>
      </w:r>
      <w:r>
        <w:rPr>
          <w:sz w:val="24"/>
          <w:vertAlign w:val="superscript"/>
        </w:rPr>
        <w:t>［</w:t>
      </w:r>
      <w:r>
        <w:rPr>
          <w:sz w:val="24"/>
          <w:vertAlign w:val="superscript"/>
        </w:rPr>
        <w:t>5</w:t>
      </w:r>
      <w:r>
        <w:rPr>
          <w:sz w:val="24"/>
          <w:vertAlign w:val="superscript"/>
        </w:rPr>
        <w:t>］</w:t>
      </w:r>
      <w:r>
        <w:rPr>
          <w:sz w:val="24"/>
        </w:rPr>
        <w:t>。因此，南极磷虾粉潜在危害因子与其品质和安全密切相关。</w:t>
      </w:r>
    </w:p>
    <w:p w14:paraId="368D96DE" w14:textId="77777777" w:rsidR="008F75C3" w:rsidRDefault="006614AC">
      <w:pPr>
        <w:spacing w:line="360" w:lineRule="auto"/>
        <w:rPr>
          <w:sz w:val="24"/>
        </w:rPr>
      </w:pPr>
      <w:r>
        <w:rPr>
          <w:sz w:val="24"/>
        </w:rPr>
        <w:t xml:space="preserve">1.1  </w:t>
      </w:r>
      <w:r>
        <w:rPr>
          <w:sz w:val="24"/>
        </w:rPr>
        <w:t>南极磷虾粉潜在危害因子的来源</w:t>
      </w:r>
    </w:p>
    <w:p w14:paraId="70E191FF" w14:textId="77777777" w:rsidR="008F75C3" w:rsidRDefault="006614AC">
      <w:pPr>
        <w:spacing w:line="360" w:lineRule="auto"/>
        <w:ind w:firstLineChars="200" w:firstLine="480"/>
        <w:rPr>
          <w:sz w:val="24"/>
        </w:rPr>
      </w:pPr>
      <w:r>
        <w:rPr>
          <w:sz w:val="24"/>
        </w:rPr>
        <w:t>南极磷虾粉潜在危害因子按照来源主要分为</w:t>
      </w:r>
      <w:r>
        <w:rPr>
          <w:sz w:val="24"/>
        </w:rPr>
        <w:t xml:space="preserve"> 3 </w:t>
      </w:r>
      <w:proofErr w:type="gramStart"/>
      <w:r>
        <w:rPr>
          <w:sz w:val="24"/>
        </w:rPr>
        <w:t>个</w:t>
      </w:r>
      <w:proofErr w:type="gramEnd"/>
      <w:r>
        <w:rPr>
          <w:sz w:val="24"/>
        </w:rPr>
        <w:t>方面，即微生</w:t>
      </w:r>
      <w:r>
        <w:rPr>
          <w:sz w:val="24"/>
        </w:rPr>
        <w:t>物来源、环境来源、外源性物质等</w:t>
      </w:r>
      <w:r>
        <w:rPr>
          <w:sz w:val="24"/>
          <w:vertAlign w:val="superscript"/>
        </w:rPr>
        <w:t>［</w:t>
      </w:r>
      <w:r>
        <w:rPr>
          <w:sz w:val="24"/>
          <w:vertAlign w:val="superscript"/>
        </w:rPr>
        <w:t>6</w:t>
      </w:r>
      <w:r>
        <w:rPr>
          <w:sz w:val="24"/>
          <w:vertAlign w:val="superscript"/>
        </w:rPr>
        <w:t>－</w:t>
      </w:r>
      <w:r>
        <w:rPr>
          <w:sz w:val="24"/>
          <w:vertAlign w:val="superscript"/>
        </w:rPr>
        <w:t>7</w:t>
      </w:r>
      <w:r>
        <w:rPr>
          <w:sz w:val="24"/>
          <w:vertAlign w:val="superscript"/>
        </w:rPr>
        <w:t>］</w:t>
      </w:r>
      <w:r>
        <w:rPr>
          <w:sz w:val="24"/>
        </w:rPr>
        <w:t>，详见图</w:t>
      </w:r>
      <w:r>
        <w:rPr>
          <w:sz w:val="24"/>
        </w:rPr>
        <w:t xml:space="preserve"> 1</w:t>
      </w:r>
      <w:r>
        <w:rPr>
          <w:sz w:val="24"/>
        </w:rPr>
        <w:t>。</w:t>
      </w:r>
    </w:p>
    <w:p w14:paraId="18AACB31" w14:textId="77777777" w:rsidR="008F75C3" w:rsidRDefault="006614AC">
      <w:pPr>
        <w:spacing w:line="360" w:lineRule="auto"/>
        <w:jc w:val="center"/>
        <w:rPr>
          <w:sz w:val="24"/>
        </w:rPr>
      </w:pPr>
      <w:r>
        <w:rPr>
          <w:noProof/>
          <w:sz w:val="24"/>
        </w:rPr>
        <w:drawing>
          <wp:inline distT="0" distB="0" distL="0" distR="0" wp14:anchorId="504A464A" wp14:editId="4C775342">
            <wp:extent cx="2389505" cy="1533525"/>
            <wp:effectExtent l="0" t="0" r="10795" b="9525"/>
            <wp:docPr id="8" name="图片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8"/>
                    <pic:cNvPicPr>
                      <a:picLocks noChangeAspect="1"/>
                    </pic:cNvPicPr>
                  </pic:nvPicPr>
                  <pic:blipFill>
                    <a:blip r:embed="rId24"/>
                    <a:stretch>
                      <a:fillRect/>
                    </a:stretch>
                  </pic:blipFill>
                  <pic:spPr>
                    <a:xfrm>
                      <a:off x="0" y="0"/>
                      <a:ext cx="2389505" cy="1533525"/>
                    </a:xfrm>
                    <a:prstGeom prst="rect">
                      <a:avLst/>
                    </a:prstGeom>
                  </pic:spPr>
                </pic:pic>
              </a:graphicData>
            </a:graphic>
          </wp:inline>
        </w:drawing>
      </w:r>
    </w:p>
    <w:p w14:paraId="6B41CB79" w14:textId="77777777" w:rsidR="008F75C3" w:rsidRDefault="006614AC">
      <w:pPr>
        <w:spacing w:line="360" w:lineRule="auto"/>
        <w:rPr>
          <w:sz w:val="24"/>
        </w:rPr>
      </w:pPr>
      <w:r>
        <w:rPr>
          <w:sz w:val="24"/>
        </w:rPr>
        <w:t xml:space="preserve">1.1.1  </w:t>
      </w:r>
      <w:r>
        <w:rPr>
          <w:sz w:val="24"/>
        </w:rPr>
        <w:t>微生物来源</w:t>
      </w:r>
    </w:p>
    <w:p w14:paraId="5627D565" w14:textId="77777777" w:rsidR="008F75C3" w:rsidRDefault="006614AC">
      <w:pPr>
        <w:spacing w:line="360" w:lineRule="auto"/>
        <w:ind w:firstLineChars="200" w:firstLine="480"/>
        <w:rPr>
          <w:sz w:val="24"/>
        </w:rPr>
      </w:pPr>
      <w:r>
        <w:rPr>
          <w:sz w:val="24"/>
        </w:rPr>
        <w:t>南极磷虾粉微生物来源危害因子主要包括</w:t>
      </w:r>
      <w:r>
        <w:rPr>
          <w:sz w:val="24"/>
        </w:rPr>
        <w:t xml:space="preserve"> 2 </w:t>
      </w:r>
      <w:proofErr w:type="gramStart"/>
      <w:r>
        <w:rPr>
          <w:sz w:val="24"/>
        </w:rPr>
        <w:t>个</w:t>
      </w:r>
      <w:proofErr w:type="gramEnd"/>
      <w:r>
        <w:rPr>
          <w:sz w:val="24"/>
        </w:rPr>
        <w:t>方面，即原料本身存在的微生物及加工、贮藏过程进入的微生物。目前，关于南极磷虾粉微生物来源危害因子的报道较少。</w:t>
      </w:r>
      <w:r>
        <w:rPr>
          <w:sz w:val="24"/>
        </w:rPr>
        <w:t xml:space="preserve">1985 </w:t>
      </w:r>
      <w:r>
        <w:rPr>
          <w:sz w:val="24"/>
        </w:rPr>
        <w:t>年，</w:t>
      </w:r>
      <w:r>
        <w:rPr>
          <w:sz w:val="24"/>
        </w:rPr>
        <w:t xml:space="preserve">Avdeev </w:t>
      </w:r>
      <w:r>
        <w:rPr>
          <w:sz w:val="24"/>
          <w:vertAlign w:val="superscript"/>
        </w:rPr>
        <w:t>［</w:t>
      </w:r>
      <w:r>
        <w:rPr>
          <w:sz w:val="24"/>
          <w:vertAlign w:val="superscript"/>
        </w:rPr>
        <w:t>8</w:t>
      </w:r>
      <w:r>
        <w:rPr>
          <w:sz w:val="24"/>
          <w:vertAlign w:val="superscript"/>
        </w:rPr>
        <w:t>］</w:t>
      </w:r>
      <w:r>
        <w:rPr>
          <w:sz w:val="24"/>
        </w:rPr>
        <w:t>首次在南极磷虾体内发现有害</w:t>
      </w:r>
      <w:proofErr w:type="gramStart"/>
      <w:r>
        <w:rPr>
          <w:sz w:val="24"/>
        </w:rPr>
        <w:t>的簇虫寄生虫</w:t>
      </w:r>
      <w:proofErr w:type="gramEnd"/>
      <w:r>
        <w:rPr>
          <w:sz w:val="24"/>
        </w:rPr>
        <w:t>，并描述了感染南极磷虾的</w:t>
      </w:r>
      <w:r>
        <w:rPr>
          <w:sz w:val="24"/>
        </w:rPr>
        <w:t xml:space="preserve"> 2 </w:t>
      </w:r>
      <w:proofErr w:type="gramStart"/>
      <w:r>
        <w:rPr>
          <w:sz w:val="24"/>
        </w:rPr>
        <w:t>种簇虫</w:t>
      </w:r>
      <w:proofErr w:type="gramEnd"/>
      <w:r>
        <w:rPr>
          <w:sz w:val="24"/>
          <w:vertAlign w:val="superscript"/>
        </w:rPr>
        <w:t>［</w:t>
      </w:r>
      <w:r>
        <w:rPr>
          <w:sz w:val="24"/>
          <w:vertAlign w:val="superscript"/>
        </w:rPr>
        <w:t>9</w:t>
      </w:r>
      <w:r>
        <w:rPr>
          <w:sz w:val="24"/>
          <w:vertAlign w:val="superscript"/>
        </w:rPr>
        <w:t>］</w:t>
      </w:r>
      <w:r>
        <w:rPr>
          <w:sz w:val="24"/>
        </w:rPr>
        <w:t>—</w:t>
      </w:r>
      <w:r>
        <w:rPr>
          <w:sz w:val="24"/>
        </w:rPr>
        <w:t>太平洋头</w:t>
      </w:r>
      <w:proofErr w:type="gramStart"/>
      <w:r>
        <w:rPr>
          <w:sz w:val="24"/>
        </w:rPr>
        <w:t>胞簇虫</w:t>
      </w:r>
      <w:proofErr w:type="gramEnd"/>
      <w:r>
        <w:rPr>
          <w:sz w:val="24"/>
        </w:rPr>
        <w:t>和印度洋</w:t>
      </w:r>
      <w:proofErr w:type="gramStart"/>
      <w:r>
        <w:rPr>
          <w:sz w:val="24"/>
        </w:rPr>
        <w:t>头胞簇虫</w:t>
      </w:r>
      <w:proofErr w:type="gramEnd"/>
      <w:r>
        <w:rPr>
          <w:sz w:val="24"/>
        </w:rPr>
        <w:t>。在南极磷虾胚胎</w:t>
      </w:r>
      <w:r>
        <w:rPr>
          <w:sz w:val="24"/>
          <w:vertAlign w:val="superscript"/>
        </w:rPr>
        <w:t>［</w:t>
      </w:r>
      <w:r>
        <w:rPr>
          <w:sz w:val="24"/>
          <w:vertAlign w:val="superscript"/>
        </w:rPr>
        <w:t>10</w:t>
      </w:r>
      <w:r>
        <w:rPr>
          <w:sz w:val="24"/>
          <w:vertAlign w:val="superscript"/>
        </w:rPr>
        <w:t>］</w:t>
      </w:r>
      <w:r>
        <w:rPr>
          <w:sz w:val="24"/>
        </w:rPr>
        <w:t>、成年虾体</w:t>
      </w:r>
      <w:r>
        <w:rPr>
          <w:sz w:val="24"/>
          <w:vertAlign w:val="superscript"/>
        </w:rPr>
        <w:t>［</w:t>
      </w:r>
      <w:r>
        <w:rPr>
          <w:sz w:val="24"/>
          <w:vertAlign w:val="superscript"/>
        </w:rPr>
        <w:t>11</w:t>
      </w:r>
      <w:r>
        <w:rPr>
          <w:sz w:val="24"/>
          <w:vertAlign w:val="superscript"/>
        </w:rPr>
        <w:t>］</w:t>
      </w:r>
      <w:r>
        <w:rPr>
          <w:sz w:val="24"/>
        </w:rPr>
        <w:t>中也发现了线虫的存在，线虫对南极磷虾的危害较小。</w:t>
      </w:r>
      <w:r>
        <w:rPr>
          <w:sz w:val="24"/>
        </w:rPr>
        <w:t xml:space="preserve">1996 </w:t>
      </w:r>
      <w:r>
        <w:rPr>
          <w:sz w:val="24"/>
        </w:rPr>
        <w:t>年，</w:t>
      </w:r>
      <w:proofErr w:type="spellStart"/>
      <w:r>
        <w:rPr>
          <w:sz w:val="24"/>
        </w:rPr>
        <w:t>Rakusa-Suszczewski</w:t>
      </w:r>
      <w:proofErr w:type="spellEnd"/>
      <w:r>
        <w:rPr>
          <w:sz w:val="24"/>
        </w:rPr>
        <w:t xml:space="preserve"> </w:t>
      </w:r>
      <w:r>
        <w:rPr>
          <w:sz w:val="24"/>
          <w:vertAlign w:val="superscript"/>
        </w:rPr>
        <w:t>［</w:t>
      </w:r>
      <w:r>
        <w:rPr>
          <w:sz w:val="24"/>
          <w:vertAlign w:val="superscript"/>
        </w:rPr>
        <w:t>12</w:t>
      </w:r>
      <w:r>
        <w:rPr>
          <w:sz w:val="24"/>
          <w:vertAlign w:val="superscript"/>
        </w:rPr>
        <w:t>］</w:t>
      </w:r>
      <w:r>
        <w:rPr>
          <w:sz w:val="24"/>
        </w:rPr>
        <w:t>首次确定了</w:t>
      </w:r>
      <w:proofErr w:type="gramStart"/>
      <w:r>
        <w:rPr>
          <w:sz w:val="24"/>
        </w:rPr>
        <w:t>假丘类</w:t>
      </w:r>
      <w:proofErr w:type="gramEnd"/>
      <w:r>
        <w:rPr>
          <w:sz w:val="24"/>
        </w:rPr>
        <w:t>纤毛虫会感染南极磷虾。</w:t>
      </w:r>
      <w:proofErr w:type="spellStart"/>
      <w:r>
        <w:rPr>
          <w:sz w:val="24"/>
        </w:rPr>
        <w:t>Rakusa-Suszczewski</w:t>
      </w:r>
      <w:proofErr w:type="spellEnd"/>
      <w:r>
        <w:rPr>
          <w:sz w:val="24"/>
        </w:rPr>
        <w:t xml:space="preserve"> </w:t>
      </w:r>
      <w:r>
        <w:rPr>
          <w:sz w:val="24"/>
        </w:rPr>
        <w:t>等</w:t>
      </w:r>
      <w:r>
        <w:rPr>
          <w:sz w:val="24"/>
          <w:vertAlign w:val="superscript"/>
        </w:rPr>
        <w:t>［</w:t>
      </w:r>
      <w:r>
        <w:rPr>
          <w:sz w:val="24"/>
          <w:vertAlign w:val="superscript"/>
        </w:rPr>
        <w:t>13</w:t>
      </w:r>
      <w:r>
        <w:rPr>
          <w:sz w:val="24"/>
          <w:vertAlign w:val="superscript"/>
        </w:rPr>
        <w:t>］</w:t>
      </w:r>
      <w:r>
        <w:rPr>
          <w:sz w:val="24"/>
        </w:rPr>
        <w:t>首次发现了南极磷虾体外寄生虫</w:t>
      </w:r>
      <w:r>
        <w:rPr>
          <w:sz w:val="24"/>
        </w:rPr>
        <w:t>—</w:t>
      </w:r>
      <w:r>
        <w:rPr>
          <w:sz w:val="24"/>
        </w:rPr>
        <w:t>纤毛虫，但其对寄主基本不会造成伤害。</w:t>
      </w:r>
      <w:proofErr w:type="gramStart"/>
      <w:r>
        <w:rPr>
          <w:sz w:val="24"/>
        </w:rPr>
        <w:t>苑丽东</w:t>
      </w:r>
      <w:proofErr w:type="gramEnd"/>
      <w:r>
        <w:rPr>
          <w:sz w:val="24"/>
          <w:vertAlign w:val="superscript"/>
        </w:rPr>
        <w:t>［</w:t>
      </w:r>
      <w:r>
        <w:rPr>
          <w:sz w:val="24"/>
          <w:vertAlign w:val="superscript"/>
        </w:rPr>
        <w:t>14</w:t>
      </w:r>
      <w:r>
        <w:rPr>
          <w:sz w:val="24"/>
          <w:vertAlign w:val="superscript"/>
        </w:rPr>
        <w:t>］</w:t>
      </w:r>
      <w:r>
        <w:rPr>
          <w:sz w:val="24"/>
        </w:rPr>
        <w:t>发现南极磷虾消化道内含有丰富的共附生菌群。此外，在南极磷虾的肠道菌群中还发现含有疾病相关通路，其中感染性疾病通路多达</w:t>
      </w:r>
      <w:r>
        <w:rPr>
          <w:sz w:val="24"/>
        </w:rPr>
        <w:t>14.2%</w:t>
      </w:r>
      <w:r>
        <w:rPr>
          <w:sz w:val="24"/>
        </w:rPr>
        <w:t>，最终导致南极磷虾</w:t>
      </w:r>
      <w:proofErr w:type="gramStart"/>
      <w:r>
        <w:rPr>
          <w:sz w:val="24"/>
        </w:rPr>
        <w:t>粉利用</w:t>
      </w:r>
      <w:proofErr w:type="gramEnd"/>
      <w:r>
        <w:rPr>
          <w:sz w:val="24"/>
        </w:rPr>
        <w:t>价值的降低</w:t>
      </w:r>
      <w:r>
        <w:rPr>
          <w:sz w:val="24"/>
          <w:vertAlign w:val="superscript"/>
        </w:rPr>
        <w:t>［</w:t>
      </w:r>
      <w:r>
        <w:rPr>
          <w:sz w:val="24"/>
          <w:vertAlign w:val="superscript"/>
        </w:rPr>
        <w:t>15</w:t>
      </w:r>
      <w:r>
        <w:rPr>
          <w:sz w:val="24"/>
          <w:vertAlign w:val="superscript"/>
        </w:rPr>
        <w:t>］</w:t>
      </w:r>
      <w:r>
        <w:rPr>
          <w:sz w:val="24"/>
        </w:rPr>
        <w:t>。</w:t>
      </w:r>
      <w:r>
        <w:rPr>
          <w:sz w:val="24"/>
        </w:rPr>
        <w:t xml:space="preserve"> </w:t>
      </w:r>
      <w:r>
        <w:rPr>
          <w:sz w:val="24"/>
        </w:rPr>
        <w:t>因此，需要严格控制南极磷虾粉原料、加工及贮藏过程中微生物来源的潜在</w:t>
      </w:r>
      <w:r>
        <w:rPr>
          <w:sz w:val="24"/>
        </w:rPr>
        <w:t>危害因子，避免有害微生物及其衍生物影响南极磷虾粉的品质和利用价值。</w:t>
      </w:r>
    </w:p>
    <w:p w14:paraId="51326805" w14:textId="77777777" w:rsidR="008F75C3" w:rsidRDefault="006614AC">
      <w:pPr>
        <w:spacing w:line="360" w:lineRule="auto"/>
        <w:rPr>
          <w:sz w:val="24"/>
        </w:rPr>
      </w:pPr>
      <w:r>
        <w:rPr>
          <w:sz w:val="24"/>
        </w:rPr>
        <w:t xml:space="preserve">1.1.2  </w:t>
      </w:r>
      <w:r>
        <w:rPr>
          <w:sz w:val="24"/>
        </w:rPr>
        <w:t>环境来源</w:t>
      </w:r>
    </w:p>
    <w:p w14:paraId="15CD69FA" w14:textId="77777777" w:rsidR="008F75C3" w:rsidRDefault="006614AC">
      <w:pPr>
        <w:spacing w:line="360" w:lineRule="auto"/>
        <w:ind w:firstLineChars="200" w:firstLine="480"/>
        <w:rPr>
          <w:sz w:val="24"/>
        </w:rPr>
      </w:pPr>
      <w:r>
        <w:rPr>
          <w:sz w:val="24"/>
        </w:rPr>
        <w:t>研究表明，南极磷虾的生活史较复杂，在不同的生长阶段，南极磷虾的营养源转换、摄食策略和营养代谢途径均不同，这些都会对持久性有机污染物</w:t>
      </w:r>
      <w:r>
        <w:rPr>
          <w:sz w:val="24"/>
        </w:rPr>
        <w:t>( persistent organic pollutants</w:t>
      </w:r>
      <w:r>
        <w:rPr>
          <w:sz w:val="24"/>
        </w:rPr>
        <w:t>，</w:t>
      </w:r>
      <w:r>
        <w:rPr>
          <w:sz w:val="24"/>
        </w:rPr>
        <w:lastRenderedPageBreak/>
        <w:t xml:space="preserve">POPs) </w:t>
      </w:r>
      <w:r>
        <w:rPr>
          <w:sz w:val="24"/>
        </w:rPr>
        <w:t>和二噁英</w:t>
      </w:r>
      <w:r>
        <w:rPr>
          <w:sz w:val="24"/>
        </w:rPr>
        <w:t xml:space="preserve"> ( </w:t>
      </w:r>
      <w:proofErr w:type="spellStart"/>
      <w:r>
        <w:rPr>
          <w:sz w:val="24"/>
        </w:rPr>
        <w:t>dioxine</w:t>
      </w:r>
      <w:proofErr w:type="spellEnd"/>
      <w:r>
        <w:rPr>
          <w:sz w:val="24"/>
        </w:rPr>
        <w:t xml:space="preserve"> ) </w:t>
      </w:r>
      <w:r>
        <w:rPr>
          <w:sz w:val="24"/>
        </w:rPr>
        <w:t>在南极磷虾体内的富集、代谢和降解产生影响</w:t>
      </w:r>
      <w:r>
        <w:rPr>
          <w:sz w:val="24"/>
          <w:vertAlign w:val="superscript"/>
        </w:rPr>
        <w:t>［</w:t>
      </w:r>
      <w:r>
        <w:rPr>
          <w:sz w:val="24"/>
          <w:vertAlign w:val="superscript"/>
        </w:rPr>
        <w:t>16</w:t>
      </w:r>
      <w:r>
        <w:rPr>
          <w:sz w:val="24"/>
          <w:vertAlign w:val="superscript"/>
        </w:rPr>
        <w:t>］</w:t>
      </w:r>
      <w:r>
        <w:rPr>
          <w:sz w:val="24"/>
        </w:rPr>
        <w:t>。</w:t>
      </w:r>
      <w:r>
        <w:rPr>
          <w:sz w:val="24"/>
        </w:rPr>
        <w:t xml:space="preserve">POPs </w:t>
      </w:r>
      <w:r>
        <w:rPr>
          <w:sz w:val="24"/>
        </w:rPr>
        <w:t>具有生物毒性高、滞留时间长、生物累积性及迁移距离远等特征，目前已经在南极不同环境介质</w:t>
      </w:r>
      <w:r>
        <w:rPr>
          <w:sz w:val="24"/>
        </w:rPr>
        <w:t>(</w:t>
      </w:r>
      <w:r>
        <w:rPr>
          <w:sz w:val="24"/>
        </w:rPr>
        <w:t>空气、水体、沉积物等</w:t>
      </w:r>
      <w:r>
        <w:rPr>
          <w:sz w:val="24"/>
        </w:rPr>
        <w:t xml:space="preserve">) </w:t>
      </w:r>
      <w:r>
        <w:rPr>
          <w:sz w:val="24"/>
        </w:rPr>
        <w:t>和生物中发</w:t>
      </w:r>
      <w:r>
        <w:rPr>
          <w:sz w:val="24"/>
        </w:rPr>
        <w:t>现其存在。目前，已经在来自南极罗斯海、威德尔海、别林斯高晋海及斯科舍海等海域的南极磷虾中发现</w:t>
      </w:r>
      <w:r>
        <w:rPr>
          <w:sz w:val="24"/>
        </w:rPr>
        <w:t xml:space="preserve"> POPs </w:t>
      </w:r>
      <w:r>
        <w:rPr>
          <w:sz w:val="24"/>
        </w:rPr>
        <w:t>的存在。</w:t>
      </w:r>
      <w:proofErr w:type="spellStart"/>
      <w:r>
        <w:rPr>
          <w:sz w:val="24"/>
        </w:rPr>
        <w:t>Risebrough</w:t>
      </w:r>
      <w:proofErr w:type="spellEnd"/>
      <w:r>
        <w:rPr>
          <w:sz w:val="24"/>
        </w:rPr>
        <w:t xml:space="preserve"> </w:t>
      </w:r>
      <w:r>
        <w:rPr>
          <w:sz w:val="24"/>
        </w:rPr>
        <w:t>等</w:t>
      </w:r>
      <w:r>
        <w:rPr>
          <w:sz w:val="24"/>
          <w:vertAlign w:val="superscript"/>
        </w:rPr>
        <w:t>［</w:t>
      </w:r>
      <w:r>
        <w:rPr>
          <w:sz w:val="24"/>
          <w:vertAlign w:val="superscript"/>
        </w:rPr>
        <w:t>17</w:t>
      </w:r>
      <w:r>
        <w:rPr>
          <w:sz w:val="24"/>
          <w:vertAlign w:val="superscript"/>
        </w:rPr>
        <w:t>］</w:t>
      </w:r>
      <w:r>
        <w:rPr>
          <w:sz w:val="24"/>
        </w:rPr>
        <w:t>报道了南极磷虾体内</w:t>
      </w:r>
      <w:r>
        <w:rPr>
          <w:sz w:val="24"/>
        </w:rPr>
        <w:t xml:space="preserve"> 2</w:t>
      </w:r>
      <w:r>
        <w:rPr>
          <w:sz w:val="24"/>
        </w:rPr>
        <w:t>－乙基噻吩</w:t>
      </w:r>
      <w:r>
        <w:rPr>
          <w:sz w:val="24"/>
        </w:rPr>
        <w:t>(</w:t>
      </w:r>
      <w:r>
        <w:rPr>
          <w:i/>
          <w:iCs/>
          <w:sz w:val="24"/>
        </w:rPr>
        <w:t xml:space="preserve"> p</w:t>
      </w:r>
      <w:r>
        <w:rPr>
          <w:sz w:val="24"/>
        </w:rPr>
        <w:t>，</w:t>
      </w:r>
      <w:r>
        <w:rPr>
          <w:i/>
          <w:iCs/>
          <w:sz w:val="24"/>
        </w:rPr>
        <w:t>p</w:t>
      </w:r>
      <w:r>
        <w:rPr>
          <w:sz w:val="24"/>
        </w:rPr>
        <w:t xml:space="preserve">-DDE) </w:t>
      </w:r>
      <w:r>
        <w:rPr>
          <w:sz w:val="24"/>
        </w:rPr>
        <w:t>及多氯联苯的含量分别为</w:t>
      </w:r>
      <w:r>
        <w:rPr>
          <w:sz w:val="24"/>
        </w:rPr>
        <w:t xml:space="preserve"> 0.014 </w:t>
      </w:r>
      <w:r>
        <w:rPr>
          <w:sz w:val="24"/>
        </w:rPr>
        <w:t>和</w:t>
      </w:r>
      <w:r>
        <w:rPr>
          <w:sz w:val="24"/>
        </w:rPr>
        <w:t xml:space="preserve"> 0.003 ng /g</w:t>
      </w:r>
      <w:r>
        <w:rPr>
          <w:sz w:val="24"/>
        </w:rPr>
        <w:t>。</w:t>
      </w:r>
      <w:proofErr w:type="spellStart"/>
      <w:r>
        <w:rPr>
          <w:sz w:val="24"/>
        </w:rPr>
        <w:t>Corsolini</w:t>
      </w:r>
      <w:proofErr w:type="spellEnd"/>
      <w:r>
        <w:rPr>
          <w:sz w:val="24"/>
        </w:rPr>
        <w:t xml:space="preserve"> </w:t>
      </w:r>
      <w:r>
        <w:rPr>
          <w:sz w:val="24"/>
        </w:rPr>
        <w:t>等</w:t>
      </w:r>
      <w:r>
        <w:rPr>
          <w:sz w:val="24"/>
          <w:vertAlign w:val="superscript"/>
        </w:rPr>
        <w:t>［</w:t>
      </w:r>
      <w:r>
        <w:rPr>
          <w:sz w:val="24"/>
          <w:vertAlign w:val="superscript"/>
        </w:rPr>
        <w:t>18</w:t>
      </w:r>
      <w:r>
        <w:rPr>
          <w:sz w:val="24"/>
          <w:vertAlign w:val="superscript"/>
        </w:rPr>
        <w:t>］</w:t>
      </w:r>
      <w:r>
        <w:rPr>
          <w:sz w:val="24"/>
        </w:rPr>
        <w:t>以罗斯海南</w:t>
      </w:r>
      <w:proofErr w:type="gramStart"/>
      <w:r>
        <w:rPr>
          <w:sz w:val="24"/>
        </w:rPr>
        <w:t>极</w:t>
      </w:r>
      <w:proofErr w:type="gramEnd"/>
      <w:r>
        <w:rPr>
          <w:sz w:val="24"/>
        </w:rPr>
        <w:t>磷虾为样本分析了六氯苯</w:t>
      </w:r>
      <w:r>
        <w:rPr>
          <w:sz w:val="24"/>
        </w:rPr>
        <w:t xml:space="preserve"> ( hexachlorobenzene</w:t>
      </w:r>
      <w:r>
        <w:rPr>
          <w:sz w:val="24"/>
        </w:rPr>
        <w:t>，</w:t>
      </w:r>
      <w:r>
        <w:rPr>
          <w:sz w:val="24"/>
        </w:rPr>
        <w:t xml:space="preserve">HCB) </w:t>
      </w:r>
      <w:r>
        <w:rPr>
          <w:sz w:val="24"/>
        </w:rPr>
        <w:t>和多氯联苯的含量，分别为</w:t>
      </w:r>
      <w:r>
        <w:rPr>
          <w:sz w:val="24"/>
        </w:rPr>
        <w:t xml:space="preserve">( 0.23 ± 0.01 ) ng /g </w:t>
      </w:r>
      <w:r>
        <w:rPr>
          <w:sz w:val="24"/>
        </w:rPr>
        <w:t>和</w:t>
      </w:r>
      <w:r>
        <w:rPr>
          <w:sz w:val="24"/>
        </w:rPr>
        <w:t xml:space="preserve"> ( 1.67 ± 0.85 ) ng /g</w:t>
      </w:r>
      <w:r>
        <w:rPr>
          <w:sz w:val="24"/>
        </w:rPr>
        <w:t>。</w:t>
      </w:r>
      <w:proofErr w:type="spellStart"/>
      <w:r>
        <w:rPr>
          <w:sz w:val="24"/>
        </w:rPr>
        <w:t>Goerke</w:t>
      </w:r>
      <w:proofErr w:type="spellEnd"/>
      <w:r>
        <w:rPr>
          <w:sz w:val="24"/>
        </w:rPr>
        <w:t xml:space="preserve"> </w:t>
      </w:r>
      <w:r>
        <w:rPr>
          <w:sz w:val="24"/>
        </w:rPr>
        <w:t>等</w:t>
      </w:r>
      <w:r>
        <w:rPr>
          <w:sz w:val="24"/>
          <w:vertAlign w:val="superscript"/>
        </w:rPr>
        <w:t>［</w:t>
      </w:r>
      <w:r>
        <w:rPr>
          <w:sz w:val="24"/>
          <w:vertAlign w:val="superscript"/>
        </w:rPr>
        <w:t>19</w:t>
      </w:r>
      <w:r>
        <w:rPr>
          <w:sz w:val="24"/>
          <w:vertAlign w:val="superscript"/>
        </w:rPr>
        <w:t>］</w:t>
      </w:r>
      <w:r>
        <w:rPr>
          <w:sz w:val="24"/>
        </w:rPr>
        <w:t>以威德尔海域的南极磷虾为样本测得六氯苯含量为</w:t>
      </w:r>
      <w:r>
        <w:rPr>
          <w:sz w:val="24"/>
        </w:rPr>
        <w:t xml:space="preserve"> 1.00 ng /g</w:t>
      </w:r>
      <w:r>
        <w:rPr>
          <w:sz w:val="24"/>
        </w:rPr>
        <w:t>。综上所述，南极磷虾体内的</w:t>
      </w:r>
      <w:r>
        <w:rPr>
          <w:sz w:val="24"/>
        </w:rPr>
        <w:t xml:space="preserve"> POPs </w:t>
      </w:r>
      <w:r>
        <w:rPr>
          <w:sz w:val="24"/>
        </w:rPr>
        <w:t>含量存在着时间和空间差异性。</w:t>
      </w:r>
      <w:r>
        <w:rPr>
          <w:sz w:val="24"/>
        </w:rPr>
        <w:t xml:space="preserve">Kumar </w:t>
      </w:r>
      <w:r>
        <w:rPr>
          <w:sz w:val="24"/>
        </w:rPr>
        <w:t>等</w:t>
      </w:r>
      <w:r>
        <w:rPr>
          <w:sz w:val="24"/>
          <w:vertAlign w:val="superscript"/>
        </w:rPr>
        <w:t>［</w:t>
      </w:r>
      <w:r>
        <w:rPr>
          <w:sz w:val="24"/>
          <w:vertAlign w:val="superscript"/>
        </w:rPr>
        <w:t>20</w:t>
      </w:r>
      <w:r>
        <w:rPr>
          <w:sz w:val="24"/>
          <w:vertAlign w:val="superscript"/>
        </w:rPr>
        <w:t>］</w:t>
      </w:r>
      <w:r>
        <w:rPr>
          <w:sz w:val="24"/>
        </w:rPr>
        <w:t>研究发现南极磷虾含有的类二噁英多氯联苯</w:t>
      </w:r>
      <w:r>
        <w:rPr>
          <w:sz w:val="24"/>
        </w:rPr>
        <w:t xml:space="preserve">( dioxin-like PCBs ) </w:t>
      </w:r>
      <w:r>
        <w:rPr>
          <w:sz w:val="24"/>
        </w:rPr>
        <w:t>经脂肪含量校正后的生物体内平均含量为</w:t>
      </w:r>
      <w:r>
        <w:rPr>
          <w:sz w:val="24"/>
        </w:rPr>
        <w:t xml:space="preserve"> 0.90 ng /g</w:t>
      </w:r>
      <w:r>
        <w:rPr>
          <w:sz w:val="24"/>
        </w:rPr>
        <w:t>。高宇</w:t>
      </w:r>
      <w:r>
        <w:rPr>
          <w:sz w:val="24"/>
          <w:vertAlign w:val="superscript"/>
        </w:rPr>
        <w:t>［</w:t>
      </w:r>
      <w:r>
        <w:rPr>
          <w:sz w:val="24"/>
          <w:vertAlign w:val="superscript"/>
        </w:rPr>
        <w:t>21</w:t>
      </w:r>
      <w:r>
        <w:rPr>
          <w:sz w:val="24"/>
          <w:vertAlign w:val="superscript"/>
        </w:rPr>
        <w:t>］</w:t>
      </w:r>
      <w:r>
        <w:rPr>
          <w:sz w:val="24"/>
        </w:rPr>
        <w:t>对不同时期、不同性别南极磷虾持久性污染物含量进行检测发现多氯联苯、多溴联苯醚、多环芳烃、有机氯农药在南极磷虾中的污染情况与其生长、发育以及生殖行为等有关。综上所述，南极磷虾作为生产南极磷虾粉的原料，其</w:t>
      </w:r>
      <w:r>
        <w:rPr>
          <w:sz w:val="24"/>
        </w:rPr>
        <w:t>含有的</w:t>
      </w:r>
      <w:r>
        <w:rPr>
          <w:sz w:val="24"/>
        </w:rPr>
        <w:t xml:space="preserve"> POPs </w:t>
      </w:r>
      <w:r>
        <w:rPr>
          <w:sz w:val="24"/>
        </w:rPr>
        <w:t>有可能在后续的加工过程中转移到南极磷虾粉，影响其后续利用及产品品质安全。基于目前相关研究对象的来源、研究手段及研究方法等的差异，尚无法清晰地阐述其传递机制。因此，鉴于</w:t>
      </w:r>
      <w:r>
        <w:rPr>
          <w:sz w:val="24"/>
        </w:rPr>
        <w:t xml:space="preserve"> POPs </w:t>
      </w:r>
      <w:r>
        <w:rPr>
          <w:sz w:val="24"/>
        </w:rPr>
        <w:t>的毒副作用，需要针对南极磷虾粉</w:t>
      </w:r>
      <w:r>
        <w:rPr>
          <w:sz w:val="24"/>
        </w:rPr>
        <w:t xml:space="preserve"> POPs </w:t>
      </w:r>
      <w:r>
        <w:rPr>
          <w:sz w:val="24"/>
        </w:rPr>
        <w:t>的含量、分布、生物蓄积性等开展更加深入研究，以严谨、科学的事实解答相关疑问。</w:t>
      </w:r>
    </w:p>
    <w:p w14:paraId="04674D5A" w14:textId="77777777" w:rsidR="008F75C3" w:rsidRDefault="006614AC">
      <w:pPr>
        <w:spacing w:line="360" w:lineRule="auto"/>
        <w:rPr>
          <w:sz w:val="24"/>
        </w:rPr>
      </w:pPr>
      <w:r>
        <w:rPr>
          <w:szCs w:val="21"/>
        </w:rPr>
        <w:t xml:space="preserve">1.1.2.1 </w:t>
      </w:r>
      <w:r>
        <w:rPr>
          <w:sz w:val="24"/>
        </w:rPr>
        <w:t xml:space="preserve"> </w:t>
      </w:r>
      <w:r>
        <w:rPr>
          <w:sz w:val="24"/>
        </w:rPr>
        <w:t>氟</w:t>
      </w:r>
    </w:p>
    <w:p w14:paraId="0A0F2BA6" w14:textId="77777777" w:rsidR="008F75C3" w:rsidRDefault="006614AC">
      <w:pPr>
        <w:spacing w:line="360" w:lineRule="auto"/>
        <w:ind w:firstLineChars="200" w:firstLine="480"/>
        <w:rPr>
          <w:sz w:val="24"/>
        </w:rPr>
      </w:pPr>
      <w:r>
        <w:rPr>
          <w:sz w:val="24"/>
        </w:rPr>
        <w:t>研究发现，南极磷虾粉的氟含量为</w:t>
      </w:r>
      <w:r>
        <w:rPr>
          <w:sz w:val="24"/>
        </w:rPr>
        <w:t xml:space="preserve"> 1000</w:t>
      </w:r>
      <w:r>
        <w:rPr>
          <w:sz w:val="24"/>
        </w:rPr>
        <w:t>～</w:t>
      </w:r>
      <w:r>
        <w:rPr>
          <w:sz w:val="24"/>
        </w:rPr>
        <w:t xml:space="preserve">2400 mg /kg( </w:t>
      </w:r>
      <w:r>
        <w:rPr>
          <w:sz w:val="24"/>
        </w:rPr>
        <w:t>干重</w:t>
      </w:r>
      <w:r>
        <w:rPr>
          <w:sz w:val="24"/>
        </w:rPr>
        <w:t xml:space="preserve"> ) </w:t>
      </w:r>
      <w:r>
        <w:rPr>
          <w:sz w:val="24"/>
        </w:rPr>
        <w:t>，这限制了其在某些动物饲料中的应用。</w:t>
      </w:r>
      <w:r>
        <w:rPr>
          <w:sz w:val="24"/>
        </w:rPr>
        <w:t xml:space="preserve">Yoshitomi </w:t>
      </w:r>
      <w:r>
        <w:rPr>
          <w:sz w:val="24"/>
        </w:rPr>
        <w:t>等</w:t>
      </w:r>
      <w:r>
        <w:rPr>
          <w:sz w:val="24"/>
          <w:vertAlign w:val="superscript"/>
        </w:rPr>
        <w:t>［</w:t>
      </w:r>
      <w:r>
        <w:rPr>
          <w:sz w:val="24"/>
          <w:vertAlign w:val="superscript"/>
        </w:rPr>
        <w:t>22</w:t>
      </w:r>
      <w:r>
        <w:rPr>
          <w:sz w:val="24"/>
          <w:vertAlign w:val="superscript"/>
        </w:rPr>
        <w:t>］</w:t>
      </w:r>
      <w:r>
        <w:rPr>
          <w:sz w:val="24"/>
        </w:rPr>
        <w:t>报道，将南极磷虾脱壳以后加工制成南极磷虾粉，其中氟的含量由</w:t>
      </w:r>
      <w:r>
        <w:rPr>
          <w:sz w:val="24"/>
        </w:rPr>
        <w:t>870 mg /kg</w:t>
      </w:r>
      <w:r>
        <w:rPr>
          <w:sz w:val="24"/>
        </w:rPr>
        <w:t>降到了</w:t>
      </w:r>
      <w:r>
        <w:rPr>
          <w:sz w:val="24"/>
        </w:rPr>
        <w:t>230 mg /kg</w:t>
      </w:r>
      <w:r>
        <w:rPr>
          <w:sz w:val="24"/>
        </w:rPr>
        <w:t>。水产动物摄食添加南极磷虾粉的饲料后会导致其生长性能降低</w:t>
      </w:r>
      <w:r>
        <w:rPr>
          <w:sz w:val="24"/>
          <w:vertAlign w:val="superscript"/>
        </w:rPr>
        <w:t>［</w:t>
      </w:r>
      <w:r>
        <w:rPr>
          <w:sz w:val="24"/>
          <w:vertAlign w:val="superscript"/>
        </w:rPr>
        <w:t>23</w:t>
      </w:r>
      <w:r>
        <w:rPr>
          <w:sz w:val="24"/>
          <w:vertAlign w:val="superscript"/>
        </w:rPr>
        <w:t>］</w:t>
      </w:r>
      <w:r>
        <w:rPr>
          <w:sz w:val="24"/>
        </w:rPr>
        <w:t>，如淡水虹鳟</w:t>
      </w:r>
      <w:r>
        <w:rPr>
          <w:sz w:val="24"/>
        </w:rPr>
        <w:t xml:space="preserve">( </w:t>
      </w:r>
      <w:r>
        <w:rPr>
          <w:i/>
          <w:iCs/>
          <w:sz w:val="24"/>
        </w:rPr>
        <w:t>Oncorhynchus mykiss</w:t>
      </w:r>
      <w:r>
        <w:rPr>
          <w:sz w:val="24"/>
        </w:rPr>
        <w:t xml:space="preserve">) </w:t>
      </w:r>
      <w:r>
        <w:rPr>
          <w:sz w:val="24"/>
          <w:vertAlign w:val="superscript"/>
        </w:rPr>
        <w:t>［</w:t>
      </w:r>
      <w:r>
        <w:rPr>
          <w:sz w:val="24"/>
          <w:vertAlign w:val="superscript"/>
        </w:rPr>
        <w:t>24</w:t>
      </w:r>
      <w:r>
        <w:rPr>
          <w:sz w:val="24"/>
          <w:vertAlign w:val="superscript"/>
        </w:rPr>
        <w:t>］</w:t>
      </w:r>
      <w:r>
        <w:rPr>
          <w:sz w:val="24"/>
        </w:rPr>
        <w:t>、淡水西伯利亚鲟</w:t>
      </w:r>
      <w:r>
        <w:rPr>
          <w:sz w:val="24"/>
        </w:rPr>
        <w:t xml:space="preserve">( </w:t>
      </w:r>
      <w:r>
        <w:rPr>
          <w:i/>
          <w:iCs/>
          <w:sz w:val="24"/>
        </w:rPr>
        <w:t xml:space="preserve">Acipenser </w:t>
      </w:r>
      <w:proofErr w:type="spellStart"/>
      <w:r>
        <w:rPr>
          <w:i/>
          <w:iCs/>
          <w:sz w:val="24"/>
        </w:rPr>
        <w:t>baerii</w:t>
      </w:r>
      <w:proofErr w:type="spellEnd"/>
      <w:r>
        <w:rPr>
          <w:i/>
          <w:iCs/>
          <w:sz w:val="24"/>
        </w:rPr>
        <w:t xml:space="preserve"> </w:t>
      </w:r>
      <w:r>
        <w:rPr>
          <w:sz w:val="24"/>
        </w:rPr>
        <w:t xml:space="preserve">) </w:t>
      </w:r>
      <w:r>
        <w:rPr>
          <w:sz w:val="24"/>
          <w:vertAlign w:val="superscript"/>
        </w:rPr>
        <w:t>［</w:t>
      </w:r>
      <w:r>
        <w:rPr>
          <w:sz w:val="24"/>
          <w:vertAlign w:val="superscript"/>
        </w:rPr>
        <w:t>25</w:t>
      </w:r>
      <w:r>
        <w:rPr>
          <w:sz w:val="24"/>
          <w:vertAlign w:val="superscript"/>
        </w:rPr>
        <w:t>］</w:t>
      </w:r>
      <w:r>
        <w:rPr>
          <w:sz w:val="24"/>
        </w:rPr>
        <w:t>、斑点叉尾</w:t>
      </w:r>
      <w:r>
        <w:rPr>
          <w:sz w:val="24"/>
        </w:rPr>
        <w:t xml:space="preserve"> ( </w:t>
      </w:r>
      <w:proofErr w:type="spellStart"/>
      <w:r>
        <w:rPr>
          <w:i/>
          <w:iCs/>
          <w:sz w:val="24"/>
        </w:rPr>
        <w:t>Ictalurus</w:t>
      </w:r>
      <w:proofErr w:type="spellEnd"/>
      <w:r>
        <w:rPr>
          <w:i/>
          <w:iCs/>
          <w:sz w:val="24"/>
        </w:rPr>
        <w:t xml:space="preserve"> punctatus )</w:t>
      </w:r>
      <w:r>
        <w:rPr>
          <w:sz w:val="24"/>
        </w:rPr>
        <w:t xml:space="preserve"> </w:t>
      </w:r>
      <w:r>
        <w:rPr>
          <w:sz w:val="24"/>
        </w:rPr>
        <w:t>幼鱼</w:t>
      </w:r>
      <w:r>
        <w:rPr>
          <w:sz w:val="24"/>
          <w:vertAlign w:val="superscript"/>
        </w:rPr>
        <w:t>［</w:t>
      </w:r>
      <w:r>
        <w:rPr>
          <w:sz w:val="24"/>
          <w:vertAlign w:val="superscript"/>
        </w:rPr>
        <w:t>26</w:t>
      </w:r>
      <w:r>
        <w:rPr>
          <w:sz w:val="24"/>
          <w:vertAlign w:val="superscript"/>
        </w:rPr>
        <w:t>］</w:t>
      </w:r>
      <w:r>
        <w:rPr>
          <w:sz w:val="24"/>
        </w:rPr>
        <w:t>、生长</w:t>
      </w:r>
      <w:proofErr w:type="gramStart"/>
      <w:r>
        <w:rPr>
          <w:sz w:val="24"/>
        </w:rPr>
        <w:t>鳕</w:t>
      </w:r>
      <w:proofErr w:type="gramEnd"/>
      <w:r>
        <w:rPr>
          <w:sz w:val="24"/>
        </w:rPr>
        <w:t xml:space="preserve">( grower walleye pollock) </w:t>
      </w:r>
      <w:r>
        <w:rPr>
          <w:sz w:val="24"/>
          <w:vertAlign w:val="superscript"/>
        </w:rPr>
        <w:t>［</w:t>
      </w:r>
      <w:r>
        <w:rPr>
          <w:sz w:val="24"/>
          <w:vertAlign w:val="superscript"/>
        </w:rPr>
        <w:t>27</w:t>
      </w:r>
      <w:r>
        <w:rPr>
          <w:sz w:val="24"/>
          <w:vertAlign w:val="superscript"/>
        </w:rPr>
        <w:t>］</w:t>
      </w:r>
      <w:r>
        <w:rPr>
          <w:sz w:val="24"/>
        </w:rPr>
        <w:t>、黄尾</w:t>
      </w:r>
      <w:r>
        <w:rPr>
          <w:sz w:val="24"/>
        </w:rPr>
        <w:t>鱼</w:t>
      </w:r>
      <w:r>
        <w:rPr>
          <w:sz w:val="24"/>
        </w:rPr>
        <w:t xml:space="preserve">( </w:t>
      </w:r>
      <w:r>
        <w:rPr>
          <w:i/>
          <w:iCs/>
          <w:sz w:val="24"/>
        </w:rPr>
        <w:t xml:space="preserve">Seriola </w:t>
      </w:r>
      <w:proofErr w:type="spellStart"/>
      <w:r>
        <w:rPr>
          <w:i/>
          <w:iCs/>
          <w:sz w:val="24"/>
        </w:rPr>
        <w:t>quinqueradiata</w:t>
      </w:r>
      <w:proofErr w:type="spellEnd"/>
      <w:r>
        <w:rPr>
          <w:sz w:val="24"/>
        </w:rPr>
        <w:t xml:space="preserve">) </w:t>
      </w:r>
      <w:r>
        <w:rPr>
          <w:sz w:val="24"/>
          <w:vertAlign w:val="superscript"/>
        </w:rPr>
        <w:t>［</w:t>
      </w:r>
      <w:r>
        <w:rPr>
          <w:sz w:val="24"/>
          <w:vertAlign w:val="superscript"/>
        </w:rPr>
        <w:t>28</w:t>
      </w:r>
      <w:r>
        <w:rPr>
          <w:sz w:val="24"/>
          <w:vertAlign w:val="superscript"/>
        </w:rPr>
        <w:t>］</w:t>
      </w:r>
      <w:r>
        <w:rPr>
          <w:sz w:val="24"/>
        </w:rPr>
        <w:t>、大黄鱼</w:t>
      </w:r>
      <w:r>
        <w:rPr>
          <w:sz w:val="24"/>
        </w:rPr>
        <w:t xml:space="preserve">( </w:t>
      </w:r>
      <w:proofErr w:type="spellStart"/>
      <w:r>
        <w:rPr>
          <w:i/>
          <w:iCs/>
          <w:sz w:val="24"/>
        </w:rPr>
        <w:t>Larimichthys</w:t>
      </w:r>
      <w:proofErr w:type="spellEnd"/>
      <w:r>
        <w:rPr>
          <w:i/>
          <w:iCs/>
          <w:sz w:val="24"/>
        </w:rPr>
        <w:t xml:space="preserve"> </w:t>
      </w:r>
      <w:proofErr w:type="spellStart"/>
      <w:r>
        <w:rPr>
          <w:i/>
          <w:iCs/>
          <w:sz w:val="24"/>
        </w:rPr>
        <w:t>crocea</w:t>
      </w:r>
      <w:proofErr w:type="spellEnd"/>
      <w:r>
        <w:rPr>
          <w:i/>
          <w:iCs/>
          <w:sz w:val="24"/>
        </w:rPr>
        <w:t xml:space="preserve"> </w:t>
      </w:r>
      <w:r>
        <w:rPr>
          <w:sz w:val="24"/>
        </w:rPr>
        <w:t xml:space="preserve">) </w:t>
      </w:r>
      <w:r>
        <w:rPr>
          <w:sz w:val="24"/>
          <w:vertAlign w:val="superscript"/>
        </w:rPr>
        <w:t>［</w:t>
      </w:r>
      <w:r>
        <w:rPr>
          <w:sz w:val="24"/>
          <w:vertAlign w:val="superscript"/>
        </w:rPr>
        <w:t>29</w:t>
      </w:r>
      <w:r>
        <w:rPr>
          <w:sz w:val="24"/>
          <w:vertAlign w:val="superscript"/>
        </w:rPr>
        <w:t>］</w:t>
      </w:r>
      <w:r>
        <w:rPr>
          <w:sz w:val="24"/>
        </w:rPr>
        <w:t xml:space="preserve">; </w:t>
      </w:r>
      <w:r>
        <w:rPr>
          <w:sz w:val="24"/>
        </w:rPr>
        <w:t>也会导致鱼体组织发生氟蓄积</w:t>
      </w:r>
      <w:r>
        <w:rPr>
          <w:sz w:val="24"/>
          <w:vertAlign w:val="superscript"/>
        </w:rPr>
        <w:t>［</w:t>
      </w:r>
      <w:r>
        <w:rPr>
          <w:sz w:val="24"/>
          <w:vertAlign w:val="superscript"/>
        </w:rPr>
        <w:t>30</w:t>
      </w:r>
      <w:r>
        <w:rPr>
          <w:sz w:val="24"/>
          <w:vertAlign w:val="superscript"/>
        </w:rPr>
        <w:t>－</w:t>
      </w:r>
      <w:r>
        <w:rPr>
          <w:sz w:val="24"/>
          <w:vertAlign w:val="superscript"/>
        </w:rPr>
        <w:t>31</w:t>
      </w:r>
      <w:r>
        <w:rPr>
          <w:sz w:val="24"/>
          <w:vertAlign w:val="superscript"/>
        </w:rPr>
        <w:t>］</w:t>
      </w:r>
      <w:r>
        <w:rPr>
          <w:sz w:val="24"/>
        </w:rPr>
        <w:t>，如俄罗斯鲟鱼</w:t>
      </w:r>
      <w:r>
        <w:rPr>
          <w:sz w:val="24"/>
          <w:vertAlign w:val="superscript"/>
        </w:rPr>
        <w:t>［</w:t>
      </w:r>
      <w:r>
        <w:rPr>
          <w:sz w:val="24"/>
          <w:vertAlign w:val="superscript"/>
        </w:rPr>
        <w:t>32</w:t>
      </w:r>
      <w:r>
        <w:rPr>
          <w:sz w:val="24"/>
          <w:vertAlign w:val="superscript"/>
        </w:rPr>
        <w:t>］</w:t>
      </w:r>
      <w:r>
        <w:rPr>
          <w:sz w:val="24"/>
        </w:rPr>
        <w:t>、黑鲷</w:t>
      </w:r>
      <w:r>
        <w:rPr>
          <w:sz w:val="24"/>
          <w:vertAlign w:val="superscript"/>
        </w:rPr>
        <w:t>［</w:t>
      </w:r>
      <w:r>
        <w:rPr>
          <w:sz w:val="24"/>
          <w:vertAlign w:val="superscript"/>
        </w:rPr>
        <w:t>33</w:t>
      </w:r>
      <w:r>
        <w:rPr>
          <w:sz w:val="24"/>
          <w:vertAlign w:val="superscript"/>
        </w:rPr>
        <w:t>］</w:t>
      </w:r>
      <w:r>
        <w:rPr>
          <w:sz w:val="24"/>
        </w:rPr>
        <w:t>、黄尾鱼</w:t>
      </w:r>
      <w:r>
        <w:rPr>
          <w:sz w:val="24"/>
          <w:vertAlign w:val="superscript"/>
        </w:rPr>
        <w:t>［</w:t>
      </w:r>
      <w:r>
        <w:rPr>
          <w:sz w:val="24"/>
          <w:vertAlign w:val="superscript"/>
        </w:rPr>
        <w:t>28</w:t>
      </w:r>
      <w:r>
        <w:rPr>
          <w:sz w:val="24"/>
          <w:vertAlign w:val="superscript"/>
        </w:rPr>
        <w:t>］</w:t>
      </w:r>
      <w:r>
        <w:rPr>
          <w:sz w:val="24"/>
        </w:rPr>
        <w:t>等</w:t>
      </w:r>
      <w:r>
        <w:rPr>
          <w:sz w:val="24"/>
        </w:rPr>
        <w:t xml:space="preserve">; </w:t>
      </w:r>
      <w:r>
        <w:rPr>
          <w:sz w:val="24"/>
        </w:rPr>
        <w:t>还会导致大西洋</w:t>
      </w:r>
      <w:proofErr w:type="gramStart"/>
      <w:r>
        <w:rPr>
          <w:sz w:val="24"/>
        </w:rPr>
        <w:t>鲑</w:t>
      </w:r>
      <w:proofErr w:type="gramEnd"/>
      <w:r>
        <w:rPr>
          <w:sz w:val="24"/>
        </w:rPr>
        <w:t>卵母细胞发育异常</w:t>
      </w:r>
      <w:r>
        <w:rPr>
          <w:sz w:val="24"/>
          <w:vertAlign w:val="superscript"/>
        </w:rPr>
        <w:t>［</w:t>
      </w:r>
      <w:r>
        <w:rPr>
          <w:sz w:val="24"/>
          <w:vertAlign w:val="superscript"/>
        </w:rPr>
        <w:t>34</w:t>
      </w:r>
      <w:r>
        <w:rPr>
          <w:sz w:val="24"/>
          <w:vertAlign w:val="superscript"/>
        </w:rPr>
        <w:t>］</w:t>
      </w:r>
      <w:r>
        <w:rPr>
          <w:sz w:val="24"/>
        </w:rPr>
        <w:t>。</w:t>
      </w:r>
      <w:r>
        <w:rPr>
          <w:sz w:val="24"/>
        </w:rPr>
        <w:t xml:space="preserve">Kim </w:t>
      </w:r>
      <w:r>
        <w:rPr>
          <w:sz w:val="24"/>
        </w:rPr>
        <w:t>等</w:t>
      </w:r>
      <w:r>
        <w:rPr>
          <w:sz w:val="24"/>
          <w:vertAlign w:val="superscript"/>
        </w:rPr>
        <w:t>［</w:t>
      </w:r>
      <w:r>
        <w:rPr>
          <w:sz w:val="24"/>
          <w:vertAlign w:val="superscript"/>
        </w:rPr>
        <w:t>35</w:t>
      </w:r>
      <w:r>
        <w:rPr>
          <w:sz w:val="24"/>
          <w:vertAlign w:val="superscript"/>
        </w:rPr>
        <w:t>］</w:t>
      </w:r>
      <w:r>
        <w:rPr>
          <w:sz w:val="24"/>
        </w:rPr>
        <w:t>测定了氟化钠、南极磷虾肉、南极磷虾壳、完整南极磷虾和磷虾粉的氟化物提取物对肝癌</w:t>
      </w:r>
      <w:r>
        <w:rPr>
          <w:sz w:val="24"/>
        </w:rPr>
        <w:t xml:space="preserve"> ( HepG2 ) </w:t>
      </w:r>
      <w:r>
        <w:rPr>
          <w:sz w:val="24"/>
        </w:rPr>
        <w:t>细胞的毒性，发现</w:t>
      </w:r>
      <w:r>
        <w:rPr>
          <w:sz w:val="24"/>
        </w:rPr>
        <w:t xml:space="preserve">300 </w:t>
      </w:r>
      <w:r>
        <w:rPr>
          <w:sz w:val="24"/>
        </w:rPr>
        <w:t>和</w:t>
      </w:r>
      <w:r>
        <w:rPr>
          <w:sz w:val="24"/>
        </w:rPr>
        <w:t xml:space="preserve">500 </w:t>
      </w:r>
      <w:proofErr w:type="spellStart"/>
      <w:r>
        <w:rPr>
          <w:sz w:val="24"/>
        </w:rPr>
        <w:t>μg</w:t>
      </w:r>
      <w:proofErr w:type="spellEnd"/>
      <w:r>
        <w:rPr>
          <w:sz w:val="24"/>
        </w:rPr>
        <w:t xml:space="preserve"> /mL</w:t>
      </w:r>
      <w:r>
        <w:rPr>
          <w:sz w:val="24"/>
        </w:rPr>
        <w:t>氟化钠的细胞毒性显著。综上所述，南极磷虾粉作为饲料使用时，其中高含量</w:t>
      </w:r>
      <w:proofErr w:type="gramStart"/>
      <w:r>
        <w:rPr>
          <w:sz w:val="24"/>
        </w:rPr>
        <w:t>的氟会对</w:t>
      </w:r>
      <w:proofErr w:type="gramEnd"/>
      <w:r>
        <w:rPr>
          <w:sz w:val="24"/>
        </w:rPr>
        <w:t>某</w:t>
      </w:r>
      <w:r>
        <w:rPr>
          <w:sz w:val="24"/>
        </w:rPr>
        <w:t>些水生动物的生长性能及产品品质产生不利的影响，导致南极磷虾粉的应用价值降低。因此，可以通过</w:t>
      </w:r>
      <w:r>
        <w:rPr>
          <w:sz w:val="24"/>
        </w:rPr>
        <w:lastRenderedPageBreak/>
        <w:t>脱壳处理降低南极磷虾粉的氟含量。</w:t>
      </w:r>
    </w:p>
    <w:p w14:paraId="030A2A64" w14:textId="77777777" w:rsidR="008F75C3" w:rsidRDefault="006614AC">
      <w:pPr>
        <w:spacing w:line="360" w:lineRule="auto"/>
        <w:rPr>
          <w:sz w:val="24"/>
        </w:rPr>
      </w:pPr>
      <w:r>
        <w:rPr>
          <w:szCs w:val="21"/>
        </w:rPr>
        <w:t xml:space="preserve">1.1.2.2 </w:t>
      </w:r>
      <w:r>
        <w:rPr>
          <w:sz w:val="24"/>
        </w:rPr>
        <w:t xml:space="preserve"> </w:t>
      </w:r>
      <w:proofErr w:type="gramStart"/>
      <w:r>
        <w:rPr>
          <w:sz w:val="24"/>
        </w:rPr>
        <w:t>砷</w:t>
      </w:r>
      <w:proofErr w:type="gramEnd"/>
    </w:p>
    <w:p w14:paraId="380902D0" w14:textId="77777777" w:rsidR="008F75C3" w:rsidRDefault="006614AC">
      <w:pPr>
        <w:spacing w:line="360" w:lineRule="auto"/>
        <w:ind w:firstLineChars="200" w:firstLine="480"/>
        <w:rPr>
          <w:sz w:val="24"/>
        </w:rPr>
      </w:pPr>
      <w:r>
        <w:rPr>
          <w:sz w:val="24"/>
        </w:rPr>
        <w:t>研究发现，南极磷虾粉中砷含量较高，南极磷虾中的砷会通过加工转存到南极磷虾粉中。南极磷虾油中总砷含量为</w:t>
      </w:r>
      <w:r>
        <w:rPr>
          <w:sz w:val="24"/>
        </w:rPr>
        <w:t>( 8.334 ± 0.019) mg /kg</w:t>
      </w:r>
      <w:r>
        <w:rPr>
          <w:sz w:val="24"/>
        </w:rPr>
        <w:t>。以砷化合物的半致死量</w:t>
      </w:r>
      <w:r>
        <w:rPr>
          <w:sz w:val="24"/>
        </w:rPr>
        <w:t>( LD50 )</w:t>
      </w:r>
      <w:r>
        <w:rPr>
          <w:sz w:val="24"/>
        </w:rPr>
        <w:t>计，砷酸盐</w:t>
      </w:r>
      <w:r>
        <w:rPr>
          <w:sz w:val="24"/>
        </w:rPr>
        <w:t xml:space="preserve">( As Ⅲ) </w:t>
      </w:r>
      <w:r>
        <w:rPr>
          <w:sz w:val="24"/>
        </w:rPr>
        <w:t>、亚砷酸盐</w:t>
      </w:r>
      <w:r>
        <w:rPr>
          <w:sz w:val="24"/>
        </w:rPr>
        <w:t xml:space="preserve">( As Ⅴ) </w:t>
      </w:r>
      <w:r>
        <w:rPr>
          <w:sz w:val="24"/>
        </w:rPr>
        <w:t>、二甲基砷酸</w:t>
      </w:r>
      <w:r>
        <w:rPr>
          <w:sz w:val="24"/>
        </w:rPr>
        <w:t xml:space="preserve">( DMA) </w:t>
      </w:r>
      <w:r>
        <w:rPr>
          <w:sz w:val="24"/>
        </w:rPr>
        <w:t>、</w:t>
      </w:r>
      <w:proofErr w:type="gramStart"/>
      <w:r>
        <w:rPr>
          <w:sz w:val="24"/>
        </w:rPr>
        <w:t>一</w:t>
      </w:r>
      <w:proofErr w:type="gramEnd"/>
      <w:r>
        <w:rPr>
          <w:sz w:val="24"/>
        </w:rPr>
        <w:t>甲基砷酸</w:t>
      </w:r>
      <w:r>
        <w:rPr>
          <w:sz w:val="24"/>
        </w:rPr>
        <w:t xml:space="preserve">( MMA) </w:t>
      </w:r>
      <w:r>
        <w:rPr>
          <w:sz w:val="24"/>
        </w:rPr>
        <w:t>、砷甜菜碱</w:t>
      </w:r>
      <w:r>
        <w:rPr>
          <w:sz w:val="24"/>
        </w:rPr>
        <w:t xml:space="preserve">( As B) </w:t>
      </w:r>
      <w:r>
        <w:rPr>
          <w:sz w:val="24"/>
        </w:rPr>
        <w:t>、砷胆碱</w:t>
      </w:r>
      <w:r>
        <w:rPr>
          <w:sz w:val="24"/>
        </w:rPr>
        <w:t xml:space="preserve">( As C) </w:t>
      </w:r>
      <w:r>
        <w:rPr>
          <w:sz w:val="24"/>
        </w:rPr>
        <w:t>的毒性逐渐降低</w:t>
      </w:r>
      <w:r>
        <w:rPr>
          <w:sz w:val="24"/>
          <w:vertAlign w:val="superscript"/>
        </w:rPr>
        <w:t>［</w:t>
      </w:r>
      <w:r>
        <w:rPr>
          <w:sz w:val="24"/>
          <w:vertAlign w:val="superscript"/>
        </w:rPr>
        <w:t>36</w:t>
      </w:r>
      <w:r>
        <w:rPr>
          <w:sz w:val="24"/>
          <w:vertAlign w:val="superscript"/>
        </w:rPr>
        <w:t>］</w:t>
      </w:r>
      <w:r>
        <w:rPr>
          <w:sz w:val="24"/>
        </w:rPr>
        <w:t>。张学</w:t>
      </w:r>
      <w:r>
        <w:rPr>
          <w:sz w:val="24"/>
        </w:rPr>
        <w:t>超等</w:t>
      </w:r>
      <w:r>
        <w:rPr>
          <w:sz w:val="24"/>
          <w:vertAlign w:val="superscript"/>
        </w:rPr>
        <w:t>［</w:t>
      </w:r>
      <w:r>
        <w:rPr>
          <w:sz w:val="24"/>
          <w:vertAlign w:val="superscript"/>
        </w:rPr>
        <w:t>37</w:t>
      </w:r>
      <w:r>
        <w:rPr>
          <w:sz w:val="24"/>
          <w:vertAlign w:val="superscript"/>
        </w:rPr>
        <w:t>］</w:t>
      </w:r>
      <w:r>
        <w:rPr>
          <w:sz w:val="24"/>
        </w:rPr>
        <w:t>采用银盐法测得南极磷虾粉的总砷含量为</w:t>
      </w:r>
      <w:r>
        <w:rPr>
          <w:sz w:val="24"/>
        </w:rPr>
        <w:t>1.04</w:t>
      </w:r>
      <w:r>
        <w:rPr>
          <w:sz w:val="24"/>
        </w:rPr>
        <w:t>～</w:t>
      </w:r>
      <w:r>
        <w:rPr>
          <w:sz w:val="24"/>
        </w:rPr>
        <w:t>1.91 mg /kg</w:t>
      </w:r>
      <w:r>
        <w:rPr>
          <w:sz w:val="24"/>
        </w:rPr>
        <w:t>。</w:t>
      </w:r>
      <w:proofErr w:type="spellStart"/>
      <w:r>
        <w:rPr>
          <w:sz w:val="24"/>
        </w:rPr>
        <w:t>Grotti</w:t>
      </w:r>
      <w:proofErr w:type="spellEnd"/>
      <w:r>
        <w:rPr>
          <w:sz w:val="24"/>
        </w:rPr>
        <w:t xml:space="preserve"> </w:t>
      </w:r>
      <w:r>
        <w:rPr>
          <w:sz w:val="24"/>
        </w:rPr>
        <w:t>等</w:t>
      </w:r>
      <w:r>
        <w:rPr>
          <w:sz w:val="24"/>
          <w:vertAlign w:val="superscript"/>
        </w:rPr>
        <w:t>［</w:t>
      </w:r>
      <w:r>
        <w:rPr>
          <w:sz w:val="24"/>
          <w:vertAlign w:val="superscript"/>
        </w:rPr>
        <w:t>38</w:t>
      </w:r>
      <w:r>
        <w:rPr>
          <w:sz w:val="24"/>
          <w:vertAlign w:val="superscript"/>
        </w:rPr>
        <w:t>］</w:t>
      </w:r>
      <w:r>
        <w:rPr>
          <w:sz w:val="24"/>
        </w:rPr>
        <w:t>采用高效液相色谱电感耦合等离子体质谱</w:t>
      </w:r>
      <w:r>
        <w:rPr>
          <w:sz w:val="24"/>
        </w:rPr>
        <w:t xml:space="preserve"> ( HPLC-ICP-MS ) </w:t>
      </w:r>
      <w:r>
        <w:rPr>
          <w:sz w:val="24"/>
        </w:rPr>
        <w:t>法测得南极磷虾粉中总砷含量为</w:t>
      </w:r>
      <w:r>
        <w:rPr>
          <w:sz w:val="24"/>
        </w:rPr>
        <w:t xml:space="preserve"> 3.34 mg /kg</w:t>
      </w:r>
      <w:r>
        <w:rPr>
          <w:sz w:val="24"/>
        </w:rPr>
        <w:t>。刘淑晗</w:t>
      </w:r>
      <w:r>
        <w:rPr>
          <w:sz w:val="24"/>
          <w:vertAlign w:val="superscript"/>
        </w:rPr>
        <w:t>［</w:t>
      </w:r>
      <w:r>
        <w:rPr>
          <w:sz w:val="24"/>
          <w:vertAlign w:val="superscript"/>
        </w:rPr>
        <w:t>39</w:t>
      </w:r>
      <w:r>
        <w:rPr>
          <w:sz w:val="24"/>
          <w:vertAlign w:val="superscript"/>
        </w:rPr>
        <w:t>］</w:t>
      </w:r>
      <w:r>
        <w:rPr>
          <w:sz w:val="24"/>
        </w:rPr>
        <w:t>采用氢化物发生原子荧光光谱</w:t>
      </w:r>
      <w:r>
        <w:rPr>
          <w:sz w:val="24"/>
        </w:rPr>
        <w:t xml:space="preserve">( HG-AFS) </w:t>
      </w:r>
      <w:r>
        <w:rPr>
          <w:sz w:val="24"/>
        </w:rPr>
        <w:t>法分析了南极磷虾及其制品中总砷含量及砷的赋存形态，发现南极磷虾粉中总砷含量最高，</w:t>
      </w:r>
      <w:r>
        <w:rPr>
          <w:sz w:val="24"/>
        </w:rPr>
        <w:t>As Ⅲ</w:t>
      </w:r>
      <w:r>
        <w:rPr>
          <w:sz w:val="24"/>
        </w:rPr>
        <w:t>和</w:t>
      </w:r>
      <w:r>
        <w:rPr>
          <w:sz w:val="24"/>
        </w:rPr>
        <w:t xml:space="preserve"> As Ⅴ</w:t>
      </w:r>
      <w:r>
        <w:rPr>
          <w:sz w:val="24"/>
        </w:rPr>
        <w:t>含量均低于</w:t>
      </w:r>
      <w:r>
        <w:rPr>
          <w:sz w:val="24"/>
        </w:rPr>
        <w:t>0.5 mg /kg</w:t>
      </w:r>
      <w:r>
        <w:rPr>
          <w:sz w:val="24"/>
        </w:rPr>
        <w:t>。综上所述，南极磷虾粉中总砷含量低于国家限量标准，砷的赋存形态也多为低毒性有机化合物，但目前</w:t>
      </w:r>
      <w:r>
        <w:rPr>
          <w:sz w:val="24"/>
        </w:rPr>
        <w:t>其对于鱼体的影响作用尚不明晰。因此，后续应开展南极磷虾粉</w:t>
      </w:r>
      <w:proofErr w:type="gramStart"/>
      <w:r>
        <w:rPr>
          <w:sz w:val="24"/>
        </w:rPr>
        <w:t>中砷对水产</w:t>
      </w:r>
      <w:proofErr w:type="gramEnd"/>
      <w:r>
        <w:rPr>
          <w:sz w:val="24"/>
        </w:rPr>
        <w:t>动物养殖健康、产品品质等的影响研究。</w:t>
      </w:r>
    </w:p>
    <w:p w14:paraId="4CBDC027" w14:textId="77777777" w:rsidR="008F75C3" w:rsidRDefault="006614AC">
      <w:pPr>
        <w:spacing w:line="360" w:lineRule="auto"/>
        <w:rPr>
          <w:sz w:val="24"/>
        </w:rPr>
      </w:pPr>
      <w:r>
        <w:rPr>
          <w:szCs w:val="21"/>
        </w:rPr>
        <w:t xml:space="preserve">1.1.2.3 </w:t>
      </w:r>
      <w:r>
        <w:rPr>
          <w:sz w:val="24"/>
        </w:rPr>
        <w:t xml:space="preserve"> </w:t>
      </w:r>
      <w:r>
        <w:rPr>
          <w:sz w:val="24"/>
        </w:rPr>
        <w:t>汞</w:t>
      </w:r>
    </w:p>
    <w:p w14:paraId="268179CD" w14:textId="77777777" w:rsidR="008F75C3" w:rsidRDefault="006614AC">
      <w:pPr>
        <w:spacing w:line="360" w:lineRule="auto"/>
        <w:ind w:firstLineChars="200" w:firstLine="480"/>
        <w:rPr>
          <w:sz w:val="24"/>
        </w:rPr>
      </w:pPr>
      <w:r>
        <w:rPr>
          <w:sz w:val="24"/>
        </w:rPr>
        <w:t>研究发现，南极磷虾粉中汞含量约为</w:t>
      </w:r>
      <w:r>
        <w:rPr>
          <w:sz w:val="24"/>
        </w:rPr>
        <w:t xml:space="preserve"> 0.008 mg /kg</w:t>
      </w:r>
      <w:r>
        <w:rPr>
          <w:sz w:val="24"/>
        </w:rPr>
        <w:t>。采自南设得兰群岛的南极磷虾的总汞含量与其体长呈反比关系</w:t>
      </w:r>
      <w:r>
        <w:rPr>
          <w:sz w:val="24"/>
          <w:vertAlign w:val="superscript"/>
        </w:rPr>
        <w:t>［</w:t>
      </w:r>
      <w:r>
        <w:rPr>
          <w:sz w:val="24"/>
          <w:vertAlign w:val="superscript"/>
        </w:rPr>
        <w:t>40</w:t>
      </w:r>
      <w:r>
        <w:rPr>
          <w:sz w:val="24"/>
          <w:vertAlign w:val="superscript"/>
        </w:rPr>
        <w:t>－</w:t>
      </w:r>
      <w:r>
        <w:rPr>
          <w:sz w:val="24"/>
          <w:vertAlign w:val="superscript"/>
        </w:rPr>
        <w:t>41</w:t>
      </w:r>
      <w:r>
        <w:rPr>
          <w:sz w:val="24"/>
          <w:vertAlign w:val="superscript"/>
        </w:rPr>
        <w:t>］</w:t>
      </w:r>
      <w:r>
        <w:rPr>
          <w:sz w:val="24"/>
        </w:rPr>
        <w:t>。</w:t>
      </w:r>
      <w:r>
        <w:rPr>
          <w:sz w:val="24"/>
        </w:rPr>
        <w:t xml:space="preserve">Sontag </w:t>
      </w:r>
      <w:r>
        <w:rPr>
          <w:sz w:val="24"/>
        </w:rPr>
        <w:t>等</w:t>
      </w:r>
      <w:r>
        <w:rPr>
          <w:sz w:val="24"/>
          <w:vertAlign w:val="superscript"/>
        </w:rPr>
        <w:t>［</w:t>
      </w:r>
      <w:r>
        <w:rPr>
          <w:sz w:val="24"/>
          <w:vertAlign w:val="superscript"/>
        </w:rPr>
        <w:t>42</w:t>
      </w:r>
      <w:r>
        <w:rPr>
          <w:sz w:val="24"/>
          <w:vertAlign w:val="superscript"/>
        </w:rPr>
        <w:t>］</w:t>
      </w:r>
      <w:r>
        <w:rPr>
          <w:sz w:val="24"/>
        </w:rPr>
        <w:t>研究了来自南极半岛西部的南极磷虾幼体和成年亚种群中汞的积累，发现幼年磷虾的总汞和甲基汞含量均显著高于成年磷虾。</w:t>
      </w:r>
      <w:r>
        <w:rPr>
          <w:sz w:val="24"/>
        </w:rPr>
        <w:t xml:space="preserve">Seco </w:t>
      </w:r>
      <w:r>
        <w:rPr>
          <w:sz w:val="24"/>
        </w:rPr>
        <w:t>等</w:t>
      </w:r>
      <w:r>
        <w:rPr>
          <w:sz w:val="24"/>
          <w:vertAlign w:val="superscript"/>
        </w:rPr>
        <w:t>［</w:t>
      </w:r>
      <w:r>
        <w:rPr>
          <w:sz w:val="24"/>
          <w:vertAlign w:val="superscript"/>
        </w:rPr>
        <w:t>41</w:t>
      </w:r>
      <w:r>
        <w:rPr>
          <w:sz w:val="24"/>
          <w:vertAlign w:val="superscript"/>
        </w:rPr>
        <w:t>］</w:t>
      </w:r>
      <w:r>
        <w:rPr>
          <w:sz w:val="24"/>
        </w:rPr>
        <w:t>分析了来自苏格兰海的南极磷虾</w:t>
      </w:r>
      <w:r>
        <w:rPr>
          <w:sz w:val="24"/>
        </w:rPr>
        <w:t xml:space="preserve">( </w:t>
      </w:r>
      <w:r>
        <w:rPr>
          <w:sz w:val="24"/>
        </w:rPr>
        <w:t>雄性、雌性和幼体</w:t>
      </w:r>
      <w:r>
        <w:rPr>
          <w:sz w:val="24"/>
        </w:rPr>
        <w:t xml:space="preserve"> )</w:t>
      </w:r>
      <w:r>
        <w:rPr>
          <w:sz w:val="24"/>
        </w:rPr>
        <w:t>的总汞和有机汞含量，发现南极磷虾体内汞的含量随着其</w:t>
      </w:r>
      <w:r>
        <w:rPr>
          <w:sz w:val="24"/>
        </w:rPr>
        <w:t>体型和成熟度的增加而减少，未成年南极磷虾的汞含量高于成年南极磷虾，成年南极</w:t>
      </w:r>
      <w:proofErr w:type="gramStart"/>
      <w:r>
        <w:rPr>
          <w:sz w:val="24"/>
        </w:rPr>
        <w:t>磷可能</w:t>
      </w:r>
      <w:proofErr w:type="gramEnd"/>
      <w:r>
        <w:rPr>
          <w:sz w:val="24"/>
        </w:rPr>
        <w:t>是通过性腺组织</w:t>
      </w:r>
      <w:r>
        <w:rPr>
          <w:sz w:val="24"/>
        </w:rPr>
        <w:t xml:space="preserve">( </w:t>
      </w:r>
      <w:r>
        <w:rPr>
          <w:sz w:val="24"/>
        </w:rPr>
        <w:t>卵子和精囊</w:t>
      </w:r>
      <w:r>
        <w:rPr>
          <w:sz w:val="24"/>
        </w:rPr>
        <w:t xml:space="preserve"> ) </w:t>
      </w:r>
      <w:proofErr w:type="gramStart"/>
      <w:r>
        <w:rPr>
          <w:sz w:val="24"/>
        </w:rPr>
        <w:t>降低了汞含量</w:t>
      </w:r>
      <w:proofErr w:type="gramEnd"/>
      <w:r>
        <w:rPr>
          <w:sz w:val="24"/>
        </w:rPr>
        <w:t>。综上所述，南极磷虾加工成南极磷虾粉时可选取体型较大、成熟度较高的南极磷虾，以便于获得低汞南极磷虾粉，后续研究需要开展南极磷虾粉中汞含量、赋存形态及其安全性的研究。</w:t>
      </w:r>
    </w:p>
    <w:p w14:paraId="502A7AF3" w14:textId="77777777" w:rsidR="008F75C3" w:rsidRDefault="006614AC">
      <w:pPr>
        <w:spacing w:line="360" w:lineRule="auto"/>
        <w:rPr>
          <w:sz w:val="24"/>
        </w:rPr>
      </w:pPr>
      <w:r>
        <w:rPr>
          <w:szCs w:val="21"/>
        </w:rPr>
        <w:t>1.1.3</w:t>
      </w:r>
      <w:r>
        <w:rPr>
          <w:sz w:val="24"/>
        </w:rPr>
        <w:t xml:space="preserve">  </w:t>
      </w:r>
      <w:r>
        <w:rPr>
          <w:sz w:val="24"/>
        </w:rPr>
        <w:t>人为添加来源</w:t>
      </w:r>
    </w:p>
    <w:p w14:paraId="08BB8F14" w14:textId="77777777" w:rsidR="008F75C3" w:rsidRDefault="006614AC">
      <w:pPr>
        <w:spacing w:line="360" w:lineRule="auto"/>
        <w:ind w:firstLineChars="200" w:firstLine="480"/>
        <w:rPr>
          <w:sz w:val="24"/>
        </w:rPr>
      </w:pPr>
      <w:r>
        <w:rPr>
          <w:sz w:val="24"/>
        </w:rPr>
        <w:t>研究表明，人为添加的物质</w:t>
      </w:r>
      <w:r>
        <w:rPr>
          <w:sz w:val="24"/>
        </w:rPr>
        <w:t xml:space="preserve">( </w:t>
      </w:r>
      <w:r>
        <w:rPr>
          <w:sz w:val="24"/>
        </w:rPr>
        <w:t>脱氧剂、抗氧化剂等</w:t>
      </w:r>
      <w:r>
        <w:rPr>
          <w:sz w:val="24"/>
        </w:rPr>
        <w:t xml:space="preserve"> )</w:t>
      </w:r>
      <w:r>
        <w:rPr>
          <w:sz w:val="24"/>
        </w:rPr>
        <w:t>也是南极磷虾粉潜在危害因子之一。目前，南极</w:t>
      </w:r>
      <w:proofErr w:type="gramStart"/>
      <w:r>
        <w:rPr>
          <w:sz w:val="24"/>
        </w:rPr>
        <w:t>磷虾粉所使用</w:t>
      </w:r>
      <w:proofErr w:type="gramEnd"/>
      <w:r>
        <w:rPr>
          <w:sz w:val="24"/>
        </w:rPr>
        <w:t>的抗氧化剂主要有乙氧基喹啉，单甘油酯、甘油二酯、天然生育</w:t>
      </w:r>
      <w:proofErr w:type="gramStart"/>
      <w:r>
        <w:rPr>
          <w:sz w:val="24"/>
        </w:rPr>
        <w:t>酚</w:t>
      </w:r>
      <w:proofErr w:type="gramEnd"/>
      <w:r>
        <w:rPr>
          <w:sz w:val="24"/>
        </w:rPr>
        <w:t>等混合物，柠檬酸和迷迭香提取物</w:t>
      </w:r>
      <w:r>
        <w:rPr>
          <w:sz w:val="24"/>
        </w:rPr>
        <w:t>混合物，丁基羟基茴香醚、没食子酸丙酯和柠檬酸混合物，叔丁基对羟基茴香醚</w:t>
      </w:r>
      <w:r>
        <w:rPr>
          <w:sz w:val="24"/>
        </w:rPr>
        <w:t xml:space="preserve">( BHA) </w:t>
      </w:r>
      <w:r>
        <w:rPr>
          <w:sz w:val="24"/>
        </w:rPr>
        <w:t>和</w:t>
      </w:r>
      <w:r>
        <w:rPr>
          <w:sz w:val="24"/>
        </w:rPr>
        <w:t xml:space="preserve"> 2</w:t>
      </w:r>
      <w:r>
        <w:rPr>
          <w:sz w:val="24"/>
        </w:rPr>
        <w:t>，</w:t>
      </w:r>
      <w:r>
        <w:rPr>
          <w:sz w:val="24"/>
        </w:rPr>
        <w:t>6</w:t>
      </w:r>
      <w:r>
        <w:rPr>
          <w:sz w:val="24"/>
        </w:rPr>
        <w:t>－二叔丁基对甲基苯酚</w:t>
      </w:r>
      <w:r>
        <w:rPr>
          <w:sz w:val="24"/>
        </w:rPr>
        <w:t xml:space="preserve">( BHT) </w:t>
      </w:r>
      <w:r>
        <w:rPr>
          <w:sz w:val="24"/>
        </w:rPr>
        <w:t>混合物等。</w:t>
      </w:r>
      <w:proofErr w:type="gramStart"/>
      <w:r>
        <w:rPr>
          <w:sz w:val="24"/>
        </w:rPr>
        <w:t>袁</w:t>
      </w:r>
      <w:proofErr w:type="gramEnd"/>
      <w:r>
        <w:rPr>
          <w:sz w:val="24"/>
        </w:rPr>
        <w:t>玥</w:t>
      </w:r>
      <w:r>
        <w:rPr>
          <w:sz w:val="24"/>
          <w:vertAlign w:val="superscript"/>
        </w:rPr>
        <w:t>［</w:t>
      </w:r>
      <w:r>
        <w:rPr>
          <w:sz w:val="24"/>
          <w:vertAlign w:val="superscript"/>
        </w:rPr>
        <w:t>43</w:t>
      </w:r>
      <w:r>
        <w:rPr>
          <w:sz w:val="24"/>
          <w:vertAlign w:val="superscript"/>
        </w:rPr>
        <w:t>］</w:t>
      </w:r>
      <w:r>
        <w:rPr>
          <w:sz w:val="24"/>
        </w:rPr>
        <w:t>将脱氧剂添加到南极磷虾粉中，</w:t>
      </w:r>
      <w:r>
        <w:rPr>
          <w:sz w:val="24"/>
        </w:rPr>
        <w:t xml:space="preserve"> </w:t>
      </w:r>
      <w:r>
        <w:rPr>
          <w:sz w:val="24"/>
        </w:rPr>
        <w:t>研究了其感官、硫代巴比妥酸值等的变化，结果表明，添加脱氧剂可以改善南极磷虾粉的品质。因此，在南极磷虾粉加工、贮运过程中添加脱氧</w:t>
      </w:r>
      <w:r>
        <w:rPr>
          <w:sz w:val="24"/>
        </w:rPr>
        <w:lastRenderedPageBreak/>
        <w:t>剂、抗氧化剂等外源性物质在一定程度上影响了其品质。今后，应重点加强人为添加物质如乙氧基喹啉等在水产养殖动物体内的残留、蓄积以及其对水产养殖动物食用安全品质等的研究。</w:t>
      </w:r>
    </w:p>
    <w:p w14:paraId="1E6C9ABB" w14:textId="77777777" w:rsidR="008F75C3" w:rsidRDefault="006614AC">
      <w:pPr>
        <w:spacing w:line="360" w:lineRule="auto"/>
        <w:rPr>
          <w:sz w:val="24"/>
        </w:rPr>
      </w:pPr>
      <w:r>
        <w:rPr>
          <w:sz w:val="24"/>
        </w:rPr>
        <w:t xml:space="preserve">1.1.4  </w:t>
      </w:r>
      <w:r>
        <w:rPr>
          <w:sz w:val="24"/>
        </w:rPr>
        <w:t>其他</w:t>
      </w:r>
    </w:p>
    <w:p w14:paraId="4778AEB5" w14:textId="77777777" w:rsidR="008F75C3" w:rsidRDefault="006614AC">
      <w:pPr>
        <w:spacing w:line="360" w:lineRule="auto"/>
        <w:ind w:firstLineChars="200" w:firstLine="480"/>
        <w:rPr>
          <w:sz w:val="24"/>
        </w:rPr>
      </w:pPr>
      <w:r>
        <w:rPr>
          <w:sz w:val="24"/>
        </w:rPr>
        <w:t>南极磷虾粉中可能还含</w:t>
      </w:r>
      <w:r>
        <w:rPr>
          <w:sz w:val="24"/>
        </w:rPr>
        <w:t>有其他潜在危害因子，如南极磷虾甲壳碎片可能会对水产养殖对象肠道健康和其他生物体的肾脏产生负面影响。研究发现，南极磷虾粉替代鱼粉量达到</w:t>
      </w:r>
      <w:r>
        <w:rPr>
          <w:sz w:val="24"/>
        </w:rPr>
        <w:t xml:space="preserve"> 80%</w:t>
      </w:r>
      <w:r>
        <w:rPr>
          <w:sz w:val="24"/>
        </w:rPr>
        <w:t>～</w:t>
      </w:r>
      <w:r>
        <w:rPr>
          <w:sz w:val="24"/>
        </w:rPr>
        <w:t xml:space="preserve">100% </w:t>
      </w:r>
      <w:r>
        <w:rPr>
          <w:sz w:val="24"/>
        </w:rPr>
        <w:t>时会导致大西洋</w:t>
      </w:r>
      <w:proofErr w:type="gramStart"/>
      <w:r>
        <w:rPr>
          <w:sz w:val="24"/>
        </w:rPr>
        <w:t>鲑</w:t>
      </w:r>
      <w:proofErr w:type="gramEnd"/>
      <w:r>
        <w:rPr>
          <w:sz w:val="24"/>
        </w:rPr>
        <w:t>对饲料脂肪的消化率降低，产生这种现象的原因可能是因为南极磷虾粉中甲壳碎片较多，引起了大西洋</w:t>
      </w:r>
      <w:proofErr w:type="gramStart"/>
      <w:r>
        <w:rPr>
          <w:sz w:val="24"/>
        </w:rPr>
        <w:t>鲑</w:t>
      </w:r>
      <w:proofErr w:type="gramEnd"/>
      <w:r>
        <w:rPr>
          <w:sz w:val="24"/>
        </w:rPr>
        <w:t>腹泻</w:t>
      </w:r>
      <w:r>
        <w:rPr>
          <w:sz w:val="24"/>
          <w:vertAlign w:val="superscript"/>
        </w:rPr>
        <w:t>［</w:t>
      </w:r>
      <w:r>
        <w:rPr>
          <w:sz w:val="24"/>
          <w:vertAlign w:val="superscript"/>
        </w:rPr>
        <w:t>44</w:t>
      </w:r>
      <w:r>
        <w:rPr>
          <w:sz w:val="24"/>
          <w:vertAlign w:val="superscript"/>
        </w:rPr>
        <w:t>］</w:t>
      </w:r>
      <w:r>
        <w:rPr>
          <w:sz w:val="24"/>
        </w:rPr>
        <w:t>。</w:t>
      </w:r>
      <w:proofErr w:type="gramStart"/>
      <w:r>
        <w:rPr>
          <w:sz w:val="24"/>
        </w:rPr>
        <w:t>当降低</w:t>
      </w:r>
      <w:proofErr w:type="gramEnd"/>
      <w:r>
        <w:rPr>
          <w:sz w:val="24"/>
        </w:rPr>
        <w:t>南极磷虾粉中甲壳碎片含量时，鱼类的脂肪消化</w:t>
      </w:r>
      <w:proofErr w:type="gramStart"/>
      <w:r>
        <w:rPr>
          <w:sz w:val="24"/>
        </w:rPr>
        <w:t>率得到</w:t>
      </w:r>
      <w:proofErr w:type="gramEnd"/>
      <w:r>
        <w:rPr>
          <w:sz w:val="24"/>
        </w:rPr>
        <w:t>了较好的改善。</w:t>
      </w:r>
      <w:proofErr w:type="spellStart"/>
      <w:r>
        <w:rPr>
          <w:sz w:val="24"/>
        </w:rPr>
        <w:t>Shiau</w:t>
      </w:r>
      <w:proofErr w:type="spellEnd"/>
      <w:r>
        <w:rPr>
          <w:sz w:val="24"/>
        </w:rPr>
        <w:t xml:space="preserve"> </w:t>
      </w:r>
      <w:r>
        <w:rPr>
          <w:sz w:val="24"/>
        </w:rPr>
        <w:t>等</w:t>
      </w:r>
      <w:r>
        <w:rPr>
          <w:sz w:val="24"/>
          <w:vertAlign w:val="superscript"/>
        </w:rPr>
        <w:t>［</w:t>
      </w:r>
      <w:r>
        <w:rPr>
          <w:sz w:val="24"/>
          <w:vertAlign w:val="superscript"/>
        </w:rPr>
        <w:t>45</w:t>
      </w:r>
      <w:r>
        <w:rPr>
          <w:sz w:val="24"/>
          <w:vertAlign w:val="superscript"/>
        </w:rPr>
        <w:t>］</w:t>
      </w:r>
      <w:r>
        <w:rPr>
          <w:sz w:val="24"/>
        </w:rPr>
        <w:t>发现在罗非鱼幼鱼饲料中添加甲壳素试剂会对幼鱼的生长产生抑制作用。南极磷虾粉中甲壳碎片在后续利用过程中可能会限制南极磷虾粉作为水产动物饲料的应用领域和</w:t>
      </w:r>
      <w:r>
        <w:rPr>
          <w:sz w:val="24"/>
        </w:rPr>
        <w:t>范围。因此，需要开展南极磷虾粉的脱壳处理，有效减少南极磷虾粉中甲壳碎片的含量。南极</w:t>
      </w:r>
      <w:proofErr w:type="gramStart"/>
      <w:r>
        <w:rPr>
          <w:sz w:val="24"/>
        </w:rPr>
        <w:t>磷虾粉对水产养殖</w:t>
      </w:r>
      <w:proofErr w:type="gramEnd"/>
      <w:r>
        <w:rPr>
          <w:sz w:val="24"/>
        </w:rPr>
        <w:t>对象的生长性能、品质安全及后代健康的影响，还需要开展更加深入、系统的研究。</w:t>
      </w:r>
    </w:p>
    <w:p w14:paraId="7BD3271F" w14:textId="77777777" w:rsidR="008F75C3" w:rsidRDefault="006614AC">
      <w:pPr>
        <w:spacing w:line="360" w:lineRule="auto"/>
        <w:rPr>
          <w:sz w:val="24"/>
        </w:rPr>
      </w:pPr>
      <w:r>
        <w:rPr>
          <w:sz w:val="28"/>
          <w:szCs w:val="28"/>
        </w:rPr>
        <w:t>1.2</w:t>
      </w:r>
      <w:r>
        <w:rPr>
          <w:sz w:val="24"/>
        </w:rPr>
        <w:t xml:space="preserve">  </w:t>
      </w:r>
      <w:r>
        <w:rPr>
          <w:sz w:val="24"/>
        </w:rPr>
        <w:t>南极磷虾粉潜在危害因子的安全限量标准</w:t>
      </w:r>
    </w:p>
    <w:p w14:paraId="6E90DA80" w14:textId="77777777" w:rsidR="008F75C3" w:rsidRDefault="006614AC">
      <w:pPr>
        <w:spacing w:line="360" w:lineRule="auto"/>
        <w:ind w:firstLineChars="200" w:firstLine="480"/>
        <w:rPr>
          <w:sz w:val="24"/>
        </w:rPr>
      </w:pPr>
      <w:r>
        <w:rPr>
          <w:sz w:val="24"/>
        </w:rPr>
        <w:t>由于目前南极磷虾粉潜在危害因子还没有单独的安全限量标准，作为饲料，主要是参照鱼粉的安全限量标准提出南极磷虾粉的安全限量标准，具体见</w:t>
      </w:r>
      <w:r>
        <w:rPr>
          <w:sz w:val="24"/>
        </w:rPr>
        <w:t>1.</w:t>
      </w:r>
    </w:p>
    <w:p w14:paraId="461B65A6" w14:textId="77777777" w:rsidR="008F75C3" w:rsidRDefault="006614AC">
      <w:pPr>
        <w:spacing w:line="360" w:lineRule="auto"/>
        <w:jc w:val="center"/>
        <w:rPr>
          <w:sz w:val="24"/>
        </w:rPr>
      </w:pPr>
      <w:r>
        <w:rPr>
          <w:noProof/>
          <w:sz w:val="24"/>
        </w:rPr>
        <w:drawing>
          <wp:inline distT="0" distB="0" distL="0" distR="0" wp14:anchorId="18C1E4AB" wp14:editId="380C20A7">
            <wp:extent cx="2938794" cy="1847088"/>
            <wp:effectExtent l="0" t="0" r="0" b="1270"/>
            <wp:docPr id="9" name="图片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图片 9"/>
                    <pic:cNvPicPr>
                      <a:picLocks noChangeAspect="1"/>
                    </pic:cNvPicPr>
                  </pic:nvPicPr>
                  <pic:blipFill>
                    <a:blip r:embed="rId25"/>
                    <a:stretch>
                      <a:fillRect/>
                    </a:stretch>
                  </pic:blipFill>
                  <pic:spPr>
                    <a:xfrm>
                      <a:off x="0" y="0"/>
                      <a:ext cx="2938794" cy="1847088"/>
                    </a:xfrm>
                    <a:prstGeom prst="rect">
                      <a:avLst/>
                    </a:prstGeom>
                  </pic:spPr>
                </pic:pic>
              </a:graphicData>
            </a:graphic>
          </wp:inline>
        </w:drawing>
      </w:r>
    </w:p>
    <w:p w14:paraId="2417629B" w14:textId="77777777" w:rsidR="008F75C3" w:rsidRDefault="006614AC">
      <w:pPr>
        <w:spacing w:line="360" w:lineRule="auto"/>
        <w:rPr>
          <w:sz w:val="24"/>
        </w:rPr>
      </w:pPr>
      <w:r>
        <w:rPr>
          <w:sz w:val="24"/>
        </w:rPr>
        <w:t xml:space="preserve">1.3  </w:t>
      </w:r>
      <w:r>
        <w:rPr>
          <w:sz w:val="24"/>
        </w:rPr>
        <w:t>南极磷虾粉潜在危害因子的检测方法</w:t>
      </w:r>
    </w:p>
    <w:p w14:paraId="302E8ADC" w14:textId="77777777" w:rsidR="008F75C3" w:rsidRDefault="006614AC">
      <w:pPr>
        <w:spacing w:line="360" w:lineRule="auto"/>
        <w:ind w:firstLineChars="200" w:firstLine="480"/>
        <w:rPr>
          <w:sz w:val="24"/>
        </w:rPr>
      </w:pPr>
      <w:r>
        <w:rPr>
          <w:sz w:val="24"/>
        </w:rPr>
        <w:t>南极磷虾粉潜在危害因子的检测方法及特点见表</w:t>
      </w:r>
      <w:r>
        <w:rPr>
          <w:sz w:val="24"/>
        </w:rPr>
        <w:t xml:space="preserve"> 2</w:t>
      </w:r>
      <w:r>
        <w:rPr>
          <w:sz w:val="24"/>
        </w:rPr>
        <w:t>。</w:t>
      </w:r>
    </w:p>
    <w:p w14:paraId="0491D665" w14:textId="77777777" w:rsidR="008F75C3" w:rsidRDefault="006614AC">
      <w:pPr>
        <w:spacing w:line="360" w:lineRule="auto"/>
        <w:jc w:val="center"/>
        <w:rPr>
          <w:sz w:val="24"/>
        </w:rPr>
      </w:pPr>
      <w:r>
        <w:rPr>
          <w:noProof/>
          <w:sz w:val="24"/>
        </w:rPr>
        <w:lastRenderedPageBreak/>
        <w:drawing>
          <wp:inline distT="0" distB="0" distL="0" distR="0" wp14:anchorId="5C61AE30" wp14:editId="60935B36">
            <wp:extent cx="2811658" cy="1777357"/>
            <wp:effectExtent l="0" t="0" r="8255" b="0"/>
            <wp:docPr id="10" name="图片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图片 10"/>
                    <pic:cNvPicPr>
                      <a:picLocks noChangeAspect="1"/>
                    </pic:cNvPicPr>
                  </pic:nvPicPr>
                  <pic:blipFill>
                    <a:blip r:embed="rId26"/>
                    <a:stretch>
                      <a:fillRect/>
                    </a:stretch>
                  </pic:blipFill>
                  <pic:spPr>
                    <a:xfrm>
                      <a:off x="0" y="0"/>
                      <a:ext cx="2823131" cy="1784610"/>
                    </a:xfrm>
                    <a:prstGeom prst="rect">
                      <a:avLst/>
                    </a:prstGeom>
                  </pic:spPr>
                </pic:pic>
              </a:graphicData>
            </a:graphic>
          </wp:inline>
        </w:drawing>
      </w:r>
    </w:p>
    <w:p w14:paraId="69DA8435" w14:textId="77777777" w:rsidR="008F75C3" w:rsidRDefault="006614AC">
      <w:pPr>
        <w:spacing w:line="360" w:lineRule="auto"/>
        <w:rPr>
          <w:sz w:val="24"/>
        </w:rPr>
      </w:pPr>
      <w:r>
        <w:rPr>
          <w:sz w:val="28"/>
          <w:szCs w:val="28"/>
        </w:rPr>
        <w:t xml:space="preserve">2  </w:t>
      </w:r>
      <w:r>
        <w:rPr>
          <w:sz w:val="24"/>
        </w:rPr>
        <w:t>南极磷虾粉风险评价</w:t>
      </w:r>
    </w:p>
    <w:p w14:paraId="7F0EC2D6" w14:textId="77777777" w:rsidR="008F75C3" w:rsidRDefault="006614AC">
      <w:pPr>
        <w:spacing w:line="360" w:lineRule="auto"/>
        <w:ind w:firstLineChars="200" w:firstLine="480"/>
        <w:rPr>
          <w:sz w:val="24"/>
        </w:rPr>
      </w:pPr>
      <w:r>
        <w:rPr>
          <w:sz w:val="24"/>
        </w:rPr>
        <w:t>目前，关于南极磷虾粉风险评价的相关报道还较少。联合国粮食及农业组织</w:t>
      </w:r>
      <w:r>
        <w:rPr>
          <w:sz w:val="24"/>
        </w:rPr>
        <w:t xml:space="preserve">( FAO) </w:t>
      </w:r>
      <w:r>
        <w:rPr>
          <w:sz w:val="24"/>
        </w:rPr>
        <w:t>下属的食品添加剂联合专家委员会</w:t>
      </w:r>
      <w:r>
        <w:rPr>
          <w:sz w:val="24"/>
        </w:rPr>
        <w:t xml:space="preserve">( JECFA ) </w:t>
      </w:r>
      <w:r>
        <w:rPr>
          <w:sz w:val="24"/>
        </w:rPr>
        <w:t>确定了成人对砷的平均每周耐受量</w:t>
      </w:r>
      <w:r>
        <w:rPr>
          <w:sz w:val="24"/>
        </w:rPr>
        <w:t>( PTWI )</w:t>
      </w:r>
      <w:r>
        <w:rPr>
          <w:sz w:val="24"/>
        </w:rPr>
        <w:t>为</w:t>
      </w:r>
      <w:r>
        <w:rPr>
          <w:sz w:val="24"/>
        </w:rPr>
        <w:t xml:space="preserve">0.35 </w:t>
      </w:r>
      <w:proofErr w:type="spellStart"/>
      <w:r>
        <w:rPr>
          <w:sz w:val="24"/>
        </w:rPr>
        <w:t>μg</w:t>
      </w:r>
      <w:proofErr w:type="spellEnd"/>
      <w:r>
        <w:rPr>
          <w:sz w:val="24"/>
        </w:rPr>
        <w:t xml:space="preserve"> /kg BW</w:t>
      </w:r>
      <w:r>
        <w:rPr>
          <w:sz w:val="24"/>
        </w:rPr>
        <w:t>。</w:t>
      </w:r>
      <w:r>
        <w:rPr>
          <w:sz w:val="24"/>
        </w:rPr>
        <w:t xml:space="preserve">Berge </w:t>
      </w:r>
      <w:r>
        <w:rPr>
          <w:sz w:val="24"/>
        </w:rPr>
        <w:t>等</w:t>
      </w:r>
      <w:r>
        <w:rPr>
          <w:sz w:val="24"/>
          <w:vertAlign w:val="superscript"/>
        </w:rPr>
        <w:t>［</w:t>
      </w:r>
      <w:r>
        <w:rPr>
          <w:sz w:val="24"/>
          <w:vertAlign w:val="superscript"/>
        </w:rPr>
        <w:t>3</w:t>
      </w:r>
      <w:r>
        <w:rPr>
          <w:sz w:val="24"/>
          <w:vertAlign w:val="superscript"/>
        </w:rPr>
        <w:t>］</w:t>
      </w:r>
      <w:r>
        <w:rPr>
          <w:sz w:val="24"/>
        </w:rPr>
        <w:t>用含南极磷虾</w:t>
      </w:r>
      <w:proofErr w:type="gramStart"/>
      <w:r>
        <w:rPr>
          <w:sz w:val="24"/>
        </w:rPr>
        <w:t>粉饲粮和对照饲粮喂食</w:t>
      </w:r>
      <w:proofErr w:type="gramEnd"/>
      <w:r>
        <w:rPr>
          <w:sz w:val="24"/>
        </w:rPr>
        <w:t>大鼠</w:t>
      </w:r>
      <w:r>
        <w:rPr>
          <w:sz w:val="24"/>
        </w:rPr>
        <w:t xml:space="preserve"> 13 </w:t>
      </w:r>
      <w:r>
        <w:rPr>
          <w:sz w:val="24"/>
        </w:rPr>
        <w:t>周评估南极磷虾粉的安全性，发现喂食南极磷虾粉含量为</w:t>
      </w:r>
      <w:r>
        <w:rPr>
          <w:sz w:val="24"/>
        </w:rPr>
        <w:t xml:space="preserve"> 9.67%</w:t>
      </w:r>
      <w:proofErr w:type="gramStart"/>
      <w:r>
        <w:rPr>
          <w:sz w:val="24"/>
        </w:rPr>
        <w:t>饲粮的两性大</w:t>
      </w:r>
      <w:proofErr w:type="gramEnd"/>
      <w:r>
        <w:rPr>
          <w:sz w:val="24"/>
        </w:rPr>
        <w:t>鼠的绝对心脏重量显著降低，雄性大鼠在组织学上出现了干细胞空泡化。王璐</w:t>
      </w:r>
      <w:r>
        <w:rPr>
          <w:sz w:val="24"/>
          <w:vertAlign w:val="superscript"/>
        </w:rPr>
        <w:t>［</w:t>
      </w:r>
      <w:r>
        <w:rPr>
          <w:sz w:val="24"/>
          <w:vertAlign w:val="superscript"/>
        </w:rPr>
        <w:t>48</w:t>
      </w:r>
      <w:r>
        <w:rPr>
          <w:sz w:val="24"/>
          <w:vertAlign w:val="superscript"/>
        </w:rPr>
        <w:t>］</w:t>
      </w:r>
      <w:r>
        <w:rPr>
          <w:sz w:val="24"/>
        </w:rPr>
        <w:t>采用非致癌风险商表征了南极磷虾中氟的食用风险，发现若食用整虾，存在显著风险。尚德荣等</w:t>
      </w:r>
      <w:r>
        <w:rPr>
          <w:sz w:val="24"/>
          <w:vertAlign w:val="superscript"/>
        </w:rPr>
        <w:t>［</w:t>
      </w:r>
      <w:r>
        <w:rPr>
          <w:sz w:val="24"/>
          <w:vertAlign w:val="superscript"/>
        </w:rPr>
        <w:t>49</w:t>
      </w:r>
      <w:r>
        <w:rPr>
          <w:sz w:val="24"/>
          <w:vertAlign w:val="superscript"/>
        </w:rPr>
        <w:t>］</w:t>
      </w:r>
      <w:r>
        <w:rPr>
          <w:sz w:val="24"/>
        </w:rPr>
        <w:t>运用体外全仿生消化模型表征了南极磷虾中氟对人体的健康风险，结果表明，加工处理方式对南极磷虾氟的风险没有太大影</w:t>
      </w:r>
      <w:r>
        <w:rPr>
          <w:sz w:val="24"/>
        </w:rPr>
        <w:t xml:space="preserve"> </w:t>
      </w:r>
      <w:r>
        <w:rPr>
          <w:sz w:val="24"/>
        </w:rPr>
        <w:t>响，其安全性很高。总体而言，关于南极磷虾</w:t>
      </w:r>
      <w:proofErr w:type="gramStart"/>
      <w:r>
        <w:rPr>
          <w:sz w:val="24"/>
        </w:rPr>
        <w:t>粉及其</w:t>
      </w:r>
      <w:proofErr w:type="gramEnd"/>
      <w:r>
        <w:rPr>
          <w:sz w:val="24"/>
        </w:rPr>
        <w:t>衍生产品的风险评价还是零散的、不全面的。未来，还需要针对南极磷虾粉潜在危害因子的风险</w:t>
      </w:r>
      <w:r>
        <w:rPr>
          <w:sz w:val="24"/>
        </w:rPr>
        <w:t xml:space="preserve">( </w:t>
      </w:r>
      <w:r>
        <w:rPr>
          <w:sz w:val="24"/>
        </w:rPr>
        <w:t>尤其是氟、砷等的含量、赋存形态等</w:t>
      </w:r>
      <w:r>
        <w:rPr>
          <w:sz w:val="24"/>
        </w:rPr>
        <w:t xml:space="preserve"> ) </w:t>
      </w:r>
      <w:r>
        <w:rPr>
          <w:sz w:val="24"/>
        </w:rPr>
        <w:t>，南极</w:t>
      </w:r>
      <w:proofErr w:type="gramStart"/>
      <w:r>
        <w:rPr>
          <w:sz w:val="24"/>
        </w:rPr>
        <w:t>磷虾粉对海水</w:t>
      </w:r>
      <w:proofErr w:type="gramEnd"/>
      <w:r>
        <w:rPr>
          <w:sz w:val="24"/>
        </w:rPr>
        <w:t>鱼、淡水鱼、虾类等养殖对象的影响开展更加全面、系统的评价，为安全、高质利用南极磷虾</w:t>
      </w:r>
      <w:proofErr w:type="gramStart"/>
      <w:r>
        <w:rPr>
          <w:sz w:val="24"/>
        </w:rPr>
        <w:t>粉提供</w:t>
      </w:r>
      <w:proofErr w:type="gramEnd"/>
      <w:r>
        <w:rPr>
          <w:sz w:val="24"/>
        </w:rPr>
        <w:t>科学、全面的信息。</w:t>
      </w:r>
    </w:p>
    <w:p w14:paraId="745586EC" w14:textId="77777777" w:rsidR="008F75C3" w:rsidRDefault="006614AC">
      <w:pPr>
        <w:spacing w:line="360" w:lineRule="auto"/>
        <w:rPr>
          <w:sz w:val="28"/>
          <w:szCs w:val="28"/>
        </w:rPr>
      </w:pPr>
      <w:r>
        <w:rPr>
          <w:sz w:val="28"/>
          <w:szCs w:val="28"/>
        </w:rPr>
        <w:t xml:space="preserve">3  </w:t>
      </w:r>
      <w:r>
        <w:rPr>
          <w:sz w:val="28"/>
          <w:szCs w:val="28"/>
        </w:rPr>
        <w:t>小结</w:t>
      </w:r>
    </w:p>
    <w:p w14:paraId="1025FD41" w14:textId="77777777" w:rsidR="008F75C3" w:rsidRDefault="006614AC">
      <w:pPr>
        <w:spacing w:line="360" w:lineRule="auto"/>
        <w:ind w:firstLineChars="200" w:firstLine="480"/>
        <w:rPr>
          <w:sz w:val="24"/>
        </w:rPr>
      </w:pPr>
      <w:r>
        <w:rPr>
          <w:sz w:val="24"/>
        </w:rPr>
        <w:t>南极磷虾粉是目前南极磷虾最重要的产品形式之一，也是一种亟待深度研究开发的优质水产动物性饲料</w:t>
      </w:r>
      <w:r>
        <w:rPr>
          <w:sz w:val="24"/>
        </w:rPr>
        <w:t>/</w:t>
      </w:r>
      <w:r>
        <w:rPr>
          <w:sz w:val="24"/>
        </w:rPr>
        <w:t>添加剂等的原料。目前，关于南极磷虾粉潜在危害因子的研究还比较少，相关信息比较分散，有些甚至互相矛盾。因此，深入开展南极磷虾粉潜在危害因子的筛查、分析、风险评价及控制技术研究，有利于扩大南极磷虾粉的应用领域和范围。水产养殖动物既是重要的水产品又是良好的模式动物，对南极磷虾粉潜在危害因子进行深度挖掘，所得研究结果可能对水产动物生产和人类健康都有重要影响。因此，需要开展更深入、更全面、更系统的南极磷虾粉潜在危害因子研究，并通过构建相关的检测体系和数据库，助力南极磷虾</w:t>
      </w:r>
      <w:proofErr w:type="gramStart"/>
      <w:r>
        <w:rPr>
          <w:sz w:val="24"/>
        </w:rPr>
        <w:t>粉产业</w:t>
      </w:r>
      <w:proofErr w:type="gramEnd"/>
      <w:r>
        <w:rPr>
          <w:sz w:val="24"/>
        </w:rPr>
        <w:t>和水产动物饲料产业的健康、可持续发展。</w:t>
      </w:r>
    </w:p>
    <w:p w14:paraId="1C716149" w14:textId="77777777" w:rsidR="008F75C3" w:rsidRDefault="006614AC">
      <w:pPr>
        <w:spacing w:line="360" w:lineRule="auto"/>
        <w:rPr>
          <w:sz w:val="24"/>
        </w:rPr>
      </w:pPr>
      <w:r>
        <w:rPr>
          <w:sz w:val="24"/>
        </w:rPr>
        <w:t>参考文献：略</w:t>
      </w:r>
      <w:r>
        <w:rPr>
          <w:sz w:val="24"/>
        </w:rPr>
        <w:t xml:space="preserve"> </w:t>
      </w:r>
    </w:p>
    <w:p w14:paraId="44ADE99D" w14:textId="77777777" w:rsidR="008F75C3" w:rsidRDefault="006614AC">
      <w:pPr>
        <w:spacing w:line="360" w:lineRule="auto"/>
        <w:ind w:firstLineChars="700" w:firstLine="1470"/>
        <w:jc w:val="right"/>
        <w:rPr>
          <w:sz w:val="24"/>
        </w:rPr>
      </w:pPr>
      <w:r>
        <w:rPr>
          <w:szCs w:val="21"/>
        </w:rPr>
        <w:t>原文刊登在《动物营养学报》，网络首发时间：</w:t>
      </w:r>
      <w:r>
        <w:rPr>
          <w:szCs w:val="21"/>
        </w:rPr>
        <w:t>2021-11-20 10:36:29</w:t>
      </w:r>
    </w:p>
    <w:p w14:paraId="5EE7F96F" w14:textId="77777777" w:rsidR="008F75C3" w:rsidRDefault="006614AC">
      <w:pPr>
        <w:pStyle w:val="1"/>
        <w:spacing w:line="460" w:lineRule="exact"/>
        <w:rPr>
          <w:rFonts w:eastAsia="黑体"/>
          <w:sz w:val="32"/>
          <w:szCs w:val="32"/>
          <w:bdr w:val="single" w:sz="4" w:space="0" w:color="auto"/>
        </w:rPr>
      </w:pPr>
      <w:bookmarkStart w:id="29" w:name="_Toc90390769"/>
      <w:r>
        <w:rPr>
          <w:rFonts w:eastAsia="黑体"/>
          <w:sz w:val="32"/>
          <w:szCs w:val="32"/>
          <w:bdr w:val="single" w:sz="4" w:space="0" w:color="auto"/>
        </w:rPr>
        <w:lastRenderedPageBreak/>
        <w:t>科学研究</w:t>
      </w:r>
      <w:bookmarkEnd w:id="29"/>
    </w:p>
    <w:p w14:paraId="04590985" w14:textId="77777777" w:rsidR="008F75C3" w:rsidRDefault="006614AC">
      <w:pPr>
        <w:pStyle w:val="2"/>
        <w:spacing w:line="460" w:lineRule="exact"/>
        <w:jc w:val="center"/>
        <w:rPr>
          <w:rFonts w:ascii="Times New Roman" w:eastAsia="黑体" w:hAnsi="Times New Roman" w:cs="Times New Roman"/>
          <w:b w:val="0"/>
          <w:bCs w:val="0"/>
          <w:sz w:val="32"/>
          <w:szCs w:val="32"/>
        </w:rPr>
      </w:pPr>
      <w:bookmarkStart w:id="30" w:name="_Toc90390770"/>
      <w:r>
        <w:rPr>
          <w:rFonts w:ascii="Times New Roman" w:eastAsia="黑体" w:hAnsi="Times New Roman" w:cs="Times New Roman"/>
          <w:sz w:val="32"/>
          <w:szCs w:val="32"/>
        </w:rPr>
        <w:t>饲料中添加枯草芽孢杆菌对大口黑鲈幼鱼生长、肠道组织结构、抗氧化能力、免疫能力和肠炎的影响</w:t>
      </w:r>
      <w:bookmarkEnd w:id="30"/>
    </w:p>
    <w:p w14:paraId="66CEDFE6" w14:textId="77777777" w:rsidR="008F75C3" w:rsidRDefault="006614AC">
      <w:pPr>
        <w:ind w:firstLineChars="200" w:firstLine="420"/>
        <w:jc w:val="center"/>
        <w:rPr>
          <w:szCs w:val="21"/>
        </w:rPr>
      </w:pPr>
      <w:r>
        <w:rPr>
          <w:szCs w:val="21"/>
        </w:rPr>
        <w:t>张冬梅</w:t>
      </w:r>
      <w:r>
        <w:rPr>
          <w:szCs w:val="21"/>
          <w:vertAlign w:val="superscript"/>
        </w:rPr>
        <w:t>1</w:t>
      </w:r>
      <w:r>
        <w:rPr>
          <w:szCs w:val="21"/>
        </w:rPr>
        <w:t xml:space="preserve"> </w:t>
      </w:r>
      <w:r>
        <w:rPr>
          <w:szCs w:val="21"/>
        </w:rPr>
        <w:t>颜浩骁</w:t>
      </w:r>
      <w:r>
        <w:rPr>
          <w:szCs w:val="21"/>
          <w:vertAlign w:val="superscript"/>
        </w:rPr>
        <w:t>1</w:t>
      </w:r>
      <w:r>
        <w:rPr>
          <w:szCs w:val="21"/>
        </w:rPr>
        <w:t xml:space="preserve"> </w:t>
      </w:r>
      <w:r>
        <w:rPr>
          <w:szCs w:val="21"/>
        </w:rPr>
        <w:t>罗茂林</w:t>
      </w:r>
      <w:r>
        <w:rPr>
          <w:szCs w:val="21"/>
          <w:vertAlign w:val="superscript"/>
        </w:rPr>
        <w:t>1</w:t>
      </w:r>
      <w:r>
        <w:rPr>
          <w:szCs w:val="21"/>
          <w:vertAlign w:val="superscript"/>
        </w:rPr>
        <w:t>，</w:t>
      </w:r>
      <w:r>
        <w:rPr>
          <w:szCs w:val="21"/>
          <w:vertAlign w:val="superscript"/>
        </w:rPr>
        <w:t xml:space="preserve">2 </w:t>
      </w:r>
      <w:r>
        <w:rPr>
          <w:szCs w:val="21"/>
        </w:rPr>
        <w:t>杨懿</w:t>
      </w:r>
      <w:r>
        <w:rPr>
          <w:szCs w:val="21"/>
          <w:vertAlign w:val="superscript"/>
        </w:rPr>
        <w:t>1</w:t>
      </w:r>
      <w:r>
        <w:rPr>
          <w:szCs w:val="21"/>
        </w:rPr>
        <w:t xml:space="preserve"> </w:t>
      </w:r>
      <w:r>
        <w:rPr>
          <w:szCs w:val="21"/>
        </w:rPr>
        <w:t>胡一帆</w:t>
      </w:r>
      <w:r>
        <w:rPr>
          <w:szCs w:val="21"/>
          <w:vertAlign w:val="superscript"/>
        </w:rPr>
        <w:t>1</w:t>
      </w:r>
      <w:r>
        <w:rPr>
          <w:szCs w:val="21"/>
        </w:rPr>
        <w:t xml:space="preserve"> </w:t>
      </w:r>
      <w:r>
        <w:rPr>
          <w:szCs w:val="21"/>
        </w:rPr>
        <w:t>龚晨昕</w:t>
      </w:r>
      <w:r>
        <w:rPr>
          <w:szCs w:val="21"/>
          <w:vertAlign w:val="superscript"/>
        </w:rPr>
        <w:t>1</w:t>
      </w:r>
      <w:r>
        <w:rPr>
          <w:szCs w:val="21"/>
        </w:rPr>
        <w:t>李志琼</w:t>
      </w:r>
      <w:r>
        <w:rPr>
          <w:szCs w:val="21"/>
          <w:vertAlign w:val="superscript"/>
        </w:rPr>
        <w:t>1</w:t>
      </w:r>
      <w:r>
        <w:rPr>
          <w:szCs w:val="21"/>
        </w:rPr>
        <w:t xml:space="preserve"> </w:t>
      </w:r>
      <w:r>
        <w:rPr>
          <w:szCs w:val="21"/>
        </w:rPr>
        <w:t>杨淞</w:t>
      </w:r>
      <w:r>
        <w:rPr>
          <w:szCs w:val="21"/>
          <w:vertAlign w:val="superscript"/>
        </w:rPr>
        <w:t>1</w:t>
      </w:r>
      <w:r>
        <w:rPr>
          <w:szCs w:val="21"/>
        </w:rPr>
        <w:t xml:space="preserve"> </w:t>
      </w:r>
      <w:proofErr w:type="gramStart"/>
      <w:r>
        <w:rPr>
          <w:szCs w:val="21"/>
        </w:rPr>
        <w:t>赵柳兰</w:t>
      </w:r>
      <w:proofErr w:type="gramEnd"/>
      <w:r>
        <w:rPr>
          <w:szCs w:val="21"/>
          <w:vertAlign w:val="superscript"/>
        </w:rPr>
        <w:t>1</w:t>
      </w:r>
    </w:p>
    <w:p w14:paraId="29705751" w14:textId="77777777" w:rsidR="008F75C3" w:rsidRDefault="006614AC">
      <w:pPr>
        <w:jc w:val="center"/>
        <w:rPr>
          <w:szCs w:val="21"/>
        </w:rPr>
      </w:pPr>
      <w:r>
        <w:rPr>
          <w:szCs w:val="21"/>
        </w:rPr>
        <w:t>( 1.</w:t>
      </w:r>
      <w:r>
        <w:rPr>
          <w:szCs w:val="21"/>
        </w:rPr>
        <w:t>四川农业大学动物科技学院，成都</w:t>
      </w:r>
      <w:r>
        <w:rPr>
          <w:szCs w:val="21"/>
        </w:rPr>
        <w:t xml:space="preserve"> 611130</w:t>
      </w:r>
      <w:r>
        <w:rPr>
          <w:szCs w:val="21"/>
        </w:rPr>
        <w:t>；</w:t>
      </w:r>
      <w:r>
        <w:rPr>
          <w:szCs w:val="21"/>
        </w:rPr>
        <w:t>2.</w:t>
      </w:r>
      <w:r>
        <w:rPr>
          <w:szCs w:val="21"/>
        </w:rPr>
        <w:t>四川特驱投资集团有限公司，成都</w:t>
      </w:r>
      <w:r>
        <w:rPr>
          <w:szCs w:val="21"/>
        </w:rPr>
        <w:t xml:space="preserve"> 611430)</w:t>
      </w:r>
    </w:p>
    <w:p w14:paraId="55D29352" w14:textId="77777777" w:rsidR="008F75C3" w:rsidRDefault="006614AC">
      <w:r>
        <w:rPr>
          <w:b/>
          <w:bCs/>
        </w:rPr>
        <w:t>摘要：</w:t>
      </w:r>
      <w:r>
        <w:t>本试验旨在研究饲料中添加枯草芽孢杆菌对大口黑鲈幼鱼生长、肠道组织结构、抗氧化能力、免疫能力和肠炎的影响。试验设置</w:t>
      </w:r>
      <w:r>
        <w:t>3</w:t>
      </w:r>
      <w:r>
        <w:t>个组（对照组，饲喂基础饲料；</w:t>
      </w:r>
      <w:r>
        <w:t>0.5 %</w:t>
      </w:r>
      <w:r>
        <w:t>枯草芽孢杆菌组，饲喂基础饲料</w:t>
      </w:r>
      <w:r>
        <w:t>+0.5 %</w:t>
      </w:r>
      <w:r>
        <w:t>枯草芽孢杆菌制剂；</w:t>
      </w:r>
      <w:r>
        <w:t>1.0 %</w:t>
      </w:r>
      <w:r>
        <w:t>枯草芽孢杆菌组，饲喂基础饲料</w:t>
      </w:r>
      <w:r>
        <w:t>+1.0 %</w:t>
      </w:r>
      <w:r>
        <w:t>枯草芽孢杆菌制剂），每组设置</w:t>
      </w:r>
      <w:r>
        <w:t>3</w:t>
      </w:r>
      <w:r>
        <w:t>个重复，每个重复</w:t>
      </w:r>
      <w:r>
        <w:t>20</w:t>
      </w:r>
      <w:r>
        <w:t>尾鱼，对初始体重为（</w:t>
      </w:r>
      <w:r>
        <w:t>16.0±0.5</w:t>
      </w:r>
      <w:r>
        <w:t>）</w:t>
      </w:r>
      <w:r>
        <w:t>g</w:t>
      </w:r>
      <w:r>
        <w:t>的大口黑鲈幼鱼开展</w:t>
      </w:r>
      <w:r>
        <w:t>6</w:t>
      </w:r>
      <w:r>
        <w:t>周的投喂试验。结果表明：</w:t>
      </w:r>
      <w:r>
        <w:t>1</w:t>
      </w:r>
      <w:r>
        <w:t>）饲喂</w:t>
      </w:r>
      <w:r>
        <w:t>6</w:t>
      </w:r>
      <w:r>
        <w:t>周后，枯草芽孢杆菌组大口黑鲈幼鱼的增重率、特定生长率、体重均高于对照组，但没有显著差异（</w:t>
      </w:r>
      <w:r>
        <w:rPr>
          <w:i/>
          <w:iCs/>
        </w:rPr>
        <w:t>P</w:t>
      </w:r>
      <w:r>
        <w:t>＞</w:t>
      </w:r>
      <w:r>
        <w:t>0.05</w:t>
      </w:r>
      <w:r>
        <w:t>）。</w:t>
      </w:r>
      <w:r>
        <w:t>2</w:t>
      </w:r>
      <w:r>
        <w:t>）</w:t>
      </w:r>
      <w:r>
        <w:t>在注射</w:t>
      </w:r>
      <w:r>
        <w:t>2</w:t>
      </w:r>
      <w:r>
        <w:t>，</w:t>
      </w:r>
      <w:r>
        <w:t>4</w:t>
      </w:r>
      <w:r>
        <w:t>，</w:t>
      </w:r>
      <w:r>
        <w:t>6-</w:t>
      </w:r>
      <w:r>
        <w:t>三硝基苯磺酸（</w:t>
      </w:r>
      <w:r>
        <w:t>TNBS</w:t>
      </w:r>
      <w:r>
        <w:t>）诱导肠炎后，各组大口</w:t>
      </w:r>
      <w:proofErr w:type="gramStart"/>
      <w:r>
        <w:t>黑鲈均发生</w:t>
      </w:r>
      <w:proofErr w:type="gramEnd"/>
      <w:r>
        <w:t>死亡情况，但添加枯草芽孢杆菌降低了累积死亡率。</w:t>
      </w:r>
      <w:r>
        <w:t>3</w:t>
      </w:r>
      <w:r>
        <w:t>）添加枯草芽孢杆菌后大口黑鲈幼鱼中肠绒毛纤长紧密、排列整齐，肠绒毛高度和数量以及肌层厚度较对照组显著增加（</w:t>
      </w:r>
      <w:r>
        <w:rPr>
          <w:i/>
          <w:iCs/>
        </w:rPr>
        <w:t>P</w:t>
      </w:r>
      <w:r>
        <w:t>＜</w:t>
      </w:r>
      <w:r>
        <w:t>0.05</w:t>
      </w:r>
      <w:r>
        <w:t>）。</w:t>
      </w:r>
      <w:r>
        <w:t>TNBS</w:t>
      </w:r>
      <w:r>
        <w:t>诱导的肠炎损害了以绒毛融合、黏膜下层增宽和肌层为特征的肠道结构，但添加枯草芽孢杆菌明显减轻了</w:t>
      </w:r>
      <w:r>
        <w:t>TNBS</w:t>
      </w:r>
      <w:r>
        <w:t>对后肠的损害。</w:t>
      </w:r>
      <w:r>
        <w:t>4</w:t>
      </w:r>
      <w:r>
        <w:t>）大口黑鲈幼鱼肠道抗氧化酶活性均随饲料中枯草芽孢杆菌添加量的提高而上升，其中</w:t>
      </w:r>
      <w:r>
        <w:t>1.0 %</w:t>
      </w:r>
      <w:r>
        <w:t>枯草芽孢杆菌组肠道总超氧化物歧化酶（</w:t>
      </w:r>
      <w:r>
        <w:t>T-SOD</w:t>
      </w:r>
      <w:r>
        <w:t>）、过氧化氢酶</w:t>
      </w:r>
      <w:r>
        <w:t>（</w:t>
      </w:r>
      <w:r>
        <w:t>CAT</w:t>
      </w:r>
      <w:r>
        <w:t>）、谷胱甘肽过氧化物酶（</w:t>
      </w:r>
      <w:r>
        <w:t>GSH-Px</w:t>
      </w:r>
      <w:r>
        <w:t>）活性显著高于对照组和</w:t>
      </w:r>
      <w:r>
        <w:t>0.5 %</w:t>
      </w:r>
      <w:r>
        <w:t>枯草芽孢杆菌组（</w:t>
      </w:r>
      <w:r>
        <w:rPr>
          <w:i/>
          <w:iCs/>
        </w:rPr>
        <w:t>P</w:t>
      </w:r>
      <w:r>
        <w:t>＜</w:t>
      </w:r>
      <w:r>
        <w:t>0.05</w:t>
      </w:r>
      <w:r>
        <w:t>），丙二醛（</w:t>
      </w:r>
      <w:r>
        <w:t>MDA</w:t>
      </w:r>
      <w:r>
        <w:t>）含量显著低于对照组（</w:t>
      </w:r>
      <w:r>
        <w:rPr>
          <w:i/>
          <w:iCs/>
        </w:rPr>
        <w:t>P</w:t>
      </w:r>
      <w:r>
        <w:t>＜</w:t>
      </w:r>
      <w:r>
        <w:t>0.05</w:t>
      </w:r>
      <w:r>
        <w:t>）。肠炎可提高大口黑鲈幼鱼肠道中抗氧化酶活性，且添加枯草芽孢杆菌后大口黑鲈幼鱼肠道的抗氧化能力更强。</w:t>
      </w:r>
      <w:r>
        <w:t>5</w:t>
      </w:r>
      <w:r>
        <w:t>）大口黑鲈幼鱼肠道酸性磷酸酶（</w:t>
      </w:r>
      <w:r>
        <w:t>ACP</w:t>
      </w:r>
      <w:r>
        <w:t>）、溶菌酶（</w:t>
      </w:r>
      <w:r>
        <w:t>LZM</w:t>
      </w:r>
      <w:r>
        <w:t>）活性随着枯草芽孢杆菌添加量的增加显著升高（</w:t>
      </w:r>
      <w:r>
        <w:rPr>
          <w:i/>
          <w:iCs/>
        </w:rPr>
        <w:t>P</w:t>
      </w:r>
      <w:r>
        <w:t>＜</w:t>
      </w:r>
      <w:r>
        <w:t>0.05</w:t>
      </w:r>
      <w:r>
        <w:t>），</w:t>
      </w:r>
      <w:r>
        <w:t>1.0 %</w:t>
      </w:r>
      <w:r>
        <w:t>枯草芽孢杆菌组肠道碱性磷酸酶（</w:t>
      </w:r>
      <w:r>
        <w:t>AKP</w:t>
      </w:r>
      <w:r>
        <w:t>）活性显著高于对照组与</w:t>
      </w:r>
      <w:r>
        <w:t>0.5 %</w:t>
      </w:r>
      <w:r>
        <w:t>枯草芽孢杆菌组（</w:t>
      </w:r>
      <w:r>
        <w:rPr>
          <w:i/>
          <w:iCs/>
        </w:rPr>
        <w:t>P</w:t>
      </w:r>
      <w:r>
        <w:t>＜</w:t>
      </w:r>
      <w:r>
        <w:t>0.05</w:t>
      </w:r>
      <w:r>
        <w:t>）。经注射</w:t>
      </w:r>
      <w:r>
        <w:t>TNBS</w:t>
      </w:r>
      <w:r>
        <w:t>诱导肠炎后，</w:t>
      </w:r>
      <w:r>
        <w:t>3</w:t>
      </w:r>
      <w:r>
        <w:t>组</w:t>
      </w:r>
      <w:r>
        <w:t>大口黑鲈幼鱼肠道免疫酶活性均显著升高（</w:t>
      </w:r>
      <w:r>
        <w:rPr>
          <w:i/>
          <w:iCs/>
        </w:rPr>
        <w:t>P</w:t>
      </w:r>
      <w:r>
        <w:t>＜</w:t>
      </w:r>
      <w:r>
        <w:t>0.05</w:t>
      </w:r>
      <w:r>
        <w:t>），且</w:t>
      </w:r>
      <w:r>
        <w:t>1.0 %</w:t>
      </w:r>
      <w:r>
        <w:t>枯草芽孢杆菌组大口黑鲈肠道</w:t>
      </w:r>
      <w:r>
        <w:t>ACP</w:t>
      </w:r>
      <w:r>
        <w:t>、</w:t>
      </w:r>
      <w:r>
        <w:t>AKP</w:t>
      </w:r>
      <w:r>
        <w:t>、</w:t>
      </w:r>
      <w:r>
        <w:t>LZM</w:t>
      </w:r>
      <w:r>
        <w:t>活性均显著高于对照组（</w:t>
      </w:r>
      <w:r>
        <w:rPr>
          <w:i/>
          <w:iCs/>
        </w:rPr>
        <w:t>P</w:t>
      </w:r>
      <w:r>
        <w:t>＜</w:t>
      </w:r>
      <w:r>
        <w:t>0.05</w:t>
      </w:r>
      <w:r>
        <w:t>）。</w:t>
      </w:r>
      <w:r>
        <w:t>6</w:t>
      </w:r>
      <w:r>
        <w:t>）与对照组相比，添加</w:t>
      </w:r>
      <w:r>
        <w:t>0.5 %</w:t>
      </w:r>
      <w:r>
        <w:t>或</w:t>
      </w:r>
      <w:r>
        <w:t>1.0 %</w:t>
      </w:r>
      <w:r>
        <w:t>枯草芽孢杆菌均能显著降低</w:t>
      </w:r>
      <w:proofErr w:type="gramStart"/>
      <w:r>
        <w:t>肠道促炎因子</w:t>
      </w:r>
      <w:proofErr w:type="gramEnd"/>
      <w:r>
        <w:t>白细胞介素－</w:t>
      </w:r>
      <w:r>
        <w:t>1β</w:t>
      </w:r>
      <w:r>
        <w:t>（</w:t>
      </w:r>
      <w:r>
        <w:t>IL-1β</w:t>
      </w:r>
      <w:r>
        <w:t>）、白细胞介素</w:t>
      </w:r>
      <w:r>
        <w:t>-15</w:t>
      </w:r>
      <w:r>
        <w:t>（</w:t>
      </w:r>
      <w:r>
        <w:t>IL-15</w:t>
      </w:r>
      <w:r>
        <w:t>）、肿瘤坏死因子</w:t>
      </w:r>
      <w:r>
        <w:t>-α</w:t>
      </w:r>
      <w:r>
        <w:t>（</w:t>
      </w:r>
      <w:r>
        <w:t>TNF-α</w:t>
      </w:r>
      <w:r>
        <w:t>）和白细胞介素</w:t>
      </w:r>
      <w:r>
        <w:t>-8</w:t>
      </w:r>
      <w:r>
        <w:t>（</w:t>
      </w:r>
      <w:r>
        <w:t>IL-8</w:t>
      </w:r>
      <w:r>
        <w:t>）的</w:t>
      </w:r>
      <w:r>
        <w:t>mRNA</w:t>
      </w:r>
      <w:r>
        <w:t>相对表达量，显著升高抗炎因子白细胞介素－</w:t>
      </w:r>
      <w:r>
        <w:t>10</w:t>
      </w:r>
      <w:r>
        <w:t>（</w:t>
      </w:r>
      <w:r>
        <w:t>IL-10</w:t>
      </w:r>
      <w:r>
        <w:t>）、转化生长因子－</w:t>
      </w:r>
      <w:r>
        <w:t>β1</w:t>
      </w:r>
      <w:r>
        <w:t>（</w:t>
      </w:r>
      <w:r>
        <w:t>TGF-β1</w:t>
      </w:r>
      <w:r>
        <w:t>）的</w:t>
      </w:r>
      <w:r>
        <w:t>mRNA</w:t>
      </w:r>
      <w:r>
        <w:t>相对表达量（</w:t>
      </w:r>
      <w:r>
        <w:rPr>
          <w:i/>
          <w:iCs/>
        </w:rPr>
        <w:t>P</w:t>
      </w:r>
      <w:r>
        <w:t>＜</w:t>
      </w:r>
      <w:r>
        <w:t>0.05</w:t>
      </w:r>
      <w:r>
        <w:t>）。综上可知，饲料中</w:t>
      </w:r>
      <w:r>
        <w:t>添加枯草芽孢杆菌可提高大口黑鲈幼鱼的肠道抗氧化能力和免疫能力，并缓解由</w:t>
      </w:r>
      <w:r>
        <w:t>TNBS</w:t>
      </w:r>
      <w:r>
        <w:t>引起的</w:t>
      </w:r>
      <w:proofErr w:type="gramStart"/>
      <w:r>
        <w:t>肠道促炎因子</w:t>
      </w:r>
      <w:proofErr w:type="gramEnd"/>
      <w:r>
        <w:t>的表达，以</w:t>
      </w:r>
      <w:r>
        <w:t>1.0 %</w:t>
      </w:r>
      <w:r>
        <w:t>的添加</w:t>
      </w:r>
      <w:proofErr w:type="gramStart"/>
      <w:r>
        <w:t>量效果</w:t>
      </w:r>
      <w:proofErr w:type="gramEnd"/>
      <w:r>
        <w:t>较好。</w:t>
      </w:r>
    </w:p>
    <w:p w14:paraId="0A6A82EA" w14:textId="77777777" w:rsidR="008F75C3" w:rsidRDefault="006614AC">
      <w:r>
        <w:rPr>
          <w:b/>
          <w:bCs/>
        </w:rPr>
        <w:t>关键词</w:t>
      </w:r>
      <w:r>
        <w:rPr>
          <w:b/>
          <w:bCs/>
        </w:rPr>
        <w:t xml:space="preserve">: </w:t>
      </w:r>
      <w:r>
        <w:t>枯草芽孢杆菌</w:t>
      </w:r>
      <w:r>
        <w:t xml:space="preserve">; </w:t>
      </w:r>
      <w:r>
        <w:t>大口黑鲈</w:t>
      </w:r>
      <w:r>
        <w:t xml:space="preserve">; </w:t>
      </w:r>
      <w:r>
        <w:t>生长</w:t>
      </w:r>
      <w:r>
        <w:t xml:space="preserve">; </w:t>
      </w:r>
      <w:r>
        <w:t>肠道组织结构</w:t>
      </w:r>
      <w:r>
        <w:t xml:space="preserve">; </w:t>
      </w:r>
      <w:r>
        <w:t>抗氧化酶</w:t>
      </w:r>
      <w:r>
        <w:t xml:space="preserve">; </w:t>
      </w:r>
      <w:r>
        <w:t>免疫酶</w:t>
      </w:r>
      <w:r>
        <w:t xml:space="preserve">; </w:t>
      </w:r>
      <w:r>
        <w:t>肠炎</w:t>
      </w:r>
    </w:p>
    <w:p w14:paraId="332D017B" w14:textId="77777777" w:rsidR="008F75C3" w:rsidRDefault="006614AC">
      <w:pPr>
        <w:jc w:val="center"/>
        <w:rPr>
          <w:b/>
          <w:bCs/>
          <w:sz w:val="24"/>
        </w:rPr>
      </w:pPr>
      <w:r>
        <w:rPr>
          <w:b/>
          <w:bCs/>
          <w:sz w:val="24"/>
        </w:rPr>
        <w:t xml:space="preserve">Effects of Dietary Bacillus subtilis on Growth, Intestinal </w:t>
      </w:r>
      <w:proofErr w:type="spellStart"/>
      <w:r>
        <w:rPr>
          <w:b/>
          <w:bCs/>
          <w:sz w:val="24"/>
        </w:rPr>
        <w:t>TissueStructure</w:t>
      </w:r>
      <w:proofErr w:type="spellEnd"/>
      <w:r>
        <w:rPr>
          <w:b/>
          <w:bCs/>
          <w:sz w:val="24"/>
        </w:rPr>
        <w:t xml:space="preserve">, Antioxidant Capacity, Immunity and Enteritis </w:t>
      </w:r>
      <w:proofErr w:type="spellStart"/>
      <w:r>
        <w:rPr>
          <w:b/>
          <w:bCs/>
          <w:sz w:val="24"/>
        </w:rPr>
        <w:t>ofJuvenile</w:t>
      </w:r>
      <w:proofErr w:type="spellEnd"/>
      <w:r>
        <w:rPr>
          <w:b/>
          <w:bCs/>
          <w:sz w:val="24"/>
        </w:rPr>
        <w:t xml:space="preserve"> Largemouth </w:t>
      </w:r>
      <w:r>
        <w:rPr>
          <w:b/>
          <w:bCs/>
          <w:sz w:val="24"/>
        </w:rPr>
        <w:t xml:space="preserve">Bass </w:t>
      </w:r>
      <w:proofErr w:type="gramStart"/>
      <w:r>
        <w:rPr>
          <w:b/>
          <w:bCs/>
          <w:sz w:val="24"/>
        </w:rPr>
        <w:t xml:space="preserve">( </w:t>
      </w:r>
      <w:r>
        <w:rPr>
          <w:b/>
          <w:bCs/>
          <w:i/>
          <w:iCs/>
          <w:sz w:val="24"/>
        </w:rPr>
        <w:t>Micropterus</w:t>
      </w:r>
      <w:proofErr w:type="gramEnd"/>
      <w:r>
        <w:rPr>
          <w:b/>
          <w:bCs/>
          <w:i/>
          <w:iCs/>
          <w:sz w:val="24"/>
        </w:rPr>
        <w:t xml:space="preserve"> </w:t>
      </w:r>
      <w:proofErr w:type="spellStart"/>
      <w:r>
        <w:rPr>
          <w:b/>
          <w:bCs/>
          <w:i/>
          <w:iCs/>
          <w:sz w:val="24"/>
        </w:rPr>
        <w:t>salmoide</w:t>
      </w:r>
      <w:r>
        <w:rPr>
          <w:b/>
          <w:bCs/>
          <w:sz w:val="24"/>
        </w:rPr>
        <w:t>s</w:t>
      </w:r>
      <w:proofErr w:type="spellEnd"/>
      <w:r>
        <w:rPr>
          <w:b/>
          <w:bCs/>
          <w:sz w:val="24"/>
        </w:rPr>
        <w:t>)</w:t>
      </w:r>
    </w:p>
    <w:p w14:paraId="609EA78B" w14:textId="77777777" w:rsidR="008F75C3" w:rsidRDefault="006614AC">
      <w:pPr>
        <w:jc w:val="center"/>
        <w:rPr>
          <w:szCs w:val="21"/>
        </w:rPr>
      </w:pPr>
      <w:r>
        <w:rPr>
          <w:szCs w:val="21"/>
        </w:rPr>
        <w:t>ZHANG Dongmei</w:t>
      </w:r>
      <w:r>
        <w:rPr>
          <w:szCs w:val="21"/>
          <w:vertAlign w:val="superscript"/>
        </w:rPr>
        <w:t xml:space="preserve">1 </w:t>
      </w:r>
      <w:r>
        <w:rPr>
          <w:szCs w:val="21"/>
        </w:rPr>
        <w:t xml:space="preserve">YAN </w:t>
      </w:r>
      <w:proofErr w:type="spellStart"/>
      <w:r>
        <w:rPr>
          <w:szCs w:val="21"/>
        </w:rPr>
        <w:t>Haoxiao</w:t>
      </w:r>
      <w:proofErr w:type="spellEnd"/>
      <w:r>
        <w:rPr>
          <w:szCs w:val="21"/>
        </w:rPr>
        <w:t xml:space="preserve"> </w:t>
      </w:r>
      <w:r>
        <w:rPr>
          <w:szCs w:val="21"/>
          <w:vertAlign w:val="superscript"/>
        </w:rPr>
        <w:t xml:space="preserve">1 </w:t>
      </w:r>
      <w:r>
        <w:rPr>
          <w:szCs w:val="21"/>
        </w:rPr>
        <w:t>LUO M aolin</w:t>
      </w:r>
      <w:r>
        <w:rPr>
          <w:szCs w:val="21"/>
          <w:vertAlign w:val="superscript"/>
        </w:rPr>
        <w:t>1</w:t>
      </w:r>
      <w:r>
        <w:rPr>
          <w:szCs w:val="21"/>
          <w:vertAlign w:val="superscript"/>
        </w:rPr>
        <w:t>，</w:t>
      </w:r>
      <w:r>
        <w:rPr>
          <w:szCs w:val="21"/>
          <w:vertAlign w:val="superscript"/>
        </w:rPr>
        <w:t xml:space="preserve">2 </w:t>
      </w:r>
      <w:r>
        <w:rPr>
          <w:szCs w:val="21"/>
        </w:rPr>
        <w:t>YANG Yi1 HU Yifan</w:t>
      </w:r>
      <w:r>
        <w:rPr>
          <w:szCs w:val="21"/>
          <w:vertAlign w:val="superscript"/>
        </w:rPr>
        <w:t>1</w:t>
      </w:r>
      <w:r>
        <w:rPr>
          <w:szCs w:val="21"/>
        </w:rPr>
        <w:t xml:space="preserve"> GONG Chenxin</w:t>
      </w:r>
      <w:r>
        <w:rPr>
          <w:szCs w:val="21"/>
          <w:vertAlign w:val="superscript"/>
        </w:rPr>
        <w:t>1</w:t>
      </w:r>
      <w:r>
        <w:rPr>
          <w:szCs w:val="21"/>
        </w:rPr>
        <w:t xml:space="preserve"> LI Zhiqiong</w:t>
      </w:r>
      <w:r>
        <w:rPr>
          <w:szCs w:val="21"/>
          <w:vertAlign w:val="superscript"/>
        </w:rPr>
        <w:t xml:space="preserve">1 </w:t>
      </w:r>
      <w:r>
        <w:rPr>
          <w:szCs w:val="21"/>
        </w:rPr>
        <w:t>YANG Song</w:t>
      </w:r>
      <w:r>
        <w:rPr>
          <w:szCs w:val="21"/>
          <w:vertAlign w:val="superscript"/>
        </w:rPr>
        <w:t>1</w:t>
      </w:r>
      <w:r>
        <w:rPr>
          <w:szCs w:val="21"/>
        </w:rPr>
        <w:t xml:space="preserve"> ZHAO Liulan</w:t>
      </w:r>
      <w:r>
        <w:rPr>
          <w:szCs w:val="21"/>
          <w:vertAlign w:val="superscript"/>
        </w:rPr>
        <w:t>1</w:t>
      </w:r>
    </w:p>
    <w:p w14:paraId="418E73DC" w14:textId="77777777" w:rsidR="008F75C3" w:rsidRDefault="006614AC">
      <w:pPr>
        <w:jc w:val="center"/>
        <w:rPr>
          <w:i/>
          <w:iCs/>
          <w:szCs w:val="21"/>
        </w:rPr>
      </w:pPr>
      <w:r>
        <w:rPr>
          <w:i/>
          <w:iCs/>
          <w:szCs w:val="21"/>
        </w:rPr>
        <w:t>(</w:t>
      </w:r>
      <w:r>
        <w:rPr>
          <w:szCs w:val="21"/>
        </w:rPr>
        <w:t>1.</w:t>
      </w:r>
      <w:r>
        <w:rPr>
          <w:i/>
          <w:iCs/>
          <w:szCs w:val="21"/>
        </w:rPr>
        <w:t>College of Animal Science and Technology</w:t>
      </w:r>
      <w:r>
        <w:rPr>
          <w:szCs w:val="21"/>
        </w:rPr>
        <w:t xml:space="preserve">, </w:t>
      </w:r>
      <w:r>
        <w:rPr>
          <w:i/>
          <w:iCs/>
          <w:szCs w:val="21"/>
        </w:rPr>
        <w:t>Sichuan Agricultural University</w:t>
      </w:r>
      <w:r>
        <w:rPr>
          <w:szCs w:val="21"/>
        </w:rPr>
        <w:t>,</w:t>
      </w:r>
      <w:r>
        <w:rPr>
          <w:i/>
          <w:iCs/>
          <w:szCs w:val="21"/>
        </w:rPr>
        <w:t xml:space="preserve"> Chengdu </w:t>
      </w:r>
      <w:r>
        <w:rPr>
          <w:szCs w:val="21"/>
        </w:rPr>
        <w:t>611130</w:t>
      </w:r>
      <w:r>
        <w:rPr>
          <w:szCs w:val="21"/>
        </w:rPr>
        <w:t>，</w:t>
      </w:r>
      <w:r>
        <w:rPr>
          <w:i/>
          <w:iCs/>
          <w:szCs w:val="21"/>
        </w:rPr>
        <w:t>China</w:t>
      </w:r>
      <w:r>
        <w:rPr>
          <w:szCs w:val="21"/>
        </w:rPr>
        <w:t>; 2.</w:t>
      </w:r>
      <w:r>
        <w:rPr>
          <w:i/>
          <w:iCs/>
          <w:szCs w:val="21"/>
        </w:rPr>
        <w:t xml:space="preserve">Sichuan </w:t>
      </w:r>
      <w:proofErr w:type="spellStart"/>
      <w:r>
        <w:rPr>
          <w:i/>
          <w:iCs/>
          <w:szCs w:val="21"/>
        </w:rPr>
        <w:t>Tequ</w:t>
      </w:r>
      <w:proofErr w:type="spellEnd"/>
      <w:r>
        <w:rPr>
          <w:i/>
          <w:iCs/>
          <w:szCs w:val="21"/>
        </w:rPr>
        <w:t xml:space="preserve"> Investment Group Co.</w:t>
      </w:r>
      <w:r>
        <w:rPr>
          <w:szCs w:val="21"/>
        </w:rPr>
        <w:t xml:space="preserve">, </w:t>
      </w:r>
      <w:r>
        <w:rPr>
          <w:i/>
          <w:iCs/>
          <w:szCs w:val="21"/>
        </w:rPr>
        <w:t>Ltd</w:t>
      </w:r>
      <w:r>
        <w:rPr>
          <w:szCs w:val="21"/>
        </w:rPr>
        <w:t>.,</w:t>
      </w:r>
      <w:r>
        <w:rPr>
          <w:i/>
          <w:iCs/>
          <w:szCs w:val="21"/>
        </w:rPr>
        <w:t xml:space="preserve"> Chengdu </w:t>
      </w:r>
      <w:r>
        <w:rPr>
          <w:szCs w:val="21"/>
        </w:rPr>
        <w:t xml:space="preserve">611430, </w:t>
      </w:r>
      <w:r>
        <w:rPr>
          <w:i/>
          <w:iCs/>
          <w:szCs w:val="21"/>
        </w:rPr>
        <w:t>China)</w:t>
      </w:r>
    </w:p>
    <w:p w14:paraId="10FF9C23" w14:textId="77777777" w:rsidR="008F75C3" w:rsidRDefault="006614AC">
      <w:pPr>
        <w:rPr>
          <w:szCs w:val="21"/>
        </w:rPr>
      </w:pPr>
      <w:r>
        <w:rPr>
          <w:b/>
          <w:bCs/>
          <w:szCs w:val="21"/>
        </w:rPr>
        <w:t>Abstract:</w:t>
      </w:r>
      <w:r>
        <w:t xml:space="preserve"> </w:t>
      </w:r>
      <w:r>
        <w:rPr>
          <w:szCs w:val="21"/>
        </w:rPr>
        <w:t>This experiment was conducted to investigate the effects of dietary Bacillus subtilis on the growth, intestinal tissue structure, antioxidant capacity, immunity and enteritis of juve</w:t>
      </w:r>
      <w:r>
        <w:rPr>
          <w:szCs w:val="21"/>
        </w:rPr>
        <w:t>nile largemouth bass (</w:t>
      </w:r>
      <w:r>
        <w:rPr>
          <w:i/>
          <w:iCs/>
          <w:szCs w:val="21"/>
        </w:rPr>
        <w:t xml:space="preserve">Micropterus </w:t>
      </w:r>
      <w:proofErr w:type="spellStart"/>
      <w:r>
        <w:rPr>
          <w:i/>
          <w:iCs/>
          <w:szCs w:val="21"/>
        </w:rPr>
        <w:t>salmoides</w:t>
      </w:r>
      <w:proofErr w:type="spellEnd"/>
      <w:r>
        <w:rPr>
          <w:szCs w:val="21"/>
        </w:rPr>
        <w:t xml:space="preserve">). Three groups were set up to carry the feeding trial for 6 weeks, and they were control group (a basal diet), 0.5 % Bacillus subtilis group (the basal diet+0.5 % </w:t>
      </w:r>
      <w:r>
        <w:rPr>
          <w:i/>
          <w:iCs/>
          <w:szCs w:val="21"/>
        </w:rPr>
        <w:t>Bacillus subtilis</w:t>
      </w:r>
      <w:r>
        <w:rPr>
          <w:szCs w:val="21"/>
        </w:rPr>
        <w:t xml:space="preserve"> preparation) and 1.0 % Bacillus</w:t>
      </w:r>
      <w:r>
        <w:rPr>
          <w:szCs w:val="21"/>
        </w:rPr>
        <w:t xml:space="preserve"> subtilis group (the basal diet+1.0 % </w:t>
      </w:r>
      <w:r>
        <w:rPr>
          <w:i/>
          <w:iCs/>
          <w:szCs w:val="21"/>
        </w:rPr>
        <w:t>Bacillus subtilis</w:t>
      </w:r>
      <w:r>
        <w:rPr>
          <w:szCs w:val="21"/>
        </w:rPr>
        <w:t xml:space="preserve"> preparation). Each group had three replicates and each replicate had 20 fish with the initial body weight of (16.0 ± 0.5) g. The results showed as follows: 1) compared with control group, the w eight </w:t>
      </w:r>
      <w:r>
        <w:rPr>
          <w:szCs w:val="21"/>
        </w:rPr>
        <w:t xml:space="preserve">gain rate (WGR) , specific growth rate (SGR) and body weight after 6 weeks in Bacillus </w:t>
      </w:r>
      <w:r>
        <w:rPr>
          <w:szCs w:val="21"/>
        </w:rPr>
        <w:lastRenderedPageBreak/>
        <w:t>subtilis groups were increased, but the differences were not significant (</w:t>
      </w:r>
      <w:r>
        <w:rPr>
          <w:i/>
          <w:iCs/>
          <w:szCs w:val="21"/>
        </w:rPr>
        <w:t>P</w:t>
      </w:r>
      <w:r>
        <w:rPr>
          <w:szCs w:val="21"/>
        </w:rPr>
        <w:t>＞</w:t>
      </w:r>
      <w:r>
        <w:rPr>
          <w:szCs w:val="21"/>
        </w:rPr>
        <w:t>0.05). 2) After injection of trinitro-benzene-sulfonic acid (TNBS) to induce enteritis, exper</w:t>
      </w:r>
      <w:r>
        <w:rPr>
          <w:szCs w:val="21"/>
        </w:rPr>
        <w:t>imental fish in all group showed a certain mortality, but the addition of Bacillus subtilis reduced the cumulative mortality. 3) After the addition of Bacillus subtilis, the midgut villi of largemouth bass were slender, closely arranged, and the height and</w:t>
      </w:r>
      <w:r>
        <w:rPr>
          <w:szCs w:val="21"/>
        </w:rPr>
        <w:t xml:space="preserve"> number of intestinal villi and the thickness of muscle layer w ere significantly increased compared with the control group (</w:t>
      </w:r>
      <w:r>
        <w:rPr>
          <w:i/>
          <w:iCs/>
          <w:szCs w:val="21"/>
        </w:rPr>
        <w:t>P</w:t>
      </w:r>
      <w:r>
        <w:rPr>
          <w:szCs w:val="21"/>
        </w:rPr>
        <w:t>＜</w:t>
      </w:r>
      <w:r>
        <w:rPr>
          <w:szCs w:val="21"/>
        </w:rPr>
        <w:t>0.05). TNBS induced enteritis damaged the intestinal structure characterized by villous fusion, submucosa widening and muscle lay</w:t>
      </w:r>
      <w:r>
        <w:rPr>
          <w:szCs w:val="21"/>
        </w:rPr>
        <w:t>er, but the addition of Bacillus subtilis obviously reduced the damage. 4) With the increase of dietary Bacillus subtilis supplemental level, the activities of antioxidant enzymes in the intestine show ed an upward trend. The activities of total superoxide</w:t>
      </w:r>
      <w:r>
        <w:rPr>
          <w:szCs w:val="21"/>
        </w:rPr>
        <w:t xml:space="preserve"> dismutase (T-SOD), catalase (CAT) and glutathione peroxidase (GSH-Px) in the intestine in 1.0 % Bacillus subtilis group were significantly higher than those in control group and 0.5 % Bacillus subtilis group (</w:t>
      </w:r>
      <w:r>
        <w:rPr>
          <w:i/>
          <w:iCs/>
          <w:szCs w:val="21"/>
        </w:rPr>
        <w:t>P</w:t>
      </w:r>
      <w:r>
        <w:rPr>
          <w:szCs w:val="21"/>
        </w:rPr>
        <w:t>＜</w:t>
      </w:r>
      <w:r>
        <w:rPr>
          <w:szCs w:val="21"/>
        </w:rPr>
        <w:t>0.05), and the malondialdehyde (MDA) content</w:t>
      </w:r>
      <w:r>
        <w:rPr>
          <w:szCs w:val="21"/>
        </w:rPr>
        <w:t xml:space="preserve"> was significantly low er than that in control group (</w:t>
      </w:r>
      <w:r>
        <w:rPr>
          <w:i/>
          <w:iCs/>
          <w:szCs w:val="21"/>
        </w:rPr>
        <w:t>P</w:t>
      </w:r>
      <w:r>
        <w:rPr>
          <w:szCs w:val="21"/>
        </w:rPr>
        <w:t>＜</w:t>
      </w:r>
      <w:r>
        <w:rPr>
          <w:szCs w:val="21"/>
        </w:rPr>
        <w:t>0.05). Enteritis could improve the activities of antioxidant enzymes in the intestine of juvenile largemouth bass, and the intestinal antioxidant capacity of juvenile largemouth bass was stronger afte</w:t>
      </w:r>
      <w:r>
        <w:rPr>
          <w:szCs w:val="21"/>
        </w:rPr>
        <w:t>r adding Bacillus subtilis. 5) The activities of acid phosphatase (ACP) and lysozyme (LZM) in the intestine were significantly increased with the increase of Bacillus subtilis supplemental level (</w:t>
      </w:r>
      <w:r>
        <w:rPr>
          <w:i/>
          <w:iCs/>
          <w:szCs w:val="21"/>
        </w:rPr>
        <w:t>P</w:t>
      </w:r>
      <w:r>
        <w:rPr>
          <w:szCs w:val="21"/>
        </w:rPr>
        <w:t>＜</w:t>
      </w:r>
      <w:r>
        <w:rPr>
          <w:szCs w:val="21"/>
        </w:rPr>
        <w:t>0.05). The activity of alkaline phosphatase (AKP) in the i</w:t>
      </w:r>
      <w:r>
        <w:rPr>
          <w:szCs w:val="21"/>
        </w:rPr>
        <w:t>ntestine in 1. 0 % Bacillus subtilis group was significantly higher than that in control group and 0. 5 % Bacillus subtilis group (</w:t>
      </w:r>
      <w:r>
        <w:rPr>
          <w:i/>
          <w:iCs/>
          <w:szCs w:val="21"/>
        </w:rPr>
        <w:t>P</w:t>
      </w:r>
      <w:r>
        <w:rPr>
          <w:szCs w:val="21"/>
        </w:rPr>
        <w:t>＜</w:t>
      </w:r>
      <w:r>
        <w:rPr>
          <w:szCs w:val="21"/>
        </w:rPr>
        <w:t xml:space="preserve">0.05). After enteritis was induced by TNBS, the intestinal immune enzyme activities of the three groups were significantly </w:t>
      </w:r>
      <w:r>
        <w:rPr>
          <w:szCs w:val="21"/>
        </w:rPr>
        <w:t>increased (</w:t>
      </w:r>
      <w:r>
        <w:rPr>
          <w:i/>
          <w:iCs/>
          <w:szCs w:val="21"/>
        </w:rPr>
        <w:t>P</w:t>
      </w:r>
      <w:r>
        <w:rPr>
          <w:szCs w:val="21"/>
        </w:rPr>
        <w:t>＜</w:t>
      </w:r>
      <w:r>
        <w:rPr>
          <w:szCs w:val="21"/>
        </w:rPr>
        <w:t>0.05), and the intestinal ACP, AKP and LZM activities in 1.0 % Bacillus subtilis group were significantly higher than those in control group (</w:t>
      </w:r>
      <w:r>
        <w:rPr>
          <w:i/>
          <w:iCs/>
          <w:szCs w:val="21"/>
        </w:rPr>
        <w:t>P</w:t>
      </w:r>
      <w:r>
        <w:rPr>
          <w:szCs w:val="21"/>
        </w:rPr>
        <w:t>＜</w:t>
      </w:r>
      <w:r>
        <w:rPr>
          <w:szCs w:val="21"/>
        </w:rPr>
        <w:t>0.05). 6) Compared with the control group, the addition of 0.5 % or 1.0 % Bacillus subtilis could s</w:t>
      </w:r>
      <w:r>
        <w:rPr>
          <w:szCs w:val="21"/>
        </w:rPr>
        <w:t>ignificantly reduce the mRNA relative expression levels of intestinal proinflammatory factors such as interleukin-1β (IL-1β) , interleukin-15 (IL-15), tumor necrosis factor-α (TNF-α) and interleukin-8 (IL-8), and significantly increase the mRNA relative ex</w:t>
      </w:r>
      <w:r>
        <w:rPr>
          <w:szCs w:val="21"/>
        </w:rPr>
        <w:t>pression levels of anti-inflammatory factors such as interleukin-10 (IL-10) and transforming growth factor-β1 (TGF-β1) (</w:t>
      </w:r>
      <w:r>
        <w:rPr>
          <w:i/>
          <w:iCs/>
          <w:szCs w:val="21"/>
        </w:rPr>
        <w:t>P</w:t>
      </w:r>
      <w:r>
        <w:rPr>
          <w:szCs w:val="21"/>
        </w:rPr>
        <w:t>＜</w:t>
      </w:r>
      <w:r>
        <w:rPr>
          <w:szCs w:val="21"/>
        </w:rPr>
        <w:t>0.05). To sum up, the addition of Bacillus subtilis in the diet can improve the intestinal antioxidant capacity and immunity of juveni</w:t>
      </w:r>
      <w:r>
        <w:rPr>
          <w:szCs w:val="21"/>
        </w:rPr>
        <w:t xml:space="preserve">le largemouth bass, and alleviate the intestinal injury caused by TNBS. The effect is better with the addition of 1.0 %. </w:t>
      </w:r>
    </w:p>
    <w:p w14:paraId="39159CB1" w14:textId="77777777" w:rsidR="008F75C3" w:rsidRDefault="006614AC">
      <w:r>
        <w:rPr>
          <w:b/>
          <w:bCs/>
          <w:szCs w:val="21"/>
        </w:rPr>
        <w:t xml:space="preserve">Key words: </w:t>
      </w:r>
      <w:r>
        <w:rPr>
          <w:szCs w:val="21"/>
        </w:rPr>
        <w:t>Bacillus subtilis; largemouth bass; growth; intestinal tissue structure; antioxidant enzyme; immune enzyme; enteritis</w:t>
      </w:r>
    </w:p>
    <w:p w14:paraId="0D291210" w14:textId="77777777" w:rsidR="008F75C3" w:rsidRDefault="008F75C3">
      <w:pPr>
        <w:jc w:val="center"/>
      </w:pPr>
    </w:p>
    <w:p w14:paraId="7BA6A888" w14:textId="77777777" w:rsidR="008F75C3" w:rsidRDefault="006614AC">
      <w:pPr>
        <w:spacing w:line="360" w:lineRule="auto"/>
        <w:ind w:firstLineChars="200" w:firstLine="480"/>
        <w:rPr>
          <w:sz w:val="24"/>
        </w:rPr>
      </w:pPr>
      <w:r>
        <w:rPr>
          <w:sz w:val="24"/>
        </w:rPr>
        <w:t>我国是世</w:t>
      </w:r>
      <w:r>
        <w:rPr>
          <w:sz w:val="24"/>
        </w:rPr>
        <w:t>界水产养殖第一大国，池塘养殖是我国渔业的重要组成部分，已经成为渔民增收和乡村振兴的主要增长点</w:t>
      </w:r>
      <w:r>
        <w:rPr>
          <w:sz w:val="24"/>
          <w:vertAlign w:val="superscript"/>
        </w:rPr>
        <w:t>[1]</w:t>
      </w:r>
      <w:r>
        <w:rPr>
          <w:sz w:val="24"/>
        </w:rPr>
        <w:t>。但池塘养殖过程中受环境、营养、病原感染和生长阶段等因素的影响，导致养殖动物的疾病爆发，甚至造成大规模死亡，威胁水产业发展</w:t>
      </w:r>
      <w:r>
        <w:rPr>
          <w:sz w:val="24"/>
          <w:vertAlign w:val="superscript"/>
        </w:rPr>
        <w:t>[2</w:t>
      </w:r>
      <w:r>
        <w:rPr>
          <w:sz w:val="24"/>
          <w:vertAlign w:val="superscript"/>
        </w:rPr>
        <w:t>－</w:t>
      </w:r>
      <w:r>
        <w:rPr>
          <w:sz w:val="24"/>
          <w:vertAlign w:val="superscript"/>
        </w:rPr>
        <w:t>3]</w:t>
      </w:r>
      <w:r>
        <w:rPr>
          <w:sz w:val="24"/>
        </w:rPr>
        <w:t>。因此，如何提高鱼体免疫力和抗病力显得尤为重要。肠道是鱼类最大的免疫器官之一</w:t>
      </w:r>
      <w:r>
        <w:rPr>
          <w:sz w:val="24"/>
          <w:vertAlign w:val="superscript"/>
        </w:rPr>
        <w:t>[4]</w:t>
      </w:r>
      <w:r>
        <w:rPr>
          <w:sz w:val="24"/>
        </w:rPr>
        <w:t>，其发挥着多种作用，例如对营养物质进行消化和吸收、抵抗病原微生物和食物抗原对机体的影响、参与抗菌肽和摄食调控类激素的分泌等，一旦肠道功能出现异常，将会影响影响鱼体健康</w:t>
      </w:r>
      <w:r>
        <w:rPr>
          <w:sz w:val="24"/>
          <w:vertAlign w:val="superscript"/>
        </w:rPr>
        <w:t>[5</w:t>
      </w:r>
      <w:r>
        <w:rPr>
          <w:sz w:val="24"/>
          <w:vertAlign w:val="superscript"/>
        </w:rPr>
        <w:t>－</w:t>
      </w:r>
      <w:r>
        <w:rPr>
          <w:sz w:val="24"/>
          <w:vertAlign w:val="superscript"/>
        </w:rPr>
        <w:t>6]</w:t>
      </w:r>
      <w:r>
        <w:rPr>
          <w:sz w:val="24"/>
        </w:rPr>
        <w:t>。</w:t>
      </w:r>
    </w:p>
    <w:p w14:paraId="439C5680" w14:textId="77777777" w:rsidR="008F75C3" w:rsidRDefault="006614AC">
      <w:pPr>
        <w:spacing w:line="360" w:lineRule="auto"/>
        <w:ind w:firstLineChars="200" w:firstLine="480"/>
        <w:rPr>
          <w:sz w:val="24"/>
        </w:rPr>
      </w:pPr>
      <w:r>
        <w:rPr>
          <w:sz w:val="24"/>
        </w:rPr>
        <w:t>在传统的水产养殖过程中，通常使用抗生素对疾病进行治疗，但滥用抗生素，不仅衍生出耐药性的问题，也会污染环境，破坏生态平衡，最终危害人和动物的健康。因此，益生</w:t>
      </w:r>
      <w:proofErr w:type="gramStart"/>
      <w:r>
        <w:rPr>
          <w:sz w:val="24"/>
        </w:rPr>
        <w:t>菌作为</w:t>
      </w:r>
      <w:proofErr w:type="gramEnd"/>
      <w:r>
        <w:rPr>
          <w:sz w:val="24"/>
        </w:rPr>
        <w:t>抗生素时代之后的一种新型饲料添加剂逐渐得到广泛关注并成为研究热点。枯草芽</w:t>
      </w:r>
      <w:r>
        <w:rPr>
          <w:sz w:val="24"/>
        </w:rPr>
        <w:lastRenderedPageBreak/>
        <w:t>孢杆菌是一种在我国已经获得批准的用于动物饲料的微生物菌株，广泛应用于水产生产。研究证明，枯草芽孢杆菌可以分泌挥发性代谢产物和抗生素，从而维持肠道的酸性环境并抑制病原菌的生长</w:t>
      </w:r>
      <w:r>
        <w:rPr>
          <w:sz w:val="24"/>
          <w:vertAlign w:val="superscript"/>
        </w:rPr>
        <w:t>[7</w:t>
      </w:r>
      <w:r>
        <w:rPr>
          <w:sz w:val="24"/>
          <w:vertAlign w:val="superscript"/>
        </w:rPr>
        <w:t>－</w:t>
      </w:r>
      <w:r>
        <w:rPr>
          <w:sz w:val="24"/>
          <w:vertAlign w:val="superscript"/>
        </w:rPr>
        <w:t>9]</w:t>
      </w:r>
      <w:r>
        <w:rPr>
          <w:sz w:val="24"/>
        </w:rPr>
        <w:t>。给莫桑比克罗非鱼（</w:t>
      </w:r>
      <w:r>
        <w:rPr>
          <w:i/>
          <w:iCs/>
          <w:sz w:val="24"/>
        </w:rPr>
        <w:t xml:space="preserve">Oreochromis </w:t>
      </w:r>
      <w:proofErr w:type="spellStart"/>
      <w:r>
        <w:rPr>
          <w:i/>
          <w:iCs/>
          <w:sz w:val="24"/>
        </w:rPr>
        <w:t>mossambicus</w:t>
      </w:r>
      <w:proofErr w:type="spellEnd"/>
      <w:r>
        <w:rPr>
          <w:sz w:val="24"/>
        </w:rPr>
        <w:t>）饲喂补充</w:t>
      </w:r>
      <w:r>
        <w:rPr>
          <w:sz w:val="24"/>
        </w:rPr>
        <w:t>105</w:t>
      </w:r>
      <w:r>
        <w:rPr>
          <w:sz w:val="24"/>
        </w:rPr>
        <w:t>或</w:t>
      </w:r>
      <w:r>
        <w:rPr>
          <w:sz w:val="24"/>
        </w:rPr>
        <w:t>107 CFU</w:t>
      </w:r>
      <w:r>
        <w:rPr>
          <w:sz w:val="24"/>
        </w:rPr>
        <w:t xml:space="preserve"> /g</w:t>
      </w:r>
      <w:r>
        <w:rPr>
          <w:sz w:val="24"/>
        </w:rPr>
        <w:t>地衣芽孢杆菌（</w:t>
      </w:r>
      <w:r>
        <w:rPr>
          <w:i/>
          <w:iCs/>
          <w:sz w:val="24"/>
        </w:rPr>
        <w:t>Bacillus licheniformis</w:t>
      </w:r>
      <w:r>
        <w:rPr>
          <w:sz w:val="24"/>
        </w:rPr>
        <w:t>）</w:t>
      </w:r>
      <w:r>
        <w:rPr>
          <w:sz w:val="24"/>
        </w:rPr>
        <w:t>4</w:t>
      </w:r>
      <w:r>
        <w:rPr>
          <w:sz w:val="24"/>
        </w:rPr>
        <w:t>周后，不仅能提高莫桑比克罗非鱼的生长性能，还能改善肠道黏膜、血清免疫参数和抗氧化活性</w:t>
      </w:r>
      <w:r>
        <w:rPr>
          <w:sz w:val="24"/>
          <w:vertAlign w:val="superscript"/>
        </w:rPr>
        <w:t>[10]</w:t>
      </w:r>
      <w:r>
        <w:rPr>
          <w:sz w:val="24"/>
        </w:rPr>
        <w:t>。在日本鳗鲡（</w:t>
      </w:r>
      <w:r>
        <w:rPr>
          <w:i/>
          <w:iCs/>
          <w:sz w:val="24"/>
        </w:rPr>
        <w:t>Anguilla japonica</w:t>
      </w:r>
      <w:r>
        <w:rPr>
          <w:sz w:val="24"/>
        </w:rPr>
        <w:t>）饲料中补充枯草芽孢杆菌（</w:t>
      </w:r>
      <w:r>
        <w:rPr>
          <w:i/>
          <w:iCs/>
          <w:sz w:val="24"/>
        </w:rPr>
        <w:t>Bacillus subtilis</w:t>
      </w:r>
      <w:r>
        <w:rPr>
          <w:sz w:val="24"/>
        </w:rPr>
        <w:t>）后，其饲料转化率显著提高，生长性能和血清非特异性酶活性均得到改善</w:t>
      </w:r>
      <w:r>
        <w:rPr>
          <w:sz w:val="24"/>
          <w:vertAlign w:val="superscript"/>
        </w:rPr>
        <w:t>[11]</w:t>
      </w:r>
      <w:r>
        <w:rPr>
          <w:sz w:val="24"/>
        </w:rPr>
        <w:t>。除此之外，大量研究还发现益</w:t>
      </w:r>
      <w:proofErr w:type="gramStart"/>
      <w:r>
        <w:rPr>
          <w:sz w:val="24"/>
        </w:rPr>
        <w:t>生菌还可以</w:t>
      </w:r>
      <w:proofErr w:type="gramEnd"/>
      <w:r>
        <w:rPr>
          <w:sz w:val="24"/>
        </w:rPr>
        <w:t>通过调控炎症因子表达和吞噬活性调节鱼类肠道氧化应激和先天性免疫</w:t>
      </w:r>
      <w:r>
        <w:rPr>
          <w:sz w:val="24"/>
          <w:vertAlign w:val="superscript"/>
        </w:rPr>
        <w:t>[12</w:t>
      </w:r>
      <w:r>
        <w:rPr>
          <w:sz w:val="24"/>
          <w:vertAlign w:val="superscript"/>
        </w:rPr>
        <w:t>－</w:t>
      </w:r>
      <w:r>
        <w:rPr>
          <w:sz w:val="24"/>
          <w:vertAlign w:val="superscript"/>
        </w:rPr>
        <w:t>13]</w:t>
      </w:r>
      <w:r>
        <w:rPr>
          <w:sz w:val="24"/>
        </w:rPr>
        <w:t>，但具体机制还有待于进一步研究。</w:t>
      </w:r>
    </w:p>
    <w:p w14:paraId="5FAF5852" w14:textId="77777777" w:rsidR="008F75C3" w:rsidRDefault="006614AC">
      <w:pPr>
        <w:spacing w:line="360" w:lineRule="auto"/>
        <w:ind w:firstLineChars="200" w:firstLine="480"/>
        <w:rPr>
          <w:sz w:val="24"/>
        </w:rPr>
      </w:pPr>
      <w:r>
        <w:rPr>
          <w:sz w:val="24"/>
        </w:rPr>
        <w:t>大口黑鲈（</w:t>
      </w:r>
      <w:r>
        <w:rPr>
          <w:i/>
          <w:iCs/>
          <w:sz w:val="24"/>
        </w:rPr>
        <w:t>Microp</w:t>
      </w:r>
      <w:r>
        <w:rPr>
          <w:i/>
          <w:iCs/>
          <w:sz w:val="24"/>
        </w:rPr>
        <w:t xml:space="preserve">terus </w:t>
      </w:r>
      <w:proofErr w:type="spellStart"/>
      <w:r>
        <w:rPr>
          <w:i/>
          <w:iCs/>
          <w:sz w:val="24"/>
        </w:rPr>
        <w:t>salmoides</w:t>
      </w:r>
      <w:proofErr w:type="spellEnd"/>
      <w:r>
        <w:rPr>
          <w:sz w:val="24"/>
        </w:rPr>
        <w:t>）俗称加州鲈，隶属鲈形目（</w:t>
      </w:r>
      <w:r>
        <w:rPr>
          <w:sz w:val="24"/>
        </w:rPr>
        <w:t>Perciformes</w:t>
      </w:r>
      <w:r>
        <w:rPr>
          <w:sz w:val="24"/>
        </w:rPr>
        <w:t>），</w:t>
      </w:r>
      <w:proofErr w:type="gramStart"/>
      <w:r>
        <w:rPr>
          <w:sz w:val="24"/>
        </w:rPr>
        <w:t>鲈</w:t>
      </w:r>
      <w:proofErr w:type="gramEnd"/>
      <w:r>
        <w:rPr>
          <w:sz w:val="24"/>
        </w:rPr>
        <w:t>亚目（</w:t>
      </w:r>
      <w:proofErr w:type="spellStart"/>
      <w:r>
        <w:rPr>
          <w:sz w:val="24"/>
        </w:rPr>
        <w:t>Porcoidei</w:t>
      </w:r>
      <w:proofErr w:type="spellEnd"/>
      <w:r>
        <w:rPr>
          <w:sz w:val="24"/>
        </w:rPr>
        <w:t>），</w:t>
      </w:r>
      <w:r>
        <w:rPr>
          <w:sz w:val="24"/>
        </w:rPr>
        <w:t xml:space="preserve"> </w:t>
      </w:r>
      <w:r>
        <w:rPr>
          <w:sz w:val="24"/>
        </w:rPr>
        <w:t>太阳鱼科（</w:t>
      </w:r>
      <w:proofErr w:type="spellStart"/>
      <w:r>
        <w:rPr>
          <w:sz w:val="24"/>
        </w:rPr>
        <w:t>Cehtrachidae</w:t>
      </w:r>
      <w:proofErr w:type="spellEnd"/>
      <w:r>
        <w:rPr>
          <w:sz w:val="24"/>
        </w:rPr>
        <w:t>），黑鲈属（</w:t>
      </w:r>
      <w:r>
        <w:rPr>
          <w:i/>
          <w:iCs/>
          <w:sz w:val="24"/>
        </w:rPr>
        <w:t>Micropterus</w:t>
      </w:r>
      <w:r>
        <w:rPr>
          <w:sz w:val="24"/>
        </w:rPr>
        <w:t>），原产于美国，是一种淡水广温性肉食性鱼类</w:t>
      </w:r>
      <w:r>
        <w:rPr>
          <w:sz w:val="24"/>
          <w:vertAlign w:val="superscript"/>
        </w:rPr>
        <w:t>[14]</w:t>
      </w:r>
      <w:r>
        <w:rPr>
          <w:sz w:val="24"/>
        </w:rPr>
        <w:t>。自</w:t>
      </w:r>
      <w:r>
        <w:rPr>
          <w:sz w:val="24"/>
        </w:rPr>
        <w:t>20</w:t>
      </w:r>
      <w:r>
        <w:rPr>
          <w:sz w:val="24"/>
        </w:rPr>
        <w:t>世纪引入我国以来，其养殖产量和养殖面积逐年增加，据《</w:t>
      </w:r>
      <w:r>
        <w:rPr>
          <w:sz w:val="24"/>
        </w:rPr>
        <w:t>2020</w:t>
      </w:r>
      <w:r>
        <w:rPr>
          <w:sz w:val="24"/>
        </w:rPr>
        <w:t>中国渔业统计年鉴》，大口黑</w:t>
      </w:r>
      <w:proofErr w:type="gramStart"/>
      <w:r>
        <w:rPr>
          <w:sz w:val="24"/>
        </w:rPr>
        <w:t>鲈全国</w:t>
      </w:r>
      <w:proofErr w:type="gramEnd"/>
      <w:r>
        <w:rPr>
          <w:sz w:val="24"/>
        </w:rPr>
        <w:t>产量</w:t>
      </w:r>
      <w:r>
        <w:rPr>
          <w:sz w:val="24"/>
        </w:rPr>
        <w:t>62</w:t>
      </w:r>
      <w:r>
        <w:rPr>
          <w:sz w:val="24"/>
        </w:rPr>
        <w:t>万</w:t>
      </w:r>
      <w:r>
        <w:rPr>
          <w:sz w:val="24"/>
        </w:rPr>
        <w:t>t</w:t>
      </w:r>
      <w:r>
        <w:rPr>
          <w:sz w:val="24"/>
        </w:rPr>
        <w:t>，已成为我国重要的淡水经济鱼类之一</w:t>
      </w:r>
      <w:r>
        <w:rPr>
          <w:sz w:val="24"/>
          <w:vertAlign w:val="superscript"/>
        </w:rPr>
        <w:t>[15]</w:t>
      </w:r>
      <w:r>
        <w:rPr>
          <w:sz w:val="24"/>
        </w:rPr>
        <w:t>。近年来大口黑鲈养殖规模逐年增大，因其肉食性，集约化养殖下其肠道健康问题非常突出，严重限制了产业发展</w:t>
      </w:r>
      <w:r>
        <w:rPr>
          <w:sz w:val="24"/>
          <w:vertAlign w:val="superscript"/>
        </w:rPr>
        <w:t>[16]</w:t>
      </w:r>
      <w:r>
        <w:rPr>
          <w:sz w:val="24"/>
        </w:rPr>
        <w:t>。饲料营养不均衡</w:t>
      </w:r>
      <w:r>
        <w:rPr>
          <w:sz w:val="24"/>
          <w:vertAlign w:val="superscript"/>
        </w:rPr>
        <w:t>[</w:t>
      </w:r>
      <w:r>
        <w:rPr>
          <w:sz w:val="24"/>
          <w:vertAlign w:val="superscript"/>
        </w:rPr>
        <w:t>17]</w:t>
      </w:r>
      <w:r>
        <w:rPr>
          <w:sz w:val="24"/>
        </w:rPr>
        <w:t>、养殖环境恶化</w:t>
      </w:r>
      <w:r>
        <w:rPr>
          <w:sz w:val="24"/>
          <w:vertAlign w:val="superscript"/>
        </w:rPr>
        <w:t>[5]</w:t>
      </w:r>
      <w:r>
        <w:rPr>
          <w:sz w:val="24"/>
        </w:rPr>
        <w:t>、缺氧和高温胁迫等养殖条件</w:t>
      </w:r>
      <w:r>
        <w:rPr>
          <w:sz w:val="24"/>
          <w:vertAlign w:val="superscript"/>
        </w:rPr>
        <w:t>[18]</w:t>
      </w:r>
      <w:r>
        <w:rPr>
          <w:sz w:val="24"/>
        </w:rPr>
        <w:t>等都会影响大口黑鲈肠道健康。因此，为减少抗生素使用量，保障养殖品安全，在大口黑鲈养殖过程中使用益生菌来改善肠道健康已经成为养殖中的重要操作，但是益生菌对鱼体肠道健康和肠炎的发生发展的调控机制还需要深入探索。因此，本试验对饲料中添加枯草芽孢杆菌对大口黑鲈生长、肠道组织结构、抗氧化能力、免疫能力和肠炎的影响进行研究，旨在为大口黑鲈养殖中枯草芽孢杆菌的添加提供一定的科学依据。</w:t>
      </w:r>
    </w:p>
    <w:p w14:paraId="64DC2A3D" w14:textId="77777777" w:rsidR="008F75C3" w:rsidRDefault="006614AC">
      <w:pPr>
        <w:spacing w:line="360" w:lineRule="auto"/>
        <w:rPr>
          <w:sz w:val="24"/>
        </w:rPr>
      </w:pPr>
      <w:r>
        <w:rPr>
          <w:sz w:val="24"/>
        </w:rPr>
        <w:t xml:space="preserve">1  </w:t>
      </w:r>
      <w:r>
        <w:rPr>
          <w:sz w:val="24"/>
        </w:rPr>
        <w:t>材料与方法</w:t>
      </w:r>
      <w:r>
        <w:rPr>
          <w:sz w:val="24"/>
        </w:rPr>
        <w:t xml:space="preserve"> </w:t>
      </w:r>
    </w:p>
    <w:p w14:paraId="6D4D47F0" w14:textId="77777777" w:rsidR="008F75C3" w:rsidRDefault="006614AC">
      <w:pPr>
        <w:spacing w:line="360" w:lineRule="auto"/>
        <w:rPr>
          <w:sz w:val="24"/>
        </w:rPr>
      </w:pPr>
      <w:r>
        <w:rPr>
          <w:sz w:val="24"/>
        </w:rPr>
        <w:t xml:space="preserve">1.1  </w:t>
      </w:r>
      <w:r>
        <w:rPr>
          <w:sz w:val="24"/>
        </w:rPr>
        <w:t>试验材料</w:t>
      </w:r>
    </w:p>
    <w:p w14:paraId="48CDC3F7" w14:textId="77777777" w:rsidR="008F75C3" w:rsidRDefault="006614AC">
      <w:pPr>
        <w:spacing w:line="360" w:lineRule="auto"/>
        <w:ind w:firstLineChars="200" w:firstLine="480"/>
        <w:rPr>
          <w:sz w:val="24"/>
        </w:rPr>
      </w:pPr>
      <w:r>
        <w:rPr>
          <w:sz w:val="24"/>
        </w:rPr>
        <w:t>试验鱼为健康的</w:t>
      </w:r>
      <w:r>
        <w:rPr>
          <w:sz w:val="24"/>
        </w:rPr>
        <w:t>“</w:t>
      </w:r>
      <w:r>
        <w:rPr>
          <w:sz w:val="24"/>
        </w:rPr>
        <w:t>优鲈</w:t>
      </w:r>
      <w:r>
        <w:rPr>
          <w:sz w:val="24"/>
        </w:rPr>
        <w:t>1</w:t>
      </w:r>
      <w:r>
        <w:rPr>
          <w:sz w:val="24"/>
        </w:rPr>
        <w:t>号</w:t>
      </w:r>
      <w:r>
        <w:rPr>
          <w:sz w:val="24"/>
        </w:rPr>
        <w:t>”</w:t>
      </w:r>
      <w:r>
        <w:rPr>
          <w:sz w:val="24"/>
        </w:rPr>
        <w:t>大口黑鲈，购</w:t>
      </w:r>
      <w:r>
        <w:rPr>
          <w:sz w:val="24"/>
        </w:rPr>
        <w:t>于四川某水产有限公司。试验用大口黑</w:t>
      </w:r>
      <w:proofErr w:type="gramStart"/>
      <w:r>
        <w:rPr>
          <w:sz w:val="24"/>
        </w:rPr>
        <w:t>鲈商品</w:t>
      </w:r>
      <w:proofErr w:type="gramEnd"/>
      <w:r>
        <w:rPr>
          <w:sz w:val="24"/>
        </w:rPr>
        <w:t>饲料购自江苏某饲料有限公司，其组成及营养水平见表</w:t>
      </w:r>
      <w:r>
        <w:rPr>
          <w:sz w:val="24"/>
        </w:rPr>
        <w:t>1</w:t>
      </w:r>
      <w:r>
        <w:rPr>
          <w:sz w:val="24"/>
        </w:rPr>
        <w:t>。试验用枯草芽孢杆菌制剂购自上海某生态工程有限公司，活菌数</w:t>
      </w:r>
      <w:r>
        <w:rPr>
          <w:sz w:val="24"/>
        </w:rPr>
        <w:t>≥1.0×10</w:t>
      </w:r>
      <w:r>
        <w:rPr>
          <w:sz w:val="24"/>
          <w:vertAlign w:val="superscript"/>
        </w:rPr>
        <w:t>10</w:t>
      </w:r>
      <w:r>
        <w:rPr>
          <w:sz w:val="24"/>
        </w:rPr>
        <w:t xml:space="preserve"> CFU/g</w:t>
      </w:r>
      <w:r>
        <w:rPr>
          <w:sz w:val="24"/>
        </w:rPr>
        <w:t>。</w:t>
      </w:r>
    </w:p>
    <w:p w14:paraId="18E3A549" w14:textId="77777777" w:rsidR="008F75C3" w:rsidRDefault="006614AC">
      <w:pPr>
        <w:spacing w:line="360" w:lineRule="auto"/>
        <w:ind w:firstLineChars="200" w:firstLine="480"/>
        <w:jc w:val="center"/>
        <w:rPr>
          <w:sz w:val="24"/>
        </w:rPr>
      </w:pPr>
      <w:r>
        <w:rPr>
          <w:noProof/>
          <w:sz w:val="24"/>
        </w:rPr>
        <w:lastRenderedPageBreak/>
        <w:drawing>
          <wp:inline distT="0" distB="0" distL="0" distR="0" wp14:anchorId="670E8596" wp14:editId="3327C0AE">
            <wp:extent cx="1787525" cy="2387600"/>
            <wp:effectExtent l="0" t="0" r="3175" b="12700"/>
            <wp:docPr id="11" name="图片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图片 11"/>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a:xfrm>
                      <a:off x="0" y="0"/>
                      <a:ext cx="1787525" cy="2387600"/>
                    </a:xfrm>
                    <a:prstGeom prst="rect">
                      <a:avLst/>
                    </a:prstGeom>
                    <a:noFill/>
                    <a:ln>
                      <a:noFill/>
                    </a:ln>
                  </pic:spPr>
                </pic:pic>
              </a:graphicData>
            </a:graphic>
          </wp:inline>
        </w:drawing>
      </w:r>
    </w:p>
    <w:p w14:paraId="7048B117" w14:textId="77777777" w:rsidR="008F75C3" w:rsidRDefault="006614AC">
      <w:pPr>
        <w:spacing w:line="360" w:lineRule="auto"/>
        <w:rPr>
          <w:sz w:val="24"/>
        </w:rPr>
      </w:pPr>
      <w:r>
        <w:rPr>
          <w:sz w:val="24"/>
        </w:rPr>
        <w:t xml:space="preserve">1.2  </w:t>
      </w:r>
      <w:r>
        <w:rPr>
          <w:sz w:val="24"/>
        </w:rPr>
        <w:t>试验设计</w:t>
      </w:r>
      <w:r>
        <w:rPr>
          <w:sz w:val="24"/>
        </w:rPr>
        <w:t xml:space="preserve"> </w:t>
      </w:r>
    </w:p>
    <w:p w14:paraId="2FBEBBD0" w14:textId="77777777" w:rsidR="008F75C3" w:rsidRDefault="006614AC">
      <w:pPr>
        <w:spacing w:line="360" w:lineRule="auto"/>
        <w:rPr>
          <w:sz w:val="24"/>
        </w:rPr>
      </w:pPr>
      <w:r>
        <w:rPr>
          <w:sz w:val="24"/>
        </w:rPr>
        <w:t xml:space="preserve">1.2.1  </w:t>
      </w:r>
      <w:r>
        <w:rPr>
          <w:sz w:val="24"/>
        </w:rPr>
        <w:t>饲养试验及取样</w:t>
      </w:r>
    </w:p>
    <w:p w14:paraId="4337E92A" w14:textId="77777777" w:rsidR="008F75C3" w:rsidRDefault="006614AC">
      <w:pPr>
        <w:spacing w:line="360" w:lineRule="auto"/>
        <w:ind w:firstLineChars="200" w:firstLine="480"/>
        <w:rPr>
          <w:sz w:val="24"/>
        </w:rPr>
      </w:pPr>
      <w:r>
        <w:rPr>
          <w:sz w:val="24"/>
        </w:rPr>
        <w:t>本试验设对照组（基础饲料）、</w:t>
      </w:r>
      <w:r>
        <w:rPr>
          <w:sz w:val="24"/>
        </w:rPr>
        <w:t>0.5 %</w:t>
      </w:r>
      <w:r>
        <w:rPr>
          <w:sz w:val="24"/>
        </w:rPr>
        <w:t>枯草芽孢杆菌组（在基础</w:t>
      </w:r>
      <w:proofErr w:type="gramStart"/>
      <w:r>
        <w:rPr>
          <w:sz w:val="24"/>
        </w:rPr>
        <w:t>饲</w:t>
      </w:r>
      <w:proofErr w:type="gramEnd"/>
      <w:r>
        <w:rPr>
          <w:sz w:val="24"/>
        </w:rPr>
        <w:t>粮中添加</w:t>
      </w:r>
      <w:r>
        <w:rPr>
          <w:sz w:val="24"/>
        </w:rPr>
        <w:t>0.5 %</w:t>
      </w:r>
      <w:r>
        <w:rPr>
          <w:sz w:val="24"/>
        </w:rPr>
        <w:t>的枯草芽孢杆菌制剂，使饲料中枯草芽孢杆菌活菌数</w:t>
      </w:r>
      <w:r>
        <w:rPr>
          <w:sz w:val="24"/>
        </w:rPr>
        <w:t>≥5.0×10</w:t>
      </w:r>
      <w:r>
        <w:rPr>
          <w:sz w:val="24"/>
          <w:vertAlign w:val="superscript"/>
        </w:rPr>
        <w:t>10</w:t>
      </w:r>
      <w:r>
        <w:rPr>
          <w:sz w:val="24"/>
        </w:rPr>
        <w:t xml:space="preserve"> CFU/kg</w:t>
      </w:r>
      <w:r>
        <w:rPr>
          <w:sz w:val="24"/>
        </w:rPr>
        <w:t>）和</w:t>
      </w:r>
      <w:r>
        <w:rPr>
          <w:sz w:val="24"/>
        </w:rPr>
        <w:t>1.0 %</w:t>
      </w:r>
      <w:r>
        <w:rPr>
          <w:sz w:val="24"/>
        </w:rPr>
        <w:t>枯草芽孢杆菌组（在基础</w:t>
      </w:r>
      <w:proofErr w:type="gramStart"/>
      <w:r>
        <w:rPr>
          <w:sz w:val="24"/>
        </w:rPr>
        <w:t>饲</w:t>
      </w:r>
      <w:proofErr w:type="gramEnd"/>
      <w:r>
        <w:rPr>
          <w:sz w:val="24"/>
        </w:rPr>
        <w:t>粮中添加</w:t>
      </w:r>
      <w:r>
        <w:rPr>
          <w:sz w:val="24"/>
        </w:rPr>
        <w:t>1.0 %</w:t>
      </w:r>
      <w:r>
        <w:rPr>
          <w:sz w:val="24"/>
        </w:rPr>
        <w:t>的枯草芽孢杆菌制剂，使饲料中枯草芽孢杆菌活菌数</w:t>
      </w:r>
      <w:r>
        <w:rPr>
          <w:sz w:val="24"/>
        </w:rPr>
        <w:t>≥10.0×10</w:t>
      </w:r>
      <w:r>
        <w:rPr>
          <w:sz w:val="24"/>
          <w:vertAlign w:val="superscript"/>
        </w:rPr>
        <w:t>10</w:t>
      </w:r>
      <w:r>
        <w:rPr>
          <w:sz w:val="24"/>
        </w:rPr>
        <w:t xml:space="preserve"> CFU/kg</w:t>
      </w:r>
      <w:r>
        <w:rPr>
          <w:sz w:val="24"/>
        </w:rPr>
        <w:t>）。枯草芽孢杆菌添加量参照王成强等</w:t>
      </w:r>
      <w:r>
        <w:rPr>
          <w:sz w:val="24"/>
          <w:vertAlign w:val="superscript"/>
        </w:rPr>
        <w:t>[19]</w:t>
      </w:r>
      <w:r>
        <w:rPr>
          <w:sz w:val="24"/>
        </w:rPr>
        <w:t>的试验，每组设置</w:t>
      </w:r>
      <w:r>
        <w:rPr>
          <w:sz w:val="24"/>
        </w:rPr>
        <w:t>3</w:t>
      </w:r>
      <w:r>
        <w:rPr>
          <w:sz w:val="24"/>
        </w:rPr>
        <w:t>个重复，每个重复</w:t>
      </w:r>
      <w:r>
        <w:rPr>
          <w:sz w:val="24"/>
        </w:rPr>
        <w:t>20</w:t>
      </w:r>
      <w:r>
        <w:rPr>
          <w:sz w:val="24"/>
        </w:rPr>
        <w:t>尾大口鲈鱼幼鱼</w:t>
      </w:r>
      <w:r>
        <w:rPr>
          <w:sz w:val="24"/>
        </w:rPr>
        <w:t>[</w:t>
      </w:r>
      <w:r>
        <w:rPr>
          <w:sz w:val="24"/>
        </w:rPr>
        <w:t>初始体重（</w:t>
      </w:r>
      <w:r>
        <w:rPr>
          <w:sz w:val="24"/>
        </w:rPr>
        <w:t>16.0±0.5</w:t>
      </w:r>
      <w:r>
        <w:rPr>
          <w:sz w:val="24"/>
        </w:rPr>
        <w:t>）</w:t>
      </w:r>
      <w:r>
        <w:rPr>
          <w:sz w:val="24"/>
        </w:rPr>
        <w:t>g]</w:t>
      </w:r>
      <w:r>
        <w:rPr>
          <w:sz w:val="24"/>
        </w:rPr>
        <w:t>。试验前，将大口黑鲈暂养于实验室塑料桶中，暂养用水为曝气</w:t>
      </w:r>
      <w:r>
        <w:rPr>
          <w:sz w:val="24"/>
        </w:rPr>
        <w:t>24h</w:t>
      </w:r>
      <w:r>
        <w:rPr>
          <w:sz w:val="24"/>
        </w:rPr>
        <w:t>的自来水，每天换水</w:t>
      </w:r>
      <w:r>
        <w:rPr>
          <w:sz w:val="24"/>
        </w:rPr>
        <w:t>1/4</w:t>
      </w:r>
      <w:r>
        <w:rPr>
          <w:sz w:val="24"/>
        </w:rPr>
        <w:t>，水温（</w:t>
      </w:r>
      <w:r>
        <w:rPr>
          <w:sz w:val="24"/>
        </w:rPr>
        <w:t>20.0±1</w:t>
      </w:r>
      <w:r>
        <w:rPr>
          <w:sz w:val="24"/>
        </w:rPr>
        <w:t>）</w:t>
      </w:r>
      <w:r>
        <w:rPr>
          <w:sz w:val="24"/>
        </w:rPr>
        <w:t>℃</w:t>
      </w:r>
      <w:r>
        <w:rPr>
          <w:sz w:val="24"/>
        </w:rPr>
        <w:t>，</w:t>
      </w:r>
      <w:r>
        <w:rPr>
          <w:sz w:val="24"/>
        </w:rPr>
        <w:t>pH7.0</w:t>
      </w:r>
      <w:r>
        <w:rPr>
          <w:sz w:val="24"/>
        </w:rPr>
        <w:t>～</w:t>
      </w:r>
      <w:r>
        <w:rPr>
          <w:sz w:val="24"/>
        </w:rPr>
        <w:t>8.0</w:t>
      </w:r>
      <w:r>
        <w:rPr>
          <w:sz w:val="24"/>
        </w:rPr>
        <w:t>，自然光照。每天在</w:t>
      </w:r>
      <w:r>
        <w:rPr>
          <w:sz w:val="24"/>
        </w:rPr>
        <w:t>09</w:t>
      </w:r>
      <w:r>
        <w:rPr>
          <w:sz w:val="24"/>
        </w:rPr>
        <w:t>：</w:t>
      </w:r>
      <w:r>
        <w:rPr>
          <w:sz w:val="24"/>
        </w:rPr>
        <w:t>00</w:t>
      </w:r>
      <w:r>
        <w:rPr>
          <w:sz w:val="24"/>
        </w:rPr>
        <w:t>和</w:t>
      </w:r>
      <w:r>
        <w:rPr>
          <w:sz w:val="24"/>
        </w:rPr>
        <w:t>15</w:t>
      </w:r>
      <w:r>
        <w:rPr>
          <w:sz w:val="24"/>
        </w:rPr>
        <w:t>：</w:t>
      </w:r>
      <w:r>
        <w:rPr>
          <w:sz w:val="24"/>
        </w:rPr>
        <w:t>00</w:t>
      </w:r>
      <w:r>
        <w:rPr>
          <w:sz w:val="24"/>
        </w:rPr>
        <w:t>定时投喂</w:t>
      </w:r>
      <w:r>
        <w:rPr>
          <w:sz w:val="24"/>
        </w:rPr>
        <w:t>2</w:t>
      </w:r>
      <w:r>
        <w:rPr>
          <w:sz w:val="24"/>
        </w:rPr>
        <w:t>次，饱食投喂，每天</w:t>
      </w:r>
      <w:r>
        <w:rPr>
          <w:sz w:val="24"/>
        </w:rPr>
        <w:t>09</w:t>
      </w:r>
      <w:r>
        <w:rPr>
          <w:sz w:val="24"/>
        </w:rPr>
        <w:t>：</w:t>
      </w:r>
      <w:r>
        <w:rPr>
          <w:sz w:val="24"/>
        </w:rPr>
        <w:t>30</w:t>
      </w:r>
      <w:r>
        <w:rPr>
          <w:sz w:val="24"/>
        </w:rPr>
        <w:t>底部吸污排水，采用空气泵连</w:t>
      </w:r>
      <w:r>
        <w:rPr>
          <w:sz w:val="24"/>
        </w:rPr>
        <w:t>续增氧，保持溶解氧浓度</w:t>
      </w:r>
      <w:r>
        <w:rPr>
          <w:sz w:val="24"/>
        </w:rPr>
        <w:t>8.0 mg/L</w:t>
      </w:r>
      <w:r>
        <w:rPr>
          <w:sz w:val="24"/>
        </w:rPr>
        <w:t>以上。暂养</w:t>
      </w:r>
      <w:r>
        <w:rPr>
          <w:sz w:val="24"/>
        </w:rPr>
        <w:t>2</w:t>
      </w:r>
      <w:r>
        <w:rPr>
          <w:sz w:val="24"/>
        </w:rPr>
        <w:t>周后开始正式试验，正式试验期间的日常管理同暂养期间保持一致，饲养试验持续</w:t>
      </w:r>
      <w:r>
        <w:rPr>
          <w:sz w:val="24"/>
        </w:rPr>
        <w:t>6</w:t>
      </w:r>
      <w:r>
        <w:rPr>
          <w:sz w:val="24"/>
        </w:rPr>
        <w:t>周，于试验初始以及第</w:t>
      </w:r>
      <w:r>
        <w:rPr>
          <w:sz w:val="24"/>
        </w:rPr>
        <w:t>2</w:t>
      </w:r>
      <w:r>
        <w:rPr>
          <w:sz w:val="24"/>
        </w:rPr>
        <w:t>周、第</w:t>
      </w:r>
      <w:r>
        <w:rPr>
          <w:sz w:val="24"/>
        </w:rPr>
        <w:t>4</w:t>
      </w:r>
      <w:r>
        <w:rPr>
          <w:sz w:val="24"/>
        </w:rPr>
        <w:t>周、第</w:t>
      </w:r>
      <w:r>
        <w:rPr>
          <w:sz w:val="24"/>
        </w:rPr>
        <w:t>6</w:t>
      </w:r>
      <w:r>
        <w:rPr>
          <w:sz w:val="24"/>
        </w:rPr>
        <w:t>周进行称重。并且分别计算所有组的特定生长率（</w:t>
      </w:r>
      <w:r>
        <w:rPr>
          <w:sz w:val="24"/>
        </w:rPr>
        <w:t>SGR</w:t>
      </w:r>
      <w:r>
        <w:rPr>
          <w:sz w:val="24"/>
        </w:rPr>
        <w:t>）和增重率（</w:t>
      </w:r>
      <w:r>
        <w:rPr>
          <w:sz w:val="24"/>
        </w:rPr>
        <w:t>WGR</w:t>
      </w:r>
      <w:r>
        <w:rPr>
          <w:sz w:val="24"/>
        </w:rPr>
        <w:t>）：</w:t>
      </w:r>
    </w:p>
    <w:p w14:paraId="52F8B87D" w14:textId="77777777" w:rsidR="008F75C3" w:rsidRDefault="006614AC">
      <w:pPr>
        <w:spacing w:line="360" w:lineRule="auto"/>
        <w:ind w:firstLineChars="200" w:firstLine="480"/>
        <w:rPr>
          <w:sz w:val="24"/>
        </w:rPr>
      </w:pPr>
      <w:r>
        <w:rPr>
          <w:sz w:val="24"/>
        </w:rPr>
        <w:t>特定生长率（</w:t>
      </w:r>
      <w:r>
        <w:rPr>
          <w:sz w:val="24"/>
        </w:rPr>
        <w:t>%/d</w:t>
      </w:r>
      <w:r>
        <w:rPr>
          <w:sz w:val="24"/>
        </w:rPr>
        <w:t>）</w:t>
      </w:r>
      <w:r>
        <w:rPr>
          <w:sz w:val="24"/>
        </w:rPr>
        <w:t>=[(</w:t>
      </w:r>
      <w:proofErr w:type="spellStart"/>
      <w:r>
        <w:rPr>
          <w:sz w:val="24"/>
        </w:rPr>
        <w:t>ln</w:t>
      </w:r>
      <w:r>
        <w:rPr>
          <w:i/>
          <w:iCs/>
          <w:sz w:val="24"/>
        </w:rPr>
        <w:t>W</w:t>
      </w:r>
      <w:r>
        <w:rPr>
          <w:sz w:val="24"/>
          <w:vertAlign w:val="subscript"/>
        </w:rPr>
        <w:t>t</w:t>
      </w:r>
      <w:proofErr w:type="spellEnd"/>
      <w:r>
        <w:rPr>
          <w:sz w:val="24"/>
        </w:rPr>
        <w:t>－</w:t>
      </w:r>
      <w:r>
        <w:rPr>
          <w:sz w:val="24"/>
        </w:rPr>
        <w:t>ln</w:t>
      </w:r>
      <w:r>
        <w:rPr>
          <w:i/>
          <w:iCs/>
          <w:sz w:val="24"/>
        </w:rPr>
        <w:t>W</w:t>
      </w:r>
      <w:r>
        <w:rPr>
          <w:sz w:val="24"/>
          <w:vertAlign w:val="subscript"/>
        </w:rPr>
        <w:t>0</w:t>
      </w:r>
      <w:r>
        <w:rPr>
          <w:sz w:val="24"/>
        </w:rPr>
        <w:t>)/t]×100</w:t>
      </w:r>
      <w:r>
        <w:rPr>
          <w:sz w:val="24"/>
        </w:rPr>
        <w:t>；</w:t>
      </w:r>
    </w:p>
    <w:p w14:paraId="2ACA7126" w14:textId="77777777" w:rsidR="008F75C3" w:rsidRDefault="006614AC">
      <w:pPr>
        <w:spacing w:line="360" w:lineRule="auto"/>
        <w:ind w:firstLineChars="200" w:firstLine="480"/>
        <w:rPr>
          <w:sz w:val="24"/>
        </w:rPr>
      </w:pPr>
      <w:r>
        <w:rPr>
          <w:sz w:val="24"/>
        </w:rPr>
        <w:t>增重率（</w:t>
      </w:r>
      <w:r>
        <w:rPr>
          <w:sz w:val="24"/>
        </w:rPr>
        <w:t>%</w:t>
      </w:r>
      <w:r>
        <w:rPr>
          <w:sz w:val="24"/>
        </w:rPr>
        <w:t>）</w:t>
      </w:r>
      <w:r>
        <w:rPr>
          <w:sz w:val="24"/>
        </w:rPr>
        <w:t>=[(</w:t>
      </w:r>
      <w:proofErr w:type="spellStart"/>
      <w:r>
        <w:rPr>
          <w:i/>
          <w:iCs/>
          <w:sz w:val="24"/>
        </w:rPr>
        <w:t>W</w:t>
      </w:r>
      <w:r>
        <w:rPr>
          <w:sz w:val="24"/>
          <w:vertAlign w:val="subscript"/>
        </w:rPr>
        <w:t>t</w:t>
      </w:r>
      <w:proofErr w:type="spellEnd"/>
      <w:r>
        <w:rPr>
          <w:sz w:val="24"/>
        </w:rPr>
        <w:t>－</w:t>
      </w:r>
      <w:r>
        <w:rPr>
          <w:i/>
          <w:iCs/>
          <w:sz w:val="24"/>
        </w:rPr>
        <w:t>W</w:t>
      </w:r>
      <w:r>
        <w:rPr>
          <w:sz w:val="24"/>
          <w:vertAlign w:val="subscript"/>
        </w:rPr>
        <w:t>0</w:t>
      </w:r>
      <w:r>
        <w:rPr>
          <w:sz w:val="24"/>
        </w:rPr>
        <w:t>)/</w:t>
      </w:r>
      <w:r>
        <w:rPr>
          <w:i/>
          <w:iCs/>
          <w:sz w:val="24"/>
        </w:rPr>
        <w:t>W</w:t>
      </w:r>
      <w:r>
        <w:rPr>
          <w:sz w:val="24"/>
          <w:vertAlign w:val="subscript"/>
        </w:rPr>
        <w:t>0</w:t>
      </w:r>
      <w:r>
        <w:rPr>
          <w:sz w:val="24"/>
        </w:rPr>
        <w:t>]×100</w:t>
      </w:r>
      <w:r>
        <w:rPr>
          <w:sz w:val="24"/>
        </w:rPr>
        <w:t>。</w:t>
      </w:r>
    </w:p>
    <w:p w14:paraId="33637B33" w14:textId="77777777" w:rsidR="008F75C3" w:rsidRDefault="006614AC">
      <w:pPr>
        <w:spacing w:line="360" w:lineRule="auto"/>
        <w:rPr>
          <w:sz w:val="24"/>
        </w:rPr>
      </w:pPr>
      <w:r>
        <w:rPr>
          <w:sz w:val="24"/>
        </w:rPr>
        <w:t>式中：</w:t>
      </w:r>
      <w:proofErr w:type="spellStart"/>
      <w:r>
        <w:rPr>
          <w:i/>
          <w:iCs/>
          <w:sz w:val="24"/>
        </w:rPr>
        <w:t>W</w:t>
      </w:r>
      <w:r>
        <w:rPr>
          <w:sz w:val="24"/>
          <w:vertAlign w:val="subscript"/>
        </w:rPr>
        <w:t>t</w:t>
      </w:r>
      <w:proofErr w:type="spellEnd"/>
      <w:r>
        <w:rPr>
          <w:sz w:val="24"/>
        </w:rPr>
        <w:t>为终末体重（</w:t>
      </w:r>
      <w:r>
        <w:rPr>
          <w:sz w:val="24"/>
        </w:rPr>
        <w:t>g</w:t>
      </w:r>
      <w:r>
        <w:rPr>
          <w:sz w:val="24"/>
        </w:rPr>
        <w:t>）；</w:t>
      </w:r>
      <w:r>
        <w:rPr>
          <w:i/>
          <w:iCs/>
          <w:sz w:val="24"/>
        </w:rPr>
        <w:t>W</w:t>
      </w:r>
      <w:r>
        <w:rPr>
          <w:sz w:val="24"/>
          <w:vertAlign w:val="subscript"/>
        </w:rPr>
        <w:t>0</w:t>
      </w:r>
      <w:r>
        <w:rPr>
          <w:sz w:val="24"/>
        </w:rPr>
        <w:t>为初始体重（</w:t>
      </w:r>
      <w:r>
        <w:rPr>
          <w:sz w:val="24"/>
        </w:rPr>
        <w:t>g</w:t>
      </w:r>
      <w:r>
        <w:rPr>
          <w:sz w:val="24"/>
        </w:rPr>
        <w:t>）；</w:t>
      </w:r>
      <w:r>
        <w:rPr>
          <w:sz w:val="24"/>
        </w:rPr>
        <w:t>t</w:t>
      </w:r>
      <w:r>
        <w:rPr>
          <w:sz w:val="24"/>
        </w:rPr>
        <w:t>为试验天数（</w:t>
      </w:r>
      <w:r>
        <w:rPr>
          <w:sz w:val="24"/>
        </w:rPr>
        <w:t>d</w:t>
      </w:r>
      <w:r>
        <w:rPr>
          <w:sz w:val="24"/>
        </w:rPr>
        <w:t>）。</w:t>
      </w:r>
    </w:p>
    <w:p w14:paraId="0A7A1671" w14:textId="77777777" w:rsidR="008F75C3" w:rsidRDefault="006614AC">
      <w:pPr>
        <w:spacing w:line="360" w:lineRule="auto"/>
        <w:ind w:firstLineChars="200" w:firstLine="480"/>
        <w:rPr>
          <w:sz w:val="24"/>
        </w:rPr>
      </w:pPr>
      <w:r>
        <w:rPr>
          <w:sz w:val="24"/>
        </w:rPr>
        <w:t>试验结束后，所有鱼被禁食</w:t>
      </w:r>
      <w:r>
        <w:rPr>
          <w:sz w:val="24"/>
        </w:rPr>
        <w:t>24h</w:t>
      </w:r>
      <w:r>
        <w:rPr>
          <w:sz w:val="24"/>
        </w:rPr>
        <w:t>，于每个养殖桶随机选取</w:t>
      </w:r>
      <w:r>
        <w:rPr>
          <w:sz w:val="24"/>
        </w:rPr>
        <w:t>9</w:t>
      </w:r>
      <w:r>
        <w:rPr>
          <w:sz w:val="24"/>
        </w:rPr>
        <w:t>尾试验鱼，用</w:t>
      </w:r>
      <w:r>
        <w:rPr>
          <w:sz w:val="24"/>
        </w:rPr>
        <w:t>200 mg/L MS-222</w:t>
      </w:r>
      <w:r>
        <w:rPr>
          <w:sz w:val="24"/>
        </w:rPr>
        <w:t>迅速麻醉，测量其体长、体重后每个重复随机选取</w:t>
      </w:r>
      <w:r>
        <w:rPr>
          <w:sz w:val="24"/>
        </w:rPr>
        <w:t>3</w:t>
      </w:r>
      <w:r>
        <w:rPr>
          <w:sz w:val="24"/>
        </w:rPr>
        <w:t>尾鱼的中肠，</w:t>
      </w:r>
      <w:r>
        <w:rPr>
          <w:sz w:val="24"/>
        </w:rPr>
        <w:t>10 %</w:t>
      </w:r>
      <w:r>
        <w:rPr>
          <w:sz w:val="24"/>
        </w:rPr>
        <w:t>甲醛固定，用于肠道组织学观察</w:t>
      </w:r>
      <w:r>
        <w:rPr>
          <w:sz w:val="24"/>
        </w:rPr>
        <w:t>;</w:t>
      </w:r>
      <w:r>
        <w:rPr>
          <w:sz w:val="24"/>
        </w:rPr>
        <w:t>另外的</w:t>
      </w:r>
      <w:r>
        <w:rPr>
          <w:sz w:val="24"/>
        </w:rPr>
        <w:t>6</w:t>
      </w:r>
      <w:r>
        <w:rPr>
          <w:sz w:val="24"/>
        </w:rPr>
        <w:t>尾试验鱼放入无菌管中，－</w:t>
      </w:r>
      <w:r>
        <w:rPr>
          <w:sz w:val="24"/>
        </w:rPr>
        <w:t>80 ℃</w:t>
      </w:r>
      <w:r>
        <w:rPr>
          <w:sz w:val="24"/>
        </w:rPr>
        <w:t>保存，用于肠道免疫和抗氧</w:t>
      </w:r>
      <w:proofErr w:type="gramStart"/>
      <w:r>
        <w:rPr>
          <w:sz w:val="24"/>
        </w:rPr>
        <w:t>化指标</w:t>
      </w:r>
      <w:proofErr w:type="gramEnd"/>
      <w:r>
        <w:rPr>
          <w:sz w:val="24"/>
        </w:rPr>
        <w:t>测定。</w:t>
      </w:r>
    </w:p>
    <w:p w14:paraId="08BBA866" w14:textId="77777777" w:rsidR="008F75C3" w:rsidRDefault="006614AC">
      <w:pPr>
        <w:spacing w:line="360" w:lineRule="auto"/>
        <w:rPr>
          <w:sz w:val="24"/>
        </w:rPr>
      </w:pPr>
      <w:r>
        <w:rPr>
          <w:sz w:val="24"/>
        </w:rPr>
        <w:t>1.2.2  2,4,6</w:t>
      </w:r>
      <w:r>
        <w:rPr>
          <w:sz w:val="24"/>
        </w:rPr>
        <w:t>－三硝基苯磺酸（</w:t>
      </w:r>
      <w:r>
        <w:rPr>
          <w:sz w:val="24"/>
        </w:rPr>
        <w:t>TNBS</w:t>
      </w:r>
      <w:r>
        <w:rPr>
          <w:sz w:val="24"/>
        </w:rPr>
        <w:t>）诱导肠炎及取样</w:t>
      </w:r>
    </w:p>
    <w:p w14:paraId="2237FF23" w14:textId="77777777" w:rsidR="008F75C3" w:rsidRDefault="006614AC">
      <w:pPr>
        <w:spacing w:line="360" w:lineRule="auto"/>
        <w:ind w:firstLineChars="200" w:firstLine="480"/>
        <w:rPr>
          <w:sz w:val="24"/>
        </w:rPr>
      </w:pPr>
      <w:r>
        <w:rPr>
          <w:sz w:val="24"/>
        </w:rPr>
        <w:t>取样后选择剩下的试验</w:t>
      </w:r>
      <w:proofErr w:type="gramStart"/>
      <w:r>
        <w:rPr>
          <w:sz w:val="24"/>
        </w:rPr>
        <w:t>鱼按照</w:t>
      </w:r>
      <w:proofErr w:type="gramEnd"/>
      <w:r>
        <w:rPr>
          <w:sz w:val="24"/>
        </w:rPr>
        <w:t>Morris</w:t>
      </w:r>
      <w:r>
        <w:rPr>
          <w:sz w:val="24"/>
        </w:rPr>
        <w:t>等</w:t>
      </w:r>
      <w:r>
        <w:rPr>
          <w:sz w:val="24"/>
          <w:vertAlign w:val="superscript"/>
        </w:rPr>
        <w:t>[20]</w:t>
      </w:r>
      <w:r>
        <w:rPr>
          <w:sz w:val="24"/>
        </w:rPr>
        <w:t>的方法诱导肠炎，以文献</w:t>
      </w:r>
      <w:r>
        <w:rPr>
          <w:sz w:val="24"/>
          <w:vertAlign w:val="superscript"/>
        </w:rPr>
        <w:t>[21]</w:t>
      </w:r>
      <w:r>
        <w:rPr>
          <w:sz w:val="24"/>
        </w:rPr>
        <w:t>介绍的</w:t>
      </w:r>
      <w:r>
        <w:rPr>
          <w:sz w:val="24"/>
        </w:rPr>
        <w:t>TNBS</w:t>
      </w:r>
      <w:r>
        <w:rPr>
          <w:sz w:val="24"/>
        </w:rPr>
        <w:t>适</w:t>
      </w:r>
      <w:r>
        <w:rPr>
          <w:sz w:val="24"/>
        </w:rPr>
        <w:lastRenderedPageBreak/>
        <w:t>宜剂量（</w:t>
      </w:r>
      <w:r>
        <w:rPr>
          <w:sz w:val="24"/>
        </w:rPr>
        <w:t>100 mg/kg BW</w:t>
      </w:r>
      <w:r>
        <w:rPr>
          <w:sz w:val="24"/>
        </w:rPr>
        <w:t>）为基础，设置</w:t>
      </w:r>
      <w:r>
        <w:rPr>
          <w:sz w:val="24"/>
        </w:rPr>
        <w:t>5</w:t>
      </w:r>
      <w:r>
        <w:rPr>
          <w:sz w:val="24"/>
        </w:rPr>
        <w:t>个剂量浓度梯度进行剂量预试验，根据</w:t>
      </w:r>
      <w:r>
        <w:rPr>
          <w:sz w:val="24"/>
        </w:rPr>
        <w:t>肠道炎症症状和死亡率确定</w:t>
      </w:r>
      <w:r>
        <w:rPr>
          <w:sz w:val="24"/>
        </w:rPr>
        <w:t>TNBS</w:t>
      </w:r>
      <w:r>
        <w:rPr>
          <w:sz w:val="24"/>
        </w:rPr>
        <w:t>诱导肠炎的适宜剂量。用适量的</w:t>
      </w:r>
      <w:r>
        <w:rPr>
          <w:sz w:val="24"/>
        </w:rPr>
        <w:t>MS-222</w:t>
      </w:r>
      <w:r>
        <w:rPr>
          <w:sz w:val="24"/>
        </w:rPr>
        <w:t>（</w:t>
      </w:r>
      <w:r>
        <w:rPr>
          <w:sz w:val="24"/>
        </w:rPr>
        <w:t>60 mg/L</w:t>
      </w:r>
      <w:r>
        <w:rPr>
          <w:sz w:val="24"/>
        </w:rPr>
        <w:t>）麻醉试验鱼</w:t>
      </w:r>
      <w:r>
        <w:rPr>
          <w:sz w:val="24"/>
        </w:rPr>
        <w:t>3</w:t>
      </w:r>
      <w:r>
        <w:rPr>
          <w:sz w:val="24"/>
        </w:rPr>
        <w:t>～</w:t>
      </w:r>
      <w:r>
        <w:rPr>
          <w:sz w:val="24"/>
        </w:rPr>
        <w:t>5min</w:t>
      </w:r>
      <w:r>
        <w:rPr>
          <w:sz w:val="24"/>
        </w:rPr>
        <w:t>，注射</w:t>
      </w:r>
      <w:r>
        <w:rPr>
          <w:sz w:val="24"/>
        </w:rPr>
        <w:t>TNBS</w:t>
      </w:r>
      <w:r>
        <w:rPr>
          <w:sz w:val="24"/>
        </w:rPr>
        <w:t>前用棉签刺激肛门，轻轻挤掉后肠末端粪便，以减少粪便对肠道黏液的污染。按照每千克鱼体</w:t>
      </w:r>
      <w:r>
        <w:rPr>
          <w:sz w:val="24"/>
        </w:rPr>
        <w:t>100 mg</w:t>
      </w:r>
      <w:r>
        <w:rPr>
          <w:sz w:val="24"/>
        </w:rPr>
        <w:t>（</w:t>
      </w:r>
      <w:r>
        <w:rPr>
          <w:sz w:val="24"/>
        </w:rPr>
        <w:t>TNBS</w:t>
      </w:r>
      <w:r>
        <w:rPr>
          <w:sz w:val="24"/>
        </w:rPr>
        <w:t>－</w:t>
      </w:r>
      <w:r>
        <w:rPr>
          <w:sz w:val="24"/>
        </w:rPr>
        <w:t>50 %</w:t>
      </w:r>
      <w:r>
        <w:rPr>
          <w:sz w:val="24"/>
        </w:rPr>
        <w:t>乙醇溶液）的用量将针管（事先磨平，除去尖端）插入肛门上端</w:t>
      </w:r>
      <w:r>
        <w:rPr>
          <w:sz w:val="24"/>
        </w:rPr>
        <w:t>2 mm</w:t>
      </w:r>
      <w:r>
        <w:rPr>
          <w:sz w:val="24"/>
        </w:rPr>
        <w:t>进行灌注。肛门插管后，鱼头朝下放置</w:t>
      </w:r>
      <w:r>
        <w:rPr>
          <w:sz w:val="24"/>
        </w:rPr>
        <w:t>10s</w:t>
      </w:r>
      <w:r>
        <w:rPr>
          <w:sz w:val="24"/>
        </w:rPr>
        <w:t>，避免灌肠漏</w:t>
      </w:r>
      <w:proofErr w:type="gramStart"/>
      <w:r>
        <w:rPr>
          <w:sz w:val="24"/>
        </w:rPr>
        <w:t>肛</w:t>
      </w:r>
      <w:proofErr w:type="gramEnd"/>
      <w:r>
        <w:rPr>
          <w:sz w:val="24"/>
        </w:rPr>
        <w:t>。每天记录</w:t>
      </w:r>
      <w:r>
        <w:rPr>
          <w:sz w:val="24"/>
        </w:rPr>
        <w:t>TNBS</w:t>
      </w:r>
      <w:r>
        <w:rPr>
          <w:sz w:val="24"/>
        </w:rPr>
        <w:t>诱导的死亡情况，计算累积死亡率。</w:t>
      </w:r>
    </w:p>
    <w:p w14:paraId="5943B063" w14:textId="77777777" w:rsidR="008F75C3" w:rsidRDefault="006614AC">
      <w:pPr>
        <w:spacing w:line="360" w:lineRule="auto"/>
        <w:ind w:firstLineChars="200" w:firstLine="480"/>
        <w:rPr>
          <w:sz w:val="24"/>
        </w:rPr>
      </w:pPr>
      <w:r>
        <w:rPr>
          <w:sz w:val="24"/>
        </w:rPr>
        <w:t>累积死亡率（</w:t>
      </w:r>
      <w:r>
        <w:rPr>
          <w:sz w:val="24"/>
        </w:rPr>
        <w:t>%</w:t>
      </w:r>
      <w:r>
        <w:rPr>
          <w:sz w:val="24"/>
        </w:rPr>
        <w:t>）</w:t>
      </w:r>
      <w:r>
        <w:rPr>
          <w:sz w:val="24"/>
        </w:rPr>
        <w:t>=</w:t>
      </w:r>
      <w:r>
        <w:rPr>
          <w:sz w:val="24"/>
        </w:rPr>
        <w:t>（</w:t>
      </w:r>
      <w:r>
        <w:rPr>
          <w:sz w:val="24"/>
        </w:rPr>
        <w:t>Nd /</w:t>
      </w:r>
      <w:proofErr w:type="spellStart"/>
      <w:r>
        <w:rPr>
          <w:sz w:val="24"/>
        </w:rPr>
        <w:t>Nt</w:t>
      </w:r>
      <w:proofErr w:type="spellEnd"/>
      <w:r>
        <w:rPr>
          <w:sz w:val="24"/>
        </w:rPr>
        <w:t>）</w:t>
      </w:r>
      <w:r>
        <w:rPr>
          <w:sz w:val="24"/>
        </w:rPr>
        <w:t>×100</w:t>
      </w:r>
      <w:r>
        <w:rPr>
          <w:sz w:val="24"/>
        </w:rPr>
        <w:t>。</w:t>
      </w:r>
    </w:p>
    <w:p w14:paraId="14D2BB88" w14:textId="77777777" w:rsidR="008F75C3" w:rsidRDefault="006614AC">
      <w:pPr>
        <w:spacing w:line="360" w:lineRule="auto"/>
        <w:ind w:firstLineChars="200" w:firstLine="480"/>
        <w:rPr>
          <w:sz w:val="24"/>
        </w:rPr>
      </w:pPr>
      <w:r>
        <w:rPr>
          <w:sz w:val="24"/>
        </w:rPr>
        <w:t>式中：</w:t>
      </w:r>
      <w:r>
        <w:rPr>
          <w:sz w:val="24"/>
        </w:rPr>
        <w:t xml:space="preserve">Nd </w:t>
      </w:r>
      <w:r>
        <w:rPr>
          <w:sz w:val="24"/>
        </w:rPr>
        <w:t>为累积</w:t>
      </w:r>
      <w:proofErr w:type="gramStart"/>
      <w:r>
        <w:rPr>
          <w:sz w:val="24"/>
        </w:rPr>
        <w:t>死亡鱼数</w:t>
      </w:r>
      <w:proofErr w:type="gramEnd"/>
      <w:r>
        <w:rPr>
          <w:sz w:val="24"/>
        </w:rPr>
        <w:t xml:space="preserve">; </w:t>
      </w:r>
      <w:proofErr w:type="spellStart"/>
      <w:r>
        <w:rPr>
          <w:sz w:val="24"/>
        </w:rPr>
        <w:t>Nt</w:t>
      </w:r>
      <w:proofErr w:type="spellEnd"/>
      <w:r>
        <w:rPr>
          <w:sz w:val="24"/>
        </w:rPr>
        <w:t xml:space="preserve"> </w:t>
      </w:r>
      <w:r>
        <w:rPr>
          <w:sz w:val="24"/>
        </w:rPr>
        <w:t>为</w:t>
      </w:r>
      <w:proofErr w:type="gramStart"/>
      <w:r>
        <w:rPr>
          <w:sz w:val="24"/>
        </w:rPr>
        <w:t>初始鱼数</w:t>
      </w:r>
      <w:proofErr w:type="gramEnd"/>
      <w:r>
        <w:rPr>
          <w:sz w:val="24"/>
        </w:rPr>
        <w:t>。</w:t>
      </w:r>
    </w:p>
    <w:p w14:paraId="737103A8" w14:textId="77777777" w:rsidR="008F75C3" w:rsidRDefault="006614AC">
      <w:pPr>
        <w:spacing w:line="360" w:lineRule="auto"/>
        <w:ind w:firstLineChars="200" w:firstLine="480"/>
        <w:rPr>
          <w:sz w:val="24"/>
        </w:rPr>
      </w:pPr>
      <w:r>
        <w:rPr>
          <w:sz w:val="24"/>
        </w:rPr>
        <w:t>TNB</w:t>
      </w:r>
      <w:r>
        <w:rPr>
          <w:sz w:val="24"/>
        </w:rPr>
        <w:t>S</w:t>
      </w:r>
      <w:r>
        <w:rPr>
          <w:sz w:val="24"/>
        </w:rPr>
        <w:t>诱导处理后的第</w:t>
      </w:r>
      <w:r>
        <w:rPr>
          <w:sz w:val="24"/>
        </w:rPr>
        <w:t>3</w:t>
      </w:r>
      <w:r>
        <w:rPr>
          <w:sz w:val="24"/>
        </w:rPr>
        <w:t>天，所有鱼禁食</w:t>
      </w:r>
      <w:r>
        <w:rPr>
          <w:sz w:val="24"/>
        </w:rPr>
        <w:t>24h</w:t>
      </w:r>
      <w:r>
        <w:rPr>
          <w:sz w:val="24"/>
        </w:rPr>
        <w:t>，于每个养殖桶随机选取</w:t>
      </w:r>
      <w:r>
        <w:rPr>
          <w:sz w:val="24"/>
        </w:rPr>
        <w:t>9</w:t>
      </w:r>
      <w:r>
        <w:rPr>
          <w:sz w:val="24"/>
        </w:rPr>
        <w:t>尾试验鱼，用</w:t>
      </w:r>
      <w:r>
        <w:rPr>
          <w:sz w:val="24"/>
        </w:rPr>
        <w:t>200 mg/L MS-222</w:t>
      </w:r>
      <w:r>
        <w:rPr>
          <w:sz w:val="24"/>
        </w:rPr>
        <w:t>迅速麻醉。每个重复随机选取</w:t>
      </w:r>
      <w:r>
        <w:rPr>
          <w:sz w:val="24"/>
        </w:rPr>
        <w:t>3</w:t>
      </w:r>
      <w:r>
        <w:rPr>
          <w:sz w:val="24"/>
        </w:rPr>
        <w:t>尾鱼的后肠，</w:t>
      </w:r>
      <w:r>
        <w:rPr>
          <w:sz w:val="24"/>
        </w:rPr>
        <w:t>10 %</w:t>
      </w:r>
      <w:r>
        <w:rPr>
          <w:sz w:val="24"/>
        </w:rPr>
        <w:t>甲醛固定，用于肠道组织学观察；剩下的试验</w:t>
      </w:r>
      <w:proofErr w:type="gramStart"/>
      <w:r>
        <w:rPr>
          <w:sz w:val="24"/>
        </w:rPr>
        <w:t>鱼取全肠</w:t>
      </w:r>
      <w:proofErr w:type="gramEnd"/>
      <w:r>
        <w:rPr>
          <w:sz w:val="24"/>
        </w:rPr>
        <w:t>放入无菌管中，－</w:t>
      </w:r>
      <w:r>
        <w:rPr>
          <w:sz w:val="24"/>
        </w:rPr>
        <w:t>80 ℃</w:t>
      </w:r>
      <w:r>
        <w:rPr>
          <w:sz w:val="24"/>
        </w:rPr>
        <w:t>保存，用于肠道免疫和抗氧</w:t>
      </w:r>
      <w:proofErr w:type="gramStart"/>
      <w:r>
        <w:rPr>
          <w:sz w:val="24"/>
        </w:rPr>
        <w:t>化指标</w:t>
      </w:r>
      <w:proofErr w:type="gramEnd"/>
      <w:r>
        <w:rPr>
          <w:sz w:val="24"/>
        </w:rPr>
        <w:t>以及炎性因子表达测定。</w:t>
      </w:r>
    </w:p>
    <w:p w14:paraId="51A62729" w14:textId="77777777" w:rsidR="008F75C3" w:rsidRDefault="006614AC">
      <w:pPr>
        <w:spacing w:line="360" w:lineRule="auto"/>
        <w:rPr>
          <w:sz w:val="24"/>
        </w:rPr>
      </w:pPr>
      <w:r>
        <w:rPr>
          <w:sz w:val="24"/>
        </w:rPr>
        <w:t xml:space="preserve">1.3  </w:t>
      </w:r>
      <w:r>
        <w:rPr>
          <w:sz w:val="24"/>
        </w:rPr>
        <w:t>肠道组织形态观察</w:t>
      </w:r>
    </w:p>
    <w:p w14:paraId="6E3935B8" w14:textId="77777777" w:rsidR="008F75C3" w:rsidRDefault="006614AC">
      <w:pPr>
        <w:spacing w:line="360" w:lineRule="auto"/>
        <w:ind w:firstLineChars="200" w:firstLine="480"/>
        <w:rPr>
          <w:sz w:val="24"/>
        </w:rPr>
      </w:pPr>
      <w:r>
        <w:rPr>
          <w:sz w:val="24"/>
        </w:rPr>
        <w:t>肠道标本用生理盐水冲洗，</w:t>
      </w:r>
      <w:r>
        <w:rPr>
          <w:sz w:val="24"/>
        </w:rPr>
        <w:t>4 %</w:t>
      </w:r>
      <w:r>
        <w:rPr>
          <w:sz w:val="24"/>
        </w:rPr>
        <w:t>多聚甲醛固定，组织病理学标本经梯度脱水后石蜡包埋，</w:t>
      </w:r>
      <w:r>
        <w:rPr>
          <w:sz w:val="24"/>
        </w:rPr>
        <w:t xml:space="preserve">4 </w:t>
      </w:r>
      <w:proofErr w:type="spellStart"/>
      <w:r>
        <w:rPr>
          <w:sz w:val="24"/>
        </w:rPr>
        <w:t>μm</w:t>
      </w:r>
      <w:proofErr w:type="spellEnd"/>
      <w:r>
        <w:rPr>
          <w:sz w:val="24"/>
        </w:rPr>
        <w:t>切片，进行苏木精－伊红（</w:t>
      </w:r>
      <w:r>
        <w:rPr>
          <w:sz w:val="24"/>
        </w:rPr>
        <w:t>HE</w:t>
      </w:r>
      <w:r>
        <w:rPr>
          <w:sz w:val="24"/>
        </w:rPr>
        <w:t>）染色，封片后自然风干。采用倒置荧光显微镜（</w:t>
      </w:r>
      <w:r>
        <w:rPr>
          <w:sz w:val="24"/>
        </w:rPr>
        <w:t xml:space="preserve">Nikon Eclipse </w:t>
      </w:r>
      <w:proofErr w:type="spellStart"/>
      <w:r>
        <w:rPr>
          <w:sz w:val="24"/>
        </w:rPr>
        <w:t>Ti</w:t>
      </w:r>
      <w:proofErr w:type="spellEnd"/>
      <w:r>
        <w:rPr>
          <w:sz w:val="24"/>
        </w:rPr>
        <w:t>-S</w:t>
      </w:r>
      <w:r>
        <w:rPr>
          <w:sz w:val="24"/>
        </w:rPr>
        <w:t>，</w:t>
      </w:r>
      <w:r>
        <w:rPr>
          <w:sz w:val="24"/>
        </w:rPr>
        <w:t>Niko</w:t>
      </w:r>
      <w:r>
        <w:rPr>
          <w:sz w:val="24"/>
        </w:rPr>
        <w:t>n Instruments Inc</w:t>
      </w:r>
      <w:r>
        <w:rPr>
          <w:sz w:val="24"/>
        </w:rPr>
        <w:t>，日本）进行图像采集，所观察切片先于低倍镜下观察，选择合适区域在高倍镜下采集图片。用</w:t>
      </w:r>
      <w:r>
        <w:rPr>
          <w:sz w:val="24"/>
        </w:rPr>
        <w:t>Image Pro Plus</w:t>
      </w:r>
      <w:r>
        <w:rPr>
          <w:sz w:val="24"/>
        </w:rPr>
        <w:t>软件对绒毛根数、高度和宽度及肌层厚度等数据进行测定。</w:t>
      </w:r>
    </w:p>
    <w:p w14:paraId="23CECE47" w14:textId="77777777" w:rsidR="008F75C3" w:rsidRDefault="006614AC">
      <w:pPr>
        <w:spacing w:line="360" w:lineRule="auto"/>
        <w:rPr>
          <w:sz w:val="24"/>
        </w:rPr>
      </w:pPr>
      <w:r>
        <w:rPr>
          <w:sz w:val="24"/>
        </w:rPr>
        <w:t xml:space="preserve">1.4  </w:t>
      </w:r>
      <w:r>
        <w:rPr>
          <w:sz w:val="24"/>
        </w:rPr>
        <w:t>肠道生化指标检测</w:t>
      </w:r>
    </w:p>
    <w:p w14:paraId="4FCC4C23" w14:textId="77777777" w:rsidR="008F75C3" w:rsidRDefault="006614AC">
      <w:pPr>
        <w:spacing w:line="360" w:lineRule="auto"/>
        <w:ind w:firstLineChars="200" w:firstLine="480"/>
        <w:rPr>
          <w:sz w:val="24"/>
        </w:rPr>
      </w:pPr>
      <w:r>
        <w:rPr>
          <w:sz w:val="24"/>
        </w:rPr>
        <w:t>将－</w:t>
      </w:r>
      <w:r>
        <w:rPr>
          <w:sz w:val="24"/>
        </w:rPr>
        <w:t>80 ℃</w:t>
      </w:r>
      <w:r>
        <w:rPr>
          <w:sz w:val="24"/>
        </w:rPr>
        <w:t>保存的肠道组织置于冰上进行解冻，按照试剂盒说明书</w:t>
      </w:r>
      <w:proofErr w:type="gramStart"/>
      <w:r>
        <w:rPr>
          <w:sz w:val="24"/>
        </w:rPr>
        <w:t>往组织</w:t>
      </w:r>
      <w:proofErr w:type="gramEnd"/>
      <w:r>
        <w:rPr>
          <w:sz w:val="24"/>
        </w:rPr>
        <w:t>中加入适量的组织匀浆液，在</w:t>
      </w:r>
      <w:r>
        <w:rPr>
          <w:sz w:val="24"/>
        </w:rPr>
        <w:t>1.5 mL</w:t>
      </w:r>
      <w:r>
        <w:rPr>
          <w:sz w:val="24"/>
        </w:rPr>
        <w:t>离心管中使用碾磨</w:t>
      </w:r>
      <w:proofErr w:type="gramStart"/>
      <w:r>
        <w:rPr>
          <w:sz w:val="24"/>
        </w:rPr>
        <w:t>棒充分</w:t>
      </w:r>
      <w:proofErr w:type="gramEnd"/>
      <w:r>
        <w:rPr>
          <w:sz w:val="24"/>
        </w:rPr>
        <w:t>研磨，</w:t>
      </w:r>
      <w:r>
        <w:rPr>
          <w:sz w:val="24"/>
        </w:rPr>
        <w:t>4 ℃</w:t>
      </w:r>
      <w:r>
        <w:rPr>
          <w:sz w:val="24"/>
        </w:rPr>
        <w:t>、</w:t>
      </w:r>
      <w:r>
        <w:rPr>
          <w:sz w:val="24"/>
        </w:rPr>
        <w:t>2500 r/min</w:t>
      </w:r>
      <w:r>
        <w:rPr>
          <w:sz w:val="24"/>
        </w:rPr>
        <w:t>离心</w:t>
      </w:r>
      <w:r>
        <w:rPr>
          <w:sz w:val="24"/>
        </w:rPr>
        <w:t>10 min</w:t>
      </w:r>
      <w:r>
        <w:rPr>
          <w:sz w:val="24"/>
        </w:rPr>
        <w:t>，取上清液为组织匀浆液，分装后于</w:t>
      </w:r>
      <w:r>
        <w:rPr>
          <w:sz w:val="24"/>
        </w:rPr>
        <w:t>4 ℃</w:t>
      </w:r>
      <w:r>
        <w:rPr>
          <w:sz w:val="24"/>
        </w:rPr>
        <w:t>冰箱暂存。利用分光光度计或酶标仪测定肠道免疫和抗氧化指标。所用试剂</w:t>
      </w:r>
      <w:proofErr w:type="gramStart"/>
      <w:r>
        <w:rPr>
          <w:sz w:val="24"/>
        </w:rPr>
        <w:t>盒均</w:t>
      </w:r>
      <w:r>
        <w:rPr>
          <w:sz w:val="24"/>
        </w:rPr>
        <w:t>购</w:t>
      </w:r>
      <w:proofErr w:type="gramEnd"/>
      <w:r>
        <w:rPr>
          <w:sz w:val="24"/>
        </w:rPr>
        <w:t>自南京建成生物工程研究所。</w:t>
      </w:r>
    </w:p>
    <w:p w14:paraId="6B91CC74" w14:textId="77777777" w:rsidR="008F75C3" w:rsidRDefault="006614AC">
      <w:pPr>
        <w:spacing w:line="360" w:lineRule="auto"/>
        <w:rPr>
          <w:sz w:val="24"/>
        </w:rPr>
      </w:pPr>
      <w:r>
        <w:rPr>
          <w:sz w:val="24"/>
        </w:rPr>
        <w:t xml:space="preserve">1.5  </w:t>
      </w:r>
      <w:r>
        <w:rPr>
          <w:sz w:val="24"/>
        </w:rPr>
        <w:t>肠道炎性因子表达测定</w:t>
      </w:r>
    </w:p>
    <w:p w14:paraId="535D7401" w14:textId="77777777" w:rsidR="008F75C3" w:rsidRDefault="006614AC">
      <w:pPr>
        <w:spacing w:line="360" w:lineRule="auto"/>
        <w:ind w:firstLineChars="200" w:firstLine="480"/>
        <w:rPr>
          <w:sz w:val="24"/>
        </w:rPr>
      </w:pPr>
      <w:r>
        <w:rPr>
          <w:sz w:val="24"/>
        </w:rPr>
        <w:t>将肠道组织放入研钵内，每次加入</w:t>
      </w:r>
      <w:r>
        <w:rPr>
          <w:sz w:val="24"/>
        </w:rPr>
        <w:t>15mL</w:t>
      </w:r>
      <w:r>
        <w:rPr>
          <w:sz w:val="24"/>
        </w:rPr>
        <w:t>的液氮，将组织敲碎，用棒研磨至粉末。用</w:t>
      </w:r>
      <w:proofErr w:type="spellStart"/>
      <w:r>
        <w:rPr>
          <w:sz w:val="24"/>
        </w:rPr>
        <w:t>Trizol</w:t>
      </w:r>
      <w:proofErr w:type="spellEnd"/>
      <w:r>
        <w:rPr>
          <w:sz w:val="24"/>
        </w:rPr>
        <w:t>法（</w:t>
      </w:r>
      <w:proofErr w:type="spellStart"/>
      <w:r>
        <w:rPr>
          <w:sz w:val="24"/>
        </w:rPr>
        <w:t>TaKaRa</w:t>
      </w:r>
      <w:proofErr w:type="spellEnd"/>
      <w:r>
        <w:rPr>
          <w:sz w:val="24"/>
        </w:rPr>
        <w:t>，日本）从肠道组织中提取出总</w:t>
      </w:r>
      <w:r>
        <w:rPr>
          <w:sz w:val="24"/>
        </w:rPr>
        <w:t>RNA</w:t>
      </w:r>
      <w:r>
        <w:rPr>
          <w:sz w:val="24"/>
        </w:rPr>
        <w:t>。用</w:t>
      </w:r>
      <w:r>
        <w:rPr>
          <w:sz w:val="24"/>
        </w:rPr>
        <w:t>1 %</w:t>
      </w:r>
      <w:r>
        <w:rPr>
          <w:sz w:val="24"/>
        </w:rPr>
        <w:t>琼脂糖聚丙烯酰胺凝胶电泳和</w:t>
      </w:r>
      <w:r>
        <w:rPr>
          <w:sz w:val="24"/>
        </w:rPr>
        <w:t>NanoDrop1000</w:t>
      </w:r>
      <w:r>
        <w:rPr>
          <w:sz w:val="24"/>
        </w:rPr>
        <w:t>分光光度计（</w:t>
      </w:r>
      <w:r>
        <w:rPr>
          <w:sz w:val="24"/>
        </w:rPr>
        <w:t>Thermo Scientific</w:t>
      </w:r>
      <w:r>
        <w:rPr>
          <w:sz w:val="24"/>
        </w:rPr>
        <w:t>，美国）检测</w:t>
      </w:r>
      <w:r>
        <w:rPr>
          <w:sz w:val="24"/>
        </w:rPr>
        <w:t>RNA</w:t>
      </w:r>
      <w:r>
        <w:rPr>
          <w:sz w:val="24"/>
        </w:rPr>
        <w:t>的完整性和浓度。根据说明书，使用试剂盒（产品编号</w:t>
      </w:r>
      <w:r>
        <w:rPr>
          <w:sz w:val="24"/>
        </w:rPr>
        <w:t>RR047A</w:t>
      </w:r>
      <w:r>
        <w:rPr>
          <w:sz w:val="24"/>
        </w:rPr>
        <w:t>，</w:t>
      </w:r>
      <w:proofErr w:type="spellStart"/>
      <w:r>
        <w:rPr>
          <w:sz w:val="24"/>
        </w:rPr>
        <w:t>TaKaRa</w:t>
      </w:r>
      <w:proofErr w:type="spellEnd"/>
      <w:r>
        <w:rPr>
          <w:sz w:val="24"/>
        </w:rPr>
        <w:t>）合成第</w:t>
      </w:r>
      <w:r>
        <w:rPr>
          <w:sz w:val="24"/>
        </w:rPr>
        <w:t>1</w:t>
      </w:r>
      <w:r>
        <w:rPr>
          <w:sz w:val="24"/>
        </w:rPr>
        <w:t>链</w:t>
      </w:r>
      <w:r>
        <w:rPr>
          <w:sz w:val="24"/>
        </w:rPr>
        <w:t>cDNA</w:t>
      </w:r>
      <w:r>
        <w:rPr>
          <w:sz w:val="24"/>
        </w:rPr>
        <w:t>。逆转录方案：</w:t>
      </w:r>
      <w:r>
        <w:rPr>
          <w:sz w:val="24"/>
        </w:rPr>
        <w:t>37 ℃</w:t>
      </w:r>
      <w:r>
        <w:rPr>
          <w:sz w:val="24"/>
        </w:rPr>
        <w:t>进行</w:t>
      </w:r>
      <w:r>
        <w:rPr>
          <w:sz w:val="24"/>
        </w:rPr>
        <w:t>15 min</w:t>
      </w:r>
      <w:r>
        <w:rPr>
          <w:sz w:val="24"/>
        </w:rPr>
        <w:t>；</w:t>
      </w:r>
      <w:r>
        <w:rPr>
          <w:sz w:val="24"/>
        </w:rPr>
        <w:t>85 ℃</w:t>
      </w:r>
      <w:r>
        <w:rPr>
          <w:sz w:val="24"/>
        </w:rPr>
        <w:t>持续</w:t>
      </w:r>
      <w:r>
        <w:rPr>
          <w:sz w:val="24"/>
        </w:rPr>
        <w:t>5s</w:t>
      </w:r>
      <w:r>
        <w:rPr>
          <w:sz w:val="24"/>
        </w:rPr>
        <w:t>。根据本课题组已发表文献</w:t>
      </w:r>
      <w:r>
        <w:rPr>
          <w:sz w:val="24"/>
          <w:vertAlign w:val="superscript"/>
        </w:rPr>
        <w:t>[5</w:t>
      </w:r>
      <w:r>
        <w:rPr>
          <w:sz w:val="24"/>
          <w:vertAlign w:val="superscript"/>
        </w:rPr>
        <w:t>，</w:t>
      </w:r>
      <w:r>
        <w:rPr>
          <w:sz w:val="24"/>
          <w:vertAlign w:val="superscript"/>
        </w:rPr>
        <w:t>17]</w:t>
      </w:r>
      <w:r>
        <w:rPr>
          <w:sz w:val="24"/>
        </w:rPr>
        <w:t>，</w:t>
      </w:r>
      <w:r>
        <w:rPr>
          <w:sz w:val="24"/>
        </w:rPr>
        <w:t>并结合本课题组测定的大</w:t>
      </w:r>
      <w:r>
        <w:rPr>
          <w:sz w:val="24"/>
        </w:rPr>
        <w:lastRenderedPageBreak/>
        <w:t>口黑鲈基因组中的白细胞介素－</w:t>
      </w:r>
      <w:r>
        <w:rPr>
          <w:sz w:val="24"/>
        </w:rPr>
        <w:t>1β</w:t>
      </w:r>
      <w:r>
        <w:rPr>
          <w:sz w:val="24"/>
        </w:rPr>
        <w:t>（</w:t>
      </w:r>
      <w:r>
        <w:rPr>
          <w:sz w:val="24"/>
        </w:rPr>
        <w:t>IL-1β</w:t>
      </w:r>
      <w:r>
        <w:rPr>
          <w:sz w:val="24"/>
        </w:rPr>
        <w:t>）、白细胞介素－</w:t>
      </w:r>
      <w:r>
        <w:rPr>
          <w:sz w:val="24"/>
        </w:rPr>
        <w:t>8</w:t>
      </w:r>
      <w:r>
        <w:rPr>
          <w:sz w:val="24"/>
        </w:rPr>
        <w:t>（</w:t>
      </w:r>
      <w:r>
        <w:rPr>
          <w:sz w:val="24"/>
        </w:rPr>
        <w:t>IL-8</w:t>
      </w:r>
      <w:r>
        <w:rPr>
          <w:sz w:val="24"/>
        </w:rPr>
        <w:t>）、白细胞介素－</w:t>
      </w:r>
      <w:r>
        <w:rPr>
          <w:sz w:val="24"/>
        </w:rPr>
        <w:t>10</w:t>
      </w:r>
      <w:r>
        <w:rPr>
          <w:sz w:val="24"/>
        </w:rPr>
        <w:t>（</w:t>
      </w:r>
      <w:r>
        <w:rPr>
          <w:sz w:val="24"/>
        </w:rPr>
        <w:t>IL-10</w:t>
      </w:r>
      <w:r>
        <w:rPr>
          <w:sz w:val="24"/>
        </w:rPr>
        <w:t>）、白细胞介素－</w:t>
      </w:r>
      <w:r>
        <w:rPr>
          <w:sz w:val="24"/>
        </w:rPr>
        <w:t>15</w:t>
      </w:r>
      <w:r>
        <w:rPr>
          <w:sz w:val="24"/>
        </w:rPr>
        <w:t>（</w:t>
      </w:r>
      <w:r>
        <w:rPr>
          <w:sz w:val="24"/>
        </w:rPr>
        <w:t>IL-15</w:t>
      </w:r>
      <w:r>
        <w:rPr>
          <w:sz w:val="24"/>
        </w:rPr>
        <w:t>）、肿瘤坏死因子－</w:t>
      </w:r>
      <w:r>
        <w:rPr>
          <w:sz w:val="24"/>
        </w:rPr>
        <w:t>α</w:t>
      </w:r>
      <w:r>
        <w:rPr>
          <w:sz w:val="24"/>
        </w:rPr>
        <w:t>（</w:t>
      </w:r>
      <w:r>
        <w:rPr>
          <w:sz w:val="24"/>
        </w:rPr>
        <w:t>TNF-α</w:t>
      </w:r>
      <w:r>
        <w:rPr>
          <w:sz w:val="24"/>
        </w:rPr>
        <w:t>）、转化生长因子－</w:t>
      </w:r>
      <w:r>
        <w:rPr>
          <w:sz w:val="24"/>
        </w:rPr>
        <w:t>β1</w:t>
      </w:r>
      <w:r>
        <w:rPr>
          <w:sz w:val="24"/>
        </w:rPr>
        <w:t>（</w:t>
      </w:r>
      <w:r>
        <w:rPr>
          <w:sz w:val="24"/>
        </w:rPr>
        <w:t>TGF-β1</w:t>
      </w:r>
      <w:r>
        <w:rPr>
          <w:sz w:val="24"/>
        </w:rPr>
        <w:t>）基因的编码序列设计</w:t>
      </w:r>
      <w:r>
        <w:rPr>
          <w:sz w:val="24"/>
        </w:rPr>
        <w:t>PCR</w:t>
      </w:r>
      <w:r>
        <w:rPr>
          <w:sz w:val="24"/>
        </w:rPr>
        <w:t>引物（表</w:t>
      </w:r>
      <w:r>
        <w:rPr>
          <w:sz w:val="24"/>
        </w:rPr>
        <w:t>2</w:t>
      </w:r>
      <w:r>
        <w:rPr>
          <w:sz w:val="24"/>
        </w:rPr>
        <w:t>），并以</w:t>
      </w:r>
      <w:r>
        <w:rPr>
          <w:sz w:val="24"/>
        </w:rPr>
        <w:t>β</w:t>
      </w:r>
      <w:r>
        <w:rPr>
          <w:sz w:val="24"/>
        </w:rPr>
        <w:t>－肌动蛋白（</w:t>
      </w:r>
      <w:r>
        <w:rPr>
          <w:sz w:val="24"/>
        </w:rPr>
        <w:t>β-actin</w:t>
      </w:r>
      <w:r>
        <w:rPr>
          <w:sz w:val="24"/>
        </w:rPr>
        <w:t>）作为内参基因。</w:t>
      </w:r>
      <w:r>
        <w:rPr>
          <w:sz w:val="24"/>
        </w:rPr>
        <w:t>PCR</w:t>
      </w:r>
      <w:r>
        <w:rPr>
          <w:sz w:val="24"/>
        </w:rPr>
        <w:t>程序：</w:t>
      </w:r>
      <w:r>
        <w:rPr>
          <w:sz w:val="24"/>
        </w:rPr>
        <w:t>95 ℃</w:t>
      </w:r>
      <w:r>
        <w:rPr>
          <w:sz w:val="24"/>
        </w:rPr>
        <w:t>，</w:t>
      </w:r>
      <w:r>
        <w:rPr>
          <w:sz w:val="24"/>
        </w:rPr>
        <w:t>3 min</w:t>
      </w:r>
      <w:r>
        <w:rPr>
          <w:sz w:val="24"/>
        </w:rPr>
        <w:t>；</w:t>
      </w:r>
      <w:r>
        <w:rPr>
          <w:sz w:val="24"/>
        </w:rPr>
        <w:t>95 ℃</w:t>
      </w:r>
      <w:r>
        <w:rPr>
          <w:sz w:val="24"/>
        </w:rPr>
        <w:t>，</w:t>
      </w:r>
      <w:r>
        <w:rPr>
          <w:sz w:val="24"/>
        </w:rPr>
        <w:t>30s</w:t>
      </w:r>
      <w:r>
        <w:rPr>
          <w:sz w:val="24"/>
        </w:rPr>
        <w:t>，</w:t>
      </w:r>
      <w:r>
        <w:rPr>
          <w:sz w:val="24"/>
        </w:rPr>
        <w:t>62 ℃</w:t>
      </w:r>
      <w:r>
        <w:rPr>
          <w:sz w:val="24"/>
        </w:rPr>
        <w:t>，</w:t>
      </w:r>
      <w:r>
        <w:rPr>
          <w:sz w:val="24"/>
        </w:rPr>
        <w:t>30s</w:t>
      </w:r>
      <w:r>
        <w:rPr>
          <w:sz w:val="24"/>
        </w:rPr>
        <w:t>，循环</w:t>
      </w:r>
      <w:r>
        <w:rPr>
          <w:sz w:val="24"/>
        </w:rPr>
        <w:t>39</w:t>
      </w:r>
      <w:r>
        <w:rPr>
          <w:sz w:val="24"/>
        </w:rPr>
        <w:t>次；</w:t>
      </w:r>
      <w:r>
        <w:rPr>
          <w:sz w:val="24"/>
        </w:rPr>
        <w:t>72 ℃</w:t>
      </w:r>
      <w:r>
        <w:rPr>
          <w:sz w:val="24"/>
        </w:rPr>
        <w:t>，</w:t>
      </w:r>
      <w:r>
        <w:rPr>
          <w:sz w:val="24"/>
        </w:rPr>
        <w:t>60s</w:t>
      </w:r>
      <w:r>
        <w:rPr>
          <w:sz w:val="24"/>
        </w:rPr>
        <w:t>。以二乙基焦碳酸酯（</w:t>
      </w:r>
      <w:r>
        <w:rPr>
          <w:sz w:val="24"/>
        </w:rPr>
        <w:t>DEPC</w:t>
      </w:r>
      <w:r>
        <w:rPr>
          <w:sz w:val="24"/>
        </w:rPr>
        <w:t>）水作为阴性对照的模板，每个反应包括</w:t>
      </w:r>
      <w:r>
        <w:rPr>
          <w:sz w:val="24"/>
        </w:rPr>
        <w:t>3</w:t>
      </w:r>
      <w:r>
        <w:rPr>
          <w:sz w:val="24"/>
        </w:rPr>
        <w:t>个技术重复，以避免误差。</w:t>
      </w:r>
    </w:p>
    <w:p w14:paraId="43381990" w14:textId="77777777" w:rsidR="008F75C3" w:rsidRDefault="006614AC">
      <w:pPr>
        <w:spacing w:line="360" w:lineRule="auto"/>
        <w:ind w:firstLineChars="200" w:firstLine="420"/>
        <w:jc w:val="center"/>
        <w:rPr>
          <w:sz w:val="24"/>
        </w:rPr>
      </w:pPr>
      <w:r>
        <w:rPr>
          <w:noProof/>
        </w:rPr>
        <w:drawing>
          <wp:inline distT="0" distB="0" distL="0" distR="0" wp14:anchorId="1717B05A" wp14:editId="02D517B5">
            <wp:extent cx="2753995" cy="1463040"/>
            <wp:effectExtent l="0" t="0" r="8255" b="3810"/>
            <wp:docPr id="12" name="图片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图片 12"/>
                    <pic:cNvPicPr>
                      <a:picLocks noChangeAspect="1"/>
                    </pic:cNvPicPr>
                  </pic:nvPicPr>
                  <pic:blipFill>
                    <a:blip r:embed="rId28"/>
                    <a:stretch>
                      <a:fillRect/>
                    </a:stretch>
                  </pic:blipFill>
                  <pic:spPr>
                    <a:xfrm>
                      <a:off x="0" y="0"/>
                      <a:ext cx="2753995" cy="1463040"/>
                    </a:xfrm>
                    <a:prstGeom prst="rect">
                      <a:avLst/>
                    </a:prstGeom>
                  </pic:spPr>
                </pic:pic>
              </a:graphicData>
            </a:graphic>
          </wp:inline>
        </w:drawing>
      </w:r>
    </w:p>
    <w:p w14:paraId="5A3982ED" w14:textId="77777777" w:rsidR="008F75C3" w:rsidRDefault="006614AC">
      <w:pPr>
        <w:spacing w:line="360" w:lineRule="auto"/>
        <w:rPr>
          <w:sz w:val="24"/>
        </w:rPr>
      </w:pPr>
      <w:r>
        <w:rPr>
          <w:sz w:val="24"/>
        </w:rPr>
        <w:t>1.</w:t>
      </w:r>
      <w:r>
        <w:rPr>
          <w:sz w:val="24"/>
        </w:rPr>
        <w:t xml:space="preserve">6  </w:t>
      </w:r>
      <w:r>
        <w:rPr>
          <w:sz w:val="24"/>
        </w:rPr>
        <w:t>数据分析</w:t>
      </w:r>
    </w:p>
    <w:p w14:paraId="6B60A13A" w14:textId="77777777" w:rsidR="008F75C3" w:rsidRDefault="006614AC">
      <w:pPr>
        <w:spacing w:line="360" w:lineRule="auto"/>
        <w:ind w:firstLineChars="200" w:firstLine="480"/>
        <w:rPr>
          <w:sz w:val="24"/>
        </w:rPr>
      </w:pPr>
      <w:r>
        <w:rPr>
          <w:sz w:val="24"/>
        </w:rPr>
        <w:t>数据均采用单因素方差分析。在分析之前，检查数据的</w:t>
      </w:r>
      <w:proofErr w:type="gramStart"/>
      <w:r>
        <w:rPr>
          <w:sz w:val="24"/>
        </w:rPr>
        <w:t>正态性和</w:t>
      </w:r>
      <w:proofErr w:type="gramEnd"/>
      <w:r>
        <w:rPr>
          <w:sz w:val="24"/>
        </w:rPr>
        <w:t>等方差。采用</w:t>
      </w:r>
      <w:r>
        <w:rPr>
          <w:sz w:val="24"/>
        </w:rPr>
        <w:t>Bonferroni POST</w:t>
      </w:r>
      <w:r>
        <w:rPr>
          <w:sz w:val="24"/>
        </w:rPr>
        <w:t>检验，找出</w:t>
      </w:r>
      <w:r>
        <w:rPr>
          <w:sz w:val="24"/>
        </w:rPr>
        <w:t>3</w:t>
      </w:r>
      <w:r>
        <w:rPr>
          <w:sz w:val="24"/>
        </w:rPr>
        <w:t>组在某一特定因素上的显著差异。使用</w:t>
      </w:r>
      <w:r>
        <w:rPr>
          <w:sz w:val="24"/>
        </w:rPr>
        <w:t>GraphPad Prism6</w:t>
      </w:r>
      <w:r>
        <w:rPr>
          <w:sz w:val="24"/>
        </w:rPr>
        <w:t>进行数据分析。</w:t>
      </w:r>
      <w:r>
        <w:rPr>
          <w:i/>
          <w:iCs/>
          <w:sz w:val="24"/>
        </w:rPr>
        <w:t>P</w:t>
      </w:r>
      <w:r>
        <w:rPr>
          <w:sz w:val="24"/>
        </w:rPr>
        <w:t>＜</w:t>
      </w:r>
      <w:r>
        <w:rPr>
          <w:sz w:val="24"/>
        </w:rPr>
        <w:t>0.05</w:t>
      </w:r>
      <w:r>
        <w:rPr>
          <w:sz w:val="24"/>
        </w:rPr>
        <w:t>时，差异有统计学意义。</w:t>
      </w:r>
    </w:p>
    <w:p w14:paraId="751613D2" w14:textId="77777777" w:rsidR="008F75C3" w:rsidRDefault="006614AC">
      <w:pPr>
        <w:spacing w:line="360" w:lineRule="auto"/>
        <w:rPr>
          <w:sz w:val="24"/>
        </w:rPr>
      </w:pPr>
      <w:r>
        <w:rPr>
          <w:sz w:val="24"/>
        </w:rPr>
        <w:t xml:space="preserve">2  </w:t>
      </w:r>
      <w:r>
        <w:rPr>
          <w:sz w:val="24"/>
        </w:rPr>
        <w:t>结果与分析</w:t>
      </w:r>
    </w:p>
    <w:p w14:paraId="6B0352E7" w14:textId="77777777" w:rsidR="008F75C3" w:rsidRDefault="006614AC">
      <w:pPr>
        <w:spacing w:line="360" w:lineRule="auto"/>
        <w:rPr>
          <w:sz w:val="24"/>
        </w:rPr>
      </w:pPr>
      <w:r>
        <w:rPr>
          <w:sz w:val="24"/>
        </w:rPr>
        <w:t xml:space="preserve">2.1  </w:t>
      </w:r>
      <w:r>
        <w:rPr>
          <w:sz w:val="24"/>
        </w:rPr>
        <w:t>饲料中添加枯草芽孢杆菌对大口黑鲈幼鱼生长性能的影响</w:t>
      </w:r>
    </w:p>
    <w:p w14:paraId="79904C3E" w14:textId="77777777" w:rsidR="008F75C3" w:rsidRDefault="006614AC">
      <w:pPr>
        <w:spacing w:line="360" w:lineRule="auto"/>
        <w:ind w:firstLineChars="200" w:firstLine="480"/>
        <w:rPr>
          <w:sz w:val="24"/>
        </w:rPr>
      </w:pPr>
      <w:r>
        <w:rPr>
          <w:sz w:val="24"/>
        </w:rPr>
        <w:t>饲养试验结束时，各组均未出现死亡情况，存活率均为</w:t>
      </w:r>
      <w:r>
        <w:rPr>
          <w:sz w:val="24"/>
        </w:rPr>
        <w:t>100 %</w:t>
      </w:r>
      <w:r>
        <w:rPr>
          <w:sz w:val="24"/>
        </w:rPr>
        <w:t>。由表</w:t>
      </w:r>
      <w:r>
        <w:rPr>
          <w:sz w:val="24"/>
        </w:rPr>
        <w:t>3</w:t>
      </w:r>
      <w:r>
        <w:rPr>
          <w:sz w:val="24"/>
        </w:rPr>
        <w:t>可知，经过</w:t>
      </w:r>
      <w:r>
        <w:rPr>
          <w:sz w:val="24"/>
        </w:rPr>
        <w:t>6</w:t>
      </w:r>
      <w:r>
        <w:rPr>
          <w:sz w:val="24"/>
        </w:rPr>
        <w:t>个周的饲养试验，枯草芽孢杆菌组大口</w:t>
      </w:r>
      <w:proofErr w:type="gramStart"/>
      <w:r>
        <w:rPr>
          <w:sz w:val="24"/>
        </w:rPr>
        <w:t>黑鲈的体重</w:t>
      </w:r>
      <w:proofErr w:type="gramEnd"/>
      <w:r>
        <w:rPr>
          <w:sz w:val="24"/>
        </w:rPr>
        <w:t>、增重率和特定生长率与对照组均无显著差异</w:t>
      </w:r>
      <w:r>
        <w:rPr>
          <w:sz w:val="24"/>
        </w:rPr>
        <w:t>(</w:t>
      </w:r>
      <w:r>
        <w:rPr>
          <w:i/>
          <w:iCs/>
          <w:sz w:val="24"/>
        </w:rPr>
        <w:t>P</w:t>
      </w:r>
      <w:r>
        <w:rPr>
          <w:sz w:val="24"/>
        </w:rPr>
        <w:t>＞</w:t>
      </w:r>
      <w:r>
        <w:rPr>
          <w:sz w:val="24"/>
        </w:rPr>
        <w:t>0.05)</w:t>
      </w:r>
      <w:r>
        <w:rPr>
          <w:sz w:val="24"/>
        </w:rPr>
        <w:t>。</w:t>
      </w:r>
    </w:p>
    <w:p w14:paraId="2FC9EF1E" w14:textId="77777777" w:rsidR="008F75C3" w:rsidRDefault="006614AC">
      <w:pPr>
        <w:spacing w:line="360" w:lineRule="auto"/>
        <w:ind w:firstLineChars="200" w:firstLine="480"/>
        <w:jc w:val="center"/>
        <w:rPr>
          <w:sz w:val="24"/>
        </w:rPr>
      </w:pPr>
      <w:r>
        <w:rPr>
          <w:noProof/>
          <w:sz w:val="24"/>
        </w:rPr>
        <w:drawing>
          <wp:inline distT="0" distB="0" distL="0" distR="0" wp14:anchorId="43FB3845" wp14:editId="17AA8DC8">
            <wp:extent cx="4141470" cy="2139315"/>
            <wp:effectExtent l="0" t="0" r="0" b="0"/>
            <wp:docPr id="13" name="图片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图片 13"/>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a:xfrm>
                      <a:off x="0" y="0"/>
                      <a:ext cx="4150252" cy="2144081"/>
                    </a:xfrm>
                    <a:prstGeom prst="rect">
                      <a:avLst/>
                    </a:prstGeom>
                    <a:noFill/>
                    <a:ln>
                      <a:noFill/>
                    </a:ln>
                  </pic:spPr>
                </pic:pic>
              </a:graphicData>
            </a:graphic>
          </wp:inline>
        </w:drawing>
      </w:r>
    </w:p>
    <w:p w14:paraId="70E730D4" w14:textId="77777777" w:rsidR="008F75C3" w:rsidRDefault="006614AC">
      <w:pPr>
        <w:spacing w:line="360" w:lineRule="auto"/>
        <w:rPr>
          <w:sz w:val="24"/>
        </w:rPr>
      </w:pPr>
      <w:r>
        <w:rPr>
          <w:sz w:val="24"/>
        </w:rPr>
        <w:t>2.</w:t>
      </w:r>
      <w:r>
        <w:rPr>
          <w:sz w:val="24"/>
        </w:rPr>
        <w:t xml:space="preserve">2  </w:t>
      </w:r>
      <w:r>
        <w:rPr>
          <w:sz w:val="24"/>
        </w:rPr>
        <w:t>注射</w:t>
      </w:r>
      <w:r>
        <w:rPr>
          <w:sz w:val="24"/>
        </w:rPr>
        <w:t xml:space="preserve"> TNBS </w:t>
      </w:r>
      <w:r>
        <w:rPr>
          <w:sz w:val="24"/>
        </w:rPr>
        <w:t>后大口黑鲈幼鱼的累积死亡率</w:t>
      </w:r>
    </w:p>
    <w:p w14:paraId="70493A89" w14:textId="77777777" w:rsidR="008F75C3" w:rsidRDefault="006614AC">
      <w:pPr>
        <w:spacing w:line="360" w:lineRule="auto"/>
        <w:ind w:firstLineChars="200" w:firstLine="480"/>
        <w:rPr>
          <w:sz w:val="24"/>
        </w:rPr>
      </w:pPr>
      <w:r>
        <w:rPr>
          <w:sz w:val="24"/>
        </w:rPr>
        <w:t>在本试验中，对大口黑鲈肛门灌注</w:t>
      </w:r>
      <w:r>
        <w:rPr>
          <w:sz w:val="24"/>
        </w:rPr>
        <w:t>TNBS</w:t>
      </w:r>
      <w:r>
        <w:rPr>
          <w:sz w:val="24"/>
        </w:rPr>
        <w:t>，并连续</w:t>
      </w:r>
      <w:r>
        <w:rPr>
          <w:sz w:val="24"/>
        </w:rPr>
        <w:t>3d</w:t>
      </w:r>
      <w:r>
        <w:rPr>
          <w:sz w:val="24"/>
        </w:rPr>
        <w:t>记录死亡情况。如图</w:t>
      </w:r>
      <w:r>
        <w:rPr>
          <w:sz w:val="24"/>
        </w:rPr>
        <w:t>1</w:t>
      </w:r>
      <w:r>
        <w:rPr>
          <w:sz w:val="24"/>
        </w:rPr>
        <w:t>所示，在注射</w:t>
      </w:r>
      <w:r>
        <w:rPr>
          <w:sz w:val="24"/>
        </w:rPr>
        <w:t>TNBS</w:t>
      </w:r>
      <w:r>
        <w:rPr>
          <w:sz w:val="24"/>
        </w:rPr>
        <w:t>后，对照组在第</w:t>
      </w:r>
      <w:r>
        <w:rPr>
          <w:sz w:val="24"/>
        </w:rPr>
        <w:t>1</w:t>
      </w:r>
      <w:r>
        <w:rPr>
          <w:sz w:val="24"/>
        </w:rPr>
        <w:t>天即出现死亡情况，且累积死亡率随时间的延长迅速上升，</w:t>
      </w:r>
      <w:r>
        <w:rPr>
          <w:sz w:val="24"/>
        </w:rPr>
        <w:lastRenderedPageBreak/>
        <w:t>0.5 %</w:t>
      </w:r>
      <w:r>
        <w:rPr>
          <w:sz w:val="24"/>
        </w:rPr>
        <w:t>枯草芽孢杆菌组在第</w:t>
      </w:r>
      <w:r>
        <w:rPr>
          <w:sz w:val="24"/>
        </w:rPr>
        <w:t>2</w:t>
      </w:r>
      <w:r>
        <w:rPr>
          <w:sz w:val="24"/>
        </w:rPr>
        <w:t>天出现死亡情况，而</w:t>
      </w:r>
      <w:r>
        <w:rPr>
          <w:sz w:val="24"/>
        </w:rPr>
        <w:t>1.0 %</w:t>
      </w:r>
      <w:r>
        <w:rPr>
          <w:sz w:val="24"/>
        </w:rPr>
        <w:t>枯草芽孢杆菌组在第</w:t>
      </w:r>
      <w:r>
        <w:rPr>
          <w:sz w:val="24"/>
        </w:rPr>
        <w:t>3</w:t>
      </w:r>
      <w:r>
        <w:rPr>
          <w:sz w:val="24"/>
        </w:rPr>
        <w:t>天才出现死亡情况。第</w:t>
      </w:r>
      <w:r>
        <w:rPr>
          <w:sz w:val="24"/>
        </w:rPr>
        <w:t>3</w:t>
      </w:r>
      <w:r>
        <w:rPr>
          <w:sz w:val="24"/>
        </w:rPr>
        <w:t>天时，对照组的累积死亡率为</w:t>
      </w:r>
      <w:r>
        <w:rPr>
          <w:sz w:val="24"/>
        </w:rPr>
        <w:t>33.3 %</w:t>
      </w:r>
      <w:r>
        <w:rPr>
          <w:sz w:val="24"/>
        </w:rPr>
        <w:t>，而</w:t>
      </w:r>
      <w:r>
        <w:rPr>
          <w:sz w:val="24"/>
        </w:rPr>
        <w:t>2</w:t>
      </w:r>
      <w:r>
        <w:rPr>
          <w:sz w:val="24"/>
        </w:rPr>
        <w:t>个枯草芽孢杆菌组的累积死亡率均约为</w:t>
      </w:r>
      <w:r>
        <w:rPr>
          <w:sz w:val="24"/>
        </w:rPr>
        <w:t>8.3 %</w:t>
      </w:r>
      <w:r>
        <w:rPr>
          <w:sz w:val="24"/>
        </w:rPr>
        <w:t>。</w:t>
      </w:r>
    </w:p>
    <w:p w14:paraId="44578DFC" w14:textId="77777777" w:rsidR="008F75C3" w:rsidRDefault="006614AC">
      <w:pPr>
        <w:spacing w:line="360" w:lineRule="auto"/>
        <w:ind w:firstLineChars="200" w:firstLine="480"/>
        <w:jc w:val="center"/>
        <w:rPr>
          <w:sz w:val="24"/>
        </w:rPr>
      </w:pPr>
      <w:r>
        <w:rPr>
          <w:noProof/>
          <w:sz w:val="24"/>
        </w:rPr>
        <w:drawing>
          <wp:inline distT="0" distB="0" distL="0" distR="0" wp14:anchorId="050DEC8E" wp14:editId="0238AE39">
            <wp:extent cx="2122170" cy="2013585"/>
            <wp:effectExtent l="0" t="0" r="0" b="5715"/>
            <wp:docPr id="14" name="图片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图片 14"/>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a:xfrm>
                      <a:off x="0" y="0"/>
                      <a:ext cx="2132951" cy="2024017"/>
                    </a:xfrm>
                    <a:prstGeom prst="rect">
                      <a:avLst/>
                    </a:prstGeom>
                    <a:noFill/>
                    <a:ln>
                      <a:noFill/>
                    </a:ln>
                  </pic:spPr>
                </pic:pic>
              </a:graphicData>
            </a:graphic>
          </wp:inline>
        </w:drawing>
      </w:r>
    </w:p>
    <w:p w14:paraId="6DEECBE5" w14:textId="77777777" w:rsidR="008F75C3" w:rsidRDefault="006614AC">
      <w:pPr>
        <w:spacing w:line="360" w:lineRule="auto"/>
        <w:rPr>
          <w:sz w:val="24"/>
        </w:rPr>
      </w:pPr>
      <w:r>
        <w:rPr>
          <w:sz w:val="24"/>
        </w:rPr>
        <w:t xml:space="preserve">2.3  </w:t>
      </w:r>
      <w:r>
        <w:rPr>
          <w:sz w:val="24"/>
        </w:rPr>
        <w:t>大口黑鲈幼鱼肠道形态学观察和组织病理学检查</w:t>
      </w:r>
    </w:p>
    <w:p w14:paraId="7D10F7BD" w14:textId="77777777" w:rsidR="008F75C3" w:rsidRDefault="006614AC">
      <w:pPr>
        <w:spacing w:line="360" w:lineRule="auto"/>
        <w:ind w:firstLineChars="200" w:firstLine="480"/>
        <w:rPr>
          <w:sz w:val="24"/>
        </w:rPr>
      </w:pPr>
      <w:r>
        <w:rPr>
          <w:sz w:val="24"/>
        </w:rPr>
        <w:t>大口黑鲈幼鱼中肠组织结构见图</w:t>
      </w:r>
      <w:r>
        <w:rPr>
          <w:sz w:val="24"/>
        </w:rPr>
        <w:t>2</w:t>
      </w:r>
      <w:r>
        <w:rPr>
          <w:sz w:val="24"/>
        </w:rPr>
        <w:t>，中肠绒毛特征见表</w:t>
      </w:r>
      <w:r>
        <w:rPr>
          <w:sz w:val="24"/>
        </w:rPr>
        <w:t>4</w:t>
      </w:r>
      <w:r>
        <w:rPr>
          <w:sz w:val="24"/>
        </w:rPr>
        <w:t>。对照组大口黑鲈中肠肠绒毛较为稀疏、较短，绒毛数量较少，肌层厚度较窄。而</w:t>
      </w:r>
      <w:r>
        <w:rPr>
          <w:sz w:val="24"/>
        </w:rPr>
        <w:t>2</w:t>
      </w:r>
      <w:r>
        <w:rPr>
          <w:sz w:val="24"/>
        </w:rPr>
        <w:t>个枯草芽孢杆菌组大口</w:t>
      </w:r>
      <w:proofErr w:type="gramStart"/>
      <w:r>
        <w:rPr>
          <w:sz w:val="24"/>
        </w:rPr>
        <w:t>黑鲈中肠绒毛</w:t>
      </w:r>
      <w:proofErr w:type="gramEnd"/>
      <w:r>
        <w:rPr>
          <w:sz w:val="24"/>
        </w:rPr>
        <w:t>纤长紧密、排列整齐，肠绒毛高度、数量和肌层厚度较对照组显著增加</w:t>
      </w:r>
      <w:r>
        <w:rPr>
          <w:sz w:val="24"/>
        </w:rPr>
        <w:t>(</w:t>
      </w:r>
      <w:r>
        <w:rPr>
          <w:i/>
          <w:iCs/>
          <w:sz w:val="24"/>
        </w:rPr>
        <w:t>P</w:t>
      </w:r>
      <w:r>
        <w:rPr>
          <w:sz w:val="24"/>
        </w:rPr>
        <w:t>＜</w:t>
      </w:r>
      <w:r>
        <w:rPr>
          <w:sz w:val="24"/>
        </w:rPr>
        <w:t>0.05)</w:t>
      </w:r>
      <w:r>
        <w:rPr>
          <w:sz w:val="24"/>
        </w:rPr>
        <w:t>。</w:t>
      </w:r>
    </w:p>
    <w:p w14:paraId="0EFD0F11" w14:textId="77777777" w:rsidR="008F75C3" w:rsidRDefault="006614AC">
      <w:pPr>
        <w:spacing w:line="360" w:lineRule="auto"/>
        <w:ind w:firstLineChars="200" w:firstLine="480"/>
        <w:rPr>
          <w:sz w:val="24"/>
        </w:rPr>
      </w:pPr>
      <w:r>
        <w:rPr>
          <w:sz w:val="24"/>
        </w:rPr>
        <w:t>一定剂量的</w:t>
      </w:r>
      <w:r>
        <w:rPr>
          <w:sz w:val="24"/>
        </w:rPr>
        <w:t>TNBS</w:t>
      </w:r>
      <w:r>
        <w:rPr>
          <w:sz w:val="24"/>
        </w:rPr>
        <w:t>会导致硬骨鱼的炎症和组织病理学恶化。经</w:t>
      </w:r>
      <w:r>
        <w:rPr>
          <w:sz w:val="24"/>
        </w:rPr>
        <w:t>TNBS</w:t>
      </w:r>
      <w:r>
        <w:rPr>
          <w:sz w:val="24"/>
        </w:rPr>
        <w:t>注射后的组织病理学检查和评估（图</w:t>
      </w:r>
      <w:r>
        <w:rPr>
          <w:sz w:val="24"/>
        </w:rPr>
        <w:t>3</w:t>
      </w:r>
      <w:r>
        <w:rPr>
          <w:sz w:val="24"/>
        </w:rPr>
        <w:t>）表明，</w:t>
      </w:r>
      <w:r>
        <w:rPr>
          <w:sz w:val="24"/>
        </w:rPr>
        <w:t>TNBS</w:t>
      </w:r>
      <w:r>
        <w:rPr>
          <w:sz w:val="24"/>
        </w:rPr>
        <w:t>诱导的肠炎损害了以绒毛融合、黏膜下层增宽和肌层为特征的肠道结构；同时，在</w:t>
      </w:r>
      <w:r>
        <w:rPr>
          <w:sz w:val="24"/>
        </w:rPr>
        <w:t>2</w:t>
      </w:r>
      <w:r>
        <w:rPr>
          <w:sz w:val="24"/>
        </w:rPr>
        <w:t>个枯草芽孢杆菌组中，</w:t>
      </w:r>
      <w:r>
        <w:rPr>
          <w:sz w:val="24"/>
        </w:rPr>
        <w:t>TNBS</w:t>
      </w:r>
      <w:r>
        <w:rPr>
          <w:sz w:val="24"/>
        </w:rPr>
        <w:t>对后肠的损害明显减轻。</w:t>
      </w:r>
    </w:p>
    <w:p w14:paraId="1D37A6F7" w14:textId="77777777" w:rsidR="008F75C3" w:rsidRDefault="006614AC">
      <w:pPr>
        <w:spacing w:line="360" w:lineRule="auto"/>
        <w:ind w:firstLineChars="200" w:firstLine="480"/>
        <w:jc w:val="center"/>
        <w:rPr>
          <w:sz w:val="24"/>
        </w:rPr>
      </w:pPr>
      <w:r>
        <w:rPr>
          <w:noProof/>
          <w:sz w:val="24"/>
        </w:rPr>
        <w:drawing>
          <wp:inline distT="0" distB="0" distL="0" distR="0" wp14:anchorId="538081BE" wp14:editId="03FE4958">
            <wp:extent cx="4385945" cy="1582420"/>
            <wp:effectExtent l="0" t="0" r="0" b="0"/>
            <wp:docPr id="15" name="图片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图片 15"/>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a:xfrm>
                      <a:off x="0" y="0"/>
                      <a:ext cx="4393590" cy="1585309"/>
                    </a:xfrm>
                    <a:prstGeom prst="rect">
                      <a:avLst/>
                    </a:prstGeom>
                    <a:noFill/>
                    <a:ln>
                      <a:noFill/>
                    </a:ln>
                  </pic:spPr>
                </pic:pic>
              </a:graphicData>
            </a:graphic>
          </wp:inline>
        </w:drawing>
      </w:r>
    </w:p>
    <w:p w14:paraId="7B0D1683" w14:textId="77777777" w:rsidR="008F75C3" w:rsidRDefault="006614AC">
      <w:pPr>
        <w:spacing w:line="360" w:lineRule="auto"/>
        <w:ind w:firstLineChars="200" w:firstLine="480"/>
        <w:jc w:val="center"/>
        <w:rPr>
          <w:sz w:val="24"/>
        </w:rPr>
      </w:pPr>
      <w:r>
        <w:rPr>
          <w:noProof/>
          <w:sz w:val="24"/>
        </w:rPr>
        <w:drawing>
          <wp:inline distT="0" distB="0" distL="0" distR="0" wp14:anchorId="4D506DFD" wp14:editId="21986585">
            <wp:extent cx="4537710" cy="1156970"/>
            <wp:effectExtent l="0" t="0" r="0" b="5080"/>
            <wp:docPr id="16" name="图片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图片 16"/>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a:xfrm>
                      <a:off x="0" y="0"/>
                      <a:ext cx="4570532" cy="1165470"/>
                    </a:xfrm>
                    <a:prstGeom prst="rect">
                      <a:avLst/>
                    </a:prstGeom>
                    <a:noFill/>
                    <a:ln>
                      <a:noFill/>
                    </a:ln>
                  </pic:spPr>
                </pic:pic>
              </a:graphicData>
            </a:graphic>
          </wp:inline>
        </w:drawing>
      </w:r>
    </w:p>
    <w:p w14:paraId="4025960D" w14:textId="77777777" w:rsidR="008F75C3" w:rsidRDefault="006614AC">
      <w:pPr>
        <w:spacing w:line="360" w:lineRule="auto"/>
        <w:ind w:firstLineChars="200" w:firstLine="480"/>
        <w:jc w:val="center"/>
        <w:rPr>
          <w:sz w:val="24"/>
        </w:rPr>
      </w:pPr>
      <w:r>
        <w:rPr>
          <w:noProof/>
          <w:sz w:val="24"/>
        </w:rPr>
        <w:lastRenderedPageBreak/>
        <w:drawing>
          <wp:inline distT="0" distB="0" distL="0" distR="0" wp14:anchorId="6E7B544A" wp14:editId="0C5D84D6">
            <wp:extent cx="3455670" cy="1451610"/>
            <wp:effectExtent l="0" t="0" r="0" b="0"/>
            <wp:docPr id="17" name="图片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图片 17"/>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a:xfrm>
                      <a:off x="0" y="0"/>
                      <a:ext cx="3466716" cy="1456199"/>
                    </a:xfrm>
                    <a:prstGeom prst="rect">
                      <a:avLst/>
                    </a:prstGeom>
                    <a:noFill/>
                    <a:ln>
                      <a:noFill/>
                    </a:ln>
                  </pic:spPr>
                </pic:pic>
              </a:graphicData>
            </a:graphic>
          </wp:inline>
        </w:drawing>
      </w:r>
    </w:p>
    <w:p w14:paraId="7CFA514D" w14:textId="77777777" w:rsidR="008F75C3" w:rsidRDefault="006614AC">
      <w:pPr>
        <w:spacing w:line="360" w:lineRule="auto"/>
        <w:rPr>
          <w:sz w:val="24"/>
        </w:rPr>
      </w:pPr>
      <w:r>
        <w:rPr>
          <w:sz w:val="24"/>
        </w:rPr>
        <w:t xml:space="preserve">2.4  </w:t>
      </w:r>
      <w:r>
        <w:rPr>
          <w:sz w:val="24"/>
        </w:rPr>
        <w:t>大口黑鲈肠道</w:t>
      </w:r>
      <w:r>
        <w:rPr>
          <w:sz w:val="24"/>
        </w:rPr>
        <w:t>抗氧</w:t>
      </w:r>
      <w:proofErr w:type="gramStart"/>
      <w:r>
        <w:rPr>
          <w:sz w:val="24"/>
        </w:rPr>
        <w:t>化指标</w:t>
      </w:r>
      <w:proofErr w:type="gramEnd"/>
      <w:r>
        <w:rPr>
          <w:sz w:val="24"/>
        </w:rPr>
        <w:t>变化</w:t>
      </w:r>
    </w:p>
    <w:p w14:paraId="2A0DFC59" w14:textId="77777777" w:rsidR="008F75C3" w:rsidRDefault="006614AC">
      <w:pPr>
        <w:spacing w:line="360" w:lineRule="auto"/>
        <w:ind w:firstLineChars="200" w:firstLine="480"/>
        <w:rPr>
          <w:sz w:val="24"/>
        </w:rPr>
      </w:pPr>
      <w:r>
        <w:rPr>
          <w:sz w:val="24"/>
        </w:rPr>
        <w:t>大口黑鲈肠道抗氧</w:t>
      </w:r>
      <w:proofErr w:type="gramStart"/>
      <w:r>
        <w:rPr>
          <w:sz w:val="24"/>
        </w:rPr>
        <w:t>化指标</w:t>
      </w:r>
      <w:proofErr w:type="gramEnd"/>
      <w:r>
        <w:rPr>
          <w:sz w:val="24"/>
        </w:rPr>
        <w:t>变化如图</w:t>
      </w:r>
      <w:r>
        <w:rPr>
          <w:sz w:val="24"/>
        </w:rPr>
        <w:t>4</w:t>
      </w:r>
      <w:r>
        <w:rPr>
          <w:sz w:val="24"/>
        </w:rPr>
        <w:t>所示。为期</w:t>
      </w:r>
      <w:r>
        <w:rPr>
          <w:sz w:val="24"/>
        </w:rPr>
        <w:t>6</w:t>
      </w:r>
      <w:r>
        <w:rPr>
          <w:sz w:val="24"/>
        </w:rPr>
        <w:t>周的饲养试验结束时，饲料中添加枯草芽孢杆菌提高了大口黑鲈幼鱼肠道总超氧化物歧化酶（</w:t>
      </w:r>
      <w:r>
        <w:rPr>
          <w:sz w:val="24"/>
        </w:rPr>
        <w:t>T-SOD</w:t>
      </w:r>
      <w:r>
        <w:rPr>
          <w:sz w:val="24"/>
        </w:rPr>
        <w:t>）、过氧化氢（</w:t>
      </w:r>
      <w:r>
        <w:rPr>
          <w:sz w:val="24"/>
        </w:rPr>
        <w:t>CAT</w:t>
      </w:r>
      <w:r>
        <w:rPr>
          <w:sz w:val="24"/>
        </w:rPr>
        <w:t>）、谷胱甘肽过氧化物酶（</w:t>
      </w:r>
      <w:r>
        <w:rPr>
          <w:sz w:val="24"/>
        </w:rPr>
        <w:t>GSH-Px</w:t>
      </w:r>
      <w:r>
        <w:rPr>
          <w:sz w:val="24"/>
        </w:rPr>
        <w:t>）的活性，其中</w:t>
      </w:r>
      <w:r>
        <w:rPr>
          <w:sz w:val="24"/>
        </w:rPr>
        <w:t>0.5 %</w:t>
      </w:r>
      <w:r>
        <w:rPr>
          <w:sz w:val="24"/>
        </w:rPr>
        <w:t>枯草芽孢杆菌组</w:t>
      </w:r>
      <w:r>
        <w:rPr>
          <w:sz w:val="24"/>
        </w:rPr>
        <w:t>GSH-Px</w:t>
      </w:r>
      <w:r>
        <w:rPr>
          <w:sz w:val="24"/>
        </w:rPr>
        <w:t>活性显著高于对照组（</w:t>
      </w:r>
      <w:r>
        <w:rPr>
          <w:i/>
          <w:iCs/>
          <w:sz w:val="24"/>
        </w:rPr>
        <w:t>P</w:t>
      </w:r>
      <w:r>
        <w:rPr>
          <w:sz w:val="24"/>
        </w:rPr>
        <w:t>＜</w:t>
      </w:r>
      <w:r>
        <w:rPr>
          <w:sz w:val="24"/>
        </w:rPr>
        <w:t>0.05</w:t>
      </w:r>
      <w:r>
        <w:rPr>
          <w:sz w:val="24"/>
        </w:rPr>
        <w:t>），</w:t>
      </w:r>
      <w:r>
        <w:rPr>
          <w:sz w:val="24"/>
        </w:rPr>
        <w:t>1.0 %</w:t>
      </w:r>
      <w:r>
        <w:rPr>
          <w:sz w:val="24"/>
        </w:rPr>
        <w:t>枯草芽孢杆菌组</w:t>
      </w:r>
      <w:r>
        <w:rPr>
          <w:sz w:val="24"/>
        </w:rPr>
        <w:t>T-SOD</w:t>
      </w:r>
      <w:r>
        <w:rPr>
          <w:sz w:val="24"/>
        </w:rPr>
        <w:t>、</w:t>
      </w:r>
      <w:r>
        <w:rPr>
          <w:sz w:val="24"/>
        </w:rPr>
        <w:t>CAT</w:t>
      </w:r>
      <w:r>
        <w:rPr>
          <w:sz w:val="24"/>
        </w:rPr>
        <w:t>、</w:t>
      </w:r>
      <w:r>
        <w:rPr>
          <w:sz w:val="24"/>
        </w:rPr>
        <w:t>GSH-Px</w:t>
      </w:r>
      <w:r>
        <w:rPr>
          <w:sz w:val="24"/>
        </w:rPr>
        <w:t>活性显著高于对照组和</w:t>
      </w:r>
      <w:r>
        <w:rPr>
          <w:sz w:val="24"/>
        </w:rPr>
        <w:t>0.5 %</w:t>
      </w:r>
      <w:r>
        <w:rPr>
          <w:sz w:val="24"/>
        </w:rPr>
        <w:t>枯草芽孢杆菌组（</w:t>
      </w:r>
      <w:r>
        <w:rPr>
          <w:i/>
          <w:iCs/>
          <w:sz w:val="24"/>
        </w:rPr>
        <w:t>P</w:t>
      </w:r>
      <w:r>
        <w:rPr>
          <w:sz w:val="24"/>
        </w:rPr>
        <w:t>＜</w:t>
      </w:r>
      <w:r>
        <w:rPr>
          <w:sz w:val="24"/>
        </w:rPr>
        <w:t>0.05</w:t>
      </w:r>
      <w:r>
        <w:rPr>
          <w:sz w:val="24"/>
        </w:rPr>
        <w:t>）；此外，</w:t>
      </w:r>
      <w:r>
        <w:rPr>
          <w:sz w:val="24"/>
        </w:rPr>
        <w:t>2</w:t>
      </w:r>
      <w:r>
        <w:rPr>
          <w:sz w:val="24"/>
        </w:rPr>
        <w:t>个枯草芽孢杆菌组肠道丙二醛（</w:t>
      </w:r>
      <w:r>
        <w:rPr>
          <w:sz w:val="24"/>
        </w:rPr>
        <w:t>MDA</w:t>
      </w:r>
      <w:r>
        <w:rPr>
          <w:sz w:val="24"/>
        </w:rPr>
        <w:t>）含量显著低于对照组（</w:t>
      </w:r>
      <w:r>
        <w:rPr>
          <w:i/>
          <w:iCs/>
          <w:sz w:val="24"/>
        </w:rPr>
        <w:t>P</w:t>
      </w:r>
      <w:r>
        <w:rPr>
          <w:sz w:val="24"/>
        </w:rPr>
        <w:t>＜</w:t>
      </w:r>
      <w:r>
        <w:rPr>
          <w:sz w:val="24"/>
        </w:rPr>
        <w:t>0.05</w:t>
      </w:r>
      <w:r>
        <w:rPr>
          <w:sz w:val="24"/>
        </w:rPr>
        <w:t>）。经注射</w:t>
      </w:r>
      <w:r>
        <w:rPr>
          <w:sz w:val="24"/>
        </w:rPr>
        <w:t>TNBS</w:t>
      </w:r>
      <w:r>
        <w:rPr>
          <w:sz w:val="24"/>
        </w:rPr>
        <w:t>诱导肠</w:t>
      </w:r>
      <w:r>
        <w:rPr>
          <w:sz w:val="24"/>
        </w:rPr>
        <w:t>炎之后，</w:t>
      </w:r>
      <w:r>
        <w:rPr>
          <w:sz w:val="24"/>
        </w:rPr>
        <w:t>3</w:t>
      </w:r>
      <w:r>
        <w:rPr>
          <w:sz w:val="24"/>
        </w:rPr>
        <w:t>组大口黑鲈幼鱼肠道</w:t>
      </w:r>
      <w:r>
        <w:rPr>
          <w:sz w:val="24"/>
        </w:rPr>
        <w:t>CAT</w:t>
      </w:r>
      <w:r>
        <w:rPr>
          <w:sz w:val="24"/>
        </w:rPr>
        <w:t>和</w:t>
      </w:r>
      <w:r>
        <w:rPr>
          <w:sz w:val="24"/>
        </w:rPr>
        <w:t>T-SOD</w:t>
      </w:r>
      <w:r>
        <w:rPr>
          <w:sz w:val="24"/>
        </w:rPr>
        <w:t>活性均显著升高（</w:t>
      </w:r>
      <w:r>
        <w:rPr>
          <w:i/>
          <w:iCs/>
          <w:sz w:val="24"/>
        </w:rPr>
        <w:t>P</w:t>
      </w:r>
      <w:r>
        <w:rPr>
          <w:sz w:val="24"/>
        </w:rPr>
        <w:t>＜</w:t>
      </w:r>
      <w:r>
        <w:rPr>
          <w:sz w:val="24"/>
        </w:rPr>
        <w:t>0</w:t>
      </w:r>
      <w:r>
        <w:rPr>
          <w:sz w:val="24"/>
        </w:rPr>
        <w:t>．</w:t>
      </w:r>
      <w:r>
        <w:rPr>
          <w:sz w:val="24"/>
        </w:rPr>
        <w:t>05</w:t>
      </w:r>
      <w:r>
        <w:rPr>
          <w:sz w:val="24"/>
        </w:rPr>
        <w:t>），对照组和</w:t>
      </w:r>
      <w:r>
        <w:rPr>
          <w:sz w:val="24"/>
        </w:rPr>
        <w:t>0</w:t>
      </w:r>
      <w:r>
        <w:rPr>
          <w:sz w:val="24"/>
        </w:rPr>
        <w:t>．</w:t>
      </w:r>
      <w:r>
        <w:rPr>
          <w:sz w:val="24"/>
        </w:rPr>
        <w:t>5 %</w:t>
      </w:r>
      <w:r>
        <w:rPr>
          <w:sz w:val="24"/>
        </w:rPr>
        <w:t>枯草芽孢杆菌组</w:t>
      </w:r>
      <w:r>
        <w:rPr>
          <w:sz w:val="24"/>
        </w:rPr>
        <w:t>GSH-Px</w:t>
      </w:r>
      <w:r>
        <w:rPr>
          <w:sz w:val="24"/>
        </w:rPr>
        <w:t>活性显著升高（</w:t>
      </w:r>
      <w:r>
        <w:rPr>
          <w:i/>
          <w:iCs/>
          <w:sz w:val="24"/>
        </w:rPr>
        <w:t>P</w:t>
      </w:r>
      <w:r>
        <w:rPr>
          <w:sz w:val="24"/>
        </w:rPr>
        <w:t>＜</w:t>
      </w:r>
      <w:r>
        <w:rPr>
          <w:sz w:val="24"/>
        </w:rPr>
        <w:t>0.05</w:t>
      </w:r>
      <w:r>
        <w:rPr>
          <w:sz w:val="24"/>
        </w:rPr>
        <w:t>），对照组和</w:t>
      </w:r>
      <w:r>
        <w:rPr>
          <w:sz w:val="24"/>
        </w:rPr>
        <w:t>1.0 %</w:t>
      </w:r>
      <w:r>
        <w:rPr>
          <w:sz w:val="24"/>
        </w:rPr>
        <w:t>枯草芽孢杆菌组</w:t>
      </w:r>
      <w:r>
        <w:rPr>
          <w:sz w:val="24"/>
        </w:rPr>
        <w:t>MDA</w:t>
      </w:r>
      <w:r>
        <w:rPr>
          <w:sz w:val="24"/>
        </w:rPr>
        <w:t>含量显著降低（</w:t>
      </w:r>
      <w:r>
        <w:rPr>
          <w:i/>
          <w:iCs/>
          <w:sz w:val="24"/>
        </w:rPr>
        <w:t>P</w:t>
      </w:r>
      <w:r>
        <w:rPr>
          <w:sz w:val="24"/>
        </w:rPr>
        <w:t>＜</w:t>
      </w:r>
      <w:r>
        <w:rPr>
          <w:sz w:val="24"/>
        </w:rPr>
        <w:t>0.05</w:t>
      </w:r>
      <w:r>
        <w:rPr>
          <w:sz w:val="24"/>
        </w:rPr>
        <w:t>）；</w:t>
      </w:r>
      <w:r>
        <w:rPr>
          <w:sz w:val="24"/>
        </w:rPr>
        <w:t>0.5 %</w:t>
      </w:r>
      <w:r>
        <w:rPr>
          <w:sz w:val="24"/>
        </w:rPr>
        <w:t>、</w:t>
      </w:r>
      <w:r>
        <w:rPr>
          <w:sz w:val="24"/>
        </w:rPr>
        <w:t>1.0 %</w:t>
      </w:r>
      <w:r>
        <w:rPr>
          <w:sz w:val="24"/>
        </w:rPr>
        <w:t>枯草芽孢杆菌组大口黑鲈幼鱼肠道</w:t>
      </w:r>
      <w:r>
        <w:rPr>
          <w:sz w:val="24"/>
        </w:rPr>
        <w:t>T-SOD</w:t>
      </w:r>
      <w:r>
        <w:rPr>
          <w:sz w:val="24"/>
        </w:rPr>
        <w:t>、</w:t>
      </w:r>
      <w:r>
        <w:rPr>
          <w:sz w:val="24"/>
        </w:rPr>
        <w:t>CAT</w:t>
      </w:r>
      <w:r>
        <w:rPr>
          <w:sz w:val="24"/>
        </w:rPr>
        <w:t>、</w:t>
      </w:r>
      <w:r>
        <w:rPr>
          <w:sz w:val="24"/>
        </w:rPr>
        <w:t>GSH-Px</w:t>
      </w:r>
      <w:r>
        <w:rPr>
          <w:sz w:val="24"/>
        </w:rPr>
        <w:t>活性均显著高于对照组（</w:t>
      </w:r>
      <w:r>
        <w:rPr>
          <w:i/>
          <w:iCs/>
          <w:sz w:val="24"/>
        </w:rPr>
        <w:t>P</w:t>
      </w:r>
      <w:r>
        <w:rPr>
          <w:sz w:val="24"/>
        </w:rPr>
        <w:t>＜</w:t>
      </w:r>
      <w:r>
        <w:rPr>
          <w:sz w:val="24"/>
        </w:rPr>
        <w:t>0.05</w:t>
      </w:r>
      <w:r>
        <w:rPr>
          <w:sz w:val="24"/>
        </w:rPr>
        <w:t>），</w:t>
      </w:r>
      <w:r>
        <w:rPr>
          <w:sz w:val="24"/>
        </w:rPr>
        <w:t>MDA</w:t>
      </w:r>
      <w:r>
        <w:rPr>
          <w:sz w:val="24"/>
        </w:rPr>
        <w:t>含量显著低于对照组（</w:t>
      </w:r>
      <w:r>
        <w:rPr>
          <w:i/>
          <w:iCs/>
          <w:sz w:val="24"/>
        </w:rPr>
        <w:t>P</w:t>
      </w:r>
      <w:r>
        <w:rPr>
          <w:sz w:val="24"/>
        </w:rPr>
        <w:t>＜</w:t>
      </w:r>
      <w:r>
        <w:rPr>
          <w:sz w:val="24"/>
        </w:rPr>
        <w:t>0.05</w:t>
      </w:r>
      <w:r>
        <w:rPr>
          <w:sz w:val="24"/>
        </w:rPr>
        <w:t>）；同时，</w:t>
      </w:r>
      <w:r>
        <w:rPr>
          <w:sz w:val="24"/>
        </w:rPr>
        <w:t>1.0 %</w:t>
      </w:r>
      <w:r>
        <w:rPr>
          <w:sz w:val="24"/>
        </w:rPr>
        <w:t>枯草芽孢杆菌肠道组</w:t>
      </w:r>
      <w:r>
        <w:rPr>
          <w:sz w:val="24"/>
        </w:rPr>
        <w:t>T-SOD</w:t>
      </w:r>
      <w:r>
        <w:rPr>
          <w:sz w:val="24"/>
        </w:rPr>
        <w:t>活性</w:t>
      </w:r>
      <w:proofErr w:type="gramStart"/>
      <w:r>
        <w:rPr>
          <w:sz w:val="24"/>
        </w:rPr>
        <w:t>还显著</w:t>
      </w:r>
      <w:proofErr w:type="gramEnd"/>
      <w:r>
        <w:rPr>
          <w:sz w:val="24"/>
        </w:rPr>
        <w:t>高于</w:t>
      </w:r>
      <w:r>
        <w:rPr>
          <w:sz w:val="24"/>
        </w:rPr>
        <w:t>0.5 %</w:t>
      </w:r>
      <w:r>
        <w:rPr>
          <w:sz w:val="24"/>
        </w:rPr>
        <w:t>枯草芽孢杆菌组（</w:t>
      </w:r>
      <w:r>
        <w:rPr>
          <w:i/>
          <w:iCs/>
          <w:sz w:val="24"/>
        </w:rPr>
        <w:t>P</w:t>
      </w:r>
      <w:r>
        <w:rPr>
          <w:sz w:val="24"/>
        </w:rPr>
        <w:t>＜</w:t>
      </w:r>
      <w:r>
        <w:rPr>
          <w:sz w:val="24"/>
        </w:rPr>
        <w:t>0.05</w:t>
      </w:r>
      <w:r>
        <w:rPr>
          <w:sz w:val="24"/>
        </w:rPr>
        <w:t>）。</w:t>
      </w:r>
    </w:p>
    <w:p w14:paraId="7596A218" w14:textId="77777777" w:rsidR="008F75C3" w:rsidRDefault="006614AC">
      <w:pPr>
        <w:spacing w:line="360" w:lineRule="auto"/>
        <w:ind w:firstLineChars="200" w:firstLine="480"/>
        <w:jc w:val="center"/>
        <w:rPr>
          <w:sz w:val="24"/>
        </w:rPr>
      </w:pPr>
      <w:r>
        <w:rPr>
          <w:noProof/>
          <w:sz w:val="24"/>
        </w:rPr>
        <w:drawing>
          <wp:inline distT="0" distB="0" distL="0" distR="0" wp14:anchorId="7ABDB338" wp14:editId="5A91755C">
            <wp:extent cx="4175760" cy="3104515"/>
            <wp:effectExtent l="0" t="0" r="0" b="635"/>
            <wp:docPr id="18" name="图片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图片 18"/>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a:xfrm>
                      <a:off x="0" y="0"/>
                      <a:ext cx="4196982" cy="3120703"/>
                    </a:xfrm>
                    <a:prstGeom prst="rect">
                      <a:avLst/>
                    </a:prstGeom>
                    <a:noFill/>
                    <a:ln>
                      <a:noFill/>
                    </a:ln>
                  </pic:spPr>
                </pic:pic>
              </a:graphicData>
            </a:graphic>
          </wp:inline>
        </w:drawing>
      </w:r>
    </w:p>
    <w:p w14:paraId="2ED562AA" w14:textId="77777777" w:rsidR="008F75C3" w:rsidRDefault="006614AC">
      <w:pPr>
        <w:spacing w:line="360" w:lineRule="auto"/>
        <w:rPr>
          <w:sz w:val="24"/>
        </w:rPr>
      </w:pPr>
      <w:r>
        <w:rPr>
          <w:sz w:val="24"/>
        </w:rPr>
        <w:t xml:space="preserve">2.5  </w:t>
      </w:r>
      <w:r>
        <w:rPr>
          <w:sz w:val="24"/>
        </w:rPr>
        <w:t>大口黑鲈幼鱼</w:t>
      </w:r>
      <w:r>
        <w:rPr>
          <w:sz w:val="24"/>
        </w:rPr>
        <w:t>肠道免疫酶活性变化</w:t>
      </w:r>
    </w:p>
    <w:p w14:paraId="4B36D59F" w14:textId="77777777" w:rsidR="008F75C3" w:rsidRDefault="006614AC">
      <w:pPr>
        <w:spacing w:line="360" w:lineRule="auto"/>
        <w:ind w:firstLineChars="200" w:firstLine="480"/>
        <w:rPr>
          <w:sz w:val="24"/>
        </w:rPr>
      </w:pPr>
      <w:r>
        <w:rPr>
          <w:sz w:val="24"/>
        </w:rPr>
        <w:lastRenderedPageBreak/>
        <w:t>大口黑鲈幼鱼肠道免疫酶活性变化如图</w:t>
      </w:r>
      <w:r>
        <w:rPr>
          <w:sz w:val="24"/>
        </w:rPr>
        <w:t>5</w:t>
      </w:r>
      <w:r>
        <w:rPr>
          <w:sz w:val="24"/>
        </w:rPr>
        <w:t>所示。为期</w:t>
      </w:r>
      <w:r>
        <w:rPr>
          <w:sz w:val="24"/>
        </w:rPr>
        <w:t>6</w:t>
      </w:r>
      <w:r>
        <w:rPr>
          <w:sz w:val="24"/>
        </w:rPr>
        <w:t>周的饲养试验结束时，饲料中添加枯草芽孢杆菌提高了大口黑鲈幼鱼肠道免疫酶活性，其中酸性磷酸酶（</w:t>
      </w:r>
      <w:r>
        <w:rPr>
          <w:sz w:val="24"/>
        </w:rPr>
        <w:t>ACP</w:t>
      </w:r>
      <w:r>
        <w:rPr>
          <w:sz w:val="24"/>
        </w:rPr>
        <w:t>）、溶菌酶（</w:t>
      </w:r>
      <w:r>
        <w:rPr>
          <w:sz w:val="24"/>
        </w:rPr>
        <w:t>LZM</w:t>
      </w:r>
      <w:r>
        <w:rPr>
          <w:sz w:val="24"/>
        </w:rPr>
        <w:t>）活性随着枯草芽孢杆菌添加量的增加显著升高（</w:t>
      </w:r>
      <w:r>
        <w:rPr>
          <w:i/>
          <w:iCs/>
          <w:sz w:val="24"/>
        </w:rPr>
        <w:t>P</w:t>
      </w:r>
      <w:r>
        <w:rPr>
          <w:sz w:val="24"/>
        </w:rPr>
        <w:t>＜</w:t>
      </w:r>
      <w:r>
        <w:rPr>
          <w:sz w:val="24"/>
        </w:rPr>
        <w:t>0.05</w:t>
      </w:r>
      <w:r>
        <w:rPr>
          <w:sz w:val="24"/>
        </w:rPr>
        <w:t>），</w:t>
      </w:r>
      <w:r>
        <w:rPr>
          <w:sz w:val="24"/>
        </w:rPr>
        <w:t>1.0 %</w:t>
      </w:r>
      <w:r>
        <w:rPr>
          <w:sz w:val="24"/>
        </w:rPr>
        <w:t>枯草芽孢杆菌组碱性磷酸酶（</w:t>
      </w:r>
      <w:r>
        <w:rPr>
          <w:sz w:val="24"/>
        </w:rPr>
        <w:t>AKP</w:t>
      </w:r>
      <w:r>
        <w:rPr>
          <w:sz w:val="24"/>
        </w:rPr>
        <w:t>）活性显著高于对照组与</w:t>
      </w:r>
      <w:r>
        <w:rPr>
          <w:sz w:val="24"/>
        </w:rPr>
        <w:t>0.5 %</w:t>
      </w:r>
      <w:r>
        <w:rPr>
          <w:sz w:val="24"/>
        </w:rPr>
        <w:t>枯草芽孢杆菌组（</w:t>
      </w:r>
      <w:r>
        <w:rPr>
          <w:i/>
          <w:iCs/>
          <w:sz w:val="24"/>
        </w:rPr>
        <w:t>P</w:t>
      </w:r>
      <w:r>
        <w:rPr>
          <w:sz w:val="24"/>
        </w:rPr>
        <w:t>＜</w:t>
      </w:r>
      <w:r>
        <w:rPr>
          <w:sz w:val="24"/>
        </w:rPr>
        <w:t>0.05</w:t>
      </w:r>
      <w:r>
        <w:rPr>
          <w:sz w:val="24"/>
        </w:rPr>
        <w:t>）。经注射</w:t>
      </w:r>
      <w:r>
        <w:rPr>
          <w:sz w:val="24"/>
        </w:rPr>
        <w:t>TNBS</w:t>
      </w:r>
      <w:r>
        <w:rPr>
          <w:sz w:val="24"/>
        </w:rPr>
        <w:t>诱导肠炎之后，</w:t>
      </w:r>
      <w:r>
        <w:rPr>
          <w:sz w:val="24"/>
        </w:rPr>
        <w:t>3</w:t>
      </w:r>
      <w:r>
        <w:rPr>
          <w:sz w:val="24"/>
        </w:rPr>
        <w:t>组大口黑鲈幼鱼肠道</w:t>
      </w:r>
      <w:r>
        <w:rPr>
          <w:sz w:val="24"/>
        </w:rPr>
        <w:t>ACP</w:t>
      </w:r>
      <w:r>
        <w:rPr>
          <w:sz w:val="24"/>
        </w:rPr>
        <w:t>、</w:t>
      </w:r>
      <w:r>
        <w:rPr>
          <w:sz w:val="24"/>
        </w:rPr>
        <w:t>LZM</w:t>
      </w:r>
      <w:r>
        <w:rPr>
          <w:sz w:val="24"/>
        </w:rPr>
        <w:t>和</w:t>
      </w:r>
      <w:r>
        <w:rPr>
          <w:sz w:val="24"/>
        </w:rPr>
        <w:t>AKP</w:t>
      </w:r>
      <w:r>
        <w:rPr>
          <w:sz w:val="24"/>
        </w:rPr>
        <w:t>活性均显著升高（</w:t>
      </w:r>
      <w:r>
        <w:rPr>
          <w:i/>
          <w:iCs/>
          <w:sz w:val="24"/>
        </w:rPr>
        <w:t>P</w:t>
      </w:r>
      <w:r>
        <w:rPr>
          <w:sz w:val="24"/>
        </w:rPr>
        <w:t>＜</w:t>
      </w:r>
      <w:r>
        <w:rPr>
          <w:sz w:val="24"/>
        </w:rPr>
        <w:t>0.05</w:t>
      </w:r>
      <w:r>
        <w:rPr>
          <w:sz w:val="24"/>
        </w:rPr>
        <w:t>）；</w:t>
      </w:r>
      <w:r>
        <w:rPr>
          <w:sz w:val="24"/>
        </w:rPr>
        <w:t>0.5 %</w:t>
      </w:r>
      <w:r>
        <w:rPr>
          <w:sz w:val="24"/>
        </w:rPr>
        <w:t>、</w:t>
      </w:r>
      <w:r>
        <w:rPr>
          <w:sz w:val="24"/>
        </w:rPr>
        <w:t>1.0 %</w:t>
      </w:r>
      <w:r>
        <w:rPr>
          <w:sz w:val="24"/>
        </w:rPr>
        <w:t>枯草芽孢杆菌组大口黑鲈肠道</w:t>
      </w:r>
      <w:r>
        <w:rPr>
          <w:sz w:val="24"/>
        </w:rPr>
        <w:t>ACP</w:t>
      </w:r>
      <w:r>
        <w:rPr>
          <w:sz w:val="24"/>
        </w:rPr>
        <w:t>、</w:t>
      </w:r>
      <w:r>
        <w:rPr>
          <w:sz w:val="24"/>
        </w:rPr>
        <w:t>LZ</w:t>
      </w:r>
      <w:r>
        <w:rPr>
          <w:sz w:val="24"/>
        </w:rPr>
        <w:t>M</w:t>
      </w:r>
      <w:r>
        <w:rPr>
          <w:sz w:val="24"/>
        </w:rPr>
        <w:t>活性均显著高于对照组（</w:t>
      </w:r>
      <w:r>
        <w:rPr>
          <w:i/>
          <w:iCs/>
          <w:sz w:val="24"/>
        </w:rPr>
        <w:t>P</w:t>
      </w:r>
      <w:r>
        <w:rPr>
          <w:sz w:val="24"/>
        </w:rPr>
        <w:t>＜</w:t>
      </w:r>
      <w:r>
        <w:rPr>
          <w:sz w:val="24"/>
        </w:rPr>
        <w:t>0.05</w:t>
      </w:r>
      <w:r>
        <w:rPr>
          <w:sz w:val="24"/>
        </w:rPr>
        <w:t>），但二者之间并没有显著差异（</w:t>
      </w:r>
      <w:r>
        <w:rPr>
          <w:i/>
          <w:iCs/>
          <w:sz w:val="24"/>
        </w:rPr>
        <w:t>P</w:t>
      </w:r>
      <w:r>
        <w:rPr>
          <w:sz w:val="24"/>
        </w:rPr>
        <w:t>＞</w:t>
      </w:r>
      <w:r>
        <w:rPr>
          <w:sz w:val="24"/>
        </w:rPr>
        <w:t>0.05</w:t>
      </w:r>
      <w:r>
        <w:rPr>
          <w:sz w:val="24"/>
        </w:rPr>
        <w:t>），而</w:t>
      </w:r>
      <w:r>
        <w:rPr>
          <w:sz w:val="24"/>
        </w:rPr>
        <w:t>AKP</w:t>
      </w:r>
      <w:r>
        <w:rPr>
          <w:sz w:val="24"/>
        </w:rPr>
        <w:t>活性则随着枯草芽孢杆菌添加量的增加而显著升高（</w:t>
      </w:r>
      <w:r>
        <w:rPr>
          <w:i/>
          <w:iCs/>
          <w:sz w:val="24"/>
        </w:rPr>
        <w:t>P</w:t>
      </w:r>
      <w:r>
        <w:rPr>
          <w:sz w:val="24"/>
        </w:rPr>
        <w:t>＜</w:t>
      </w:r>
      <w:r>
        <w:rPr>
          <w:sz w:val="24"/>
        </w:rPr>
        <w:t>0.05</w:t>
      </w:r>
      <w:r>
        <w:rPr>
          <w:sz w:val="24"/>
        </w:rPr>
        <w:t>）。</w:t>
      </w:r>
    </w:p>
    <w:p w14:paraId="11AE01A4" w14:textId="77777777" w:rsidR="008F75C3" w:rsidRDefault="006614AC">
      <w:pPr>
        <w:spacing w:line="360" w:lineRule="auto"/>
        <w:ind w:firstLineChars="200" w:firstLine="480"/>
        <w:jc w:val="center"/>
        <w:rPr>
          <w:sz w:val="24"/>
        </w:rPr>
      </w:pPr>
      <w:r>
        <w:rPr>
          <w:noProof/>
          <w:sz w:val="24"/>
        </w:rPr>
        <w:drawing>
          <wp:inline distT="0" distB="0" distL="0" distR="0" wp14:anchorId="19503ABE" wp14:editId="35EA4937">
            <wp:extent cx="3824605" cy="1621155"/>
            <wp:effectExtent l="0" t="0" r="4445" b="0"/>
            <wp:docPr id="21" name="图片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图片 21"/>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a:xfrm>
                      <a:off x="0" y="0"/>
                      <a:ext cx="3835292" cy="1625757"/>
                    </a:xfrm>
                    <a:prstGeom prst="rect">
                      <a:avLst/>
                    </a:prstGeom>
                    <a:noFill/>
                    <a:ln>
                      <a:noFill/>
                    </a:ln>
                  </pic:spPr>
                </pic:pic>
              </a:graphicData>
            </a:graphic>
          </wp:inline>
        </w:drawing>
      </w:r>
    </w:p>
    <w:p w14:paraId="5B81B1FD" w14:textId="77777777" w:rsidR="008F75C3" w:rsidRDefault="006614AC">
      <w:pPr>
        <w:spacing w:line="360" w:lineRule="auto"/>
        <w:rPr>
          <w:sz w:val="24"/>
        </w:rPr>
      </w:pPr>
      <w:r>
        <w:rPr>
          <w:sz w:val="24"/>
        </w:rPr>
        <w:t xml:space="preserve">2.6  </w:t>
      </w:r>
      <w:r>
        <w:rPr>
          <w:sz w:val="24"/>
        </w:rPr>
        <w:t>大口黑鲈肠道炎性因子表达</w:t>
      </w:r>
    </w:p>
    <w:p w14:paraId="199626B5" w14:textId="77777777" w:rsidR="008F75C3" w:rsidRDefault="006614AC">
      <w:pPr>
        <w:spacing w:line="360" w:lineRule="auto"/>
        <w:ind w:firstLineChars="200" w:firstLine="480"/>
        <w:rPr>
          <w:sz w:val="24"/>
        </w:rPr>
      </w:pPr>
      <w:proofErr w:type="gramStart"/>
      <w:r>
        <w:rPr>
          <w:sz w:val="24"/>
        </w:rPr>
        <w:t>是促炎因子</w:t>
      </w:r>
      <w:proofErr w:type="gramEnd"/>
      <w:r>
        <w:rPr>
          <w:sz w:val="24"/>
        </w:rPr>
        <w:t>表达增加，抗炎因子表达下降。本试验检测了</w:t>
      </w:r>
      <w:r>
        <w:rPr>
          <w:sz w:val="24"/>
        </w:rPr>
        <w:t>TNBS</w:t>
      </w:r>
      <w:r>
        <w:rPr>
          <w:sz w:val="24"/>
        </w:rPr>
        <w:t>诱导肠炎后大口黑鲈</w:t>
      </w:r>
      <w:proofErr w:type="gramStart"/>
      <w:r>
        <w:rPr>
          <w:sz w:val="24"/>
        </w:rPr>
        <w:t>肠道中炎性因子</w:t>
      </w:r>
      <w:proofErr w:type="gramEnd"/>
      <w:r>
        <w:rPr>
          <w:sz w:val="24"/>
        </w:rPr>
        <w:t>的</w:t>
      </w:r>
      <w:r>
        <w:rPr>
          <w:sz w:val="24"/>
        </w:rPr>
        <w:t>mRNA</w:t>
      </w:r>
      <w:r>
        <w:rPr>
          <w:sz w:val="24"/>
        </w:rPr>
        <w:t>相对表达量，如图</w:t>
      </w:r>
      <w:r>
        <w:rPr>
          <w:sz w:val="24"/>
        </w:rPr>
        <w:t>6</w:t>
      </w:r>
      <w:r>
        <w:rPr>
          <w:sz w:val="24"/>
        </w:rPr>
        <w:t>所示。与对照组相比，</w:t>
      </w:r>
      <w:r>
        <w:rPr>
          <w:sz w:val="24"/>
        </w:rPr>
        <w:t>0.5 %</w:t>
      </w:r>
      <w:r>
        <w:rPr>
          <w:sz w:val="24"/>
        </w:rPr>
        <w:t>、</w:t>
      </w:r>
      <w:r>
        <w:rPr>
          <w:sz w:val="24"/>
        </w:rPr>
        <w:t>1.0 %</w:t>
      </w:r>
      <w:r>
        <w:rPr>
          <w:sz w:val="24"/>
        </w:rPr>
        <w:t>枯草芽孢杆菌组大口黑鲈幼鱼</w:t>
      </w:r>
      <w:proofErr w:type="gramStart"/>
      <w:r>
        <w:rPr>
          <w:sz w:val="24"/>
        </w:rPr>
        <w:t>肠道促炎因子</w:t>
      </w:r>
      <w:proofErr w:type="gramEnd"/>
      <w:r>
        <w:rPr>
          <w:sz w:val="24"/>
        </w:rPr>
        <w:t>IL-1β</w:t>
      </w:r>
      <w:r>
        <w:rPr>
          <w:sz w:val="24"/>
        </w:rPr>
        <w:t>、</w:t>
      </w:r>
      <w:r>
        <w:rPr>
          <w:sz w:val="24"/>
        </w:rPr>
        <w:t>IL-15</w:t>
      </w:r>
      <w:r>
        <w:rPr>
          <w:sz w:val="24"/>
        </w:rPr>
        <w:t>、</w:t>
      </w:r>
      <w:r>
        <w:rPr>
          <w:sz w:val="24"/>
        </w:rPr>
        <w:t>TNF-α</w:t>
      </w:r>
      <w:r>
        <w:rPr>
          <w:sz w:val="24"/>
        </w:rPr>
        <w:t>、</w:t>
      </w:r>
      <w:r>
        <w:rPr>
          <w:sz w:val="24"/>
        </w:rPr>
        <w:t>IL-8</w:t>
      </w:r>
      <w:r>
        <w:rPr>
          <w:sz w:val="24"/>
        </w:rPr>
        <w:t>的</w:t>
      </w:r>
      <w:r>
        <w:rPr>
          <w:sz w:val="24"/>
        </w:rPr>
        <w:t>mRNA</w:t>
      </w:r>
      <w:r>
        <w:rPr>
          <w:sz w:val="24"/>
        </w:rPr>
        <w:t>相对表达量显著下降（</w:t>
      </w:r>
      <w:r>
        <w:rPr>
          <w:i/>
          <w:iCs/>
          <w:sz w:val="24"/>
        </w:rPr>
        <w:t>P</w:t>
      </w:r>
      <w:r>
        <w:rPr>
          <w:sz w:val="24"/>
        </w:rPr>
        <w:t>＜</w:t>
      </w:r>
      <w:r>
        <w:rPr>
          <w:sz w:val="24"/>
        </w:rPr>
        <w:t>0.05</w:t>
      </w:r>
      <w:r>
        <w:rPr>
          <w:sz w:val="24"/>
        </w:rPr>
        <w:t>），抗炎因子</w:t>
      </w:r>
      <w:r>
        <w:rPr>
          <w:sz w:val="24"/>
        </w:rPr>
        <w:t>IL-10</w:t>
      </w:r>
      <w:r>
        <w:rPr>
          <w:sz w:val="24"/>
        </w:rPr>
        <w:t>、</w:t>
      </w:r>
      <w:r>
        <w:rPr>
          <w:sz w:val="24"/>
        </w:rPr>
        <w:t>TGF-β</w:t>
      </w:r>
      <w:r>
        <w:rPr>
          <w:sz w:val="24"/>
        </w:rPr>
        <w:t>1</w:t>
      </w:r>
      <w:r>
        <w:rPr>
          <w:sz w:val="24"/>
        </w:rPr>
        <w:t>的</w:t>
      </w:r>
      <w:r>
        <w:rPr>
          <w:sz w:val="24"/>
        </w:rPr>
        <w:t>mRNA</w:t>
      </w:r>
      <w:r>
        <w:rPr>
          <w:sz w:val="24"/>
        </w:rPr>
        <w:t>相对表达量显著上升（</w:t>
      </w:r>
      <w:r>
        <w:rPr>
          <w:i/>
          <w:iCs/>
          <w:sz w:val="24"/>
        </w:rPr>
        <w:t>P</w:t>
      </w:r>
      <w:r>
        <w:rPr>
          <w:sz w:val="24"/>
        </w:rPr>
        <w:t>＜</w:t>
      </w:r>
      <w:r>
        <w:rPr>
          <w:sz w:val="24"/>
        </w:rPr>
        <w:t>0.05</w:t>
      </w:r>
      <w:r>
        <w:rPr>
          <w:sz w:val="24"/>
        </w:rPr>
        <w:t>），说明枯草芽孢杆菌能有效调节</w:t>
      </w:r>
      <w:r>
        <w:rPr>
          <w:sz w:val="24"/>
        </w:rPr>
        <w:t>TNBS</w:t>
      </w:r>
      <w:r>
        <w:rPr>
          <w:sz w:val="24"/>
        </w:rPr>
        <w:t>诱导</w:t>
      </w:r>
      <w:proofErr w:type="gramStart"/>
      <w:r>
        <w:rPr>
          <w:sz w:val="24"/>
        </w:rPr>
        <w:t>肠炎后炎性因子</w:t>
      </w:r>
      <w:proofErr w:type="gramEnd"/>
      <w:r>
        <w:rPr>
          <w:sz w:val="24"/>
        </w:rPr>
        <w:t>的表达。</w:t>
      </w:r>
    </w:p>
    <w:p w14:paraId="3057A188" w14:textId="77777777" w:rsidR="008F75C3" w:rsidRDefault="006614AC">
      <w:pPr>
        <w:spacing w:line="360" w:lineRule="auto"/>
        <w:ind w:firstLineChars="200" w:firstLine="480"/>
        <w:jc w:val="center"/>
        <w:rPr>
          <w:sz w:val="24"/>
        </w:rPr>
      </w:pPr>
      <w:r>
        <w:rPr>
          <w:noProof/>
          <w:sz w:val="24"/>
        </w:rPr>
        <w:lastRenderedPageBreak/>
        <w:drawing>
          <wp:inline distT="0" distB="0" distL="0" distR="0" wp14:anchorId="780793AD" wp14:editId="55B945BD">
            <wp:extent cx="4651375" cy="4019550"/>
            <wp:effectExtent l="0" t="0" r="0" b="0"/>
            <wp:docPr id="22" name="图片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图片 22"/>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a:xfrm>
                      <a:off x="0" y="0"/>
                      <a:ext cx="4653830" cy="4021442"/>
                    </a:xfrm>
                    <a:prstGeom prst="rect">
                      <a:avLst/>
                    </a:prstGeom>
                    <a:noFill/>
                    <a:ln>
                      <a:noFill/>
                    </a:ln>
                  </pic:spPr>
                </pic:pic>
              </a:graphicData>
            </a:graphic>
          </wp:inline>
        </w:drawing>
      </w:r>
    </w:p>
    <w:p w14:paraId="2CDCA597" w14:textId="77777777" w:rsidR="008F75C3" w:rsidRDefault="006614AC">
      <w:pPr>
        <w:spacing w:line="360" w:lineRule="auto"/>
        <w:rPr>
          <w:sz w:val="24"/>
        </w:rPr>
      </w:pPr>
      <w:r>
        <w:rPr>
          <w:sz w:val="24"/>
        </w:rPr>
        <w:t xml:space="preserve">3  </w:t>
      </w:r>
      <w:r>
        <w:rPr>
          <w:sz w:val="24"/>
        </w:rPr>
        <w:t>讨论</w:t>
      </w:r>
    </w:p>
    <w:p w14:paraId="27C95AC3" w14:textId="77777777" w:rsidR="008F75C3" w:rsidRDefault="006614AC">
      <w:pPr>
        <w:spacing w:line="360" w:lineRule="auto"/>
        <w:rPr>
          <w:sz w:val="24"/>
        </w:rPr>
      </w:pPr>
      <w:r>
        <w:rPr>
          <w:sz w:val="24"/>
        </w:rPr>
        <w:t xml:space="preserve">3.1  </w:t>
      </w:r>
      <w:r>
        <w:rPr>
          <w:sz w:val="24"/>
        </w:rPr>
        <w:t>枯草芽孢杆菌对大口黑鲈幼鱼生长性能的影响</w:t>
      </w:r>
    </w:p>
    <w:p w14:paraId="72ABBA90" w14:textId="77777777" w:rsidR="008F75C3" w:rsidRDefault="006614AC">
      <w:pPr>
        <w:spacing w:line="360" w:lineRule="auto"/>
        <w:ind w:firstLineChars="200" w:firstLine="480"/>
        <w:rPr>
          <w:sz w:val="24"/>
        </w:rPr>
      </w:pPr>
      <w:r>
        <w:rPr>
          <w:sz w:val="24"/>
        </w:rPr>
        <w:t>有研究表明，饲料中添加适量的芽孢杆菌能够提高消化酶活性，减少抗营养因子，提高对营养物质的利用，从而促进鱼体的生长</w:t>
      </w:r>
      <w:r>
        <w:rPr>
          <w:sz w:val="24"/>
          <w:vertAlign w:val="superscript"/>
        </w:rPr>
        <w:t>[22</w:t>
      </w:r>
      <w:r>
        <w:rPr>
          <w:sz w:val="24"/>
          <w:vertAlign w:val="superscript"/>
        </w:rPr>
        <w:t>－</w:t>
      </w:r>
      <w:r>
        <w:rPr>
          <w:sz w:val="24"/>
          <w:vertAlign w:val="superscript"/>
        </w:rPr>
        <w:t>23]</w:t>
      </w:r>
      <w:r>
        <w:rPr>
          <w:sz w:val="24"/>
        </w:rPr>
        <w:t>。但从本研究的试验数据看，各组大口黑鲈幼鱼的生长性能没有显著差异，且均低于生产实践中的生长性能。推测其原因可能是在为期</w:t>
      </w:r>
      <w:r>
        <w:rPr>
          <w:sz w:val="24"/>
        </w:rPr>
        <w:t>6</w:t>
      </w:r>
      <w:r>
        <w:rPr>
          <w:sz w:val="24"/>
        </w:rPr>
        <w:t>周的养殖过程中，一直采用每天定时投喂</w:t>
      </w:r>
      <w:r>
        <w:rPr>
          <w:sz w:val="24"/>
        </w:rPr>
        <w:t>2</w:t>
      </w:r>
      <w:r>
        <w:rPr>
          <w:sz w:val="24"/>
        </w:rPr>
        <w:t>次的方式，而生产上在养殖初期每日投喂</w:t>
      </w:r>
      <w:r>
        <w:rPr>
          <w:sz w:val="24"/>
        </w:rPr>
        <w:t>3</w:t>
      </w:r>
      <w:r>
        <w:rPr>
          <w:sz w:val="24"/>
        </w:rPr>
        <w:t>次，然后随着</w:t>
      </w:r>
      <w:r>
        <w:rPr>
          <w:sz w:val="24"/>
        </w:rPr>
        <w:t>鱼类生长调整为每日</w:t>
      </w:r>
      <w:r>
        <w:rPr>
          <w:sz w:val="24"/>
        </w:rPr>
        <w:t>2</w:t>
      </w:r>
      <w:r>
        <w:rPr>
          <w:sz w:val="24"/>
        </w:rPr>
        <w:t>次。投喂次数减少可能降低了试验鱼的采食量，影响了生长性能。</w:t>
      </w:r>
    </w:p>
    <w:p w14:paraId="41210A58" w14:textId="77777777" w:rsidR="008F75C3" w:rsidRDefault="006614AC">
      <w:pPr>
        <w:spacing w:line="360" w:lineRule="auto"/>
        <w:rPr>
          <w:sz w:val="24"/>
        </w:rPr>
      </w:pPr>
      <w:r>
        <w:rPr>
          <w:sz w:val="24"/>
        </w:rPr>
        <w:t xml:space="preserve">3.2  </w:t>
      </w:r>
      <w:r>
        <w:rPr>
          <w:sz w:val="24"/>
        </w:rPr>
        <w:t>枯草芽孢杆菌促进大口黑鲈幼鱼肠道健康</w:t>
      </w:r>
    </w:p>
    <w:p w14:paraId="2B969854" w14:textId="77777777" w:rsidR="008F75C3" w:rsidRDefault="006614AC">
      <w:pPr>
        <w:spacing w:line="360" w:lineRule="auto"/>
        <w:ind w:firstLineChars="200" w:firstLine="480"/>
        <w:rPr>
          <w:sz w:val="24"/>
        </w:rPr>
      </w:pPr>
      <w:r>
        <w:rPr>
          <w:sz w:val="24"/>
        </w:rPr>
        <w:t>肠道是鱼类营养物质的消化和吸收场所，也是饲料中抗营养因子及有毒有害物质进入鱼体的第</w:t>
      </w:r>
      <w:r>
        <w:rPr>
          <w:sz w:val="24"/>
        </w:rPr>
        <w:t>1</w:t>
      </w:r>
      <w:r>
        <w:rPr>
          <w:sz w:val="24"/>
        </w:rPr>
        <w:t>道屏障，肠道肌层厚度、绒毛数量和高度可影响肠道屏障，从而导致整个鱼</w:t>
      </w:r>
      <w:proofErr w:type="gramStart"/>
      <w:r>
        <w:rPr>
          <w:sz w:val="24"/>
        </w:rPr>
        <w:t>体各项</w:t>
      </w:r>
      <w:proofErr w:type="gramEnd"/>
      <w:r>
        <w:rPr>
          <w:sz w:val="24"/>
        </w:rPr>
        <w:t>机能及健康受到影响</w:t>
      </w:r>
      <w:r>
        <w:rPr>
          <w:sz w:val="24"/>
          <w:vertAlign w:val="superscript"/>
        </w:rPr>
        <w:t>[6]</w:t>
      </w:r>
      <w:r>
        <w:rPr>
          <w:sz w:val="24"/>
        </w:rPr>
        <w:t>。研究发现饲料中添加芽孢杆菌能够提升欧洲龙虾（</w:t>
      </w:r>
      <w:r>
        <w:rPr>
          <w:i/>
          <w:iCs/>
          <w:sz w:val="24"/>
        </w:rPr>
        <w:t xml:space="preserve">Homarus </w:t>
      </w:r>
      <w:proofErr w:type="spellStart"/>
      <w:r>
        <w:rPr>
          <w:i/>
          <w:iCs/>
          <w:sz w:val="24"/>
        </w:rPr>
        <w:t>gammarus</w:t>
      </w:r>
      <w:proofErr w:type="spellEnd"/>
      <w:r>
        <w:rPr>
          <w:sz w:val="24"/>
        </w:rPr>
        <w:t>）肠道绒毛高度</w:t>
      </w:r>
      <w:r>
        <w:rPr>
          <w:sz w:val="24"/>
          <w:vertAlign w:val="superscript"/>
        </w:rPr>
        <w:t>[24]</w:t>
      </w:r>
      <w:r>
        <w:rPr>
          <w:sz w:val="24"/>
        </w:rPr>
        <w:t>，能增加虎龙斑（</w:t>
      </w:r>
      <w:proofErr w:type="spellStart"/>
      <w:r>
        <w:rPr>
          <w:i/>
          <w:iCs/>
          <w:sz w:val="24"/>
        </w:rPr>
        <w:t>Epinephelus</w:t>
      </w:r>
      <w:proofErr w:type="spellEnd"/>
      <w:r>
        <w:rPr>
          <w:sz w:val="24"/>
        </w:rPr>
        <w:t xml:space="preserve"> </w:t>
      </w:r>
      <w:proofErr w:type="spellStart"/>
      <w:r>
        <w:rPr>
          <w:i/>
          <w:iCs/>
          <w:sz w:val="24"/>
        </w:rPr>
        <w:t>fuscoguttatus</w:t>
      </w:r>
      <w:proofErr w:type="spellEnd"/>
      <w:r>
        <w:rPr>
          <w:sz w:val="24"/>
        </w:rPr>
        <w:t xml:space="preserve"> ♀×E</w:t>
      </w:r>
      <w:r>
        <w:rPr>
          <w:sz w:val="24"/>
        </w:rPr>
        <w:t>．</w:t>
      </w:r>
      <w:proofErr w:type="spellStart"/>
      <w:r>
        <w:rPr>
          <w:i/>
          <w:iCs/>
          <w:sz w:val="24"/>
        </w:rPr>
        <w:t>lanceolatus</w:t>
      </w:r>
      <w:proofErr w:type="spellEnd"/>
      <w:r>
        <w:rPr>
          <w:sz w:val="24"/>
        </w:rPr>
        <w:t>♂</w:t>
      </w:r>
      <w:r>
        <w:rPr>
          <w:sz w:val="24"/>
        </w:rPr>
        <w:t>）幼鱼肠道绒毛数量和长度，有效维持肠道内部组织结构的完整性和稳固性</w:t>
      </w:r>
      <w:r>
        <w:rPr>
          <w:sz w:val="24"/>
          <w:vertAlign w:val="superscript"/>
        </w:rPr>
        <w:t>[25]</w:t>
      </w:r>
      <w:r>
        <w:rPr>
          <w:sz w:val="24"/>
        </w:rPr>
        <w:t>。本试验结果显示，饲料中添加枯草芽孢杆菌后大口黑鲈肠道绒毛高度、数量和肌层厚度均高于对照组，</w:t>
      </w:r>
      <w:r>
        <w:rPr>
          <w:sz w:val="24"/>
        </w:rPr>
        <w:lastRenderedPageBreak/>
        <w:t>表明肠道完整性和稳固性得到增强。</w:t>
      </w:r>
    </w:p>
    <w:p w14:paraId="4B5E977F" w14:textId="77777777" w:rsidR="008F75C3" w:rsidRDefault="006614AC">
      <w:pPr>
        <w:spacing w:line="360" w:lineRule="auto"/>
        <w:ind w:firstLineChars="200" w:firstLine="480"/>
        <w:rPr>
          <w:sz w:val="24"/>
        </w:rPr>
      </w:pPr>
      <w:r>
        <w:rPr>
          <w:sz w:val="24"/>
        </w:rPr>
        <w:t>氧化应激是动物机体内羟基自由基和超氧阴离子等自由基产生的一种负面影响，易引起机体衰老与疾病</w:t>
      </w:r>
      <w:r>
        <w:rPr>
          <w:sz w:val="24"/>
          <w:vertAlign w:val="superscript"/>
        </w:rPr>
        <w:t>[26</w:t>
      </w:r>
      <w:r>
        <w:rPr>
          <w:sz w:val="24"/>
          <w:vertAlign w:val="superscript"/>
        </w:rPr>
        <w:t>－</w:t>
      </w:r>
      <w:r>
        <w:rPr>
          <w:sz w:val="24"/>
          <w:vertAlign w:val="superscript"/>
        </w:rPr>
        <w:t>27]</w:t>
      </w:r>
      <w:r>
        <w:rPr>
          <w:sz w:val="24"/>
        </w:rPr>
        <w:t>。动物机体中存在着</w:t>
      </w:r>
      <w:r>
        <w:rPr>
          <w:sz w:val="24"/>
        </w:rPr>
        <w:t>2</w:t>
      </w:r>
      <w:r>
        <w:rPr>
          <w:sz w:val="24"/>
        </w:rPr>
        <w:t>种抗氧化物，一类是酶类抗氧化物，另外一类是非酶类抗氧化物，其作用是清理动物体内的过氧化物，以保护机体免受氧化应激带来的损伤。酶类抗氧化物的种类繁多，常见的几种有</w:t>
      </w:r>
      <w:r>
        <w:rPr>
          <w:sz w:val="24"/>
        </w:rPr>
        <w:t>CA</w:t>
      </w:r>
      <w:r>
        <w:rPr>
          <w:sz w:val="24"/>
        </w:rPr>
        <w:t>T</w:t>
      </w:r>
      <w:r>
        <w:rPr>
          <w:sz w:val="24"/>
        </w:rPr>
        <w:t>、超氧化物歧化酶</w:t>
      </w:r>
      <w:r>
        <w:rPr>
          <w:sz w:val="24"/>
        </w:rPr>
        <w:t>(SOD)</w:t>
      </w:r>
      <w:r>
        <w:rPr>
          <w:sz w:val="24"/>
        </w:rPr>
        <w:t>和</w:t>
      </w:r>
      <w:r>
        <w:rPr>
          <w:sz w:val="24"/>
        </w:rPr>
        <w:t>GSH-Px</w:t>
      </w:r>
      <w:r>
        <w:rPr>
          <w:sz w:val="24"/>
          <w:vertAlign w:val="superscript"/>
        </w:rPr>
        <w:t>[28]</w:t>
      </w:r>
      <w:r>
        <w:rPr>
          <w:sz w:val="24"/>
        </w:rPr>
        <w:t>。研究已经证明，动物体内的抗氧化酶是应激和免疫反应生物标志物，其活性决定了动物的抗氧化能力，可以作为评估鱼类健康的指标</w:t>
      </w:r>
      <w:r>
        <w:rPr>
          <w:sz w:val="24"/>
          <w:vertAlign w:val="superscript"/>
        </w:rPr>
        <w:t>[29</w:t>
      </w:r>
      <w:r>
        <w:rPr>
          <w:sz w:val="24"/>
          <w:vertAlign w:val="superscript"/>
        </w:rPr>
        <w:t>－</w:t>
      </w:r>
      <w:r>
        <w:rPr>
          <w:sz w:val="24"/>
          <w:vertAlign w:val="superscript"/>
        </w:rPr>
        <w:t>30]</w:t>
      </w:r>
      <w:r>
        <w:rPr>
          <w:sz w:val="24"/>
        </w:rPr>
        <w:t>。本研究测定了大口黑鲈幼鱼肠道的抗氧化酶活性，结果显示枯草芽孢杆菌组的</w:t>
      </w:r>
      <w:r>
        <w:rPr>
          <w:sz w:val="24"/>
        </w:rPr>
        <w:t>T-SOD</w:t>
      </w:r>
      <w:r>
        <w:rPr>
          <w:sz w:val="24"/>
        </w:rPr>
        <w:t>、</w:t>
      </w:r>
      <w:r>
        <w:rPr>
          <w:sz w:val="24"/>
        </w:rPr>
        <w:t>CAT</w:t>
      </w:r>
      <w:r>
        <w:rPr>
          <w:sz w:val="24"/>
        </w:rPr>
        <w:t>和</w:t>
      </w:r>
      <w:r>
        <w:rPr>
          <w:sz w:val="24"/>
        </w:rPr>
        <w:t>GSH-Px</w:t>
      </w:r>
      <w:r>
        <w:rPr>
          <w:sz w:val="24"/>
        </w:rPr>
        <w:t>活性显著增加，这表明枯草芽孢杆菌可以增强大口黑鲈幼鱼的抗氧化能力。</w:t>
      </w:r>
      <w:r>
        <w:rPr>
          <w:sz w:val="24"/>
        </w:rPr>
        <w:t>MDA</w:t>
      </w:r>
      <w:r>
        <w:rPr>
          <w:sz w:val="24"/>
        </w:rPr>
        <w:t>是由生物膜中多不饱和脂肪酸氧化而产生的，动物体内</w:t>
      </w:r>
      <w:r>
        <w:rPr>
          <w:sz w:val="24"/>
        </w:rPr>
        <w:t>MDA</w:t>
      </w:r>
      <w:r>
        <w:rPr>
          <w:sz w:val="24"/>
        </w:rPr>
        <w:t>的含量可以直接反映脂质过氧化和细胞受损的情况，</w:t>
      </w:r>
      <w:r>
        <w:rPr>
          <w:sz w:val="24"/>
        </w:rPr>
        <w:t>MDA</w:t>
      </w:r>
      <w:r>
        <w:rPr>
          <w:sz w:val="24"/>
        </w:rPr>
        <w:t>含量高，说明细胞膜质过氧化程度高，细胞膜受到的伤害</w:t>
      </w:r>
      <w:r>
        <w:rPr>
          <w:sz w:val="24"/>
        </w:rPr>
        <w:t>严重</w:t>
      </w:r>
      <w:r>
        <w:rPr>
          <w:sz w:val="24"/>
          <w:vertAlign w:val="superscript"/>
        </w:rPr>
        <w:t>[31]</w:t>
      </w:r>
      <w:r>
        <w:rPr>
          <w:sz w:val="24"/>
        </w:rPr>
        <w:t>。本研究发现，适宜添加量的枯草芽孢杆菌能显著降低大口黑鲈幼鱼肠道中</w:t>
      </w:r>
      <w:r>
        <w:rPr>
          <w:sz w:val="24"/>
        </w:rPr>
        <w:t>MDA</w:t>
      </w:r>
      <w:r>
        <w:rPr>
          <w:sz w:val="24"/>
        </w:rPr>
        <w:t>含量。这与其他研究人员对其他水产动物所得结果一致，在对罗非鱼</w:t>
      </w:r>
      <w:r>
        <w:rPr>
          <w:sz w:val="24"/>
          <w:vertAlign w:val="superscript"/>
        </w:rPr>
        <w:t>[32]</w:t>
      </w:r>
      <w:r>
        <w:rPr>
          <w:sz w:val="24"/>
        </w:rPr>
        <w:t>、克氏原螯虾（</w:t>
      </w:r>
      <w:proofErr w:type="spellStart"/>
      <w:r>
        <w:rPr>
          <w:i/>
          <w:iCs/>
          <w:sz w:val="24"/>
        </w:rPr>
        <w:t>Procambarus</w:t>
      </w:r>
      <w:proofErr w:type="spellEnd"/>
      <w:r>
        <w:rPr>
          <w:i/>
          <w:iCs/>
          <w:sz w:val="24"/>
        </w:rPr>
        <w:t xml:space="preserve"> </w:t>
      </w:r>
      <w:proofErr w:type="spellStart"/>
      <w:r>
        <w:rPr>
          <w:i/>
          <w:iCs/>
          <w:sz w:val="24"/>
        </w:rPr>
        <w:t>clarki</w:t>
      </w:r>
      <w:proofErr w:type="spellEnd"/>
      <w:r>
        <w:rPr>
          <w:sz w:val="24"/>
        </w:rPr>
        <w:t>）</w:t>
      </w:r>
      <w:r>
        <w:rPr>
          <w:sz w:val="24"/>
          <w:vertAlign w:val="superscript"/>
        </w:rPr>
        <w:t>[33]</w:t>
      </w:r>
      <w:r>
        <w:rPr>
          <w:sz w:val="24"/>
        </w:rPr>
        <w:t>的研究中均发现了在饲料中添加枯草芽孢杆菌能够使得抗氧化酶活性显著升高，</w:t>
      </w:r>
      <w:r>
        <w:rPr>
          <w:sz w:val="24"/>
        </w:rPr>
        <w:t>MDA</w:t>
      </w:r>
      <w:r>
        <w:rPr>
          <w:sz w:val="24"/>
        </w:rPr>
        <w:t>含量显著降低，表明组织抗氧化能力被提高。</w:t>
      </w:r>
    </w:p>
    <w:p w14:paraId="06E6B9D5" w14:textId="77777777" w:rsidR="008F75C3" w:rsidRDefault="006614AC">
      <w:pPr>
        <w:spacing w:line="360" w:lineRule="auto"/>
        <w:ind w:firstLineChars="200" w:firstLine="480"/>
        <w:rPr>
          <w:sz w:val="24"/>
        </w:rPr>
      </w:pPr>
      <w:r>
        <w:rPr>
          <w:sz w:val="24"/>
        </w:rPr>
        <w:t>鱼类自身的免疫系统可以有效抵抗生活环境中病原微生物的入侵，以保证各项生理功能正常运行</w:t>
      </w:r>
      <w:r>
        <w:rPr>
          <w:sz w:val="24"/>
          <w:vertAlign w:val="superscript"/>
        </w:rPr>
        <w:t>[34]</w:t>
      </w:r>
      <w:r>
        <w:rPr>
          <w:sz w:val="24"/>
        </w:rPr>
        <w:t>。</w:t>
      </w:r>
      <w:r>
        <w:rPr>
          <w:sz w:val="24"/>
        </w:rPr>
        <w:t>LZM</w:t>
      </w:r>
      <w:r>
        <w:rPr>
          <w:sz w:val="24"/>
        </w:rPr>
        <w:t>、</w:t>
      </w:r>
      <w:r>
        <w:rPr>
          <w:sz w:val="24"/>
        </w:rPr>
        <w:t>AKP</w:t>
      </w:r>
      <w:r>
        <w:rPr>
          <w:sz w:val="24"/>
        </w:rPr>
        <w:t>和</w:t>
      </w:r>
      <w:r>
        <w:rPr>
          <w:sz w:val="24"/>
        </w:rPr>
        <w:t>ACP</w:t>
      </w:r>
      <w:r>
        <w:rPr>
          <w:sz w:val="24"/>
        </w:rPr>
        <w:t>是鱼类重要的非特异免疫酶，在参与机体的代谢和免疫方面发挥着重要作用</w:t>
      </w:r>
      <w:r>
        <w:rPr>
          <w:sz w:val="24"/>
        </w:rPr>
        <w:t>，是衡量机体免疫能力的标准</w:t>
      </w:r>
      <w:r>
        <w:rPr>
          <w:sz w:val="24"/>
          <w:vertAlign w:val="superscript"/>
        </w:rPr>
        <w:t>[35]</w:t>
      </w:r>
      <w:r>
        <w:rPr>
          <w:sz w:val="24"/>
        </w:rPr>
        <w:t>。在本研究中，与对照组相比，枯草芽孢杆菌添加显著提高了大口黑鲈幼鱼肠道</w:t>
      </w:r>
      <w:r>
        <w:rPr>
          <w:sz w:val="24"/>
        </w:rPr>
        <w:t>LZM</w:t>
      </w:r>
      <w:r>
        <w:rPr>
          <w:sz w:val="24"/>
        </w:rPr>
        <w:t>、</w:t>
      </w:r>
      <w:r>
        <w:rPr>
          <w:sz w:val="24"/>
        </w:rPr>
        <w:t>ACP</w:t>
      </w:r>
      <w:r>
        <w:rPr>
          <w:sz w:val="24"/>
        </w:rPr>
        <w:t>和</w:t>
      </w:r>
      <w:r>
        <w:rPr>
          <w:sz w:val="24"/>
        </w:rPr>
        <w:t>AKP</w:t>
      </w:r>
      <w:r>
        <w:rPr>
          <w:sz w:val="24"/>
        </w:rPr>
        <w:t>活性。类似地，在军曹鱼（</w:t>
      </w:r>
      <w:r>
        <w:rPr>
          <w:i/>
          <w:iCs/>
          <w:sz w:val="24"/>
        </w:rPr>
        <w:t>Rachycentron canadum</w:t>
      </w:r>
      <w:r>
        <w:rPr>
          <w:sz w:val="24"/>
        </w:rPr>
        <w:t>）</w:t>
      </w:r>
      <w:r>
        <w:rPr>
          <w:sz w:val="24"/>
          <w:vertAlign w:val="superscript"/>
        </w:rPr>
        <w:t>[36]</w:t>
      </w:r>
      <w:r>
        <w:rPr>
          <w:sz w:val="24"/>
        </w:rPr>
        <w:t>、鸭嘴</w:t>
      </w:r>
      <w:proofErr w:type="gramStart"/>
      <w:r>
        <w:rPr>
          <w:sz w:val="24"/>
        </w:rPr>
        <w:t>鲶</w:t>
      </w:r>
      <w:proofErr w:type="gramEnd"/>
      <w:r>
        <w:rPr>
          <w:sz w:val="24"/>
        </w:rPr>
        <w:t>（</w:t>
      </w:r>
      <w:proofErr w:type="spellStart"/>
      <w:r>
        <w:rPr>
          <w:i/>
          <w:iCs/>
          <w:sz w:val="24"/>
        </w:rPr>
        <w:t>Pseudoplatystoma</w:t>
      </w:r>
      <w:proofErr w:type="spellEnd"/>
      <w:r>
        <w:rPr>
          <w:i/>
          <w:iCs/>
          <w:sz w:val="24"/>
        </w:rPr>
        <w:t xml:space="preserve"> </w:t>
      </w:r>
      <w:proofErr w:type="spellStart"/>
      <w:r>
        <w:rPr>
          <w:i/>
          <w:iCs/>
          <w:sz w:val="24"/>
        </w:rPr>
        <w:t>fasciatum</w:t>
      </w:r>
      <w:proofErr w:type="spellEnd"/>
      <w:r>
        <w:rPr>
          <w:sz w:val="24"/>
        </w:rPr>
        <w:t>）</w:t>
      </w:r>
      <w:r>
        <w:rPr>
          <w:sz w:val="24"/>
          <w:vertAlign w:val="superscript"/>
        </w:rPr>
        <w:t>[37]</w:t>
      </w:r>
      <w:r>
        <w:rPr>
          <w:sz w:val="24"/>
        </w:rPr>
        <w:t>和大黄鱼（</w:t>
      </w:r>
      <w:proofErr w:type="spellStart"/>
      <w:r>
        <w:rPr>
          <w:i/>
          <w:iCs/>
          <w:sz w:val="24"/>
        </w:rPr>
        <w:t>Larimichthys</w:t>
      </w:r>
      <w:proofErr w:type="spellEnd"/>
      <w:r>
        <w:rPr>
          <w:i/>
          <w:iCs/>
          <w:sz w:val="24"/>
        </w:rPr>
        <w:t xml:space="preserve"> </w:t>
      </w:r>
      <w:proofErr w:type="spellStart"/>
      <w:r>
        <w:rPr>
          <w:i/>
          <w:iCs/>
          <w:sz w:val="24"/>
        </w:rPr>
        <w:t>crocea</w:t>
      </w:r>
      <w:proofErr w:type="spellEnd"/>
      <w:r>
        <w:rPr>
          <w:sz w:val="24"/>
        </w:rPr>
        <w:t>）</w:t>
      </w:r>
      <w:r>
        <w:rPr>
          <w:sz w:val="24"/>
          <w:vertAlign w:val="superscript"/>
        </w:rPr>
        <w:t>[38]</w:t>
      </w:r>
      <w:r>
        <w:rPr>
          <w:sz w:val="24"/>
        </w:rPr>
        <w:t>中研究也发现枯草芽孢杆菌会显著影响其免疫酶活性。这表明枯草芽孢杆菌能够增强鱼类肠道的免疫能力。</w:t>
      </w:r>
    </w:p>
    <w:p w14:paraId="5C73D9EC" w14:textId="77777777" w:rsidR="008F75C3" w:rsidRDefault="006614AC">
      <w:pPr>
        <w:spacing w:line="360" w:lineRule="auto"/>
        <w:rPr>
          <w:sz w:val="24"/>
        </w:rPr>
      </w:pPr>
      <w:r>
        <w:rPr>
          <w:sz w:val="24"/>
        </w:rPr>
        <w:t xml:space="preserve">3.3  </w:t>
      </w:r>
      <w:r>
        <w:rPr>
          <w:sz w:val="24"/>
        </w:rPr>
        <w:t>枯草芽孢杆菌缓解大口黑鲈幼鱼肠炎</w:t>
      </w:r>
    </w:p>
    <w:p w14:paraId="637C1FC1" w14:textId="77777777" w:rsidR="008F75C3" w:rsidRDefault="006614AC">
      <w:pPr>
        <w:spacing w:line="360" w:lineRule="auto"/>
        <w:ind w:firstLineChars="200" w:firstLine="480"/>
        <w:rPr>
          <w:sz w:val="24"/>
        </w:rPr>
      </w:pPr>
      <w:r>
        <w:rPr>
          <w:sz w:val="24"/>
        </w:rPr>
        <w:t>在鱼类的免疫应答中，通常以抗病能力作为益生菌的选择标准</w:t>
      </w:r>
      <w:r>
        <w:rPr>
          <w:sz w:val="24"/>
          <w:vertAlign w:val="superscript"/>
        </w:rPr>
        <w:t>[39]</w:t>
      </w:r>
      <w:r>
        <w:rPr>
          <w:sz w:val="24"/>
        </w:rPr>
        <w:t>。水产养殖过程中，肠炎问题频发，为了研究肠炎的免疫发病机制，人们建立了实验性结肠炎模型，常用于评估新的抗炎策略</w:t>
      </w:r>
      <w:r>
        <w:rPr>
          <w:sz w:val="24"/>
          <w:vertAlign w:val="superscript"/>
        </w:rPr>
        <w:t>[40</w:t>
      </w:r>
      <w:r>
        <w:rPr>
          <w:sz w:val="24"/>
          <w:vertAlign w:val="superscript"/>
        </w:rPr>
        <w:t>－</w:t>
      </w:r>
      <w:r>
        <w:rPr>
          <w:sz w:val="24"/>
          <w:vertAlign w:val="superscript"/>
        </w:rPr>
        <w:t>41]</w:t>
      </w:r>
      <w:r>
        <w:rPr>
          <w:sz w:val="24"/>
        </w:rPr>
        <w:t>。使用最广泛的模型之一是由</w:t>
      </w:r>
      <w:r>
        <w:rPr>
          <w:sz w:val="24"/>
        </w:rPr>
        <w:t>TNBS</w:t>
      </w:r>
      <w:r>
        <w:rPr>
          <w:sz w:val="24"/>
        </w:rPr>
        <w:t>诱导的结肠炎，其简便易行、易于复制，是一种较为理想的肠炎动物模型。</w:t>
      </w:r>
      <w:r>
        <w:rPr>
          <w:sz w:val="24"/>
        </w:rPr>
        <w:t>TNBS</w:t>
      </w:r>
      <w:r>
        <w:rPr>
          <w:sz w:val="24"/>
        </w:rPr>
        <w:t>触发肠道炎症的可能机制是导致上皮单层衬里破裂，诱导细菌侵入黏膜并导致炎症反应，其典型的炎症反应特征</w:t>
      </w:r>
      <w:proofErr w:type="gramStart"/>
      <w:r>
        <w:rPr>
          <w:sz w:val="24"/>
        </w:rPr>
        <w:t>是促炎因子</w:t>
      </w:r>
      <w:proofErr w:type="gramEnd"/>
      <w:r>
        <w:rPr>
          <w:sz w:val="24"/>
        </w:rPr>
        <w:t>表达增加，抗炎因子表达下降</w:t>
      </w:r>
      <w:r>
        <w:rPr>
          <w:sz w:val="24"/>
          <w:vertAlign w:val="superscript"/>
        </w:rPr>
        <w:t>[42]</w:t>
      </w:r>
      <w:r>
        <w:rPr>
          <w:sz w:val="24"/>
        </w:rPr>
        <w:t>。在本研究中，投喂了枯草芽孢杆菌的试验鱼在注射</w:t>
      </w:r>
      <w:r>
        <w:rPr>
          <w:sz w:val="24"/>
        </w:rPr>
        <w:t>TNBS</w:t>
      </w:r>
      <w:r>
        <w:rPr>
          <w:sz w:val="24"/>
        </w:rPr>
        <w:t>后</w:t>
      </w:r>
      <w:r>
        <w:rPr>
          <w:sz w:val="24"/>
        </w:rPr>
        <w:lastRenderedPageBreak/>
        <w:t>显示出较高的存活率。</w:t>
      </w:r>
      <w:r>
        <w:rPr>
          <w:sz w:val="24"/>
        </w:rPr>
        <w:t>组织病理学检查和评估表明，</w:t>
      </w:r>
      <w:r>
        <w:rPr>
          <w:sz w:val="24"/>
        </w:rPr>
        <w:t>TNBS</w:t>
      </w:r>
      <w:r>
        <w:rPr>
          <w:sz w:val="24"/>
        </w:rPr>
        <w:t>诱导的肠炎损害了以绒毛、黏膜层和肌层为特征的肠道结构。然而，饲料中添加枯草芽孢杆菌明显减轻了</w:t>
      </w:r>
      <w:r>
        <w:rPr>
          <w:sz w:val="24"/>
        </w:rPr>
        <w:t>TNBS</w:t>
      </w:r>
      <w:r>
        <w:rPr>
          <w:sz w:val="24"/>
        </w:rPr>
        <w:t>诱导的肠道损害。与本研究结果一致，</w:t>
      </w:r>
      <w:r>
        <w:rPr>
          <w:sz w:val="24"/>
        </w:rPr>
        <w:t>Daniels</w:t>
      </w:r>
      <w:r>
        <w:rPr>
          <w:sz w:val="24"/>
        </w:rPr>
        <w:t>等</w:t>
      </w:r>
      <w:r>
        <w:rPr>
          <w:sz w:val="24"/>
          <w:vertAlign w:val="superscript"/>
        </w:rPr>
        <w:t>[24]</w:t>
      </w:r>
      <w:r>
        <w:rPr>
          <w:sz w:val="24"/>
        </w:rPr>
        <w:t>和</w:t>
      </w:r>
      <w:proofErr w:type="spellStart"/>
      <w:r>
        <w:rPr>
          <w:sz w:val="24"/>
        </w:rPr>
        <w:t>Asaduzzaman</w:t>
      </w:r>
      <w:proofErr w:type="spellEnd"/>
      <w:r>
        <w:rPr>
          <w:sz w:val="24"/>
        </w:rPr>
        <w:t>等</w:t>
      </w:r>
      <w:r>
        <w:rPr>
          <w:sz w:val="24"/>
          <w:vertAlign w:val="superscript"/>
        </w:rPr>
        <w:t>[43]</w:t>
      </w:r>
      <w:r>
        <w:rPr>
          <w:sz w:val="24"/>
        </w:rPr>
        <w:t>分别对欧洲龙虾和吉罗罗非鱼（</w:t>
      </w:r>
      <w:proofErr w:type="spellStart"/>
      <w:r>
        <w:rPr>
          <w:i/>
          <w:iCs/>
          <w:sz w:val="24"/>
        </w:rPr>
        <w:t>Tortambroides</w:t>
      </w:r>
      <w:proofErr w:type="spellEnd"/>
      <w:r>
        <w:rPr>
          <w:sz w:val="24"/>
        </w:rPr>
        <w:t>）进行研究时也发现益生菌能够保护动物的肠道。这表明，饲料中添加枯草芽孢杆菌能提高大口黑鲈幼鱼的存活率，维护机体注射</w:t>
      </w:r>
      <w:r>
        <w:rPr>
          <w:sz w:val="24"/>
        </w:rPr>
        <w:t>TNBS</w:t>
      </w:r>
      <w:r>
        <w:rPr>
          <w:sz w:val="24"/>
        </w:rPr>
        <w:t>后的肠道正常组织结构，保护肠道免受</w:t>
      </w:r>
      <w:r>
        <w:rPr>
          <w:sz w:val="24"/>
        </w:rPr>
        <w:t>TNBS</w:t>
      </w:r>
      <w:r>
        <w:rPr>
          <w:sz w:val="24"/>
        </w:rPr>
        <w:t>带来的损伤。</w:t>
      </w:r>
    </w:p>
    <w:p w14:paraId="2BDB13F8" w14:textId="77777777" w:rsidR="008F75C3" w:rsidRDefault="006614AC">
      <w:pPr>
        <w:spacing w:line="360" w:lineRule="auto"/>
        <w:rPr>
          <w:sz w:val="24"/>
        </w:rPr>
      </w:pPr>
      <w:r>
        <w:rPr>
          <w:sz w:val="24"/>
        </w:rPr>
        <w:t>此外，在本研究中，我们发现注射</w:t>
      </w:r>
      <w:r>
        <w:rPr>
          <w:sz w:val="24"/>
        </w:rPr>
        <w:t>TNBS</w:t>
      </w:r>
      <w:r>
        <w:rPr>
          <w:sz w:val="24"/>
        </w:rPr>
        <w:t>诱导肠炎后增加了</w:t>
      </w:r>
      <w:r>
        <w:rPr>
          <w:sz w:val="24"/>
        </w:rPr>
        <w:t>肠道抗氧化酶和免疫酶的活性，并且，枯草芽孢杆菌组的肠道抗氧化酶和免疫酶活性均高于对照组，这表明枯草芽孢杆菌可以通过增加肠道抗氧化酶和免疫酶的活性增强其抗氧化能力和免疫能力，降低</w:t>
      </w:r>
      <w:proofErr w:type="spellStart"/>
      <w:r>
        <w:rPr>
          <w:sz w:val="24"/>
        </w:rPr>
        <w:t>TNBS</w:t>
      </w:r>
      <w:proofErr w:type="spellEnd"/>
      <w:r>
        <w:rPr>
          <w:sz w:val="24"/>
        </w:rPr>
        <w:t>对肠道的损伤。这与前人的研究结果一致，</w:t>
      </w:r>
      <w:r>
        <w:rPr>
          <w:sz w:val="24"/>
        </w:rPr>
        <w:t>Ring</w:t>
      </w:r>
      <w:r>
        <w:rPr>
          <w:sz w:val="24"/>
          <w:vertAlign w:val="superscript"/>
        </w:rPr>
        <w:t>[44]</w:t>
      </w:r>
      <w:r>
        <w:rPr>
          <w:sz w:val="24"/>
        </w:rPr>
        <w:t>发现凝结芽孢杆菌（</w:t>
      </w:r>
      <w:r>
        <w:rPr>
          <w:i/>
          <w:iCs/>
          <w:sz w:val="24"/>
        </w:rPr>
        <w:t xml:space="preserve">Bacillus </w:t>
      </w:r>
      <w:proofErr w:type="spellStart"/>
      <w:r>
        <w:rPr>
          <w:i/>
          <w:iCs/>
          <w:sz w:val="24"/>
        </w:rPr>
        <w:t>coagulans</w:t>
      </w:r>
      <w:proofErr w:type="spellEnd"/>
      <w:r>
        <w:rPr>
          <w:sz w:val="24"/>
        </w:rPr>
        <w:t>）可以增加锦鲤的体重，提高锦鲤对病毒感染的抵抗能力和免疫能力；</w:t>
      </w:r>
      <w:proofErr w:type="gramStart"/>
      <w:r>
        <w:rPr>
          <w:sz w:val="24"/>
        </w:rPr>
        <w:t>宫秀燕</w:t>
      </w:r>
      <w:proofErr w:type="gramEnd"/>
      <w:r>
        <w:rPr>
          <w:sz w:val="24"/>
        </w:rPr>
        <w:t>等</w:t>
      </w:r>
      <w:r>
        <w:rPr>
          <w:sz w:val="24"/>
          <w:vertAlign w:val="superscript"/>
        </w:rPr>
        <w:t>[45]</w:t>
      </w:r>
      <w:r>
        <w:rPr>
          <w:sz w:val="24"/>
        </w:rPr>
        <w:t>发现，肠炎沙门氏菌感染可降低肉鸡的抗氧化能力，而饲粮中添加凝结芽孢杆菌能够通过提高肉鸡的抗氧化能力而缓解因肠炎沙门氏菌感染所造成的氧化应激。综</w:t>
      </w:r>
      <w:r>
        <w:rPr>
          <w:sz w:val="24"/>
        </w:rPr>
        <w:t>上可知，在饲料中加入适量的枯草芽孢杆菌能够增强鱼类抗氧化能力和免疫能力，从而增强其对疾病的抵抗力。</w:t>
      </w:r>
    </w:p>
    <w:p w14:paraId="0E99D74E" w14:textId="77777777" w:rsidR="008F75C3" w:rsidRDefault="006614AC">
      <w:pPr>
        <w:spacing w:line="360" w:lineRule="auto"/>
        <w:ind w:firstLineChars="200" w:firstLine="480"/>
        <w:rPr>
          <w:sz w:val="24"/>
        </w:rPr>
      </w:pPr>
      <w:r>
        <w:rPr>
          <w:sz w:val="24"/>
        </w:rPr>
        <w:t>细胞因子</w:t>
      </w:r>
      <w:proofErr w:type="gramStart"/>
      <w:r>
        <w:rPr>
          <w:sz w:val="24"/>
        </w:rPr>
        <w:t>介</w:t>
      </w:r>
      <w:proofErr w:type="gramEnd"/>
      <w:r>
        <w:rPr>
          <w:sz w:val="24"/>
        </w:rPr>
        <w:t>导的炎症反应在鱼类机体免疫中发挥重要作用，其可以通过增强或抑制细胞因子的产生，进而调节免疫反应</w:t>
      </w:r>
      <w:r>
        <w:rPr>
          <w:sz w:val="24"/>
          <w:vertAlign w:val="superscript"/>
        </w:rPr>
        <w:t>[46]</w:t>
      </w:r>
      <w:r>
        <w:rPr>
          <w:sz w:val="24"/>
        </w:rPr>
        <w:t>。根据细胞因子在炎症反应中发挥的作用，鱼类的细胞因子可以分为抗炎因子（如</w:t>
      </w:r>
      <w:r>
        <w:rPr>
          <w:sz w:val="24"/>
        </w:rPr>
        <w:t>IL-10</w:t>
      </w:r>
      <w:r>
        <w:rPr>
          <w:sz w:val="24"/>
        </w:rPr>
        <w:t>和</w:t>
      </w:r>
      <w:r>
        <w:rPr>
          <w:sz w:val="24"/>
        </w:rPr>
        <w:t>TGF-β1</w:t>
      </w:r>
      <w:r>
        <w:rPr>
          <w:sz w:val="24"/>
        </w:rPr>
        <w:t>等）和</w:t>
      </w:r>
      <w:proofErr w:type="gramStart"/>
      <w:r>
        <w:rPr>
          <w:sz w:val="24"/>
        </w:rPr>
        <w:t>促炎</w:t>
      </w:r>
      <w:proofErr w:type="gramEnd"/>
      <w:r>
        <w:rPr>
          <w:sz w:val="24"/>
        </w:rPr>
        <w:t>因子（如</w:t>
      </w:r>
      <w:r>
        <w:rPr>
          <w:sz w:val="24"/>
        </w:rPr>
        <w:t>TNF-α</w:t>
      </w:r>
      <w:r>
        <w:rPr>
          <w:sz w:val="24"/>
        </w:rPr>
        <w:t>、</w:t>
      </w:r>
      <w:r>
        <w:rPr>
          <w:sz w:val="24"/>
        </w:rPr>
        <w:t>IL-1β</w:t>
      </w:r>
      <w:r>
        <w:rPr>
          <w:sz w:val="24"/>
        </w:rPr>
        <w:t>、</w:t>
      </w:r>
      <w:r>
        <w:rPr>
          <w:sz w:val="24"/>
        </w:rPr>
        <w:t>IL-15</w:t>
      </w:r>
      <w:r>
        <w:rPr>
          <w:sz w:val="24"/>
        </w:rPr>
        <w:t>和</w:t>
      </w:r>
      <w:r>
        <w:rPr>
          <w:sz w:val="24"/>
        </w:rPr>
        <w:t>IL-8</w:t>
      </w:r>
      <w:r>
        <w:rPr>
          <w:sz w:val="24"/>
        </w:rPr>
        <w:t>等）</w:t>
      </w:r>
      <w:r>
        <w:rPr>
          <w:sz w:val="24"/>
          <w:vertAlign w:val="superscript"/>
        </w:rPr>
        <w:t>[47]</w:t>
      </w:r>
      <w:r>
        <w:rPr>
          <w:sz w:val="24"/>
        </w:rPr>
        <w:t>。肠炎会</w:t>
      </w:r>
      <w:proofErr w:type="gramStart"/>
      <w:r>
        <w:rPr>
          <w:sz w:val="24"/>
        </w:rPr>
        <w:t>增加促炎因子</w:t>
      </w:r>
      <w:proofErr w:type="gramEnd"/>
      <w:r>
        <w:rPr>
          <w:sz w:val="24"/>
        </w:rPr>
        <w:t>的表达，降低抗炎因子的表达，因此它们能够在分子水平上指示炎症性损伤</w:t>
      </w:r>
      <w:r>
        <w:rPr>
          <w:sz w:val="24"/>
          <w:vertAlign w:val="superscript"/>
        </w:rPr>
        <w:t>[48</w:t>
      </w:r>
      <w:r>
        <w:rPr>
          <w:sz w:val="24"/>
          <w:vertAlign w:val="superscript"/>
        </w:rPr>
        <w:t>－</w:t>
      </w:r>
      <w:r>
        <w:rPr>
          <w:sz w:val="24"/>
          <w:vertAlign w:val="superscript"/>
        </w:rPr>
        <w:t>49]</w:t>
      </w:r>
      <w:r>
        <w:rPr>
          <w:sz w:val="24"/>
        </w:rPr>
        <w:t>。研究发现，益生</w:t>
      </w:r>
      <w:proofErr w:type="gramStart"/>
      <w:r>
        <w:rPr>
          <w:sz w:val="24"/>
        </w:rPr>
        <w:t>菌可以</w:t>
      </w:r>
      <w:proofErr w:type="gramEnd"/>
      <w:r>
        <w:rPr>
          <w:sz w:val="24"/>
        </w:rPr>
        <w:t>通过调控</w:t>
      </w:r>
      <w:r>
        <w:rPr>
          <w:sz w:val="24"/>
        </w:rPr>
        <w:t>炎症因子表达调节鱼类肠道先天性免疫，增强鱼体对致病菌的抵抗能力，从而减缓炎症</w:t>
      </w:r>
      <w:r>
        <w:rPr>
          <w:sz w:val="24"/>
          <w:vertAlign w:val="superscript"/>
        </w:rPr>
        <w:t>[45</w:t>
      </w:r>
      <w:r>
        <w:rPr>
          <w:sz w:val="24"/>
          <w:vertAlign w:val="superscript"/>
        </w:rPr>
        <w:t>，</w:t>
      </w:r>
      <w:r>
        <w:rPr>
          <w:sz w:val="24"/>
          <w:vertAlign w:val="superscript"/>
        </w:rPr>
        <w:t>50]</w:t>
      </w:r>
      <w:r>
        <w:rPr>
          <w:sz w:val="24"/>
        </w:rPr>
        <w:t>。但目前关于枯草芽孢杆菌对注射</w:t>
      </w:r>
      <w:r>
        <w:rPr>
          <w:sz w:val="24"/>
        </w:rPr>
        <w:t>TNBS</w:t>
      </w:r>
      <w:r>
        <w:rPr>
          <w:sz w:val="24"/>
        </w:rPr>
        <w:t>后大口黑鲈幼鱼肠道炎性因子表达的调节还尚不清楚。本研究发现，与对照组相比，枯草芽孢杆菌表现出显著降低大口黑鲈幼鱼</w:t>
      </w:r>
      <w:proofErr w:type="gramStart"/>
      <w:r>
        <w:rPr>
          <w:sz w:val="24"/>
        </w:rPr>
        <w:t>肠道促炎因子</w:t>
      </w:r>
      <w:proofErr w:type="gramEnd"/>
      <w:r>
        <w:rPr>
          <w:sz w:val="24"/>
        </w:rPr>
        <w:t>IL-1β</w:t>
      </w:r>
      <w:r>
        <w:rPr>
          <w:sz w:val="24"/>
        </w:rPr>
        <w:t>、</w:t>
      </w:r>
      <w:r>
        <w:rPr>
          <w:sz w:val="24"/>
        </w:rPr>
        <w:t>IL-15</w:t>
      </w:r>
      <w:r>
        <w:rPr>
          <w:sz w:val="24"/>
        </w:rPr>
        <w:t>、</w:t>
      </w:r>
      <w:r>
        <w:rPr>
          <w:sz w:val="24"/>
        </w:rPr>
        <w:t>TNF-α</w:t>
      </w:r>
      <w:r>
        <w:rPr>
          <w:sz w:val="24"/>
        </w:rPr>
        <w:t>、</w:t>
      </w:r>
      <w:r>
        <w:rPr>
          <w:sz w:val="24"/>
        </w:rPr>
        <w:t>IL-8</w:t>
      </w:r>
      <w:r>
        <w:rPr>
          <w:sz w:val="24"/>
        </w:rPr>
        <w:t>的</w:t>
      </w:r>
      <w:r>
        <w:rPr>
          <w:sz w:val="24"/>
        </w:rPr>
        <w:t>mRNA</w:t>
      </w:r>
      <w:r>
        <w:rPr>
          <w:sz w:val="24"/>
        </w:rPr>
        <w:t>相对表达量，并显著升高抗炎因子</w:t>
      </w:r>
      <w:r>
        <w:rPr>
          <w:sz w:val="24"/>
        </w:rPr>
        <w:t>IL-10</w:t>
      </w:r>
      <w:r>
        <w:rPr>
          <w:sz w:val="24"/>
        </w:rPr>
        <w:t>、</w:t>
      </w:r>
      <w:r>
        <w:rPr>
          <w:sz w:val="24"/>
        </w:rPr>
        <w:t>TGF-β1</w:t>
      </w:r>
      <w:r>
        <w:rPr>
          <w:sz w:val="24"/>
        </w:rPr>
        <w:t>的</w:t>
      </w:r>
      <w:r>
        <w:rPr>
          <w:sz w:val="24"/>
        </w:rPr>
        <w:t>mRNA</w:t>
      </w:r>
      <w:r>
        <w:rPr>
          <w:sz w:val="24"/>
        </w:rPr>
        <w:t>相对表达量。与本研究结果一致，</w:t>
      </w:r>
      <w:proofErr w:type="spellStart"/>
      <w:r>
        <w:rPr>
          <w:sz w:val="24"/>
        </w:rPr>
        <w:t>Midhun</w:t>
      </w:r>
      <w:proofErr w:type="spellEnd"/>
      <w:r>
        <w:rPr>
          <w:sz w:val="24"/>
        </w:rPr>
        <w:t>等</w:t>
      </w:r>
      <w:r>
        <w:rPr>
          <w:sz w:val="24"/>
          <w:vertAlign w:val="superscript"/>
        </w:rPr>
        <w:t>[51]</w:t>
      </w:r>
      <w:r>
        <w:rPr>
          <w:sz w:val="24"/>
        </w:rPr>
        <w:t>研究发现地衣芽孢杆菌可以显著上调罗非鱼免疫相关基因及</w:t>
      </w:r>
      <w:r>
        <w:rPr>
          <w:sz w:val="24"/>
        </w:rPr>
        <w:t>IL-10</w:t>
      </w:r>
      <w:r>
        <w:rPr>
          <w:sz w:val="24"/>
        </w:rPr>
        <w:t>等抗炎因子的表达。我们推测，</w:t>
      </w:r>
      <w:r>
        <w:rPr>
          <w:sz w:val="24"/>
        </w:rPr>
        <w:t>枯草芽孢</w:t>
      </w:r>
      <w:proofErr w:type="gramStart"/>
      <w:r>
        <w:rPr>
          <w:sz w:val="24"/>
        </w:rPr>
        <w:t>杆菌对炎性因子</w:t>
      </w:r>
      <w:proofErr w:type="gramEnd"/>
      <w:r>
        <w:rPr>
          <w:sz w:val="24"/>
        </w:rPr>
        <w:t>表达的影响可能部分归因于核因子－</w:t>
      </w:r>
      <w:proofErr w:type="spellStart"/>
      <w:r>
        <w:rPr>
          <w:sz w:val="24"/>
        </w:rPr>
        <w:t>κB</w:t>
      </w:r>
      <w:proofErr w:type="spellEnd"/>
      <w:r>
        <w:rPr>
          <w:sz w:val="24"/>
        </w:rPr>
        <w:t>（</w:t>
      </w:r>
      <w:r>
        <w:rPr>
          <w:sz w:val="24"/>
        </w:rPr>
        <w:t>NF-</w:t>
      </w:r>
      <w:proofErr w:type="spellStart"/>
      <w:r>
        <w:rPr>
          <w:sz w:val="24"/>
        </w:rPr>
        <w:t>κB</w:t>
      </w:r>
      <w:proofErr w:type="spellEnd"/>
      <w:r>
        <w:rPr>
          <w:sz w:val="24"/>
        </w:rPr>
        <w:t>）信号通路。已有研究发现，在人类中，</w:t>
      </w:r>
      <w:r>
        <w:rPr>
          <w:sz w:val="24"/>
        </w:rPr>
        <w:t>NF-</w:t>
      </w:r>
      <w:proofErr w:type="spellStart"/>
      <w:r>
        <w:rPr>
          <w:sz w:val="24"/>
        </w:rPr>
        <w:t>κB</w:t>
      </w:r>
      <w:proofErr w:type="spellEnd"/>
      <w:r>
        <w:rPr>
          <w:sz w:val="24"/>
        </w:rPr>
        <w:t>可以促进</w:t>
      </w:r>
      <w:r>
        <w:rPr>
          <w:sz w:val="24"/>
        </w:rPr>
        <w:t>IL-1β</w:t>
      </w:r>
      <w:r>
        <w:rPr>
          <w:sz w:val="24"/>
        </w:rPr>
        <w:t>、</w:t>
      </w:r>
      <w:r>
        <w:rPr>
          <w:sz w:val="24"/>
        </w:rPr>
        <w:t>TNF-α</w:t>
      </w:r>
      <w:r>
        <w:rPr>
          <w:sz w:val="24"/>
        </w:rPr>
        <w:t>和</w:t>
      </w:r>
      <w:r>
        <w:rPr>
          <w:sz w:val="24"/>
        </w:rPr>
        <w:t>γ</w:t>
      </w:r>
      <w:r>
        <w:rPr>
          <w:sz w:val="24"/>
        </w:rPr>
        <w:t>－干扰素（</w:t>
      </w:r>
      <w:r>
        <w:rPr>
          <w:sz w:val="24"/>
        </w:rPr>
        <w:t>IFN-γ</w:t>
      </w:r>
      <w:r>
        <w:rPr>
          <w:sz w:val="24"/>
        </w:rPr>
        <w:t>）的表达，而抑制</w:t>
      </w:r>
      <w:r>
        <w:rPr>
          <w:sz w:val="24"/>
        </w:rPr>
        <w:t>IL-10</w:t>
      </w:r>
      <w:r>
        <w:rPr>
          <w:sz w:val="24"/>
        </w:rPr>
        <w:t>的表达</w:t>
      </w:r>
      <w:r>
        <w:rPr>
          <w:sz w:val="24"/>
          <w:vertAlign w:val="superscript"/>
        </w:rPr>
        <w:t>[52]</w:t>
      </w:r>
      <w:r>
        <w:rPr>
          <w:sz w:val="24"/>
        </w:rPr>
        <w:t>。</w:t>
      </w:r>
      <w:proofErr w:type="gramStart"/>
      <w:r>
        <w:rPr>
          <w:sz w:val="24"/>
        </w:rPr>
        <w:t>促炎因子</w:t>
      </w:r>
      <w:proofErr w:type="gramEnd"/>
      <w:r>
        <w:rPr>
          <w:sz w:val="24"/>
        </w:rPr>
        <w:t>（</w:t>
      </w:r>
      <w:r>
        <w:rPr>
          <w:sz w:val="24"/>
        </w:rPr>
        <w:t>IL-1β</w:t>
      </w:r>
      <w:r>
        <w:rPr>
          <w:sz w:val="24"/>
        </w:rPr>
        <w:t>、</w:t>
      </w:r>
      <w:r>
        <w:rPr>
          <w:sz w:val="24"/>
        </w:rPr>
        <w:t>IL-8</w:t>
      </w:r>
      <w:r>
        <w:rPr>
          <w:sz w:val="24"/>
        </w:rPr>
        <w:t>、</w:t>
      </w:r>
      <w:r>
        <w:rPr>
          <w:sz w:val="24"/>
        </w:rPr>
        <w:t>TNF-α</w:t>
      </w:r>
      <w:r>
        <w:rPr>
          <w:sz w:val="24"/>
        </w:rPr>
        <w:t>等）</w:t>
      </w:r>
      <w:r>
        <w:rPr>
          <w:sz w:val="24"/>
        </w:rPr>
        <w:t>mRNA</w:t>
      </w:r>
      <w:r>
        <w:rPr>
          <w:sz w:val="24"/>
        </w:rPr>
        <w:t>相对表达量与</w:t>
      </w:r>
      <w:r>
        <w:rPr>
          <w:sz w:val="24"/>
        </w:rPr>
        <w:t>NF-κBp65 mRNA</w:t>
      </w:r>
      <w:r>
        <w:rPr>
          <w:sz w:val="24"/>
        </w:rPr>
        <w:t>相对表达量呈正相关，所以枯草芽孢杆菌组较低</w:t>
      </w:r>
      <w:proofErr w:type="gramStart"/>
      <w:r>
        <w:rPr>
          <w:sz w:val="24"/>
        </w:rPr>
        <w:t>的促炎因子</w:t>
      </w:r>
      <w:proofErr w:type="gramEnd"/>
      <w:r>
        <w:rPr>
          <w:sz w:val="24"/>
        </w:rPr>
        <w:t>IL-1β</w:t>
      </w:r>
      <w:r>
        <w:rPr>
          <w:sz w:val="24"/>
        </w:rPr>
        <w:t>、</w:t>
      </w:r>
      <w:r>
        <w:rPr>
          <w:sz w:val="24"/>
        </w:rPr>
        <w:t>IL-8</w:t>
      </w:r>
      <w:r>
        <w:rPr>
          <w:sz w:val="24"/>
        </w:rPr>
        <w:t>、</w:t>
      </w:r>
      <w:r>
        <w:rPr>
          <w:sz w:val="24"/>
        </w:rPr>
        <w:t>IL-15</w:t>
      </w:r>
      <w:r>
        <w:rPr>
          <w:sz w:val="24"/>
        </w:rPr>
        <w:t>和</w:t>
      </w:r>
      <w:r>
        <w:rPr>
          <w:sz w:val="24"/>
        </w:rPr>
        <w:t>TNF-α mRNA</w:t>
      </w:r>
      <w:r>
        <w:rPr>
          <w:sz w:val="24"/>
        </w:rPr>
        <w:t>相对表达量可能部分与该鱼肠道</w:t>
      </w:r>
      <w:r>
        <w:rPr>
          <w:sz w:val="24"/>
        </w:rPr>
        <w:lastRenderedPageBreak/>
        <w:t>NF-κBp65</w:t>
      </w:r>
      <w:r>
        <w:rPr>
          <w:sz w:val="24"/>
        </w:rPr>
        <w:t>转录丰度降低有关。同时，本研究发现枯草芽孢杆菌增强了大口黑</w:t>
      </w:r>
      <w:r>
        <w:rPr>
          <w:sz w:val="24"/>
        </w:rPr>
        <w:t>鲈幼鱼肠道</w:t>
      </w:r>
      <w:r>
        <w:rPr>
          <w:sz w:val="24"/>
        </w:rPr>
        <w:t>IL-10</w:t>
      </w:r>
      <w:r>
        <w:rPr>
          <w:sz w:val="24"/>
        </w:rPr>
        <w:t>和</w:t>
      </w:r>
      <w:r>
        <w:rPr>
          <w:sz w:val="24"/>
        </w:rPr>
        <w:t>TGF-β1</w:t>
      </w:r>
      <w:r>
        <w:rPr>
          <w:sz w:val="24"/>
        </w:rPr>
        <w:t>的表达，猜测这可能是通过其他信号途径发挥的作用，其机制需要进一步研究。综上可知，适宜添加量的枯草芽孢杆菌可以改善</w:t>
      </w:r>
      <w:r>
        <w:rPr>
          <w:sz w:val="24"/>
        </w:rPr>
        <w:t>TNBS</w:t>
      </w:r>
      <w:r>
        <w:rPr>
          <w:sz w:val="24"/>
        </w:rPr>
        <w:t>注射后大口黑鲈幼鱼肠道的炎症状态，从而降低</w:t>
      </w:r>
      <w:r>
        <w:rPr>
          <w:sz w:val="24"/>
        </w:rPr>
        <w:t>TNBS</w:t>
      </w:r>
      <w:r>
        <w:rPr>
          <w:sz w:val="24"/>
        </w:rPr>
        <w:t>引起的肠道损伤。</w:t>
      </w:r>
    </w:p>
    <w:p w14:paraId="3EE58661" w14:textId="77777777" w:rsidR="008F75C3" w:rsidRDefault="006614AC">
      <w:pPr>
        <w:spacing w:line="360" w:lineRule="auto"/>
        <w:rPr>
          <w:sz w:val="24"/>
        </w:rPr>
      </w:pPr>
      <w:r>
        <w:rPr>
          <w:sz w:val="24"/>
        </w:rPr>
        <w:t xml:space="preserve">4  </w:t>
      </w:r>
      <w:r>
        <w:rPr>
          <w:sz w:val="24"/>
        </w:rPr>
        <w:t>结论</w:t>
      </w:r>
    </w:p>
    <w:p w14:paraId="0661162D" w14:textId="77777777" w:rsidR="008F75C3" w:rsidRDefault="006614AC">
      <w:pPr>
        <w:spacing w:line="360" w:lineRule="auto"/>
        <w:ind w:firstLineChars="200" w:firstLine="480"/>
        <w:rPr>
          <w:sz w:val="24"/>
        </w:rPr>
      </w:pPr>
      <w:r>
        <w:rPr>
          <w:sz w:val="24"/>
        </w:rPr>
        <w:t>综上所述，饲料中添加枯草芽孢杆菌可以有效改善大口黑鲈幼鱼的肠道抗氧化能力和免疫能力。在注射</w:t>
      </w:r>
      <w:r>
        <w:rPr>
          <w:sz w:val="24"/>
        </w:rPr>
        <w:t>TNBS</w:t>
      </w:r>
      <w:r>
        <w:rPr>
          <w:sz w:val="24"/>
        </w:rPr>
        <w:t>诱导肠炎后，</w:t>
      </w:r>
      <w:r>
        <w:rPr>
          <w:sz w:val="24"/>
        </w:rPr>
        <w:t>1.0 %</w:t>
      </w:r>
      <w:r>
        <w:rPr>
          <w:sz w:val="24"/>
        </w:rPr>
        <w:t>枯草芽孢杆菌对于大口黑鲈幼鱼肠炎的缓解作用更佳，可作为生产参考用量。</w:t>
      </w:r>
    </w:p>
    <w:p w14:paraId="559C7524" w14:textId="77777777" w:rsidR="008F75C3" w:rsidRDefault="006614AC">
      <w:pPr>
        <w:spacing w:line="360" w:lineRule="auto"/>
        <w:rPr>
          <w:sz w:val="24"/>
        </w:rPr>
      </w:pPr>
      <w:r>
        <w:rPr>
          <w:sz w:val="24"/>
        </w:rPr>
        <w:t>参考文献：略</w:t>
      </w:r>
    </w:p>
    <w:p w14:paraId="6E46DA24" w14:textId="77777777" w:rsidR="008F75C3" w:rsidRDefault="006614AC">
      <w:pPr>
        <w:spacing w:line="360" w:lineRule="auto"/>
        <w:jc w:val="right"/>
        <w:rPr>
          <w:sz w:val="24"/>
        </w:rPr>
      </w:pPr>
      <w:r>
        <w:rPr>
          <w:sz w:val="24"/>
        </w:rPr>
        <w:t>原文刊登在《动物营养学报》，网络首发时间</w:t>
      </w:r>
      <w:r>
        <w:rPr>
          <w:sz w:val="24"/>
        </w:rPr>
        <w:t>: 2021-11-24 11:26:49</w:t>
      </w:r>
    </w:p>
    <w:p w14:paraId="2F2B7EC8" w14:textId="77777777" w:rsidR="008F75C3" w:rsidRDefault="006614AC">
      <w:pPr>
        <w:pStyle w:val="2"/>
        <w:spacing w:line="460" w:lineRule="exact"/>
        <w:jc w:val="center"/>
        <w:rPr>
          <w:rFonts w:ascii="Times New Roman" w:eastAsia="黑体" w:hAnsi="Times New Roman" w:cs="Times New Roman"/>
          <w:b w:val="0"/>
          <w:bCs w:val="0"/>
          <w:sz w:val="32"/>
          <w:szCs w:val="32"/>
        </w:rPr>
      </w:pPr>
      <w:bookmarkStart w:id="31" w:name="_Toc90390771"/>
      <w:r>
        <w:rPr>
          <w:rFonts w:ascii="Times New Roman" w:eastAsia="黑体" w:hAnsi="Times New Roman" w:cs="Times New Roman"/>
          <w:sz w:val="32"/>
          <w:szCs w:val="32"/>
        </w:rPr>
        <w:t>饲料中添加蛋白酶对大口黑鲈生长性能和</w:t>
      </w:r>
      <w:proofErr w:type="gramStart"/>
      <w:r>
        <w:rPr>
          <w:rFonts w:ascii="Times New Roman" w:eastAsia="黑体" w:hAnsi="Times New Roman" w:cs="Times New Roman"/>
          <w:sz w:val="32"/>
          <w:szCs w:val="32"/>
        </w:rPr>
        <w:t>糖、</w:t>
      </w:r>
      <w:proofErr w:type="gramEnd"/>
      <w:r>
        <w:rPr>
          <w:rFonts w:ascii="Times New Roman" w:eastAsia="黑体" w:hAnsi="Times New Roman" w:cs="Times New Roman"/>
          <w:sz w:val="32"/>
          <w:szCs w:val="32"/>
        </w:rPr>
        <w:t>脂代谢的影响</w:t>
      </w:r>
      <w:bookmarkEnd w:id="31"/>
    </w:p>
    <w:p w14:paraId="32AB811E" w14:textId="77777777" w:rsidR="008F75C3" w:rsidRDefault="006614AC">
      <w:pPr>
        <w:ind w:firstLineChars="200" w:firstLine="420"/>
        <w:jc w:val="center"/>
        <w:rPr>
          <w:szCs w:val="21"/>
        </w:rPr>
      </w:pPr>
      <w:r>
        <w:rPr>
          <w:szCs w:val="21"/>
        </w:rPr>
        <w:t>（</w:t>
      </w:r>
      <w:r>
        <w:rPr>
          <w:szCs w:val="21"/>
        </w:rPr>
        <w:t>1.</w:t>
      </w:r>
      <w:r>
        <w:rPr>
          <w:szCs w:val="21"/>
        </w:rPr>
        <w:t>中国农业科学院饲料研究所，国家水产饲料安全评价基地，北京</w:t>
      </w:r>
      <w:r>
        <w:rPr>
          <w:szCs w:val="21"/>
        </w:rPr>
        <w:t>10081</w:t>
      </w:r>
      <w:r>
        <w:rPr>
          <w:szCs w:val="21"/>
        </w:rPr>
        <w:t>；２</w:t>
      </w:r>
      <w:r>
        <w:rPr>
          <w:szCs w:val="21"/>
        </w:rPr>
        <w:t>.</w:t>
      </w:r>
      <w:r>
        <w:rPr>
          <w:szCs w:val="21"/>
        </w:rPr>
        <w:t>大连海洋大学，辽宁省北方鱼类应用生物学与增养殖重点实验室，大连</w:t>
      </w:r>
      <w:r>
        <w:rPr>
          <w:szCs w:val="21"/>
        </w:rPr>
        <w:t>116023</w:t>
      </w:r>
      <w:r>
        <w:rPr>
          <w:szCs w:val="21"/>
        </w:rPr>
        <w:t>．广州市博</w:t>
      </w:r>
      <w:proofErr w:type="gramStart"/>
      <w:r>
        <w:rPr>
          <w:szCs w:val="21"/>
        </w:rPr>
        <w:t>仕</w:t>
      </w:r>
      <w:proofErr w:type="gramEnd"/>
      <w:r>
        <w:rPr>
          <w:szCs w:val="21"/>
        </w:rPr>
        <w:t>奥生化技术研究有限公司，广州</w:t>
      </w:r>
      <w:r>
        <w:rPr>
          <w:szCs w:val="21"/>
        </w:rPr>
        <w:t xml:space="preserve"> 511356</w:t>
      </w:r>
      <w:r>
        <w:rPr>
          <w:szCs w:val="21"/>
        </w:rPr>
        <w:t>）</w:t>
      </w:r>
    </w:p>
    <w:p w14:paraId="78853A28" w14:textId="77777777" w:rsidR="008F75C3" w:rsidRDefault="006614AC">
      <w:r>
        <w:rPr>
          <w:b/>
          <w:bCs/>
        </w:rPr>
        <w:t>摘要：</w:t>
      </w:r>
      <w:r>
        <w:t>本试验旨在研究饲料中添加蛋白酶对大口黑鲈生长性能及糖、脂代谢的影响。试验将初始体重为（</w:t>
      </w:r>
      <w:r>
        <w:t>31.9±0.05</w:t>
      </w:r>
      <w:r>
        <w:t>）</w:t>
      </w:r>
      <w:r>
        <w:t>g</w:t>
      </w:r>
      <w:r>
        <w:t>的大口黑鲈幼鱼</w:t>
      </w:r>
      <w:r>
        <w:t>240</w:t>
      </w:r>
      <w:r>
        <w:t>尾，随机分为</w:t>
      </w:r>
      <w:r>
        <w:t>2</w:t>
      </w:r>
      <w:r>
        <w:t>个对照组和</w:t>
      </w:r>
      <w:r>
        <w:t>2</w:t>
      </w:r>
      <w:r>
        <w:t>个试</w:t>
      </w:r>
      <w:r>
        <w:t>验组，每组</w:t>
      </w:r>
      <w:r>
        <w:t>3</w:t>
      </w:r>
      <w:r>
        <w:t>个重复，每个重复</w:t>
      </w:r>
      <w:r>
        <w:t>20</w:t>
      </w:r>
      <w:r>
        <w:t>尾鱼。饲喂鱼粉含量为</w:t>
      </w:r>
      <w:r>
        <w:t>50%</w:t>
      </w:r>
      <w:r>
        <w:t>的饲料作为正对照（</w:t>
      </w:r>
      <w:r>
        <w:t>HFM</w:t>
      </w:r>
      <w:r>
        <w:t>组），鱼粉含量为</w:t>
      </w:r>
      <w:r>
        <w:t>30</w:t>
      </w:r>
      <w:r>
        <w:t>％、棉籽浓缩蛋白（</w:t>
      </w:r>
      <w:r>
        <w:t>CPC</w:t>
      </w:r>
      <w:r>
        <w:t>）替代</w:t>
      </w:r>
      <w:r>
        <w:t>40</w:t>
      </w:r>
      <w:r>
        <w:t>％鱼粉蛋白的饲料作为基础对照（</w:t>
      </w:r>
      <w:r>
        <w:t>LFM</w:t>
      </w:r>
      <w:r>
        <w:t>组）；试验组是在</w:t>
      </w:r>
      <w:r>
        <w:t>LFM</w:t>
      </w:r>
      <w:r>
        <w:t>组饲料的基础上分别添加</w:t>
      </w:r>
      <w:r>
        <w:t>4 500</w:t>
      </w:r>
      <w:r>
        <w:t>（</w:t>
      </w:r>
      <w:r>
        <w:t>LFM</w:t>
      </w:r>
      <w:r>
        <w:t>＋Ｅ</w:t>
      </w:r>
      <w:r>
        <w:t>4 500</w:t>
      </w:r>
      <w:r>
        <w:t>组）和</w:t>
      </w:r>
      <w:r>
        <w:t>7500</w:t>
      </w:r>
      <w:r>
        <w:t>Ｕ</w:t>
      </w:r>
      <w:r>
        <w:t>/kg</w:t>
      </w:r>
      <w:r>
        <w:t>蛋白酶</w:t>
      </w:r>
      <w:r>
        <w:t>(LFM</w:t>
      </w:r>
      <w:r>
        <w:t>＋</w:t>
      </w:r>
      <w:r>
        <w:t>E7 500</w:t>
      </w:r>
      <w:r>
        <w:t>组）。</w:t>
      </w:r>
      <w:r>
        <w:t xml:space="preserve"> </w:t>
      </w:r>
      <w:r>
        <w:t>各组饲料的必需氨基酸和必需脂肪酸进行了平衡。养殖周期为</w:t>
      </w:r>
      <w:r>
        <w:t>65</w:t>
      </w:r>
      <w:r>
        <w:t>ｄ。结果表明：</w:t>
      </w:r>
      <w:r>
        <w:t>1) CPC</w:t>
      </w:r>
      <w:r>
        <w:t>替代</w:t>
      </w:r>
      <w:r>
        <w:t>40</w:t>
      </w:r>
      <w:r>
        <w:t>％鱼粉蛋白后，基础能量代谢水平与</w:t>
      </w:r>
      <w:r>
        <w:t>HFM</w:t>
      </w:r>
      <w:r>
        <w:t>组相比显著降低（</w:t>
      </w:r>
      <w:r>
        <w:t>P</w:t>
      </w:r>
      <w:r>
        <w:t>＜</w:t>
      </w:r>
      <w:r>
        <w:t>0.05</w:t>
      </w:r>
      <w:r>
        <w:t>）。２</w:t>
      </w:r>
      <w:r>
        <w:t>)</w:t>
      </w:r>
      <w:r>
        <w:t>添加蛋白酶后，存活率有一定程度的上调（由</w:t>
      </w:r>
      <w:r>
        <w:t>LFM</w:t>
      </w:r>
      <w:r>
        <w:t>组的</w:t>
      </w:r>
      <w:r>
        <w:t>92.50</w:t>
      </w:r>
      <w:r>
        <w:t>％上调到</w:t>
      </w:r>
      <w:r>
        <w:t>LFM</w:t>
      </w:r>
      <w:r>
        <w:t>＋</w:t>
      </w:r>
      <w:r>
        <w:t>E45 00</w:t>
      </w:r>
      <w:r>
        <w:t>组的</w:t>
      </w:r>
      <w:r>
        <w:t>98.33</w:t>
      </w:r>
      <w:r>
        <w:t>％和</w:t>
      </w:r>
      <w:r>
        <w:t>LFM</w:t>
      </w:r>
      <w:r>
        <w:t>＋</w:t>
      </w:r>
      <w:r>
        <w:t>E 7500</w:t>
      </w:r>
      <w:r>
        <w:t>组的</w:t>
      </w:r>
      <w:r>
        <w:t>100.00</w:t>
      </w:r>
      <w:r>
        <w:t>％）；试验组鱼</w:t>
      </w:r>
      <w:proofErr w:type="gramStart"/>
      <w:r>
        <w:t>体腹脂率</w:t>
      </w:r>
      <w:proofErr w:type="gramEnd"/>
      <w:r>
        <w:t>与</w:t>
      </w:r>
      <w:r>
        <w:t>LFM</w:t>
      </w:r>
      <w:r>
        <w:t>组相比显著下降（</w:t>
      </w:r>
      <w:r>
        <w:rPr>
          <w:i/>
          <w:iCs/>
        </w:rPr>
        <w:t>P</w:t>
      </w:r>
      <w:r>
        <w:t>＜</w:t>
      </w:r>
      <w:r>
        <w:t>0.05</w:t>
      </w:r>
      <w:r>
        <w:t>）</w:t>
      </w:r>
      <w:r>
        <w:t>,</w:t>
      </w:r>
      <w:r>
        <w:t>可以使鱼体可食用部分增加，极大地提高了大口</w:t>
      </w:r>
      <w:proofErr w:type="gramStart"/>
      <w:r>
        <w:t>黑鲈的商业</w:t>
      </w:r>
      <w:proofErr w:type="gramEnd"/>
      <w:r>
        <w:t>价值和经济效益。３</w:t>
      </w:r>
      <w:r>
        <w:t>)</w:t>
      </w:r>
      <w:r>
        <w:t>与</w:t>
      </w:r>
      <w:r>
        <w:t>LFM</w:t>
      </w:r>
      <w:r>
        <w:t>组相比，试验组前、后肠蛋白酶含量显著提高（</w:t>
      </w:r>
      <w:r>
        <w:t>P</w:t>
      </w:r>
      <w:r>
        <w:t>＜</w:t>
      </w:r>
      <w:r>
        <w:t>0.05</w:t>
      </w:r>
      <w:r>
        <w:t>），从而提高鱼体对蛋白质的消化吸收能力。饲料中添加</w:t>
      </w:r>
      <w:r>
        <w:t>4500</w:t>
      </w:r>
      <w:r>
        <w:t>Ｕ</w:t>
      </w:r>
      <w:r>
        <w:t>/kg</w:t>
      </w:r>
      <w:r>
        <w:t>蛋白酶提高了肝脏糖异生酶磷酸烯醇式丙酮酸</w:t>
      </w:r>
      <w:proofErr w:type="gramStart"/>
      <w:r>
        <w:t>羧</w:t>
      </w:r>
      <w:proofErr w:type="gramEnd"/>
      <w:r>
        <w:t>激酶（</w:t>
      </w:r>
      <w:r>
        <w:t>PEPCK</w:t>
      </w:r>
      <w:r>
        <w:t>）、葡萄糖－</w:t>
      </w:r>
      <w:r>
        <w:t>6</w:t>
      </w:r>
      <w:r>
        <w:t>－磷酸酶（</w:t>
      </w:r>
      <w:r>
        <w:t>G6Pase</w:t>
      </w:r>
      <w:r>
        <w:t>）的活性，有助于空腹状态下糖异生相关酶的正常表达，维持</w:t>
      </w:r>
      <w:r>
        <w:t>饥饿状态下血糖浓度的相对恒定；肝脏中升高的环磷酸腺苷（</w:t>
      </w:r>
      <w:r>
        <w:t>cAMP</w:t>
      </w:r>
      <w:r>
        <w:t>）含量上调了环磷腺苷效应元件结合蛋白（</w:t>
      </w:r>
      <w:r>
        <w:rPr>
          <w:i/>
          <w:iCs/>
        </w:rPr>
        <w:t>CREB</w:t>
      </w:r>
      <w:r>
        <w:t>）</w:t>
      </w:r>
      <w:r>
        <w:t>mRNA</w:t>
      </w:r>
      <w:r>
        <w:t>相对表达量，从而使肝脏脂解过程的酶［脂肪甘油三酯脂肪酶（</w:t>
      </w:r>
      <w:r>
        <w:t>ATGL</w:t>
      </w:r>
      <w:r>
        <w:t>）、单酰甘油脂肪酶（</w:t>
      </w:r>
      <w:r>
        <w:t>MGL</w:t>
      </w:r>
      <w:r>
        <w:t>）］、腹脂</w:t>
      </w:r>
      <w:proofErr w:type="gramStart"/>
      <w:r>
        <w:t>脂</w:t>
      </w:r>
      <w:proofErr w:type="gramEnd"/>
      <w:r>
        <w:t>解过程的酶［</w:t>
      </w:r>
      <w:r>
        <w:t>ATGL</w:t>
      </w:r>
      <w:r>
        <w:t>和激素敏感性脂肪酶（</w:t>
      </w:r>
      <w:r>
        <w:t>HSL</w:t>
      </w:r>
      <w:r>
        <w:t>）］活性和</w:t>
      </w:r>
      <w:r>
        <w:t>mRNA</w:t>
      </w:r>
      <w:r>
        <w:t>相对表达量显著上调（</w:t>
      </w:r>
      <w:r>
        <w:rPr>
          <w:i/>
          <w:iCs/>
        </w:rPr>
        <w:t>P</w:t>
      </w:r>
      <w:r>
        <w:t>＜</w:t>
      </w:r>
      <w:r>
        <w:t>0.05</w:t>
      </w:r>
      <w:r>
        <w:t>）</w:t>
      </w:r>
      <w:r>
        <w:t>,</w:t>
      </w:r>
      <w:r>
        <w:t>加速脂解。综上所述，在低鱼粉基础饲料中添加</w:t>
      </w:r>
      <w:r>
        <w:t>4 500U/kg</w:t>
      </w:r>
      <w:r>
        <w:t>的蛋白酶，可进一步提高大口</w:t>
      </w:r>
      <w:proofErr w:type="gramStart"/>
      <w:r>
        <w:t>黑鲈的基础</w:t>
      </w:r>
      <w:proofErr w:type="gramEnd"/>
      <w:r>
        <w:t>能量代谢水平和前、后肠蛋白酶含量，促进空腹</w:t>
      </w:r>
      <w:proofErr w:type="gramStart"/>
      <w:r>
        <w:t>状态下糖代谢</w:t>
      </w:r>
      <w:proofErr w:type="gramEnd"/>
      <w:r>
        <w:t>关键酶的正常表达，并可以减少肝脏和鱼体脂质</w:t>
      </w:r>
      <w:r>
        <w:t>积累，但过量添加蛋白酶（</w:t>
      </w:r>
      <w:r>
        <w:t>7 500 U/kg</w:t>
      </w:r>
      <w:r>
        <w:t>）会降低鱼体蛋白质沉积率，提高饲料系数，降低饲料利用率，建议大口黑鲈饲料中蛋白酶适宜添加量为</w:t>
      </w:r>
      <w:r>
        <w:t>4 500 U/kg</w:t>
      </w:r>
      <w:r>
        <w:t>。</w:t>
      </w:r>
    </w:p>
    <w:p w14:paraId="2A14FDB4" w14:textId="77777777" w:rsidR="008F75C3" w:rsidRDefault="006614AC">
      <w:pPr>
        <w:rPr>
          <w:i/>
          <w:iCs/>
          <w:szCs w:val="21"/>
        </w:rPr>
      </w:pPr>
      <w:r>
        <w:rPr>
          <w:b/>
          <w:bCs/>
        </w:rPr>
        <w:t>关键词：</w:t>
      </w:r>
      <w:r>
        <w:t>大口黑鲈；中性蛋白酶；生长性能；；蛋白质代谢；糖、脂代谢</w:t>
      </w:r>
    </w:p>
    <w:p w14:paraId="0255AEE6" w14:textId="77777777" w:rsidR="008F75C3" w:rsidRDefault="006614AC">
      <w:pPr>
        <w:jc w:val="center"/>
        <w:rPr>
          <w:b/>
          <w:bCs/>
          <w:sz w:val="24"/>
        </w:rPr>
      </w:pPr>
      <w:r>
        <w:rPr>
          <w:b/>
          <w:bCs/>
          <w:sz w:val="24"/>
        </w:rPr>
        <w:t>Effects of Dietary Protease on Growth Performance</w:t>
      </w:r>
      <w:r>
        <w:rPr>
          <w:b/>
          <w:bCs/>
          <w:sz w:val="24"/>
        </w:rPr>
        <w:t>，</w:t>
      </w:r>
      <w:r>
        <w:rPr>
          <w:b/>
          <w:bCs/>
          <w:sz w:val="24"/>
        </w:rPr>
        <w:t xml:space="preserve">Glucose </w:t>
      </w:r>
      <w:proofErr w:type="spellStart"/>
      <w:r>
        <w:rPr>
          <w:b/>
          <w:bCs/>
          <w:sz w:val="24"/>
        </w:rPr>
        <w:t>andLipid</w:t>
      </w:r>
      <w:proofErr w:type="spellEnd"/>
      <w:r>
        <w:rPr>
          <w:b/>
          <w:bCs/>
          <w:sz w:val="24"/>
        </w:rPr>
        <w:t xml:space="preserve"> Metabolism of Largemouth Bass ( </w:t>
      </w:r>
      <w:r>
        <w:rPr>
          <w:b/>
          <w:bCs/>
          <w:i/>
          <w:iCs/>
          <w:sz w:val="24"/>
        </w:rPr>
        <w:t xml:space="preserve">Micropterus </w:t>
      </w:r>
      <w:proofErr w:type="spellStart"/>
      <w:r>
        <w:rPr>
          <w:b/>
          <w:bCs/>
          <w:i/>
          <w:iCs/>
          <w:sz w:val="24"/>
        </w:rPr>
        <w:t>salmoides</w:t>
      </w:r>
      <w:proofErr w:type="spellEnd"/>
      <w:r>
        <w:rPr>
          <w:b/>
          <w:bCs/>
          <w:sz w:val="24"/>
        </w:rPr>
        <w:t>)</w:t>
      </w:r>
    </w:p>
    <w:p w14:paraId="2C234C21" w14:textId="77777777" w:rsidR="008F75C3" w:rsidRDefault="006614AC">
      <w:pPr>
        <w:jc w:val="center"/>
        <w:rPr>
          <w:szCs w:val="21"/>
          <w:vertAlign w:val="superscript"/>
        </w:rPr>
      </w:pPr>
      <w:r>
        <w:rPr>
          <w:szCs w:val="21"/>
        </w:rPr>
        <w:t>GUAN Ying</w:t>
      </w:r>
      <w:r>
        <w:rPr>
          <w:szCs w:val="21"/>
          <w:vertAlign w:val="superscript"/>
        </w:rPr>
        <w:t>1,</w:t>
      </w:r>
      <w:proofErr w:type="gramStart"/>
      <w:r>
        <w:rPr>
          <w:szCs w:val="21"/>
          <w:vertAlign w:val="superscript"/>
        </w:rPr>
        <w:t>2</w:t>
      </w:r>
      <w:bookmarkStart w:id="32" w:name="_Hlk89541471"/>
      <w:r>
        <w:rPr>
          <w:szCs w:val="21"/>
        </w:rPr>
        <w:t xml:space="preserve">  </w:t>
      </w:r>
      <w:bookmarkEnd w:id="32"/>
      <w:r>
        <w:rPr>
          <w:szCs w:val="21"/>
        </w:rPr>
        <w:t>XUE</w:t>
      </w:r>
      <w:proofErr w:type="gramEnd"/>
      <w:r>
        <w:rPr>
          <w:szCs w:val="21"/>
        </w:rPr>
        <w:t xml:space="preserve"> Jip</w:t>
      </w:r>
      <w:r>
        <w:rPr>
          <w:szCs w:val="21"/>
        </w:rPr>
        <w:t>eng</w:t>
      </w:r>
      <w:r>
        <w:rPr>
          <w:szCs w:val="21"/>
          <w:vertAlign w:val="superscript"/>
        </w:rPr>
        <w:t>3</w:t>
      </w:r>
      <w:r>
        <w:rPr>
          <w:szCs w:val="21"/>
        </w:rPr>
        <w:t xml:space="preserve">  XUE Min</w:t>
      </w:r>
      <w:r>
        <w:rPr>
          <w:szCs w:val="21"/>
          <w:vertAlign w:val="superscript"/>
        </w:rPr>
        <w:t>1</w:t>
      </w:r>
      <w:bookmarkStart w:id="33" w:name="_Hlk89628760"/>
      <w:r>
        <w:rPr>
          <w:szCs w:val="21"/>
          <w:vertAlign w:val="superscript"/>
        </w:rPr>
        <w:t xml:space="preserve">   </w:t>
      </w:r>
      <w:bookmarkEnd w:id="33"/>
      <w:r>
        <w:rPr>
          <w:szCs w:val="21"/>
        </w:rPr>
        <w:t>XIE Xiaoze</w:t>
      </w:r>
      <w:r>
        <w:rPr>
          <w:szCs w:val="21"/>
          <w:vertAlign w:val="superscript"/>
        </w:rPr>
        <w:t xml:space="preserve">1   </w:t>
      </w:r>
      <w:r>
        <w:rPr>
          <w:szCs w:val="21"/>
        </w:rPr>
        <w:t>WU Xiufeng</w:t>
      </w:r>
      <w:r>
        <w:rPr>
          <w:szCs w:val="21"/>
          <w:vertAlign w:val="superscript"/>
        </w:rPr>
        <w:t xml:space="preserve">1   </w:t>
      </w:r>
    </w:p>
    <w:p w14:paraId="612C45A9" w14:textId="77777777" w:rsidR="008F75C3" w:rsidRDefault="006614AC">
      <w:pPr>
        <w:jc w:val="center"/>
        <w:rPr>
          <w:szCs w:val="21"/>
        </w:rPr>
      </w:pPr>
      <w:r>
        <w:rPr>
          <w:szCs w:val="21"/>
        </w:rPr>
        <w:lastRenderedPageBreak/>
        <w:t>ZHENG Yinhua</w:t>
      </w:r>
      <w:r>
        <w:rPr>
          <w:szCs w:val="21"/>
          <w:vertAlign w:val="superscript"/>
        </w:rPr>
        <w:t>1</w:t>
      </w:r>
      <w:r>
        <w:rPr>
          <w:szCs w:val="21"/>
        </w:rPr>
        <w:t xml:space="preserve"> </w:t>
      </w:r>
      <w:r>
        <w:rPr>
          <w:szCs w:val="21"/>
          <w:vertAlign w:val="superscript"/>
        </w:rPr>
        <w:t xml:space="preserve">   </w:t>
      </w:r>
      <w:r>
        <w:rPr>
          <w:szCs w:val="21"/>
        </w:rPr>
        <w:t>LIANG Xiaofang</w:t>
      </w:r>
      <w:r>
        <w:rPr>
          <w:szCs w:val="21"/>
          <w:vertAlign w:val="superscript"/>
        </w:rPr>
        <w:t>1*</w:t>
      </w:r>
    </w:p>
    <w:p w14:paraId="7A7953A9" w14:textId="77777777" w:rsidR="008F75C3" w:rsidRDefault="006614AC">
      <w:pPr>
        <w:rPr>
          <w:szCs w:val="21"/>
        </w:rPr>
      </w:pPr>
      <w:proofErr w:type="spellStart"/>
      <w:proofErr w:type="gramStart"/>
      <w:r>
        <w:rPr>
          <w:b/>
          <w:bCs/>
          <w:szCs w:val="21"/>
        </w:rPr>
        <w:t>Abstract:</w:t>
      </w:r>
      <w:r>
        <w:rPr>
          <w:szCs w:val="21"/>
        </w:rPr>
        <w:t>The</w:t>
      </w:r>
      <w:proofErr w:type="spellEnd"/>
      <w:proofErr w:type="gramEnd"/>
      <w:r>
        <w:rPr>
          <w:szCs w:val="21"/>
        </w:rPr>
        <w:t xml:space="preserve"> objectives of the study were to investigate the effects of dietary protease</w:t>
      </w:r>
      <w:r>
        <w:t xml:space="preserve"> </w:t>
      </w:r>
      <w:r>
        <w:rPr>
          <w:szCs w:val="21"/>
        </w:rPr>
        <w:t>(NP) on growth per-</w:t>
      </w:r>
      <w:r>
        <w:t xml:space="preserve"> </w:t>
      </w:r>
      <w:r>
        <w:rPr>
          <w:szCs w:val="21"/>
        </w:rPr>
        <w:t>romance</w:t>
      </w:r>
      <w:bookmarkStart w:id="34" w:name="_Hlk89871257"/>
      <w:r>
        <w:rPr>
          <w:szCs w:val="21"/>
        </w:rPr>
        <w:t xml:space="preserve">, </w:t>
      </w:r>
      <w:bookmarkEnd w:id="34"/>
      <w:r>
        <w:rPr>
          <w:szCs w:val="21"/>
        </w:rPr>
        <w:t xml:space="preserve">glucose and lipid metabolism of largemouth bass. A </w:t>
      </w:r>
      <w:r>
        <w:rPr>
          <w:szCs w:val="21"/>
        </w:rPr>
        <w:t xml:space="preserve">total of 240 Juvenile largemouth bass with </w:t>
      </w:r>
      <w:proofErr w:type="spellStart"/>
      <w:r>
        <w:rPr>
          <w:szCs w:val="21"/>
        </w:rPr>
        <w:t>aninitial</w:t>
      </w:r>
      <w:proofErr w:type="spellEnd"/>
      <w:r>
        <w:rPr>
          <w:szCs w:val="21"/>
        </w:rPr>
        <w:t xml:space="preserve"> body weight of (31.39±0.05) g were randomly divided into two control groups and two </w:t>
      </w:r>
      <w:proofErr w:type="spellStart"/>
      <w:r>
        <w:rPr>
          <w:szCs w:val="21"/>
        </w:rPr>
        <w:t>experimentalgroups</w:t>
      </w:r>
      <w:proofErr w:type="spellEnd"/>
      <w:r>
        <w:rPr>
          <w:szCs w:val="21"/>
        </w:rPr>
        <w:t xml:space="preserve">, with three replicates in each group and 20 fish in each replicate. The diet containing 50% fish </w:t>
      </w:r>
      <w:proofErr w:type="gramStart"/>
      <w:r>
        <w:rPr>
          <w:szCs w:val="21"/>
        </w:rPr>
        <w:t>mea</w:t>
      </w:r>
      <w:r>
        <w:rPr>
          <w:szCs w:val="21"/>
        </w:rPr>
        <w:t>l(</w:t>
      </w:r>
      <w:proofErr w:type="gramEnd"/>
      <w:r>
        <w:rPr>
          <w:szCs w:val="21"/>
        </w:rPr>
        <w:t xml:space="preserve">HFM group) was used as a positive control. The basal control diet </w:t>
      </w:r>
      <w:proofErr w:type="gramStart"/>
      <w:r>
        <w:rPr>
          <w:szCs w:val="21"/>
        </w:rPr>
        <w:t>( LFM</w:t>
      </w:r>
      <w:proofErr w:type="gramEnd"/>
      <w:r>
        <w:rPr>
          <w:szCs w:val="21"/>
        </w:rPr>
        <w:t xml:space="preserve"> group ) contained 30% fish </w:t>
      </w:r>
      <w:proofErr w:type="spellStart"/>
      <w:r>
        <w:rPr>
          <w:szCs w:val="21"/>
        </w:rPr>
        <w:t>mealand</w:t>
      </w:r>
      <w:proofErr w:type="spellEnd"/>
      <w:r>
        <w:rPr>
          <w:szCs w:val="21"/>
        </w:rPr>
        <w:t xml:space="preserve"> 40% fish meal protein replaced by cottonseed protein concentrate (CPC). The experimental group was fed LFM group diet with 4 500 (LFM+E4500 group) </w:t>
      </w:r>
      <w:r>
        <w:rPr>
          <w:szCs w:val="21"/>
        </w:rPr>
        <w:t xml:space="preserve">and 7 500 U/kg NP (LFM+E7500 </w:t>
      </w:r>
      <w:proofErr w:type="gramStart"/>
      <w:r>
        <w:rPr>
          <w:szCs w:val="21"/>
        </w:rPr>
        <w:t>group )</w:t>
      </w:r>
      <w:proofErr w:type="gramEnd"/>
      <w:r>
        <w:rPr>
          <w:szCs w:val="21"/>
        </w:rPr>
        <w:t>. The essential amino acids and essential fatty acids were balanced in each group, and the feeding period was 65 days. The results showed as follows: l) compared with HFM group, the level of basal energy metabolism in CP</w:t>
      </w:r>
      <w:r>
        <w:rPr>
          <w:szCs w:val="21"/>
        </w:rPr>
        <w:t xml:space="preserve">C </w:t>
      </w:r>
      <w:proofErr w:type="spellStart"/>
      <w:r>
        <w:rPr>
          <w:szCs w:val="21"/>
        </w:rPr>
        <w:t>groupwas</w:t>
      </w:r>
      <w:proofErr w:type="spellEnd"/>
      <w:r>
        <w:rPr>
          <w:szCs w:val="21"/>
        </w:rPr>
        <w:t xml:space="preserve"> significantly lower than that in HFM group </w:t>
      </w:r>
      <w:proofErr w:type="gramStart"/>
      <w:r>
        <w:rPr>
          <w:szCs w:val="21"/>
        </w:rPr>
        <w:t xml:space="preserve">( </w:t>
      </w:r>
      <w:r>
        <w:rPr>
          <w:i/>
          <w:iCs/>
          <w:szCs w:val="21"/>
        </w:rPr>
        <w:t>P</w:t>
      </w:r>
      <w:proofErr w:type="gramEnd"/>
      <w:r>
        <w:rPr>
          <w:szCs w:val="21"/>
        </w:rPr>
        <w:t xml:space="preserve">&lt;0.05). 2) The survival rate was up-regulated to a </w:t>
      </w:r>
      <w:proofErr w:type="spellStart"/>
      <w:r>
        <w:rPr>
          <w:szCs w:val="21"/>
        </w:rPr>
        <w:t>certainextent</w:t>
      </w:r>
      <w:proofErr w:type="spellEnd"/>
      <w:r>
        <w:rPr>
          <w:szCs w:val="21"/>
        </w:rPr>
        <w:t xml:space="preserve"> </w:t>
      </w:r>
      <w:proofErr w:type="gramStart"/>
      <w:r>
        <w:rPr>
          <w:szCs w:val="21"/>
        </w:rPr>
        <w:t>( from</w:t>
      </w:r>
      <w:proofErr w:type="gramEnd"/>
      <w:r>
        <w:rPr>
          <w:szCs w:val="21"/>
        </w:rPr>
        <w:t xml:space="preserve"> 92.50% in LFM group to 98.33% in LFM+E4500 group and l00.00% in LFM+E7500 group)with protease adding. Compared with the LFM gro</w:t>
      </w:r>
      <w:r>
        <w:rPr>
          <w:szCs w:val="21"/>
        </w:rPr>
        <w:t>up</w:t>
      </w:r>
      <w:r>
        <w:rPr>
          <w:szCs w:val="21"/>
        </w:rPr>
        <w:t>，</w:t>
      </w:r>
      <w:r>
        <w:rPr>
          <w:szCs w:val="21"/>
        </w:rPr>
        <w:t xml:space="preserve">the abdominal fat rate of the experimental group de-creased significantly ( </w:t>
      </w:r>
      <w:r>
        <w:rPr>
          <w:i/>
          <w:iCs/>
          <w:szCs w:val="21"/>
        </w:rPr>
        <w:t>P</w:t>
      </w:r>
      <w:r>
        <w:rPr>
          <w:szCs w:val="21"/>
        </w:rPr>
        <w:t xml:space="preserve">&lt;0.05 ) , and </w:t>
      </w:r>
      <w:proofErr w:type="spellStart"/>
      <w:r>
        <w:rPr>
          <w:szCs w:val="21"/>
        </w:rPr>
        <w:t>te</w:t>
      </w:r>
      <w:proofErr w:type="spellEnd"/>
      <w:r>
        <w:rPr>
          <w:szCs w:val="21"/>
        </w:rPr>
        <w:t xml:space="preserve"> edible part of the fish increased</w:t>
      </w:r>
      <w:r>
        <w:rPr>
          <w:szCs w:val="21"/>
        </w:rPr>
        <w:t>，</w:t>
      </w:r>
      <w:r>
        <w:rPr>
          <w:szCs w:val="21"/>
        </w:rPr>
        <w:t xml:space="preserve">which greatly improved the </w:t>
      </w:r>
      <w:proofErr w:type="spellStart"/>
      <w:r>
        <w:rPr>
          <w:szCs w:val="21"/>
        </w:rPr>
        <w:t>commer-cial</w:t>
      </w:r>
      <w:proofErr w:type="spellEnd"/>
      <w:r>
        <w:rPr>
          <w:szCs w:val="21"/>
        </w:rPr>
        <w:t xml:space="preserve"> value and economic benefits of largemouth bass. 3)Compared with LFM group, the proteas</w:t>
      </w:r>
      <w:r>
        <w:rPr>
          <w:szCs w:val="21"/>
        </w:rPr>
        <w:t xml:space="preserve">e content </w:t>
      </w:r>
      <w:proofErr w:type="spellStart"/>
      <w:r>
        <w:rPr>
          <w:szCs w:val="21"/>
        </w:rPr>
        <w:t>inthe</w:t>
      </w:r>
      <w:proofErr w:type="spellEnd"/>
      <w:r>
        <w:rPr>
          <w:szCs w:val="21"/>
        </w:rPr>
        <w:t xml:space="preserve"> intestine of the experimental group was significantly increased </w:t>
      </w:r>
      <w:proofErr w:type="gramStart"/>
      <w:r>
        <w:rPr>
          <w:szCs w:val="21"/>
        </w:rPr>
        <w:t xml:space="preserve">( </w:t>
      </w:r>
      <w:r>
        <w:rPr>
          <w:i/>
          <w:iCs/>
          <w:szCs w:val="21"/>
        </w:rPr>
        <w:t>P</w:t>
      </w:r>
      <w:proofErr w:type="gramEnd"/>
      <w:r>
        <w:rPr>
          <w:szCs w:val="21"/>
        </w:rPr>
        <w:t xml:space="preserve">&lt;0.05) , so as to improve the </w:t>
      </w:r>
      <w:proofErr w:type="spellStart"/>
      <w:r>
        <w:rPr>
          <w:szCs w:val="21"/>
        </w:rPr>
        <w:t>digestionand</w:t>
      </w:r>
      <w:proofErr w:type="spellEnd"/>
      <w:r>
        <w:rPr>
          <w:szCs w:val="21"/>
        </w:rPr>
        <w:t xml:space="preserve"> absorption of protein. The activities of phosphoenolpyruvate </w:t>
      </w:r>
      <w:proofErr w:type="spellStart"/>
      <w:r>
        <w:rPr>
          <w:szCs w:val="21"/>
        </w:rPr>
        <w:t>carboxykinase</w:t>
      </w:r>
      <w:proofErr w:type="spellEnd"/>
      <w:r>
        <w:rPr>
          <w:szCs w:val="21"/>
        </w:rPr>
        <w:t xml:space="preserve"> (PEPCK) and glucose-6-phospha-tase ( G6Pase ) in liver </w:t>
      </w:r>
      <w:r>
        <w:rPr>
          <w:szCs w:val="21"/>
        </w:rPr>
        <w:t>were increased by adding 4500 U/kg protease</w:t>
      </w:r>
      <w:r>
        <w:rPr>
          <w:szCs w:val="21"/>
        </w:rPr>
        <w:t>，</w:t>
      </w:r>
      <w:r>
        <w:rPr>
          <w:szCs w:val="21"/>
        </w:rPr>
        <w:t xml:space="preserve">which was helpful to the normal </w:t>
      </w:r>
      <w:proofErr w:type="spellStart"/>
      <w:r>
        <w:rPr>
          <w:szCs w:val="21"/>
        </w:rPr>
        <w:t>expressionof</w:t>
      </w:r>
      <w:proofErr w:type="spellEnd"/>
      <w:r>
        <w:rPr>
          <w:szCs w:val="21"/>
        </w:rPr>
        <w:t xml:space="preserve"> gluconeogenesis related enzymes in fasting state and maintain the relative constant blood glucose content in </w:t>
      </w:r>
      <w:proofErr w:type="spellStart"/>
      <w:r>
        <w:rPr>
          <w:szCs w:val="21"/>
        </w:rPr>
        <w:t>ahungry</w:t>
      </w:r>
      <w:proofErr w:type="spellEnd"/>
      <w:r>
        <w:rPr>
          <w:szCs w:val="21"/>
        </w:rPr>
        <w:t xml:space="preserve"> state. The increased cyclic adenosine monophosphat</w:t>
      </w:r>
      <w:r>
        <w:rPr>
          <w:szCs w:val="21"/>
        </w:rPr>
        <w:t xml:space="preserve">e (cAMP) content in the liver upregulated the </w:t>
      </w:r>
      <w:proofErr w:type="spellStart"/>
      <w:r>
        <w:rPr>
          <w:szCs w:val="21"/>
        </w:rPr>
        <w:t>mRNArelative</w:t>
      </w:r>
      <w:proofErr w:type="spellEnd"/>
      <w:r>
        <w:rPr>
          <w:szCs w:val="21"/>
        </w:rPr>
        <w:t xml:space="preserve"> expression of cAMP-response element binding protein (CREB ) , thus</w:t>
      </w:r>
      <w:r>
        <w:rPr>
          <w:szCs w:val="21"/>
        </w:rPr>
        <w:t>，</w:t>
      </w:r>
      <w:r>
        <w:rPr>
          <w:szCs w:val="21"/>
        </w:rPr>
        <w:t xml:space="preserve">the activities of the enzyme in </w:t>
      </w:r>
      <w:proofErr w:type="spellStart"/>
      <w:r>
        <w:rPr>
          <w:szCs w:val="21"/>
        </w:rPr>
        <w:t>liverlipopolysis</w:t>
      </w:r>
      <w:proofErr w:type="spellEnd"/>
      <w:r>
        <w:rPr>
          <w:szCs w:val="21"/>
        </w:rPr>
        <w:t xml:space="preserve"> process [ adipose triglyceride lipase (ATGL) and monoacylglycerol lipase (MGL)] a</w:t>
      </w:r>
      <w:r>
        <w:rPr>
          <w:szCs w:val="21"/>
        </w:rPr>
        <w:t xml:space="preserve">nd </w:t>
      </w:r>
      <w:proofErr w:type="spellStart"/>
      <w:r>
        <w:rPr>
          <w:szCs w:val="21"/>
        </w:rPr>
        <w:t>abdiominal</w:t>
      </w:r>
      <w:proofErr w:type="spellEnd"/>
      <w:r>
        <w:rPr>
          <w:szCs w:val="21"/>
        </w:rPr>
        <w:t xml:space="preserve"> lipolysis process [ATGL and hormone-sensitive lipase (HSL)] and mRNA relative expression levels were </w:t>
      </w:r>
      <w:proofErr w:type="spellStart"/>
      <w:r>
        <w:rPr>
          <w:szCs w:val="21"/>
        </w:rPr>
        <w:t>signifi-cantly</w:t>
      </w:r>
      <w:proofErr w:type="spellEnd"/>
      <w:r>
        <w:rPr>
          <w:szCs w:val="21"/>
        </w:rPr>
        <w:t xml:space="preserve"> up-regulated ( P&lt;0.05). In conclusion, adding 4500 U/kg protease to low fish meal basal diet can </w:t>
      </w:r>
      <w:proofErr w:type="spellStart"/>
      <w:r>
        <w:rPr>
          <w:szCs w:val="21"/>
        </w:rPr>
        <w:t>furtherimprove</w:t>
      </w:r>
      <w:proofErr w:type="spellEnd"/>
      <w:r>
        <w:rPr>
          <w:szCs w:val="21"/>
        </w:rPr>
        <w:t xml:space="preserve"> the basal ener</w:t>
      </w:r>
      <w:r>
        <w:rPr>
          <w:szCs w:val="21"/>
        </w:rPr>
        <w:t xml:space="preserve">gy metabolism level and the protease content in foregut and hindgut of largemouth bass, pro-mote the normal expression of key enzymes of glucose metabolism in fasting </w:t>
      </w:r>
      <w:proofErr w:type="gramStart"/>
      <w:r>
        <w:rPr>
          <w:szCs w:val="21"/>
        </w:rPr>
        <w:t>state ,</w:t>
      </w:r>
      <w:proofErr w:type="gramEnd"/>
      <w:r>
        <w:rPr>
          <w:szCs w:val="21"/>
        </w:rPr>
        <w:t xml:space="preserve"> and reduce the lipid </w:t>
      </w:r>
      <w:proofErr w:type="spellStart"/>
      <w:r>
        <w:rPr>
          <w:szCs w:val="21"/>
        </w:rPr>
        <w:t>accumula-tion</w:t>
      </w:r>
      <w:proofErr w:type="spellEnd"/>
      <w:r>
        <w:rPr>
          <w:szCs w:val="21"/>
        </w:rPr>
        <w:t xml:space="preserve"> in liver and fish </w:t>
      </w:r>
      <w:proofErr w:type="spellStart"/>
      <w:r>
        <w:rPr>
          <w:szCs w:val="21"/>
        </w:rPr>
        <w:t>body.However</w:t>
      </w:r>
      <w:proofErr w:type="spellEnd"/>
      <w:r>
        <w:rPr>
          <w:szCs w:val="21"/>
        </w:rPr>
        <w:t>, excessive addi</w:t>
      </w:r>
      <w:r>
        <w:rPr>
          <w:szCs w:val="21"/>
        </w:rPr>
        <w:t xml:space="preserve">tion protease (7500 U/kg ) can reduce the protein </w:t>
      </w:r>
      <w:proofErr w:type="spellStart"/>
      <w:r>
        <w:rPr>
          <w:szCs w:val="21"/>
        </w:rPr>
        <w:t>depositionrate</w:t>
      </w:r>
      <w:proofErr w:type="spellEnd"/>
      <w:r>
        <w:rPr>
          <w:szCs w:val="21"/>
        </w:rPr>
        <w:t xml:space="preserve"> , improve the feed coefficient and reduce the feed utilization rate. It is suggested that 4500 U/kg </w:t>
      </w:r>
      <w:proofErr w:type="spellStart"/>
      <w:r>
        <w:rPr>
          <w:szCs w:val="21"/>
        </w:rPr>
        <w:t>proteaseshould</w:t>
      </w:r>
      <w:proofErr w:type="spellEnd"/>
      <w:r>
        <w:rPr>
          <w:szCs w:val="21"/>
        </w:rPr>
        <w:t xml:space="preserve"> be added to the diet of largemouth bass.</w:t>
      </w:r>
    </w:p>
    <w:p w14:paraId="1B8B707C" w14:textId="5EB81801" w:rsidR="008F75C3" w:rsidRDefault="006614AC">
      <w:pPr>
        <w:rPr>
          <w:szCs w:val="21"/>
        </w:rPr>
      </w:pPr>
      <w:r>
        <w:rPr>
          <w:b/>
          <w:bCs/>
          <w:szCs w:val="21"/>
        </w:rPr>
        <w:t>Key words</w:t>
      </w:r>
      <w:r>
        <w:rPr>
          <w:szCs w:val="21"/>
        </w:rPr>
        <w:t>：</w:t>
      </w:r>
      <w:r>
        <w:rPr>
          <w:szCs w:val="21"/>
        </w:rPr>
        <w:t>largemouth bass;</w:t>
      </w:r>
      <w:r w:rsidR="00E067A4">
        <w:rPr>
          <w:szCs w:val="21"/>
        </w:rPr>
        <w:t xml:space="preserve"> </w:t>
      </w:r>
      <w:r>
        <w:rPr>
          <w:szCs w:val="21"/>
        </w:rPr>
        <w:t>neutral p</w:t>
      </w:r>
      <w:r>
        <w:rPr>
          <w:szCs w:val="21"/>
        </w:rPr>
        <w:t xml:space="preserve">rotease; growth performance; protein metabolism; glucose and </w:t>
      </w:r>
      <w:proofErr w:type="spellStart"/>
      <w:r>
        <w:rPr>
          <w:szCs w:val="21"/>
        </w:rPr>
        <w:t>lipidmetabolism</w:t>
      </w:r>
      <w:proofErr w:type="spellEnd"/>
    </w:p>
    <w:p w14:paraId="4F6702B6" w14:textId="77777777" w:rsidR="008F75C3" w:rsidRDefault="008F75C3">
      <w:pPr>
        <w:rPr>
          <w:szCs w:val="21"/>
        </w:rPr>
      </w:pPr>
    </w:p>
    <w:p w14:paraId="3DDFECC3" w14:textId="77777777" w:rsidR="008F75C3" w:rsidRDefault="006614AC">
      <w:pPr>
        <w:spacing w:line="360" w:lineRule="auto"/>
        <w:ind w:firstLineChars="200" w:firstLine="480"/>
        <w:rPr>
          <w:sz w:val="24"/>
        </w:rPr>
      </w:pPr>
      <w:r>
        <w:rPr>
          <w:sz w:val="24"/>
        </w:rPr>
        <w:t>大口黑鲈</w:t>
      </w:r>
      <w:r>
        <w:rPr>
          <w:sz w:val="24"/>
        </w:rPr>
        <w:t>(</w:t>
      </w:r>
      <w:r>
        <w:rPr>
          <w:i/>
          <w:iCs/>
          <w:sz w:val="24"/>
        </w:rPr>
        <w:t xml:space="preserve">Micropterus </w:t>
      </w:r>
      <w:proofErr w:type="spellStart"/>
      <w:r>
        <w:rPr>
          <w:i/>
          <w:iCs/>
          <w:sz w:val="24"/>
        </w:rPr>
        <w:t>salmoides</w:t>
      </w:r>
      <w:proofErr w:type="spellEnd"/>
      <w:r>
        <w:rPr>
          <w:sz w:val="24"/>
        </w:rPr>
        <w:t>)</w:t>
      </w:r>
      <w:r>
        <w:rPr>
          <w:sz w:val="24"/>
        </w:rPr>
        <w:t>，又名加州鲈，隶属鲈形目</w:t>
      </w:r>
      <w:r>
        <w:rPr>
          <w:sz w:val="24"/>
        </w:rPr>
        <w:t>(</w:t>
      </w:r>
      <w:proofErr w:type="spellStart"/>
      <w:r>
        <w:rPr>
          <w:sz w:val="24"/>
        </w:rPr>
        <w:t>Perciforme</w:t>
      </w:r>
      <w:proofErr w:type="spellEnd"/>
      <w:r>
        <w:rPr>
          <w:sz w:val="24"/>
        </w:rPr>
        <w:t>)</w:t>
      </w:r>
      <w:r>
        <w:rPr>
          <w:sz w:val="24"/>
        </w:rPr>
        <w:t>，太阳鱼科</w:t>
      </w:r>
      <w:r>
        <w:rPr>
          <w:sz w:val="24"/>
        </w:rPr>
        <w:t>(</w:t>
      </w:r>
      <w:proofErr w:type="spellStart"/>
      <w:r>
        <w:rPr>
          <w:sz w:val="24"/>
        </w:rPr>
        <w:t>Ceutrarchidac</w:t>
      </w:r>
      <w:proofErr w:type="spellEnd"/>
      <w:r>
        <w:rPr>
          <w:sz w:val="24"/>
        </w:rPr>
        <w:t>)</w:t>
      </w:r>
      <w:r>
        <w:rPr>
          <w:sz w:val="24"/>
        </w:rPr>
        <w:t>，</w:t>
      </w:r>
      <w:proofErr w:type="gramStart"/>
      <w:r>
        <w:rPr>
          <w:sz w:val="24"/>
        </w:rPr>
        <w:t>黑鲈属</w:t>
      </w:r>
      <w:proofErr w:type="gramEnd"/>
      <w:r>
        <w:rPr>
          <w:sz w:val="24"/>
        </w:rPr>
        <w:t>(</w:t>
      </w:r>
      <w:r>
        <w:rPr>
          <w:i/>
          <w:iCs/>
          <w:sz w:val="24"/>
        </w:rPr>
        <w:t>Micropterus</w:t>
      </w:r>
      <w:r>
        <w:rPr>
          <w:sz w:val="24"/>
        </w:rPr>
        <w:t>)</w:t>
      </w:r>
      <w:r>
        <w:rPr>
          <w:sz w:val="24"/>
        </w:rPr>
        <w:t>。由于其生长速度快、肉质鲜美和较高的市场价值，</w:t>
      </w:r>
      <w:r>
        <w:rPr>
          <w:sz w:val="24"/>
        </w:rPr>
        <w:t>2019</w:t>
      </w:r>
      <w:r>
        <w:rPr>
          <w:sz w:val="24"/>
        </w:rPr>
        <w:t>年在我国产量达到</w:t>
      </w:r>
      <w:r>
        <w:rPr>
          <w:sz w:val="24"/>
        </w:rPr>
        <w:t>47.78</w:t>
      </w:r>
      <w:r>
        <w:rPr>
          <w:sz w:val="24"/>
        </w:rPr>
        <w:t>万</w:t>
      </w:r>
      <w:r>
        <w:rPr>
          <w:sz w:val="24"/>
        </w:rPr>
        <w:t>t</w:t>
      </w:r>
      <w:r>
        <w:rPr>
          <w:sz w:val="24"/>
        </w:rPr>
        <w:t>，已成为我国重要的商业养殖品种之一</w:t>
      </w:r>
      <w:r>
        <w:rPr>
          <w:sz w:val="24"/>
          <w:vertAlign w:val="superscript"/>
        </w:rPr>
        <w:t>[1-2]</w:t>
      </w:r>
      <w:r>
        <w:rPr>
          <w:sz w:val="24"/>
        </w:rPr>
        <w:t>。作为典型的肉食性鱼类，传统养殖模式下以饲喂冰鲜饵料</w:t>
      </w:r>
      <w:r>
        <w:rPr>
          <w:sz w:val="24"/>
        </w:rPr>
        <w:t>为主</w:t>
      </w:r>
      <w:r>
        <w:rPr>
          <w:sz w:val="24"/>
          <w:vertAlign w:val="superscript"/>
        </w:rPr>
        <w:t>[3]</w:t>
      </w:r>
      <w:r>
        <w:rPr>
          <w:sz w:val="24"/>
        </w:rPr>
        <w:t>。近年来</w:t>
      </w:r>
      <w:r>
        <w:rPr>
          <w:sz w:val="24"/>
        </w:rPr>
        <w:t>,</w:t>
      </w:r>
      <w:r>
        <w:rPr>
          <w:sz w:val="24"/>
        </w:rPr>
        <w:t>随着环保压力的增加，在由冰鲜鱼向人工配合饲料转型的过程中</w:t>
      </w:r>
      <w:r>
        <w:rPr>
          <w:sz w:val="24"/>
        </w:rPr>
        <w:t>,</w:t>
      </w:r>
      <w:r>
        <w:rPr>
          <w:sz w:val="24"/>
        </w:rPr>
        <w:t>鱼粉和其他动物蛋白质仍是其主要蛋白质源，尤其对鱼粉的依赖程度较高</w:t>
      </w:r>
      <w:r>
        <w:rPr>
          <w:sz w:val="24"/>
        </w:rPr>
        <w:t>,</w:t>
      </w:r>
      <w:r>
        <w:rPr>
          <w:sz w:val="24"/>
        </w:rPr>
        <w:t>商业配方中鱼粉含量高达</w:t>
      </w:r>
      <w:r>
        <w:rPr>
          <w:sz w:val="24"/>
        </w:rPr>
        <w:t>30%</w:t>
      </w:r>
      <w:r>
        <w:rPr>
          <w:sz w:val="24"/>
        </w:rPr>
        <w:t>以上</w:t>
      </w:r>
      <w:r>
        <w:rPr>
          <w:sz w:val="24"/>
          <w:vertAlign w:val="superscript"/>
        </w:rPr>
        <w:t>[4-5]</w:t>
      </w:r>
      <w:r>
        <w:rPr>
          <w:sz w:val="24"/>
        </w:rPr>
        <w:t>。尽管鱼粉具有不可替代的优势</w:t>
      </w:r>
      <w:r>
        <w:rPr>
          <w:sz w:val="24"/>
        </w:rPr>
        <w:t>,</w:t>
      </w:r>
      <w:r>
        <w:rPr>
          <w:sz w:val="24"/>
        </w:rPr>
        <w:t>但是其较高的成本价格已经成为制约水产养殖业可持续发展的限制性因素。因此，寻找新型蛋白质源来减少大口黑鲈配方中鱼粉的用量，提高非鱼粉蛋白利用率，降低氮磷排放，开发</w:t>
      </w:r>
      <w:r>
        <w:rPr>
          <w:sz w:val="24"/>
        </w:rPr>
        <w:lastRenderedPageBreak/>
        <w:t>环境友好型饲料，是水产养殖业可持续发展亟需解决的重要问题</w:t>
      </w:r>
      <w:r>
        <w:rPr>
          <w:sz w:val="24"/>
          <w:vertAlign w:val="superscript"/>
        </w:rPr>
        <w:t>[6-7]</w:t>
      </w:r>
      <w:r>
        <w:rPr>
          <w:sz w:val="24"/>
        </w:rPr>
        <w:t>。</w:t>
      </w:r>
    </w:p>
    <w:p w14:paraId="528ADD37" w14:textId="77777777" w:rsidR="008F75C3" w:rsidRDefault="006614AC">
      <w:pPr>
        <w:spacing w:line="360" w:lineRule="auto"/>
        <w:ind w:firstLineChars="200" w:firstLine="480"/>
        <w:rPr>
          <w:sz w:val="24"/>
        </w:rPr>
      </w:pPr>
      <w:r>
        <w:rPr>
          <w:sz w:val="24"/>
        </w:rPr>
        <w:t>植物蛋白质</w:t>
      </w:r>
      <w:proofErr w:type="gramStart"/>
      <w:r>
        <w:rPr>
          <w:sz w:val="24"/>
        </w:rPr>
        <w:t>源价格</w:t>
      </w:r>
      <w:proofErr w:type="gramEnd"/>
      <w:r>
        <w:rPr>
          <w:sz w:val="24"/>
        </w:rPr>
        <w:t>低于鱼粉，来源广泛，一直是鱼粉替代研究的热点。但植</w:t>
      </w:r>
      <w:r>
        <w:rPr>
          <w:sz w:val="24"/>
        </w:rPr>
        <w:t>物蛋白质源本身含有多种抗营养因子、氨基酸不平衡及适口性差等问题，对于需求高蛋白质的养殖鱼类，尤其是在肉食性鱼类中利用率相对偏低</w:t>
      </w:r>
      <w:r>
        <w:rPr>
          <w:sz w:val="24"/>
          <w:vertAlign w:val="superscript"/>
        </w:rPr>
        <w:t>[8-9]</w:t>
      </w:r>
      <w:r>
        <w:rPr>
          <w:sz w:val="24"/>
        </w:rPr>
        <w:t>。棉籽浓缩蛋白</w:t>
      </w:r>
      <w:r>
        <w:rPr>
          <w:sz w:val="24"/>
        </w:rPr>
        <w:t>( cottonseed protein concentration</w:t>
      </w:r>
      <w:r>
        <w:rPr>
          <w:sz w:val="24"/>
        </w:rPr>
        <w:t>，</w:t>
      </w:r>
      <w:r>
        <w:rPr>
          <w:sz w:val="24"/>
        </w:rPr>
        <w:t>CPC)</w:t>
      </w:r>
      <w:r>
        <w:rPr>
          <w:sz w:val="24"/>
        </w:rPr>
        <w:t>与传统的棉籽</w:t>
      </w:r>
      <w:proofErr w:type="gramStart"/>
      <w:r>
        <w:rPr>
          <w:sz w:val="24"/>
        </w:rPr>
        <w:t>粕</w:t>
      </w:r>
      <w:proofErr w:type="gramEnd"/>
      <w:r>
        <w:rPr>
          <w:sz w:val="24"/>
        </w:rPr>
        <w:t>原料相比，采用软化轧胚、低温烘干等工艺取代了高温蒸炒</w:t>
      </w:r>
      <w:r>
        <w:rPr>
          <w:sz w:val="24"/>
        </w:rPr>
        <w:t>/</w:t>
      </w:r>
      <w:r>
        <w:rPr>
          <w:sz w:val="24"/>
        </w:rPr>
        <w:t>膨化过程，可以有效降低蛋白质的热变性程度，使其更好地被动物消化吸收，作为鱼粉替代蛋白质源在水产动物中应用日益广泛</w:t>
      </w:r>
      <w:r>
        <w:rPr>
          <w:sz w:val="24"/>
          <w:vertAlign w:val="superscript"/>
        </w:rPr>
        <w:t>[10-11]</w:t>
      </w:r>
      <w:r>
        <w:rPr>
          <w:sz w:val="24"/>
        </w:rPr>
        <w:t>。此外，近年来研究表明可通过一些非抗生素类饲料添加剂来减少环境污染和改善水产动物健康减少植</w:t>
      </w:r>
      <w:r>
        <w:rPr>
          <w:sz w:val="24"/>
        </w:rPr>
        <w:t>物蛋白质的潜在不利影响</w:t>
      </w:r>
      <w:r>
        <w:rPr>
          <w:sz w:val="24"/>
        </w:rPr>
        <w:t>,</w:t>
      </w:r>
      <w:r>
        <w:rPr>
          <w:sz w:val="24"/>
        </w:rPr>
        <w:t>以改善水生动物的肝肠健康和对植物蛋白质的利用率。例如，在饲粮中添加酶制剂可以有效消除这些抗营养因子的不良影响，提高水产动物生长性能、营养物质表观消化率和肠道消化酶活性，改善肠道功能，降低饲料系数</w:t>
      </w:r>
      <w:r>
        <w:rPr>
          <w:sz w:val="24"/>
        </w:rPr>
        <w:t>,</w:t>
      </w:r>
      <w:r>
        <w:rPr>
          <w:sz w:val="24"/>
        </w:rPr>
        <w:t>减少磷的排放量，从而减轻环境污染等</w:t>
      </w:r>
      <w:r>
        <w:rPr>
          <w:sz w:val="24"/>
          <w:vertAlign w:val="superscript"/>
        </w:rPr>
        <w:t>[12-l5]</w:t>
      </w:r>
      <w:r>
        <w:rPr>
          <w:sz w:val="24"/>
        </w:rPr>
        <w:t>。此外，植物</w:t>
      </w:r>
      <w:proofErr w:type="gramStart"/>
      <w:r>
        <w:rPr>
          <w:sz w:val="24"/>
        </w:rPr>
        <w:t>蛋白质源常存在</w:t>
      </w:r>
      <w:proofErr w:type="gramEnd"/>
      <w:r>
        <w:rPr>
          <w:sz w:val="24"/>
        </w:rPr>
        <w:t>一些非淀粉多糖、果胶、纤维素聚合物等，这些物质使水产动物消化道内容物的黏度增加，影响水产动物对有效营养成分的消化和吸收，而在饲料中添加酶制剂，可</w:t>
      </w:r>
      <w:proofErr w:type="gramStart"/>
      <w:r>
        <w:rPr>
          <w:sz w:val="24"/>
        </w:rPr>
        <w:t>有效去</w:t>
      </w:r>
      <w:proofErr w:type="gramEnd"/>
      <w:r>
        <w:rPr>
          <w:sz w:val="24"/>
        </w:rPr>
        <w:t>除非淀粉多糖等</w:t>
      </w:r>
      <w:r>
        <w:rPr>
          <w:sz w:val="24"/>
          <w:vertAlign w:val="superscript"/>
        </w:rPr>
        <w:t>[16-17]</w:t>
      </w:r>
      <w:r>
        <w:rPr>
          <w:sz w:val="24"/>
        </w:rPr>
        <w:t>。蛋白酶是催化分解肽键的一类酶的总称，能</w:t>
      </w:r>
      <w:r>
        <w:rPr>
          <w:sz w:val="24"/>
        </w:rPr>
        <w:t>将蛋白质降解为小分子的蛋白脉、肽和氨基酸</w:t>
      </w:r>
      <w:r>
        <w:rPr>
          <w:sz w:val="24"/>
        </w:rPr>
        <w:t>,</w:t>
      </w:r>
      <w:r>
        <w:rPr>
          <w:sz w:val="24"/>
        </w:rPr>
        <w:t>从而提高蛋白质的消化利用率</w:t>
      </w:r>
      <w:r>
        <w:rPr>
          <w:sz w:val="24"/>
          <w:vertAlign w:val="superscript"/>
        </w:rPr>
        <w:t>[18-20]</w:t>
      </w:r>
      <w:r>
        <w:rPr>
          <w:sz w:val="24"/>
        </w:rPr>
        <w:t>。</w:t>
      </w:r>
    </w:p>
    <w:p w14:paraId="345561CB" w14:textId="77777777" w:rsidR="008F75C3" w:rsidRDefault="006614AC">
      <w:pPr>
        <w:spacing w:line="360" w:lineRule="auto"/>
        <w:ind w:firstLineChars="200" w:firstLine="480"/>
        <w:rPr>
          <w:sz w:val="24"/>
        </w:rPr>
      </w:pPr>
      <w:r>
        <w:rPr>
          <w:sz w:val="24"/>
        </w:rPr>
        <w:t>大口黑</w:t>
      </w:r>
      <w:proofErr w:type="gramStart"/>
      <w:r>
        <w:rPr>
          <w:sz w:val="24"/>
        </w:rPr>
        <w:t>鲈作为</w:t>
      </w:r>
      <w:proofErr w:type="gramEnd"/>
      <w:r>
        <w:rPr>
          <w:sz w:val="24"/>
        </w:rPr>
        <w:t>典型肉食性鱼类，对配合饲料中淀粉利用能力较差，易引起肝脏组织糖原积累、糖、脂代谢紊乱和代谢性肝病</w:t>
      </w:r>
      <w:r>
        <w:rPr>
          <w:sz w:val="24"/>
          <w:vertAlign w:val="superscript"/>
        </w:rPr>
        <w:t>[21-22]</w:t>
      </w:r>
      <w:r>
        <w:rPr>
          <w:sz w:val="24"/>
        </w:rPr>
        <w:t xml:space="preserve">, </w:t>
      </w:r>
      <w:r>
        <w:rPr>
          <w:sz w:val="24"/>
        </w:rPr>
        <w:t>而淀粉作为膨胀剂和黏合剂，在</w:t>
      </w:r>
      <w:proofErr w:type="gramStart"/>
      <w:r>
        <w:rPr>
          <w:sz w:val="24"/>
        </w:rPr>
        <w:t>膨化浮性饲料</w:t>
      </w:r>
      <w:proofErr w:type="gramEnd"/>
      <w:r>
        <w:rPr>
          <w:sz w:val="24"/>
        </w:rPr>
        <w:t>的加工中至关重要</w:t>
      </w:r>
      <w:r>
        <w:rPr>
          <w:sz w:val="24"/>
          <w:vertAlign w:val="superscript"/>
        </w:rPr>
        <w:t>[23]</w:t>
      </w:r>
      <w:bookmarkStart w:id="35" w:name="_Hlk89871621"/>
      <w:r>
        <w:rPr>
          <w:sz w:val="24"/>
        </w:rPr>
        <w:t>，</w:t>
      </w:r>
      <w:bookmarkEnd w:id="35"/>
      <w:r>
        <w:rPr>
          <w:sz w:val="24"/>
        </w:rPr>
        <w:t>低淀粉会给</w:t>
      </w:r>
      <w:proofErr w:type="gramStart"/>
      <w:r>
        <w:rPr>
          <w:sz w:val="24"/>
        </w:rPr>
        <w:t>膨化浮性饲料</w:t>
      </w:r>
      <w:proofErr w:type="gramEnd"/>
      <w:r>
        <w:rPr>
          <w:sz w:val="24"/>
        </w:rPr>
        <w:t>的加工带来巨大挑战，限制了大口黑</w:t>
      </w:r>
      <w:proofErr w:type="gramStart"/>
      <w:r>
        <w:rPr>
          <w:sz w:val="24"/>
        </w:rPr>
        <w:t>鲈产业</w:t>
      </w:r>
      <w:proofErr w:type="gramEnd"/>
      <w:r>
        <w:rPr>
          <w:sz w:val="24"/>
        </w:rPr>
        <w:t>的可持续发展。因此，大口</w:t>
      </w:r>
      <w:proofErr w:type="gramStart"/>
      <w:r>
        <w:rPr>
          <w:sz w:val="24"/>
        </w:rPr>
        <w:t>黑鲈对糖</w:t>
      </w:r>
      <w:proofErr w:type="gramEnd"/>
      <w:r>
        <w:rPr>
          <w:sz w:val="24"/>
        </w:rPr>
        <w:t>的</w:t>
      </w:r>
      <w:proofErr w:type="gramStart"/>
      <w:r>
        <w:rPr>
          <w:sz w:val="24"/>
        </w:rPr>
        <w:t>不</w:t>
      </w:r>
      <w:proofErr w:type="gramEnd"/>
      <w:r>
        <w:rPr>
          <w:sz w:val="24"/>
        </w:rPr>
        <w:t>耐受所引发糖、脂代谢异常和营养性肝病是限制人工配合饲料应用的重要原因。目前为止，蛋白酶在水产动物中的研究主要集中在生长性能、营养物质消化率</w:t>
      </w:r>
      <w:r>
        <w:rPr>
          <w:sz w:val="24"/>
        </w:rPr>
        <w:t>和肠道健康等方面</w:t>
      </w:r>
      <w:r>
        <w:rPr>
          <w:sz w:val="24"/>
          <w:vertAlign w:val="superscript"/>
        </w:rPr>
        <w:t>[24-25]</w:t>
      </w:r>
      <w:r>
        <w:rPr>
          <w:sz w:val="24"/>
        </w:rPr>
        <w:t>，而在高比例植物蛋白质替代鱼粉后对大口黑鲈生长性能、蛋白质和</w:t>
      </w:r>
      <w:proofErr w:type="gramStart"/>
      <w:r>
        <w:rPr>
          <w:sz w:val="24"/>
        </w:rPr>
        <w:t>糖、</w:t>
      </w:r>
      <w:proofErr w:type="gramEnd"/>
      <w:r>
        <w:rPr>
          <w:sz w:val="24"/>
        </w:rPr>
        <w:t>脂代谢的影响未见报道。</w:t>
      </w:r>
    </w:p>
    <w:p w14:paraId="4A958848" w14:textId="77777777" w:rsidR="008F75C3" w:rsidRDefault="006614AC">
      <w:pPr>
        <w:spacing w:line="360" w:lineRule="auto"/>
        <w:ind w:firstLineChars="200" w:firstLine="480"/>
        <w:rPr>
          <w:sz w:val="24"/>
        </w:rPr>
      </w:pPr>
      <w:r>
        <w:rPr>
          <w:sz w:val="24"/>
        </w:rPr>
        <w:t>因此，本试验旨在通过采用</w:t>
      </w:r>
      <w:r>
        <w:rPr>
          <w:sz w:val="24"/>
        </w:rPr>
        <w:t>CPC</w:t>
      </w:r>
      <w:r>
        <w:rPr>
          <w:sz w:val="24"/>
        </w:rPr>
        <w:t>替代配方中</w:t>
      </w:r>
      <w:r>
        <w:rPr>
          <w:sz w:val="24"/>
        </w:rPr>
        <w:t>40%</w:t>
      </w:r>
      <w:r>
        <w:rPr>
          <w:sz w:val="24"/>
        </w:rPr>
        <w:t>鱼粉蛋白，并在此基础上添加不同剂量蛋白酶，研究</w:t>
      </w:r>
      <w:r>
        <w:rPr>
          <w:sz w:val="24"/>
        </w:rPr>
        <w:t>CPC</w:t>
      </w:r>
      <w:r>
        <w:rPr>
          <w:sz w:val="24"/>
        </w:rPr>
        <w:t>替代以及蛋白酶对大口黑鲈生长性能、肝功能、消化酶活性以及蛋白质和</w:t>
      </w:r>
      <w:proofErr w:type="gramStart"/>
      <w:r>
        <w:rPr>
          <w:sz w:val="24"/>
        </w:rPr>
        <w:t>糖、</w:t>
      </w:r>
      <w:proofErr w:type="gramEnd"/>
      <w:r>
        <w:rPr>
          <w:sz w:val="24"/>
        </w:rPr>
        <w:t>脂代谢的影响，进而确定蛋白酶在大口黑鲈饲料中的适宜添加量。</w:t>
      </w:r>
    </w:p>
    <w:p w14:paraId="6599FC55" w14:textId="77777777" w:rsidR="008F75C3" w:rsidRDefault="006614AC">
      <w:pPr>
        <w:spacing w:line="360" w:lineRule="auto"/>
        <w:rPr>
          <w:sz w:val="24"/>
        </w:rPr>
      </w:pPr>
      <w:r>
        <w:rPr>
          <w:sz w:val="24"/>
        </w:rPr>
        <w:t xml:space="preserve">1  </w:t>
      </w:r>
      <w:r>
        <w:rPr>
          <w:sz w:val="24"/>
        </w:rPr>
        <w:t>材料与方法</w:t>
      </w:r>
    </w:p>
    <w:p w14:paraId="5F724256" w14:textId="77777777" w:rsidR="008F75C3" w:rsidRDefault="006614AC">
      <w:pPr>
        <w:spacing w:line="360" w:lineRule="auto"/>
        <w:rPr>
          <w:sz w:val="24"/>
        </w:rPr>
      </w:pPr>
      <w:r>
        <w:rPr>
          <w:sz w:val="24"/>
        </w:rPr>
        <w:t xml:space="preserve">1.1  </w:t>
      </w:r>
      <w:r>
        <w:rPr>
          <w:sz w:val="24"/>
        </w:rPr>
        <w:t>试验鱼</w:t>
      </w:r>
    </w:p>
    <w:p w14:paraId="3D67C7F1" w14:textId="77777777" w:rsidR="008F75C3" w:rsidRDefault="006614AC">
      <w:pPr>
        <w:spacing w:line="360" w:lineRule="auto"/>
        <w:ind w:firstLineChars="200" w:firstLine="480"/>
        <w:rPr>
          <w:sz w:val="24"/>
        </w:rPr>
      </w:pPr>
      <w:r>
        <w:rPr>
          <w:sz w:val="24"/>
        </w:rPr>
        <w:t>试验用水产动物为大口黑鲈，于</w:t>
      </w:r>
      <w:r>
        <w:rPr>
          <w:sz w:val="24"/>
        </w:rPr>
        <w:t>2019</w:t>
      </w:r>
      <w:r>
        <w:rPr>
          <w:sz w:val="24"/>
        </w:rPr>
        <w:t>年</w:t>
      </w:r>
      <w:r>
        <w:rPr>
          <w:sz w:val="24"/>
        </w:rPr>
        <w:t>5</w:t>
      </w:r>
      <w:r>
        <w:rPr>
          <w:sz w:val="24"/>
        </w:rPr>
        <w:t>月购买于天津玉清水产科技发展公司。试验正式开始前，试验鱼在养殖系统中暂养</w:t>
      </w:r>
      <w:r>
        <w:rPr>
          <w:sz w:val="24"/>
        </w:rPr>
        <w:t>Ⅰ</w:t>
      </w:r>
      <w:r>
        <w:rPr>
          <w:sz w:val="24"/>
        </w:rPr>
        <w:t>周</w:t>
      </w:r>
      <w:r>
        <w:rPr>
          <w:sz w:val="24"/>
        </w:rPr>
        <w:t>,</w:t>
      </w:r>
      <w:r>
        <w:rPr>
          <w:sz w:val="24"/>
        </w:rPr>
        <w:t>暂养期间投喂鱼粉含量为</w:t>
      </w:r>
      <w:r>
        <w:rPr>
          <w:sz w:val="24"/>
        </w:rPr>
        <w:t>50%</w:t>
      </w:r>
      <w:r>
        <w:rPr>
          <w:sz w:val="24"/>
        </w:rPr>
        <w:t>的饲料</w:t>
      </w:r>
      <w:r>
        <w:rPr>
          <w:sz w:val="24"/>
        </w:rPr>
        <w:t>(HFM)</w:t>
      </w:r>
      <w:r>
        <w:rPr>
          <w:sz w:val="24"/>
        </w:rPr>
        <w:t>。</w:t>
      </w:r>
    </w:p>
    <w:p w14:paraId="516E3534" w14:textId="77777777" w:rsidR="008F75C3" w:rsidRDefault="006614AC">
      <w:pPr>
        <w:spacing w:line="360" w:lineRule="auto"/>
        <w:rPr>
          <w:sz w:val="24"/>
        </w:rPr>
      </w:pPr>
      <w:bookmarkStart w:id="36" w:name="_Hlk89635443"/>
      <w:r>
        <w:rPr>
          <w:sz w:val="24"/>
        </w:rPr>
        <w:lastRenderedPageBreak/>
        <w:t xml:space="preserve">1.2  </w:t>
      </w:r>
      <w:r>
        <w:rPr>
          <w:sz w:val="24"/>
        </w:rPr>
        <w:t>试验设计及饲料</w:t>
      </w:r>
    </w:p>
    <w:bookmarkEnd w:id="36"/>
    <w:p w14:paraId="0BFBDEC4" w14:textId="77777777" w:rsidR="008F75C3" w:rsidRDefault="006614AC">
      <w:pPr>
        <w:spacing w:line="360" w:lineRule="auto"/>
        <w:ind w:firstLineChars="200" w:firstLine="480"/>
        <w:rPr>
          <w:sz w:val="24"/>
        </w:rPr>
      </w:pPr>
      <w:r>
        <w:rPr>
          <w:sz w:val="24"/>
        </w:rPr>
        <w:t>试验将初始体重为</w:t>
      </w:r>
      <w:r>
        <w:rPr>
          <w:sz w:val="24"/>
        </w:rPr>
        <w:t>(31.39+0.05) g</w:t>
      </w:r>
      <w:r>
        <w:rPr>
          <w:sz w:val="24"/>
        </w:rPr>
        <w:t>的大口黑鲈幼鱼</w:t>
      </w:r>
      <w:r>
        <w:rPr>
          <w:sz w:val="24"/>
        </w:rPr>
        <w:t>240</w:t>
      </w:r>
      <w:r>
        <w:rPr>
          <w:sz w:val="24"/>
        </w:rPr>
        <w:t>尾，随机分为</w:t>
      </w:r>
      <w:r>
        <w:rPr>
          <w:sz w:val="24"/>
        </w:rPr>
        <w:t>2</w:t>
      </w:r>
      <w:r>
        <w:rPr>
          <w:sz w:val="24"/>
        </w:rPr>
        <w:t>个对照组和</w:t>
      </w:r>
      <w:r>
        <w:rPr>
          <w:sz w:val="24"/>
        </w:rPr>
        <w:t>2</w:t>
      </w:r>
      <w:r>
        <w:rPr>
          <w:sz w:val="24"/>
        </w:rPr>
        <w:t>个试验组，每组</w:t>
      </w:r>
      <w:r>
        <w:rPr>
          <w:sz w:val="24"/>
        </w:rPr>
        <w:t>3</w:t>
      </w:r>
      <w:r>
        <w:rPr>
          <w:sz w:val="24"/>
        </w:rPr>
        <w:t>个重复，每个重复</w:t>
      </w:r>
      <w:r>
        <w:rPr>
          <w:sz w:val="24"/>
        </w:rPr>
        <w:t>20</w:t>
      </w:r>
      <w:r>
        <w:rPr>
          <w:sz w:val="24"/>
        </w:rPr>
        <w:t>尾鱼。采用</w:t>
      </w:r>
      <w:r>
        <w:rPr>
          <w:sz w:val="24"/>
        </w:rPr>
        <w:t>HFM</w:t>
      </w:r>
      <w:r>
        <w:rPr>
          <w:sz w:val="24"/>
        </w:rPr>
        <w:t>为正对照饲料</w:t>
      </w:r>
      <w:r>
        <w:rPr>
          <w:sz w:val="24"/>
        </w:rPr>
        <w:t>(HFM</w:t>
      </w:r>
      <w:r>
        <w:rPr>
          <w:sz w:val="24"/>
        </w:rPr>
        <w:t>组</w:t>
      </w:r>
      <w:r>
        <w:rPr>
          <w:sz w:val="24"/>
        </w:rPr>
        <w:t>)</w:t>
      </w:r>
      <w:r>
        <w:rPr>
          <w:sz w:val="24"/>
        </w:rPr>
        <w:t>，采用</w:t>
      </w:r>
      <w:r>
        <w:rPr>
          <w:sz w:val="24"/>
        </w:rPr>
        <w:t>CPC</w:t>
      </w:r>
      <w:r>
        <w:rPr>
          <w:sz w:val="24"/>
        </w:rPr>
        <w:t>替代</w:t>
      </w:r>
      <w:r>
        <w:rPr>
          <w:sz w:val="24"/>
        </w:rPr>
        <w:t>40%</w:t>
      </w:r>
      <w:r>
        <w:rPr>
          <w:sz w:val="24"/>
        </w:rPr>
        <w:t>鱼粉蛋白的饲料</w:t>
      </w:r>
      <w:r>
        <w:rPr>
          <w:sz w:val="24"/>
        </w:rPr>
        <w:t>(LFM</w:t>
      </w:r>
      <w:r>
        <w:rPr>
          <w:sz w:val="24"/>
        </w:rPr>
        <w:t>，鱼粉含量为</w:t>
      </w:r>
      <w:r>
        <w:rPr>
          <w:sz w:val="24"/>
        </w:rPr>
        <w:t>30%)</w:t>
      </w:r>
      <w:r>
        <w:rPr>
          <w:sz w:val="24"/>
        </w:rPr>
        <w:t>为基础对照饲料</w:t>
      </w:r>
      <w:r>
        <w:rPr>
          <w:sz w:val="24"/>
        </w:rPr>
        <w:t>(LFM</w:t>
      </w:r>
      <w:r>
        <w:rPr>
          <w:sz w:val="24"/>
        </w:rPr>
        <w:t>组</w:t>
      </w:r>
      <w:r>
        <w:rPr>
          <w:sz w:val="24"/>
        </w:rPr>
        <w:t>)</w:t>
      </w:r>
      <w:r>
        <w:rPr>
          <w:sz w:val="24"/>
        </w:rPr>
        <w:t>，在</w:t>
      </w:r>
      <w:r>
        <w:rPr>
          <w:sz w:val="24"/>
        </w:rPr>
        <w:t>LFM</w:t>
      </w:r>
      <w:r>
        <w:rPr>
          <w:sz w:val="24"/>
        </w:rPr>
        <w:t>基础上分别添加</w:t>
      </w:r>
      <w:r>
        <w:rPr>
          <w:sz w:val="24"/>
        </w:rPr>
        <w:t>300</w:t>
      </w:r>
      <w:r>
        <w:rPr>
          <w:sz w:val="24"/>
        </w:rPr>
        <w:t>、</w:t>
      </w:r>
      <w:r>
        <w:rPr>
          <w:sz w:val="24"/>
        </w:rPr>
        <w:t>500 mL/t</w:t>
      </w:r>
      <w:r>
        <w:rPr>
          <w:sz w:val="24"/>
        </w:rPr>
        <w:t>的中性蛋白酶配制</w:t>
      </w:r>
      <w:r>
        <w:rPr>
          <w:sz w:val="24"/>
        </w:rPr>
        <w:t>试验饲料，在</w:t>
      </w:r>
      <w:r>
        <w:rPr>
          <w:sz w:val="24"/>
        </w:rPr>
        <w:t>40 ℃</w:t>
      </w:r>
      <w:r>
        <w:rPr>
          <w:sz w:val="24"/>
        </w:rPr>
        <w:t>，</w:t>
      </w:r>
      <w:r>
        <w:rPr>
          <w:sz w:val="24"/>
        </w:rPr>
        <w:t>pH7.0~7.5</w:t>
      </w:r>
      <w:r>
        <w:rPr>
          <w:sz w:val="24"/>
        </w:rPr>
        <w:t>条件下，蛋白酶的活性为</w:t>
      </w:r>
      <w:r>
        <w:rPr>
          <w:sz w:val="24"/>
        </w:rPr>
        <w:t>15 000 U/mL</w:t>
      </w:r>
      <w:r>
        <w:rPr>
          <w:sz w:val="24"/>
        </w:rPr>
        <w:t>。将</w:t>
      </w:r>
      <w:r>
        <w:rPr>
          <w:sz w:val="24"/>
        </w:rPr>
        <w:t>2</w:t>
      </w:r>
      <w:r>
        <w:rPr>
          <w:sz w:val="24"/>
        </w:rPr>
        <w:t>种试验饲料分别命名为</w:t>
      </w:r>
      <w:r>
        <w:rPr>
          <w:sz w:val="24"/>
        </w:rPr>
        <w:t>LFM+E4500</w:t>
      </w:r>
      <w:r>
        <w:rPr>
          <w:sz w:val="24"/>
        </w:rPr>
        <w:t>和</w:t>
      </w:r>
      <w:r>
        <w:rPr>
          <w:sz w:val="24"/>
        </w:rPr>
        <w:t>LFM+E7500 (LFM+E4 500</w:t>
      </w:r>
      <w:r>
        <w:rPr>
          <w:sz w:val="24"/>
        </w:rPr>
        <w:t>组和</w:t>
      </w:r>
      <w:r>
        <w:rPr>
          <w:sz w:val="24"/>
        </w:rPr>
        <w:t>LFM +E7 500</w:t>
      </w:r>
      <w:r>
        <w:rPr>
          <w:sz w:val="24"/>
        </w:rPr>
        <w:t>组</w:t>
      </w:r>
      <w:r>
        <w:rPr>
          <w:sz w:val="24"/>
        </w:rPr>
        <w:t>)</w:t>
      </w:r>
      <w:r>
        <w:rPr>
          <w:sz w:val="24"/>
        </w:rPr>
        <w:t>。</w:t>
      </w:r>
      <w:r>
        <w:rPr>
          <w:sz w:val="24"/>
        </w:rPr>
        <w:t>LFM</w:t>
      </w:r>
      <w:r>
        <w:rPr>
          <w:sz w:val="24"/>
        </w:rPr>
        <w:t>、</w:t>
      </w:r>
      <w:r>
        <w:rPr>
          <w:sz w:val="24"/>
        </w:rPr>
        <w:t>LFM+E45000</w:t>
      </w:r>
      <w:r>
        <w:rPr>
          <w:sz w:val="24"/>
        </w:rPr>
        <w:t>和</w:t>
      </w:r>
      <w:r>
        <w:rPr>
          <w:sz w:val="24"/>
        </w:rPr>
        <w:t xml:space="preserve">LFM+E7500 </w:t>
      </w:r>
      <w:r>
        <w:rPr>
          <w:sz w:val="24"/>
        </w:rPr>
        <w:t>组饲料中分别添加蛋氨酸、苏氨酸和鱼油来平衡必需氨基酸和必需脂肪酸，以磷酸二氢钙补充有效磷</w:t>
      </w:r>
      <w:r>
        <w:rPr>
          <w:sz w:val="24"/>
        </w:rPr>
        <w:t>,</w:t>
      </w:r>
      <w:r>
        <w:rPr>
          <w:sz w:val="24"/>
        </w:rPr>
        <w:t>各组饲料等氮等能。物料经超微粉碎过</w:t>
      </w:r>
      <w:r>
        <w:rPr>
          <w:sz w:val="24"/>
        </w:rPr>
        <w:t>80</w:t>
      </w:r>
      <w:proofErr w:type="gramStart"/>
      <w:r>
        <w:rPr>
          <w:sz w:val="24"/>
        </w:rPr>
        <w:t>目筛并均匀</w:t>
      </w:r>
      <w:proofErr w:type="gramEnd"/>
      <w:r>
        <w:rPr>
          <w:sz w:val="24"/>
        </w:rPr>
        <w:t>混合后，使用双螺杆挤压膨化机</w:t>
      </w:r>
      <w:r>
        <w:rPr>
          <w:sz w:val="24"/>
        </w:rPr>
        <w:t>(</w:t>
      </w:r>
      <w:r>
        <w:rPr>
          <w:sz w:val="24"/>
        </w:rPr>
        <w:t>洋工机械</w:t>
      </w:r>
      <w:r>
        <w:rPr>
          <w:sz w:val="24"/>
        </w:rPr>
        <w:t>TSE65)</w:t>
      </w:r>
      <w:r>
        <w:rPr>
          <w:sz w:val="24"/>
        </w:rPr>
        <w:t>挤压膨化，制成粒径为</w:t>
      </w:r>
      <w:r>
        <w:rPr>
          <w:sz w:val="24"/>
        </w:rPr>
        <w:t>3 mm</w:t>
      </w:r>
      <w:r>
        <w:rPr>
          <w:sz w:val="24"/>
        </w:rPr>
        <w:t>的颗粒饲料，自然晾干后于</w:t>
      </w:r>
      <w:r>
        <w:rPr>
          <w:sz w:val="24"/>
        </w:rPr>
        <w:t>-20 ℃</w:t>
      </w:r>
      <w:r>
        <w:rPr>
          <w:sz w:val="24"/>
        </w:rPr>
        <w:t>储存备用</w:t>
      </w:r>
      <w:r>
        <w:rPr>
          <w:sz w:val="24"/>
        </w:rPr>
        <w:t>。饲料组成及营养水平见表</w:t>
      </w:r>
      <w:r>
        <w:rPr>
          <w:sz w:val="24"/>
        </w:rPr>
        <w:t>l</w:t>
      </w:r>
      <w:r>
        <w:rPr>
          <w:sz w:val="24"/>
        </w:rPr>
        <w:t>。</w:t>
      </w:r>
    </w:p>
    <w:p w14:paraId="589DB4A2" w14:textId="77777777" w:rsidR="008F75C3" w:rsidRDefault="006614AC">
      <w:pPr>
        <w:spacing w:line="360" w:lineRule="auto"/>
        <w:ind w:firstLineChars="200" w:firstLine="480"/>
        <w:jc w:val="center"/>
        <w:rPr>
          <w:sz w:val="24"/>
        </w:rPr>
      </w:pPr>
      <w:r>
        <w:rPr>
          <w:noProof/>
          <w:sz w:val="24"/>
        </w:rPr>
        <w:drawing>
          <wp:inline distT="0" distB="0" distL="0" distR="0" wp14:anchorId="3FB54119" wp14:editId="278F22F7">
            <wp:extent cx="2592070" cy="3210560"/>
            <wp:effectExtent l="0" t="0" r="17780" b="8890"/>
            <wp:docPr id="25" name="图片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图片 25"/>
                    <pic:cNvPicPr>
                      <a:picLocks noChangeAspect="1" noChangeArrowheads="1"/>
                    </pic:cNvPicPr>
                  </pic:nvPicPr>
                  <pic:blipFill>
                    <a:blip r:embed="rId37" cstate="print">
                      <a:extLst>
                        <a:ext uri="{28A0092B-C50C-407E-A947-70E740481C1C}">
                          <a14:useLocalDpi xmlns:a14="http://schemas.microsoft.com/office/drawing/2010/main" val="0"/>
                        </a:ext>
                      </a:extLst>
                    </a:blip>
                    <a:srcRect/>
                    <a:stretch>
                      <a:fillRect/>
                    </a:stretch>
                  </pic:blipFill>
                  <pic:spPr>
                    <a:xfrm>
                      <a:off x="0" y="0"/>
                      <a:ext cx="2592070" cy="3210560"/>
                    </a:xfrm>
                    <a:prstGeom prst="rect">
                      <a:avLst/>
                    </a:prstGeom>
                    <a:noFill/>
                    <a:ln>
                      <a:noFill/>
                    </a:ln>
                  </pic:spPr>
                </pic:pic>
              </a:graphicData>
            </a:graphic>
          </wp:inline>
        </w:drawing>
      </w:r>
    </w:p>
    <w:p w14:paraId="352783DE" w14:textId="77777777" w:rsidR="008F75C3" w:rsidRDefault="006614AC">
      <w:pPr>
        <w:spacing w:line="360" w:lineRule="auto"/>
        <w:rPr>
          <w:sz w:val="24"/>
        </w:rPr>
      </w:pPr>
      <w:bookmarkStart w:id="37" w:name="_Hlk89636122"/>
      <w:r>
        <w:rPr>
          <w:sz w:val="24"/>
        </w:rPr>
        <w:t xml:space="preserve">1.3  </w:t>
      </w:r>
      <w:r>
        <w:rPr>
          <w:sz w:val="24"/>
        </w:rPr>
        <w:t>饲养管理</w:t>
      </w:r>
    </w:p>
    <w:bookmarkEnd w:id="37"/>
    <w:p w14:paraId="47FAAD65" w14:textId="77777777" w:rsidR="008F75C3" w:rsidRDefault="006614AC">
      <w:pPr>
        <w:spacing w:line="360" w:lineRule="auto"/>
        <w:ind w:firstLineChars="200" w:firstLine="480"/>
        <w:rPr>
          <w:sz w:val="24"/>
        </w:rPr>
      </w:pPr>
      <w:r>
        <w:rPr>
          <w:sz w:val="24"/>
        </w:rPr>
        <w:t>试验在国家水产饲料安全评价基地</w:t>
      </w:r>
      <w:r>
        <w:rPr>
          <w:sz w:val="24"/>
        </w:rPr>
        <w:t>(</w:t>
      </w:r>
      <w:r>
        <w:rPr>
          <w:sz w:val="24"/>
        </w:rPr>
        <w:t>北京</w:t>
      </w:r>
      <w:r>
        <w:rPr>
          <w:sz w:val="24"/>
        </w:rPr>
        <w:t>,</w:t>
      </w:r>
      <w:r>
        <w:rPr>
          <w:sz w:val="24"/>
        </w:rPr>
        <w:t>南口</w:t>
      </w:r>
      <w:r>
        <w:rPr>
          <w:sz w:val="24"/>
        </w:rPr>
        <w:t>)</w:t>
      </w:r>
      <w:r>
        <w:rPr>
          <w:sz w:val="24"/>
        </w:rPr>
        <w:t>室内循环水养殖系统中进行，水源为曝气井水，流量为</w:t>
      </w:r>
      <w:r>
        <w:rPr>
          <w:sz w:val="24"/>
        </w:rPr>
        <w:t>9.64 L/min</w:t>
      </w:r>
      <w:r>
        <w:rPr>
          <w:sz w:val="24"/>
        </w:rPr>
        <w:t>。用</w:t>
      </w:r>
      <w:r>
        <w:rPr>
          <w:sz w:val="24"/>
        </w:rPr>
        <w:t>2%</w:t>
      </w:r>
      <w:r>
        <w:rPr>
          <w:sz w:val="24"/>
        </w:rPr>
        <w:t>食盐水消毒试验鱼及养殖系统后，随机挑选体质健康、个体均匀的大口黑鲈</w:t>
      </w:r>
      <w:r>
        <w:rPr>
          <w:sz w:val="24"/>
        </w:rPr>
        <w:t>[</w:t>
      </w:r>
      <w:r>
        <w:rPr>
          <w:sz w:val="24"/>
        </w:rPr>
        <w:t>平均初始体重为</w:t>
      </w:r>
      <w:r>
        <w:rPr>
          <w:sz w:val="24"/>
        </w:rPr>
        <w:t>( 31.39±0.05) g]</w:t>
      </w:r>
      <w:r>
        <w:rPr>
          <w:sz w:val="24"/>
        </w:rPr>
        <w:t>，分配到容积为</w:t>
      </w:r>
      <w:r>
        <w:rPr>
          <w:sz w:val="24"/>
        </w:rPr>
        <w:t>0.26 m</w:t>
      </w:r>
      <w:r>
        <w:rPr>
          <w:sz w:val="24"/>
          <w:vertAlign w:val="superscript"/>
        </w:rPr>
        <w:t>3</w:t>
      </w:r>
      <w:r>
        <w:rPr>
          <w:sz w:val="24"/>
        </w:rPr>
        <w:t>的圆锥形养殖桶中。养殖周期为</w:t>
      </w:r>
      <w:r>
        <w:rPr>
          <w:sz w:val="24"/>
        </w:rPr>
        <w:t>65 d</w:t>
      </w:r>
      <w:r>
        <w:rPr>
          <w:sz w:val="24"/>
        </w:rPr>
        <w:t>，每天表观饱食投喂次，投喂时间分别为</w:t>
      </w:r>
      <w:r>
        <w:rPr>
          <w:sz w:val="24"/>
        </w:rPr>
        <w:t>08:00</w:t>
      </w:r>
      <w:r>
        <w:rPr>
          <w:sz w:val="24"/>
        </w:rPr>
        <w:t>和</w:t>
      </w:r>
      <w:r>
        <w:rPr>
          <w:sz w:val="24"/>
        </w:rPr>
        <w:t xml:space="preserve"> 17:00</w:t>
      </w:r>
      <w:r>
        <w:rPr>
          <w:sz w:val="24"/>
        </w:rPr>
        <w:t>，并记录死鱼和收集残饵。定期检测水质</w:t>
      </w:r>
      <w:r>
        <w:rPr>
          <w:sz w:val="24"/>
        </w:rPr>
        <w:t>,</w:t>
      </w:r>
      <w:r>
        <w:rPr>
          <w:sz w:val="24"/>
        </w:rPr>
        <w:t>水质条件保持在溶氧</w:t>
      </w:r>
      <w:r>
        <w:rPr>
          <w:sz w:val="24"/>
        </w:rPr>
        <w:t>(DO)</w:t>
      </w:r>
      <w:r>
        <w:rPr>
          <w:sz w:val="24"/>
        </w:rPr>
        <w:t>浓度</w:t>
      </w:r>
      <w:r>
        <w:rPr>
          <w:sz w:val="24"/>
        </w:rPr>
        <w:t>&gt;7.0 mg/L</w:t>
      </w:r>
      <w:r>
        <w:rPr>
          <w:sz w:val="24"/>
        </w:rPr>
        <w:t>，总氨氮浓度</w:t>
      </w:r>
      <w:r>
        <w:rPr>
          <w:sz w:val="24"/>
        </w:rPr>
        <w:t>&lt;</w:t>
      </w:r>
      <w:r>
        <w:rPr>
          <w:sz w:val="24"/>
        </w:rPr>
        <w:t>0.3 mg/</w:t>
      </w:r>
      <w:proofErr w:type="spellStart"/>
      <w:r>
        <w:rPr>
          <w:sz w:val="24"/>
        </w:rPr>
        <w:t>L,pH</w:t>
      </w:r>
      <w:proofErr w:type="spellEnd"/>
      <w:r>
        <w:rPr>
          <w:sz w:val="24"/>
        </w:rPr>
        <w:t xml:space="preserve"> =7.5~8.5</w:t>
      </w:r>
      <w:r>
        <w:rPr>
          <w:sz w:val="24"/>
        </w:rPr>
        <w:t>，水温</w:t>
      </w:r>
      <w:r>
        <w:rPr>
          <w:sz w:val="24"/>
        </w:rPr>
        <w:t>24.0~27.5 ℃</w:t>
      </w:r>
      <w:r>
        <w:rPr>
          <w:sz w:val="24"/>
        </w:rPr>
        <w:t>。</w:t>
      </w:r>
    </w:p>
    <w:p w14:paraId="76DADC0C" w14:textId="77777777" w:rsidR="008F75C3" w:rsidRDefault="006614AC">
      <w:pPr>
        <w:spacing w:line="360" w:lineRule="auto"/>
        <w:rPr>
          <w:sz w:val="24"/>
        </w:rPr>
      </w:pPr>
      <w:bookmarkStart w:id="38" w:name="_Hlk89637193"/>
      <w:r>
        <w:rPr>
          <w:sz w:val="24"/>
        </w:rPr>
        <w:lastRenderedPageBreak/>
        <w:t xml:space="preserve">1.4  </w:t>
      </w:r>
      <w:r>
        <w:rPr>
          <w:sz w:val="24"/>
        </w:rPr>
        <w:t>样品采集</w:t>
      </w:r>
    </w:p>
    <w:bookmarkEnd w:id="38"/>
    <w:p w14:paraId="4538A8D4" w14:textId="77777777" w:rsidR="008F75C3" w:rsidRDefault="006614AC">
      <w:pPr>
        <w:spacing w:line="360" w:lineRule="auto"/>
        <w:ind w:firstLineChars="200" w:firstLine="480"/>
        <w:rPr>
          <w:sz w:val="24"/>
        </w:rPr>
      </w:pPr>
      <w:r>
        <w:rPr>
          <w:sz w:val="24"/>
        </w:rPr>
        <w:t>生长试验结束并禁食</w:t>
      </w:r>
      <w:r>
        <w:rPr>
          <w:sz w:val="24"/>
        </w:rPr>
        <w:t>24h</w:t>
      </w:r>
      <w:r>
        <w:rPr>
          <w:sz w:val="24"/>
        </w:rPr>
        <w:t>后分别对</w:t>
      </w:r>
      <w:proofErr w:type="gramStart"/>
      <w:r>
        <w:rPr>
          <w:sz w:val="24"/>
        </w:rPr>
        <w:t>各桶鱼</w:t>
      </w:r>
      <w:proofErr w:type="gramEnd"/>
      <w:r>
        <w:rPr>
          <w:sz w:val="24"/>
        </w:rPr>
        <w:t>称重，用于计算生长指标。每组随机取</w:t>
      </w:r>
      <w:r>
        <w:rPr>
          <w:sz w:val="24"/>
        </w:rPr>
        <w:t>12</w:t>
      </w:r>
      <w:r>
        <w:rPr>
          <w:sz w:val="24"/>
        </w:rPr>
        <w:t>尾鱼</w:t>
      </w:r>
      <w:r>
        <w:rPr>
          <w:sz w:val="24"/>
        </w:rPr>
        <w:t>(</w:t>
      </w:r>
      <w:r>
        <w:rPr>
          <w:sz w:val="24"/>
        </w:rPr>
        <w:t>每桶</w:t>
      </w:r>
      <w:r>
        <w:rPr>
          <w:sz w:val="24"/>
        </w:rPr>
        <w:t>4</w:t>
      </w:r>
      <w:r>
        <w:rPr>
          <w:sz w:val="24"/>
        </w:rPr>
        <w:t>尾鱼</w:t>
      </w:r>
      <w:r>
        <w:rPr>
          <w:sz w:val="24"/>
        </w:rPr>
        <w:t>)</w:t>
      </w:r>
      <w:r>
        <w:rPr>
          <w:sz w:val="24"/>
        </w:rPr>
        <w:t>，用三氯叔丁醇麻醉后测量体长、体重及内脏、肝脏和</w:t>
      </w:r>
      <w:proofErr w:type="gramStart"/>
      <w:r>
        <w:rPr>
          <w:sz w:val="24"/>
        </w:rPr>
        <w:t>腹脂</w:t>
      </w:r>
      <w:proofErr w:type="gramEnd"/>
      <w:r>
        <w:rPr>
          <w:sz w:val="24"/>
        </w:rPr>
        <w:t>重量，用于计算形体指标；用含有氟化钠草酸钾抗凝剂的注射器从麻醉鱼的尾静脉抽取血液，在</w:t>
      </w:r>
      <w:r>
        <w:rPr>
          <w:sz w:val="24"/>
        </w:rPr>
        <w:t>4 ℃</w:t>
      </w:r>
      <w:r>
        <w:rPr>
          <w:sz w:val="24"/>
        </w:rPr>
        <w:t>，</w:t>
      </w:r>
      <w:r>
        <w:rPr>
          <w:sz w:val="24"/>
        </w:rPr>
        <w:t>4 000 r/min</w:t>
      </w:r>
      <w:r>
        <w:rPr>
          <w:sz w:val="24"/>
        </w:rPr>
        <w:t>的条件下离心</w:t>
      </w:r>
      <w:r>
        <w:rPr>
          <w:sz w:val="24"/>
        </w:rPr>
        <w:t>l0 min</w:t>
      </w:r>
      <w:r>
        <w:rPr>
          <w:sz w:val="24"/>
        </w:rPr>
        <w:t>，取上层血浆备用。血浆、肝脏、腹脂、肠道和全鱼等样品均在</w:t>
      </w:r>
      <w:r>
        <w:rPr>
          <w:sz w:val="24"/>
        </w:rPr>
        <w:t>-80℃</w:t>
      </w:r>
      <w:r>
        <w:rPr>
          <w:sz w:val="24"/>
        </w:rPr>
        <w:t>条件下保存。</w:t>
      </w:r>
    </w:p>
    <w:p w14:paraId="29B19938" w14:textId="77777777" w:rsidR="008F75C3" w:rsidRDefault="006614AC">
      <w:pPr>
        <w:spacing w:line="360" w:lineRule="auto"/>
        <w:rPr>
          <w:sz w:val="24"/>
        </w:rPr>
      </w:pPr>
      <w:r>
        <w:rPr>
          <w:sz w:val="24"/>
        </w:rPr>
        <w:t xml:space="preserve">1.4  </w:t>
      </w:r>
      <w:r>
        <w:rPr>
          <w:sz w:val="24"/>
        </w:rPr>
        <w:t>指标测定</w:t>
      </w:r>
    </w:p>
    <w:p w14:paraId="1D4FC8C5" w14:textId="77777777" w:rsidR="008F75C3" w:rsidRDefault="006614AC">
      <w:pPr>
        <w:spacing w:line="360" w:lineRule="auto"/>
        <w:rPr>
          <w:sz w:val="24"/>
        </w:rPr>
      </w:pPr>
      <w:r>
        <w:rPr>
          <w:sz w:val="24"/>
        </w:rPr>
        <w:t xml:space="preserve">1.5.1  </w:t>
      </w:r>
      <w:r>
        <w:rPr>
          <w:sz w:val="24"/>
        </w:rPr>
        <w:t>常规营养成分</w:t>
      </w:r>
    </w:p>
    <w:p w14:paraId="18D5F5BA" w14:textId="77777777" w:rsidR="008F75C3" w:rsidRDefault="006614AC">
      <w:pPr>
        <w:spacing w:line="360" w:lineRule="auto"/>
        <w:ind w:firstLineChars="200" w:firstLine="480"/>
        <w:rPr>
          <w:sz w:val="24"/>
        </w:rPr>
      </w:pPr>
      <w:r>
        <w:rPr>
          <w:sz w:val="24"/>
        </w:rPr>
        <w:t>分别采用</w:t>
      </w:r>
      <w:r>
        <w:rPr>
          <w:sz w:val="24"/>
        </w:rPr>
        <w:t>1</w:t>
      </w:r>
      <w:r>
        <w:rPr>
          <w:sz w:val="24"/>
        </w:rPr>
        <w:t>05℃</w:t>
      </w:r>
      <w:r>
        <w:rPr>
          <w:sz w:val="24"/>
        </w:rPr>
        <w:t>常压干燥法</w:t>
      </w:r>
      <w:r>
        <w:rPr>
          <w:sz w:val="24"/>
        </w:rPr>
        <w:t>(GB/T6435—2006)</w:t>
      </w:r>
      <w:r>
        <w:rPr>
          <w:sz w:val="24"/>
        </w:rPr>
        <w:t>、凯氏定氮法</w:t>
      </w:r>
      <w:r>
        <w:rPr>
          <w:sz w:val="24"/>
        </w:rPr>
        <w:t>( GB/T 6432—1994)</w:t>
      </w:r>
      <w:r>
        <w:rPr>
          <w:sz w:val="24"/>
        </w:rPr>
        <w:t>、酸水解粗脂肪法</w:t>
      </w:r>
      <w:r>
        <w:rPr>
          <w:sz w:val="24"/>
        </w:rPr>
        <w:t>(GB/T 6433—2006 )</w:t>
      </w:r>
      <w:r>
        <w:rPr>
          <w:sz w:val="24"/>
        </w:rPr>
        <w:t>、</w:t>
      </w:r>
      <w:r>
        <w:rPr>
          <w:sz w:val="24"/>
        </w:rPr>
        <w:t>550℃</w:t>
      </w:r>
      <w:r>
        <w:rPr>
          <w:sz w:val="24"/>
        </w:rPr>
        <w:t>灼烧法</w:t>
      </w:r>
      <w:r>
        <w:rPr>
          <w:sz w:val="24"/>
        </w:rPr>
        <w:t>( GB/T 6438—2007)</w:t>
      </w:r>
      <w:r>
        <w:rPr>
          <w:sz w:val="24"/>
        </w:rPr>
        <w:t>测定原料、饲料和鱼体的水分、粗蛋白质，粗脂肪、粗灰分含量；总能的检测方法参照</w:t>
      </w:r>
      <w:r>
        <w:rPr>
          <w:sz w:val="24"/>
        </w:rPr>
        <w:t>ISO 9831 : 1998</w:t>
      </w:r>
      <w:r>
        <w:rPr>
          <w:sz w:val="24"/>
        </w:rPr>
        <w:t>，采用</w:t>
      </w:r>
      <w:proofErr w:type="gramStart"/>
      <w:r>
        <w:rPr>
          <w:sz w:val="24"/>
        </w:rPr>
        <w:t>氧弹仪</w:t>
      </w:r>
      <w:proofErr w:type="gramEnd"/>
      <w:r>
        <w:rPr>
          <w:sz w:val="24"/>
        </w:rPr>
        <w:t>测定；饲料中氨基酸含量采用</w:t>
      </w:r>
      <w:r>
        <w:rPr>
          <w:sz w:val="24"/>
        </w:rPr>
        <w:t>GB/T18246—2000</w:t>
      </w:r>
      <w:r>
        <w:rPr>
          <w:sz w:val="24"/>
        </w:rPr>
        <w:t>中方法进行测定。</w:t>
      </w:r>
    </w:p>
    <w:p w14:paraId="634090F9" w14:textId="77777777" w:rsidR="008F75C3" w:rsidRDefault="006614AC">
      <w:pPr>
        <w:spacing w:line="360" w:lineRule="auto"/>
        <w:rPr>
          <w:sz w:val="24"/>
        </w:rPr>
      </w:pPr>
      <w:r>
        <w:rPr>
          <w:sz w:val="24"/>
        </w:rPr>
        <w:t xml:space="preserve">1.5.2  </w:t>
      </w:r>
      <w:r>
        <w:rPr>
          <w:sz w:val="24"/>
        </w:rPr>
        <w:t>生长指标</w:t>
      </w:r>
    </w:p>
    <w:p w14:paraId="3F068755" w14:textId="77777777" w:rsidR="008F75C3" w:rsidRDefault="006614AC">
      <w:pPr>
        <w:spacing w:line="360" w:lineRule="auto"/>
        <w:rPr>
          <w:sz w:val="24"/>
        </w:rPr>
      </w:pPr>
      <w:r>
        <w:rPr>
          <w:sz w:val="24"/>
        </w:rPr>
        <w:t>各指标计算公式如下</w:t>
      </w:r>
      <w:r>
        <w:rPr>
          <w:sz w:val="24"/>
        </w:rPr>
        <w:t>:</w:t>
      </w:r>
    </w:p>
    <w:p w14:paraId="7882B0C6" w14:textId="77777777" w:rsidR="008F75C3" w:rsidRDefault="006614AC">
      <w:pPr>
        <w:spacing w:line="360" w:lineRule="auto"/>
        <w:jc w:val="center"/>
        <w:rPr>
          <w:sz w:val="24"/>
        </w:rPr>
      </w:pPr>
      <w:r>
        <w:rPr>
          <w:sz w:val="24"/>
        </w:rPr>
        <w:t>存活率</w:t>
      </w:r>
      <w:r>
        <w:rPr>
          <w:sz w:val="24"/>
        </w:rPr>
        <w:t>(SR</w:t>
      </w:r>
      <w:r>
        <w:rPr>
          <w:sz w:val="24"/>
        </w:rPr>
        <w:t>，</w:t>
      </w:r>
      <w:r>
        <w:rPr>
          <w:sz w:val="24"/>
        </w:rPr>
        <w:t>% )=100×N</w:t>
      </w:r>
      <w:r>
        <w:rPr>
          <w:sz w:val="24"/>
          <w:vertAlign w:val="subscript"/>
        </w:rPr>
        <w:t xml:space="preserve">t  </w:t>
      </w:r>
      <w:r>
        <w:rPr>
          <w:sz w:val="24"/>
        </w:rPr>
        <w:t>/ N</w:t>
      </w:r>
      <w:r>
        <w:rPr>
          <w:sz w:val="24"/>
          <w:vertAlign w:val="subscript"/>
        </w:rPr>
        <w:t xml:space="preserve">0 </w:t>
      </w:r>
      <w:r>
        <w:rPr>
          <w:sz w:val="24"/>
        </w:rPr>
        <w:t>；</w:t>
      </w:r>
    </w:p>
    <w:p w14:paraId="48C4A785" w14:textId="77777777" w:rsidR="008F75C3" w:rsidRDefault="006614AC">
      <w:pPr>
        <w:spacing w:line="360" w:lineRule="auto"/>
        <w:jc w:val="center"/>
        <w:rPr>
          <w:sz w:val="24"/>
        </w:rPr>
      </w:pPr>
      <w:r>
        <w:rPr>
          <w:sz w:val="24"/>
        </w:rPr>
        <w:t>增重率</w:t>
      </w:r>
      <w:r>
        <w:rPr>
          <w:sz w:val="24"/>
        </w:rPr>
        <w:t>(WGR, % )=100</w:t>
      </w:r>
      <w:r>
        <w:rPr>
          <w:sz w:val="24"/>
        </w:rPr>
        <w:t xml:space="preserve">×( </w:t>
      </w:r>
      <w:proofErr w:type="spellStart"/>
      <w:r>
        <w:rPr>
          <w:sz w:val="24"/>
        </w:rPr>
        <w:t>W</w:t>
      </w:r>
      <w:r>
        <w:rPr>
          <w:sz w:val="24"/>
          <w:vertAlign w:val="subscript"/>
        </w:rPr>
        <w:t>t</w:t>
      </w:r>
      <w:proofErr w:type="spellEnd"/>
      <w:proofErr w:type="gramStart"/>
      <w:r>
        <w:rPr>
          <w:sz w:val="24"/>
        </w:rPr>
        <w:t>一</w:t>
      </w:r>
      <w:proofErr w:type="gramEnd"/>
      <w:r>
        <w:rPr>
          <w:sz w:val="24"/>
        </w:rPr>
        <w:t>W</w:t>
      </w:r>
      <w:r>
        <w:rPr>
          <w:sz w:val="24"/>
          <w:vertAlign w:val="subscript"/>
        </w:rPr>
        <w:t>0</w:t>
      </w:r>
      <w:r>
        <w:rPr>
          <w:sz w:val="24"/>
        </w:rPr>
        <w:t>+W</w:t>
      </w:r>
      <w:r>
        <w:rPr>
          <w:sz w:val="24"/>
          <w:vertAlign w:val="subscript"/>
        </w:rPr>
        <w:t>d</w:t>
      </w:r>
      <w:r>
        <w:rPr>
          <w:sz w:val="24"/>
        </w:rPr>
        <w:t>) / W</w:t>
      </w:r>
      <w:r>
        <w:rPr>
          <w:sz w:val="24"/>
          <w:vertAlign w:val="subscript"/>
        </w:rPr>
        <w:t xml:space="preserve">0 </w:t>
      </w:r>
      <w:r>
        <w:rPr>
          <w:sz w:val="24"/>
        </w:rPr>
        <w:t>；</w:t>
      </w:r>
    </w:p>
    <w:p w14:paraId="3B5B8271" w14:textId="77777777" w:rsidR="008F75C3" w:rsidRDefault="006614AC">
      <w:pPr>
        <w:spacing w:line="360" w:lineRule="auto"/>
        <w:jc w:val="center"/>
        <w:rPr>
          <w:sz w:val="24"/>
        </w:rPr>
      </w:pPr>
      <w:r>
        <w:rPr>
          <w:sz w:val="24"/>
        </w:rPr>
        <w:t>特定生长率</w:t>
      </w:r>
      <w:r>
        <w:rPr>
          <w:sz w:val="24"/>
        </w:rPr>
        <w:t>(SGR</w:t>
      </w:r>
      <w:r>
        <w:rPr>
          <w:sz w:val="24"/>
        </w:rPr>
        <w:t>，</w:t>
      </w:r>
      <w:r>
        <w:rPr>
          <w:sz w:val="24"/>
        </w:rPr>
        <w:t xml:space="preserve">%/ d)=100×( </w:t>
      </w:r>
      <w:proofErr w:type="spellStart"/>
      <w:r>
        <w:rPr>
          <w:sz w:val="24"/>
        </w:rPr>
        <w:t>lnW</w:t>
      </w:r>
      <w:r>
        <w:rPr>
          <w:sz w:val="24"/>
          <w:vertAlign w:val="subscript"/>
        </w:rPr>
        <w:t>t</w:t>
      </w:r>
      <w:proofErr w:type="spellEnd"/>
      <w:proofErr w:type="gramStart"/>
      <w:r>
        <w:rPr>
          <w:sz w:val="24"/>
        </w:rPr>
        <w:t>一</w:t>
      </w:r>
      <w:proofErr w:type="gramEnd"/>
      <w:r>
        <w:rPr>
          <w:sz w:val="24"/>
        </w:rPr>
        <w:t>lnW</w:t>
      </w:r>
      <w:r>
        <w:rPr>
          <w:sz w:val="24"/>
          <w:vertAlign w:val="subscript"/>
        </w:rPr>
        <w:t>0</w:t>
      </w:r>
      <w:r>
        <w:rPr>
          <w:sz w:val="24"/>
        </w:rPr>
        <w:t xml:space="preserve">) / t </w:t>
      </w:r>
      <w:r>
        <w:rPr>
          <w:sz w:val="24"/>
        </w:rPr>
        <w:t>；</w:t>
      </w:r>
    </w:p>
    <w:p w14:paraId="40A7FCD2" w14:textId="77777777" w:rsidR="008F75C3" w:rsidRDefault="006614AC">
      <w:pPr>
        <w:spacing w:line="360" w:lineRule="auto"/>
        <w:jc w:val="center"/>
        <w:rPr>
          <w:sz w:val="24"/>
        </w:rPr>
      </w:pPr>
      <w:r>
        <w:rPr>
          <w:sz w:val="24"/>
        </w:rPr>
        <w:t>饲料系数</w:t>
      </w:r>
      <w:r>
        <w:rPr>
          <w:sz w:val="24"/>
        </w:rPr>
        <w:t>(FCR)= C / ( W</w:t>
      </w:r>
      <w:r>
        <w:rPr>
          <w:sz w:val="24"/>
          <w:vertAlign w:val="subscript"/>
        </w:rPr>
        <w:t>t</w:t>
      </w:r>
      <w:r>
        <w:rPr>
          <w:sz w:val="24"/>
        </w:rPr>
        <w:t>+W</w:t>
      </w:r>
      <w:r>
        <w:rPr>
          <w:sz w:val="24"/>
          <w:vertAlign w:val="subscript"/>
        </w:rPr>
        <w:t>d</w:t>
      </w:r>
      <w:r>
        <w:rPr>
          <w:sz w:val="24"/>
        </w:rPr>
        <w:t>-W</w:t>
      </w:r>
      <w:r>
        <w:rPr>
          <w:sz w:val="24"/>
          <w:vertAlign w:val="subscript"/>
        </w:rPr>
        <w:t>0</w:t>
      </w:r>
      <w:r>
        <w:rPr>
          <w:sz w:val="24"/>
        </w:rPr>
        <w:t xml:space="preserve">) </w:t>
      </w:r>
      <w:r>
        <w:rPr>
          <w:sz w:val="24"/>
        </w:rPr>
        <w:t>；</w:t>
      </w:r>
    </w:p>
    <w:p w14:paraId="079AE0FB" w14:textId="77777777" w:rsidR="008F75C3" w:rsidRDefault="006614AC">
      <w:pPr>
        <w:spacing w:line="360" w:lineRule="auto"/>
        <w:jc w:val="center"/>
        <w:rPr>
          <w:sz w:val="24"/>
        </w:rPr>
      </w:pPr>
      <w:r>
        <w:rPr>
          <w:sz w:val="24"/>
        </w:rPr>
        <w:t>摄食率</w:t>
      </w:r>
      <w:r>
        <w:rPr>
          <w:sz w:val="24"/>
        </w:rPr>
        <w:t>(FR , % / d)=100× C /</w:t>
      </w:r>
      <w:r>
        <w:rPr>
          <w:sz w:val="22"/>
        </w:rPr>
        <w:t>{</w:t>
      </w:r>
      <w:r>
        <w:rPr>
          <w:sz w:val="24"/>
        </w:rPr>
        <w:t>[ (W</w:t>
      </w:r>
      <w:r>
        <w:rPr>
          <w:sz w:val="24"/>
          <w:vertAlign w:val="subscript"/>
        </w:rPr>
        <w:t>t</w:t>
      </w:r>
      <w:r>
        <w:rPr>
          <w:sz w:val="24"/>
        </w:rPr>
        <w:t>+W</w:t>
      </w:r>
      <w:r>
        <w:rPr>
          <w:sz w:val="24"/>
          <w:vertAlign w:val="subscript"/>
        </w:rPr>
        <w:t>d</w:t>
      </w:r>
      <w:r>
        <w:rPr>
          <w:sz w:val="24"/>
        </w:rPr>
        <w:t>+W</w:t>
      </w:r>
      <w:r>
        <w:rPr>
          <w:sz w:val="24"/>
          <w:vertAlign w:val="subscript"/>
        </w:rPr>
        <w:t>0</w:t>
      </w:r>
      <w:r>
        <w:rPr>
          <w:sz w:val="24"/>
        </w:rPr>
        <w:t xml:space="preserve">/2]/ t} </w:t>
      </w:r>
      <w:r>
        <w:rPr>
          <w:sz w:val="24"/>
        </w:rPr>
        <w:t>；</w:t>
      </w:r>
    </w:p>
    <w:p w14:paraId="5BB5A4BF" w14:textId="77777777" w:rsidR="008F75C3" w:rsidRDefault="006614AC">
      <w:pPr>
        <w:spacing w:line="360" w:lineRule="auto"/>
        <w:jc w:val="center"/>
        <w:rPr>
          <w:sz w:val="24"/>
        </w:rPr>
      </w:pPr>
      <w:r>
        <w:rPr>
          <w:sz w:val="24"/>
        </w:rPr>
        <w:t>蛋白质沉积率</w:t>
      </w:r>
      <w:r>
        <w:rPr>
          <w:sz w:val="24"/>
        </w:rPr>
        <w:t>(PPV , %)=100×( W</w:t>
      </w:r>
      <w:r>
        <w:rPr>
          <w:sz w:val="24"/>
          <w:vertAlign w:val="subscript"/>
        </w:rPr>
        <w:t>t</w:t>
      </w:r>
      <w:r>
        <w:rPr>
          <w:sz w:val="24"/>
        </w:rPr>
        <w:t>×W</w:t>
      </w:r>
      <w:r>
        <w:rPr>
          <w:sz w:val="24"/>
          <w:vertAlign w:val="subscript"/>
        </w:rPr>
        <w:t>tp</w:t>
      </w:r>
      <w:r>
        <w:rPr>
          <w:sz w:val="24"/>
        </w:rPr>
        <w:t>-W</w:t>
      </w:r>
      <w:r>
        <w:rPr>
          <w:sz w:val="24"/>
          <w:vertAlign w:val="subscript"/>
        </w:rPr>
        <w:t>0</w:t>
      </w:r>
      <w:r>
        <w:rPr>
          <w:sz w:val="24"/>
        </w:rPr>
        <w:t>×W</w:t>
      </w:r>
      <w:r>
        <w:rPr>
          <w:sz w:val="24"/>
          <w:vertAlign w:val="subscript"/>
        </w:rPr>
        <w:t>0p</w:t>
      </w:r>
      <w:r>
        <w:rPr>
          <w:sz w:val="24"/>
        </w:rPr>
        <w:t xml:space="preserve">)/ ( </w:t>
      </w:r>
      <w:proofErr w:type="spellStart"/>
      <w:r>
        <w:rPr>
          <w:sz w:val="24"/>
        </w:rPr>
        <w:t>W</w:t>
      </w:r>
      <w:r>
        <w:rPr>
          <w:sz w:val="24"/>
          <w:vertAlign w:val="subscript"/>
        </w:rPr>
        <w:t>t</w:t>
      </w:r>
      <w:r>
        <w:rPr>
          <w:sz w:val="24"/>
        </w:rPr>
        <w:t>×W</w:t>
      </w:r>
      <w:r>
        <w:rPr>
          <w:sz w:val="24"/>
          <w:vertAlign w:val="subscript"/>
        </w:rPr>
        <w:t>fp</w:t>
      </w:r>
      <w:proofErr w:type="spellEnd"/>
      <w:r>
        <w:rPr>
          <w:sz w:val="24"/>
        </w:rPr>
        <w:t xml:space="preserve"> ) </w:t>
      </w:r>
      <w:r>
        <w:rPr>
          <w:sz w:val="24"/>
        </w:rPr>
        <w:t>。</w:t>
      </w:r>
    </w:p>
    <w:p w14:paraId="627E09A1" w14:textId="77777777" w:rsidR="008F75C3" w:rsidRDefault="006614AC">
      <w:pPr>
        <w:spacing w:line="360" w:lineRule="auto"/>
        <w:ind w:firstLineChars="200" w:firstLine="480"/>
        <w:rPr>
          <w:sz w:val="24"/>
        </w:rPr>
      </w:pPr>
      <w:r>
        <w:rPr>
          <w:sz w:val="24"/>
        </w:rPr>
        <w:t>式中：</w:t>
      </w:r>
      <w:r>
        <w:rPr>
          <w:sz w:val="24"/>
        </w:rPr>
        <w:t>N</w:t>
      </w:r>
      <w:r>
        <w:rPr>
          <w:sz w:val="24"/>
          <w:vertAlign w:val="subscript"/>
        </w:rPr>
        <w:t>0</w:t>
      </w:r>
      <w:r>
        <w:rPr>
          <w:sz w:val="24"/>
        </w:rPr>
        <w:t>为</w:t>
      </w:r>
      <w:proofErr w:type="gramStart"/>
      <w:r>
        <w:rPr>
          <w:sz w:val="24"/>
        </w:rPr>
        <w:t>初始鱼</w:t>
      </w:r>
      <w:proofErr w:type="gramEnd"/>
      <w:r>
        <w:rPr>
          <w:sz w:val="24"/>
        </w:rPr>
        <w:t>数量（尾）；</w:t>
      </w:r>
      <w:r>
        <w:rPr>
          <w:sz w:val="24"/>
        </w:rPr>
        <w:t xml:space="preserve"> </w:t>
      </w:r>
      <w:proofErr w:type="spellStart"/>
      <w:r>
        <w:rPr>
          <w:sz w:val="24"/>
        </w:rPr>
        <w:t>N</w:t>
      </w:r>
      <w:r>
        <w:rPr>
          <w:sz w:val="24"/>
          <w:vertAlign w:val="subscript"/>
        </w:rPr>
        <w:t>t</w:t>
      </w:r>
      <w:proofErr w:type="spellEnd"/>
      <w:r>
        <w:rPr>
          <w:sz w:val="24"/>
        </w:rPr>
        <w:t>为</w:t>
      </w:r>
      <w:proofErr w:type="gramStart"/>
      <w:r>
        <w:rPr>
          <w:sz w:val="24"/>
        </w:rPr>
        <w:t>终末鱼数量</w:t>
      </w:r>
      <w:proofErr w:type="gramEnd"/>
      <w:r>
        <w:rPr>
          <w:sz w:val="24"/>
        </w:rPr>
        <w:t>（尾）；</w:t>
      </w:r>
      <w:r>
        <w:rPr>
          <w:sz w:val="24"/>
        </w:rPr>
        <w:t>W</w:t>
      </w:r>
      <w:r>
        <w:rPr>
          <w:sz w:val="24"/>
          <w:vertAlign w:val="subscript"/>
        </w:rPr>
        <w:t>0</w:t>
      </w:r>
      <w:r>
        <w:rPr>
          <w:sz w:val="24"/>
        </w:rPr>
        <w:t>为</w:t>
      </w:r>
      <w:proofErr w:type="gramStart"/>
      <w:r>
        <w:rPr>
          <w:sz w:val="24"/>
        </w:rPr>
        <w:t>初始鱼体总</w:t>
      </w:r>
      <w:proofErr w:type="gramEnd"/>
      <w:r>
        <w:rPr>
          <w:sz w:val="24"/>
        </w:rPr>
        <w:t>重（</w:t>
      </w:r>
      <w:r>
        <w:rPr>
          <w:sz w:val="24"/>
        </w:rPr>
        <w:t>g</w:t>
      </w:r>
      <w:r>
        <w:rPr>
          <w:sz w:val="24"/>
        </w:rPr>
        <w:t>）；</w:t>
      </w:r>
      <w:proofErr w:type="spellStart"/>
      <w:r>
        <w:rPr>
          <w:sz w:val="24"/>
        </w:rPr>
        <w:t>W</w:t>
      </w:r>
      <w:r>
        <w:rPr>
          <w:sz w:val="24"/>
          <w:vertAlign w:val="subscript"/>
        </w:rPr>
        <w:t>t</w:t>
      </w:r>
      <w:proofErr w:type="spellEnd"/>
      <w:r>
        <w:rPr>
          <w:sz w:val="24"/>
        </w:rPr>
        <w:t>为终</w:t>
      </w:r>
      <w:proofErr w:type="gramStart"/>
      <w:r>
        <w:rPr>
          <w:sz w:val="24"/>
        </w:rPr>
        <w:t>末鱼体总</w:t>
      </w:r>
      <w:proofErr w:type="gramEnd"/>
      <w:r>
        <w:rPr>
          <w:sz w:val="24"/>
        </w:rPr>
        <w:t>重（</w:t>
      </w:r>
      <w:r>
        <w:rPr>
          <w:sz w:val="24"/>
        </w:rPr>
        <w:t>g</w:t>
      </w:r>
      <w:r>
        <w:rPr>
          <w:sz w:val="24"/>
        </w:rPr>
        <w:t>）；</w:t>
      </w:r>
      <w:r>
        <w:rPr>
          <w:sz w:val="24"/>
        </w:rPr>
        <w:t>W</w:t>
      </w:r>
      <w:r>
        <w:rPr>
          <w:sz w:val="24"/>
          <w:vertAlign w:val="subscript"/>
        </w:rPr>
        <w:t>d</w:t>
      </w:r>
      <w:r>
        <w:rPr>
          <w:sz w:val="24"/>
        </w:rPr>
        <w:t>为死亡鱼体总重（</w:t>
      </w:r>
      <w:r>
        <w:rPr>
          <w:sz w:val="24"/>
        </w:rPr>
        <w:t>g</w:t>
      </w:r>
      <w:r>
        <w:rPr>
          <w:sz w:val="24"/>
        </w:rPr>
        <w:t>）；</w:t>
      </w:r>
      <w:r>
        <w:rPr>
          <w:sz w:val="24"/>
        </w:rPr>
        <w:t>C</w:t>
      </w:r>
      <w:r>
        <w:rPr>
          <w:sz w:val="24"/>
        </w:rPr>
        <w:t>为摄食量（</w:t>
      </w:r>
      <w:r>
        <w:rPr>
          <w:sz w:val="24"/>
        </w:rPr>
        <w:t>g</w:t>
      </w:r>
      <w:r>
        <w:rPr>
          <w:sz w:val="24"/>
        </w:rPr>
        <w:t>）；</w:t>
      </w:r>
      <w:proofErr w:type="spellStart"/>
      <w:r>
        <w:rPr>
          <w:sz w:val="24"/>
        </w:rPr>
        <w:t>W</w:t>
      </w:r>
      <w:r>
        <w:rPr>
          <w:sz w:val="24"/>
          <w:vertAlign w:val="subscript"/>
        </w:rPr>
        <w:t>tp</w:t>
      </w:r>
      <w:proofErr w:type="spellEnd"/>
      <w:r>
        <w:rPr>
          <w:sz w:val="24"/>
        </w:rPr>
        <w:t>为终末全鱼粗蛋白质含量（％）；</w:t>
      </w:r>
      <w:r>
        <w:rPr>
          <w:sz w:val="24"/>
        </w:rPr>
        <w:t>W</w:t>
      </w:r>
      <w:r>
        <w:rPr>
          <w:sz w:val="24"/>
          <w:vertAlign w:val="subscript"/>
        </w:rPr>
        <w:t>0p</w:t>
      </w:r>
      <w:r>
        <w:rPr>
          <w:sz w:val="24"/>
        </w:rPr>
        <w:t>为初始全鱼粗蛋白质含量（％）；</w:t>
      </w:r>
      <w:proofErr w:type="spellStart"/>
      <w:r>
        <w:rPr>
          <w:sz w:val="24"/>
        </w:rPr>
        <w:t>W</w:t>
      </w:r>
      <w:r>
        <w:rPr>
          <w:sz w:val="24"/>
          <w:vertAlign w:val="subscript"/>
        </w:rPr>
        <w:t>f</w:t>
      </w:r>
      <w:proofErr w:type="spellEnd"/>
      <w:r>
        <w:rPr>
          <w:sz w:val="24"/>
        </w:rPr>
        <w:t>为饲料投喂量（</w:t>
      </w:r>
      <w:r>
        <w:rPr>
          <w:sz w:val="24"/>
        </w:rPr>
        <w:t>g</w:t>
      </w:r>
      <w:r>
        <w:rPr>
          <w:sz w:val="24"/>
        </w:rPr>
        <w:t>）；</w:t>
      </w:r>
      <w:proofErr w:type="spellStart"/>
      <w:r>
        <w:rPr>
          <w:sz w:val="24"/>
        </w:rPr>
        <w:t>W</w:t>
      </w:r>
      <w:r>
        <w:rPr>
          <w:sz w:val="24"/>
          <w:vertAlign w:val="subscript"/>
        </w:rPr>
        <w:t>fp</w:t>
      </w:r>
      <w:proofErr w:type="spellEnd"/>
      <w:r>
        <w:rPr>
          <w:sz w:val="24"/>
        </w:rPr>
        <w:t>为饲料粗蛋白质含量（％）；</w:t>
      </w:r>
      <w:r>
        <w:rPr>
          <w:sz w:val="24"/>
        </w:rPr>
        <w:t>t</w:t>
      </w:r>
      <w:r>
        <w:rPr>
          <w:sz w:val="24"/>
        </w:rPr>
        <w:t>为试验天数（</w:t>
      </w:r>
      <w:r>
        <w:rPr>
          <w:sz w:val="24"/>
        </w:rPr>
        <w:t>d</w:t>
      </w:r>
      <w:r>
        <w:rPr>
          <w:sz w:val="24"/>
        </w:rPr>
        <w:t>）。</w:t>
      </w:r>
    </w:p>
    <w:p w14:paraId="184441F4" w14:textId="77777777" w:rsidR="008F75C3" w:rsidRDefault="006614AC">
      <w:pPr>
        <w:spacing w:line="360" w:lineRule="auto"/>
        <w:rPr>
          <w:sz w:val="24"/>
        </w:rPr>
      </w:pPr>
      <w:bookmarkStart w:id="39" w:name="_Hlk89679294"/>
      <w:r>
        <w:rPr>
          <w:sz w:val="24"/>
        </w:rPr>
        <w:t xml:space="preserve">1.5.3  </w:t>
      </w:r>
      <w:r>
        <w:rPr>
          <w:sz w:val="24"/>
        </w:rPr>
        <w:t>形体指标</w:t>
      </w:r>
    </w:p>
    <w:bookmarkEnd w:id="39"/>
    <w:p w14:paraId="0DA2E6AA" w14:textId="77777777" w:rsidR="008F75C3" w:rsidRDefault="006614AC">
      <w:pPr>
        <w:spacing w:line="360" w:lineRule="auto"/>
        <w:ind w:firstLineChars="200" w:firstLine="480"/>
        <w:rPr>
          <w:sz w:val="24"/>
        </w:rPr>
      </w:pPr>
      <w:r>
        <w:rPr>
          <w:sz w:val="24"/>
        </w:rPr>
        <w:t>各指标计算公式如下：</w:t>
      </w:r>
    </w:p>
    <w:p w14:paraId="3D77C400" w14:textId="77777777" w:rsidR="008F75C3" w:rsidRDefault="006614AC">
      <w:pPr>
        <w:spacing w:line="360" w:lineRule="auto"/>
        <w:ind w:firstLineChars="200" w:firstLine="480"/>
        <w:jc w:val="center"/>
        <w:rPr>
          <w:sz w:val="24"/>
        </w:rPr>
      </w:pPr>
      <w:r>
        <w:rPr>
          <w:sz w:val="24"/>
        </w:rPr>
        <w:t>肥满度（</w:t>
      </w:r>
      <w:r>
        <w:rPr>
          <w:sz w:val="24"/>
        </w:rPr>
        <w:t>CF</w:t>
      </w:r>
      <w:r>
        <w:rPr>
          <w:sz w:val="24"/>
        </w:rPr>
        <w:t>，</w:t>
      </w:r>
      <w:r>
        <w:rPr>
          <w:sz w:val="24"/>
        </w:rPr>
        <w:t>g</w:t>
      </w:r>
      <w:r>
        <w:rPr>
          <w:sz w:val="24"/>
        </w:rPr>
        <w:t>／</w:t>
      </w:r>
      <w:r>
        <w:rPr>
          <w:sz w:val="24"/>
        </w:rPr>
        <w:t>cm</w:t>
      </w:r>
      <w:r>
        <w:rPr>
          <w:sz w:val="24"/>
          <w:vertAlign w:val="superscript"/>
        </w:rPr>
        <w:t>３</w:t>
      </w:r>
      <w:r>
        <w:rPr>
          <w:sz w:val="24"/>
        </w:rPr>
        <w:t>）＝</w:t>
      </w:r>
      <w:r>
        <w:rPr>
          <w:sz w:val="24"/>
        </w:rPr>
        <w:t xml:space="preserve"> </w:t>
      </w:r>
      <w:r>
        <w:rPr>
          <w:sz w:val="24"/>
        </w:rPr>
        <w:t>平均体重</w:t>
      </w:r>
      <w:r>
        <w:rPr>
          <w:sz w:val="24"/>
        </w:rPr>
        <w:t xml:space="preserve"> </w:t>
      </w:r>
      <w:r>
        <w:rPr>
          <w:sz w:val="24"/>
        </w:rPr>
        <w:t>／</w:t>
      </w:r>
      <w:r>
        <w:rPr>
          <w:sz w:val="24"/>
        </w:rPr>
        <w:t xml:space="preserve"> </w:t>
      </w:r>
      <w:r>
        <w:rPr>
          <w:sz w:val="24"/>
        </w:rPr>
        <w:t>平均体长</w:t>
      </w:r>
      <w:r>
        <w:rPr>
          <w:sz w:val="24"/>
          <w:vertAlign w:val="superscript"/>
        </w:rPr>
        <w:t>３</w:t>
      </w:r>
      <w:r>
        <w:rPr>
          <w:sz w:val="24"/>
        </w:rPr>
        <w:t>；</w:t>
      </w:r>
    </w:p>
    <w:p w14:paraId="36A70F57" w14:textId="77777777" w:rsidR="008F75C3" w:rsidRDefault="006614AC">
      <w:pPr>
        <w:spacing w:line="360" w:lineRule="auto"/>
        <w:ind w:firstLineChars="200" w:firstLine="480"/>
        <w:jc w:val="center"/>
        <w:rPr>
          <w:sz w:val="24"/>
        </w:rPr>
      </w:pPr>
      <w:r>
        <w:rPr>
          <w:sz w:val="24"/>
        </w:rPr>
        <w:t>肝体比（</w:t>
      </w:r>
      <w:r>
        <w:rPr>
          <w:sz w:val="24"/>
        </w:rPr>
        <w:t>HSI</w:t>
      </w:r>
      <w:r>
        <w:rPr>
          <w:sz w:val="24"/>
        </w:rPr>
        <w:t>，％）＝</w:t>
      </w:r>
      <w:r>
        <w:rPr>
          <w:sz w:val="24"/>
        </w:rPr>
        <w:t xml:space="preserve"> 100 × </w:t>
      </w:r>
      <w:r>
        <w:rPr>
          <w:sz w:val="24"/>
        </w:rPr>
        <w:t>肝脏重</w:t>
      </w:r>
      <w:r>
        <w:rPr>
          <w:sz w:val="24"/>
        </w:rPr>
        <w:t xml:space="preserve"> </w:t>
      </w:r>
      <w:r>
        <w:rPr>
          <w:sz w:val="24"/>
        </w:rPr>
        <w:t>／</w:t>
      </w:r>
      <w:r>
        <w:rPr>
          <w:sz w:val="24"/>
        </w:rPr>
        <w:t xml:space="preserve"> </w:t>
      </w:r>
      <w:r>
        <w:rPr>
          <w:sz w:val="24"/>
        </w:rPr>
        <w:t>体重；</w:t>
      </w:r>
    </w:p>
    <w:p w14:paraId="42044031" w14:textId="77777777" w:rsidR="008F75C3" w:rsidRDefault="006614AC">
      <w:pPr>
        <w:spacing w:line="360" w:lineRule="auto"/>
        <w:ind w:firstLineChars="200" w:firstLine="480"/>
        <w:jc w:val="center"/>
        <w:rPr>
          <w:sz w:val="24"/>
        </w:rPr>
      </w:pPr>
      <w:r>
        <w:rPr>
          <w:sz w:val="24"/>
        </w:rPr>
        <w:t>脏体比（</w:t>
      </w:r>
      <w:r>
        <w:rPr>
          <w:sz w:val="24"/>
        </w:rPr>
        <w:t>VSI</w:t>
      </w:r>
      <w:r>
        <w:rPr>
          <w:sz w:val="24"/>
        </w:rPr>
        <w:t>，％）＝</w:t>
      </w:r>
      <w:r>
        <w:rPr>
          <w:sz w:val="24"/>
        </w:rPr>
        <w:t xml:space="preserve"> 100 </w:t>
      </w:r>
      <w:bookmarkStart w:id="40" w:name="_Hlk89679409"/>
      <w:bookmarkStart w:id="41" w:name="_Hlk89679402"/>
      <w:r>
        <w:rPr>
          <w:sz w:val="24"/>
        </w:rPr>
        <w:t>×</w:t>
      </w:r>
      <w:bookmarkEnd w:id="40"/>
      <w:r>
        <w:rPr>
          <w:sz w:val="24"/>
        </w:rPr>
        <w:t xml:space="preserve"> </w:t>
      </w:r>
      <w:bookmarkEnd w:id="41"/>
      <w:r>
        <w:rPr>
          <w:sz w:val="24"/>
        </w:rPr>
        <w:t>内脏重</w:t>
      </w:r>
      <w:r>
        <w:rPr>
          <w:sz w:val="24"/>
        </w:rPr>
        <w:t xml:space="preserve"> </w:t>
      </w:r>
      <w:r>
        <w:rPr>
          <w:sz w:val="24"/>
        </w:rPr>
        <w:t>／</w:t>
      </w:r>
      <w:r>
        <w:rPr>
          <w:sz w:val="24"/>
        </w:rPr>
        <w:t xml:space="preserve"> </w:t>
      </w:r>
      <w:r>
        <w:rPr>
          <w:sz w:val="24"/>
        </w:rPr>
        <w:t>体重；</w:t>
      </w:r>
    </w:p>
    <w:p w14:paraId="381F6B7F" w14:textId="77777777" w:rsidR="008F75C3" w:rsidRDefault="006614AC">
      <w:pPr>
        <w:spacing w:line="360" w:lineRule="auto"/>
        <w:ind w:firstLineChars="200" w:firstLine="480"/>
        <w:jc w:val="center"/>
        <w:rPr>
          <w:sz w:val="24"/>
        </w:rPr>
      </w:pPr>
      <w:r>
        <w:rPr>
          <w:sz w:val="24"/>
        </w:rPr>
        <w:lastRenderedPageBreak/>
        <w:t xml:space="preserve"> </w:t>
      </w:r>
      <w:proofErr w:type="gramStart"/>
      <w:r>
        <w:rPr>
          <w:sz w:val="24"/>
        </w:rPr>
        <w:t>腹脂率</w:t>
      </w:r>
      <w:proofErr w:type="gramEnd"/>
      <w:r>
        <w:rPr>
          <w:sz w:val="24"/>
        </w:rPr>
        <w:t>（</w:t>
      </w:r>
      <w:r>
        <w:rPr>
          <w:sz w:val="24"/>
        </w:rPr>
        <w:t>VAI</w:t>
      </w:r>
      <w:r>
        <w:rPr>
          <w:sz w:val="24"/>
        </w:rPr>
        <w:t>，％）＝</w:t>
      </w:r>
      <w:r>
        <w:rPr>
          <w:sz w:val="24"/>
        </w:rPr>
        <w:t xml:space="preserve"> 100 × </w:t>
      </w:r>
      <w:proofErr w:type="gramStart"/>
      <w:r>
        <w:rPr>
          <w:sz w:val="24"/>
        </w:rPr>
        <w:t>腹脂重</w:t>
      </w:r>
      <w:proofErr w:type="gramEnd"/>
      <w:r>
        <w:rPr>
          <w:sz w:val="24"/>
        </w:rPr>
        <w:t xml:space="preserve"> </w:t>
      </w:r>
      <w:r>
        <w:rPr>
          <w:sz w:val="24"/>
        </w:rPr>
        <w:t>／</w:t>
      </w:r>
      <w:r>
        <w:rPr>
          <w:sz w:val="24"/>
        </w:rPr>
        <w:t xml:space="preserve"> </w:t>
      </w:r>
      <w:r>
        <w:rPr>
          <w:sz w:val="24"/>
        </w:rPr>
        <w:t>体重。</w:t>
      </w:r>
    </w:p>
    <w:p w14:paraId="286BBCDB" w14:textId="77777777" w:rsidR="008F75C3" w:rsidRDefault="006614AC">
      <w:pPr>
        <w:spacing w:line="360" w:lineRule="auto"/>
        <w:rPr>
          <w:sz w:val="24"/>
        </w:rPr>
      </w:pPr>
      <w:r>
        <w:rPr>
          <w:sz w:val="24"/>
        </w:rPr>
        <w:t>1.5.4</w:t>
      </w:r>
      <w:bookmarkStart w:id="42" w:name="_Hlk89680162"/>
      <w:r>
        <w:rPr>
          <w:sz w:val="24"/>
        </w:rPr>
        <w:t xml:space="preserve">  </w:t>
      </w:r>
      <w:bookmarkEnd w:id="42"/>
      <w:r>
        <w:rPr>
          <w:sz w:val="24"/>
        </w:rPr>
        <w:t>血浆和肝脏、肠道组织匀浆生理生化指标</w:t>
      </w:r>
    </w:p>
    <w:p w14:paraId="4838EF9B" w14:textId="77777777" w:rsidR="008F75C3" w:rsidRDefault="006614AC">
      <w:pPr>
        <w:spacing w:line="360" w:lineRule="auto"/>
        <w:ind w:firstLineChars="200" w:firstLine="480"/>
        <w:rPr>
          <w:sz w:val="24"/>
        </w:rPr>
      </w:pPr>
      <w:r>
        <w:rPr>
          <w:sz w:val="24"/>
        </w:rPr>
        <w:t>血浆中总胆固醇</w:t>
      </w:r>
      <w:r>
        <w:rPr>
          <w:sz w:val="24"/>
        </w:rPr>
        <w:t>(TC)</w:t>
      </w:r>
      <w:r>
        <w:rPr>
          <w:sz w:val="24"/>
        </w:rPr>
        <w:t>、甘油三酯</w:t>
      </w:r>
      <w:r>
        <w:rPr>
          <w:sz w:val="24"/>
        </w:rPr>
        <w:t>( TG)</w:t>
      </w:r>
      <w:r>
        <w:rPr>
          <w:sz w:val="24"/>
        </w:rPr>
        <w:t>、总蛋白</w:t>
      </w:r>
      <w:r>
        <w:rPr>
          <w:sz w:val="24"/>
        </w:rPr>
        <w:t>( TP)</w:t>
      </w:r>
      <w:r>
        <w:rPr>
          <w:sz w:val="24"/>
        </w:rPr>
        <w:t>、总胆汁酸</w:t>
      </w:r>
      <w:r>
        <w:rPr>
          <w:sz w:val="24"/>
        </w:rPr>
        <w:t>( TBA)</w:t>
      </w:r>
      <w:r>
        <w:rPr>
          <w:sz w:val="24"/>
        </w:rPr>
        <w:t>含量，碱性磷酸酶</w:t>
      </w:r>
      <w:r>
        <w:rPr>
          <w:sz w:val="24"/>
        </w:rPr>
        <w:t>(AKP)</w:t>
      </w:r>
      <w:r>
        <w:rPr>
          <w:sz w:val="24"/>
        </w:rPr>
        <w:t>、谷丙转氨酶</w:t>
      </w:r>
      <w:r>
        <w:rPr>
          <w:sz w:val="24"/>
        </w:rPr>
        <w:t>(ALT)</w:t>
      </w:r>
      <w:r>
        <w:rPr>
          <w:sz w:val="24"/>
        </w:rPr>
        <w:t>、谷草转氨酶</w:t>
      </w:r>
      <w:r>
        <w:rPr>
          <w:sz w:val="24"/>
        </w:rPr>
        <w:t>(AST)</w:t>
      </w:r>
      <w:r>
        <w:rPr>
          <w:sz w:val="24"/>
        </w:rPr>
        <w:t>活性，总抗氧化能力</w:t>
      </w:r>
      <w:r>
        <w:rPr>
          <w:sz w:val="24"/>
        </w:rPr>
        <w:t>(T-AOC)</w:t>
      </w:r>
      <w:r>
        <w:rPr>
          <w:sz w:val="24"/>
        </w:rPr>
        <w:t>和肝脏</w:t>
      </w:r>
      <w:r>
        <w:rPr>
          <w:sz w:val="24"/>
        </w:rPr>
        <w:t>TG</w:t>
      </w:r>
      <w:r>
        <w:rPr>
          <w:sz w:val="24"/>
        </w:rPr>
        <w:t>、糖原</w:t>
      </w:r>
      <w:r>
        <w:rPr>
          <w:sz w:val="24"/>
        </w:rPr>
        <w:t>(GLY)</w:t>
      </w:r>
      <w:r>
        <w:rPr>
          <w:sz w:val="24"/>
        </w:rPr>
        <w:t>含量等指标均按照南京建成生物工程研究所的试剂盒说明书进行测定；血浆葡萄糖</w:t>
      </w:r>
      <w:r>
        <w:rPr>
          <w:sz w:val="24"/>
        </w:rPr>
        <w:t>(GLU)</w:t>
      </w:r>
      <w:r>
        <w:rPr>
          <w:sz w:val="24"/>
        </w:rPr>
        <w:t>含量按照上海荣盛药业有限公司的试剂盒说明书进行测定；</w:t>
      </w:r>
      <w:proofErr w:type="gramStart"/>
      <w:r>
        <w:rPr>
          <w:sz w:val="24"/>
        </w:rPr>
        <w:t>肝脏环</w:t>
      </w:r>
      <w:proofErr w:type="gramEnd"/>
      <w:r>
        <w:rPr>
          <w:sz w:val="24"/>
        </w:rPr>
        <w:t>磷酸腺苷</w:t>
      </w:r>
      <w:r>
        <w:rPr>
          <w:sz w:val="24"/>
        </w:rPr>
        <w:t>( cAMP)</w:t>
      </w:r>
      <w:r>
        <w:rPr>
          <w:sz w:val="24"/>
        </w:rPr>
        <w:t>、肠道蛋白酶含量及葡萄糖激酶</w:t>
      </w:r>
      <w:r>
        <w:rPr>
          <w:sz w:val="24"/>
        </w:rPr>
        <w:t>(GK)</w:t>
      </w:r>
      <w:r>
        <w:rPr>
          <w:sz w:val="24"/>
        </w:rPr>
        <w:t>、丙酮酸激酶</w:t>
      </w:r>
      <w:r>
        <w:rPr>
          <w:sz w:val="24"/>
        </w:rPr>
        <w:t>(PK)</w:t>
      </w:r>
      <w:r>
        <w:rPr>
          <w:sz w:val="24"/>
        </w:rPr>
        <w:t>、磷酸烯醇式丙酮酸</w:t>
      </w:r>
      <w:proofErr w:type="gramStart"/>
      <w:r>
        <w:rPr>
          <w:sz w:val="24"/>
        </w:rPr>
        <w:t>羧</w:t>
      </w:r>
      <w:proofErr w:type="gramEnd"/>
      <w:r>
        <w:rPr>
          <w:sz w:val="24"/>
        </w:rPr>
        <w:t>激酶</w:t>
      </w:r>
      <w:r>
        <w:rPr>
          <w:sz w:val="24"/>
        </w:rPr>
        <w:t>(PEPCK)</w:t>
      </w:r>
      <w:r>
        <w:rPr>
          <w:sz w:val="24"/>
        </w:rPr>
        <w:t>、葡萄糖</w:t>
      </w:r>
      <w:r>
        <w:rPr>
          <w:sz w:val="24"/>
        </w:rPr>
        <w:t>-6-</w:t>
      </w:r>
      <w:r>
        <w:rPr>
          <w:sz w:val="24"/>
        </w:rPr>
        <w:t>磷酸酶</w:t>
      </w:r>
      <w:r>
        <w:rPr>
          <w:sz w:val="24"/>
        </w:rPr>
        <w:t>(G6Pase)</w:t>
      </w:r>
      <w:r>
        <w:rPr>
          <w:sz w:val="24"/>
        </w:rPr>
        <w:t>、甘油三酯脂肪酶</w:t>
      </w:r>
      <w:r>
        <w:rPr>
          <w:sz w:val="24"/>
        </w:rPr>
        <w:t>(ATGL)</w:t>
      </w:r>
      <w:r>
        <w:rPr>
          <w:sz w:val="24"/>
        </w:rPr>
        <w:t>、激素敏感性脂肪酶</w:t>
      </w:r>
      <w:r>
        <w:rPr>
          <w:sz w:val="24"/>
        </w:rPr>
        <w:t>(HSL)</w:t>
      </w:r>
      <w:r>
        <w:rPr>
          <w:sz w:val="24"/>
        </w:rPr>
        <w:t>、单酰甘油脂肪酶</w:t>
      </w:r>
      <w:r>
        <w:rPr>
          <w:sz w:val="24"/>
        </w:rPr>
        <w:t>( MGL)</w:t>
      </w:r>
      <w:r>
        <w:rPr>
          <w:sz w:val="24"/>
        </w:rPr>
        <w:t>活性按照江苏酶免实业有限公司的试剂盒说明书，使用酶标仪</w:t>
      </w:r>
      <w:r>
        <w:rPr>
          <w:sz w:val="24"/>
        </w:rPr>
        <w:t>(Bio-Tek, Burlington</w:t>
      </w:r>
      <w:r>
        <w:rPr>
          <w:sz w:val="24"/>
        </w:rPr>
        <w:t>，美国</w:t>
      </w:r>
      <w:r>
        <w:rPr>
          <w:sz w:val="24"/>
        </w:rPr>
        <w:t>)</w:t>
      </w:r>
      <w:r>
        <w:rPr>
          <w:sz w:val="24"/>
        </w:rPr>
        <w:t>进行检测。</w:t>
      </w:r>
    </w:p>
    <w:p w14:paraId="4B4CE32D" w14:textId="77777777" w:rsidR="008F75C3" w:rsidRDefault="006614AC">
      <w:pPr>
        <w:spacing w:line="360" w:lineRule="auto"/>
        <w:rPr>
          <w:sz w:val="24"/>
        </w:rPr>
      </w:pPr>
      <w:r>
        <w:rPr>
          <w:sz w:val="24"/>
        </w:rPr>
        <w:t xml:space="preserve">1.5.5  </w:t>
      </w:r>
      <w:r>
        <w:rPr>
          <w:sz w:val="24"/>
        </w:rPr>
        <w:t>肝脏和腹腔脂肪代谢相关基因表达</w:t>
      </w:r>
    </w:p>
    <w:p w14:paraId="5FB41554" w14:textId="77777777" w:rsidR="008F75C3" w:rsidRDefault="006614AC">
      <w:pPr>
        <w:spacing w:line="360" w:lineRule="auto"/>
        <w:ind w:firstLineChars="200" w:firstLine="480"/>
        <w:rPr>
          <w:sz w:val="24"/>
        </w:rPr>
      </w:pPr>
      <w:r>
        <w:rPr>
          <w:sz w:val="24"/>
        </w:rPr>
        <w:t>用</w:t>
      </w:r>
      <w:proofErr w:type="spellStart"/>
      <w:r>
        <w:rPr>
          <w:sz w:val="24"/>
        </w:rPr>
        <w:t>RNAiso</w:t>
      </w:r>
      <w:proofErr w:type="spellEnd"/>
      <w:r>
        <w:rPr>
          <w:sz w:val="24"/>
        </w:rPr>
        <w:t xml:space="preserve"> Plus</w:t>
      </w:r>
      <w:r>
        <w:rPr>
          <w:sz w:val="24"/>
        </w:rPr>
        <w:t>试剂</w:t>
      </w:r>
      <w:r>
        <w:rPr>
          <w:sz w:val="24"/>
        </w:rPr>
        <w:t>(</w:t>
      </w:r>
      <w:r>
        <w:rPr>
          <w:sz w:val="24"/>
        </w:rPr>
        <w:t>日本</w:t>
      </w:r>
      <w:proofErr w:type="spellStart"/>
      <w:r>
        <w:rPr>
          <w:sz w:val="24"/>
        </w:rPr>
        <w:t>TaKaRa</w:t>
      </w:r>
      <w:proofErr w:type="spellEnd"/>
      <w:r>
        <w:rPr>
          <w:sz w:val="24"/>
        </w:rPr>
        <w:t>)</w:t>
      </w:r>
      <w:r>
        <w:rPr>
          <w:sz w:val="24"/>
        </w:rPr>
        <w:t>从肝组织中提取总</w:t>
      </w:r>
      <w:r>
        <w:rPr>
          <w:sz w:val="24"/>
        </w:rPr>
        <w:t>RNA</w:t>
      </w:r>
      <w:r>
        <w:rPr>
          <w:sz w:val="24"/>
        </w:rPr>
        <w:t>，用</w:t>
      </w:r>
      <w:proofErr w:type="spellStart"/>
      <w:r>
        <w:rPr>
          <w:sz w:val="24"/>
        </w:rPr>
        <w:t>NanoDrop</w:t>
      </w:r>
      <w:proofErr w:type="spellEnd"/>
      <w:r>
        <w:rPr>
          <w:sz w:val="24"/>
        </w:rPr>
        <w:t xml:space="preserve"> 2000(</w:t>
      </w:r>
      <w:r>
        <w:rPr>
          <w:sz w:val="24"/>
        </w:rPr>
        <w:t>美国</w:t>
      </w:r>
      <w:r>
        <w:rPr>
          <w:sz w:val="24"/>
        </w:rPr>
        <w:t>Thermo)</w:t>
      </w:r>
      <w:r>
        <w:rPr>
          <w:sz w:val="24"/>
        </w:rPr>
        <w:t>分光光度法定量，并在</w:t>
      </w:r>
      <w:r>
        <w:rPr>
          <w:sz w:val="24"/>
        </w:rPr>
        <w:t xml:space="preserve">1% </w:t>
      </w:r>
      <w:r>
        <w:rPr>
          <w:sz w:val="24"/>
        </w:rPr>
        <w:t>变性琼脂糖凝胶上电泳以评估</w:t>
      </w:r>
      <w:r>
        <w:rPr>
          <w:sz w:val="24"/>
        </w:rPr>
        <w:t xml:space="preserve"> RNA</w:t>
      </w:r>
      <w:r>
        <w:rPr>
          <w:sz w:val="24"/>
        </w:rPr>
        <w:t>完整性，采用</w:t>
      </w:r>
      <w:r>
        <w:rPr>
          <w:sz w:val="24"/>
        </w:rPr>
        <w:t>gDNA Eraser</w:t>
      </w:r>
      <w:r>
        <w:rPr>
          <w:sz w:val="24"/>
        </w:rPr>
        <w:t>处理</w:t>
      </w:r>
      <w:r>
        <w:rPr>
          <w:sz w:val="24"/>
        </w:rPr>
        <w:t>l.0 ug</w:t>
      </w:r>
      <w:r>
        <w:rPr>
          <w:sz w:val="24"/>
        </w:rPr>
        <w:t>总</w:t>
      </w:r>
      <w:r>
        <w:rPr>
          <w:sz w:val="24"/>
        </w:rPr>
        <w:t>RNA</w:t>
      </w:r>
      <w:r>
        <w:rPr>
          <w:sz w:val="24"/>
        </w:rPr>
        <w:t>以</w:t>
      </w:r>
      <w:r>
        <w:rPr>
          <w:sz w:val="24"/>
        </w:rPr>
        <w:t>去除基因组</w:t>
      </w:r>
      <w:r>
        <w:rPr>
          <w:sz w:val="24"/>
        </w:rPr>
        <w:t>DNA</w:t>
      </w:r>
      <w:r>
        <w:rPr>
          <w:sz w:val="24"/>
        </w:rPr>
        <w:t>污染物，然后使用</w:t>
      </w:r>
      <w:proofErr w:type="spellStart"/>
      <w:r>
        <w:rPr>
          <w:sz w:val="24"/>
        </w:rPr>
        <w:t>PrimeScriptRT</w:t>
      </w:r>
      <w:proofErr w:type="spellEnd"/>
      <w:r>
        <w:rPr>
          <w:sz w:val="24"/>
        </w:rPr>
        <w:t>试剂盒</w:t>
      </w:r>
      <w:r>
        <w:rPr>
          <w:sz w:val="24"/>
        </w:rPr>
        <w:t>(</w:t>
      </w:r>
      <w:r>
        <w:rPr>
          <w:sz w:val="24"/>
        </w:rPr>
        <w:t>日本</w:t>
      </w:r>
      <w:proofErr w:type="spellStart"/>
      <w:r>
        <w:rPr>
          <w:sz w:val="24"/>
        </w:rPr>
        <w:t>TaKaKa</w:t>
      </w:r>
      <w:proofErr w:type="spellEnd"/>
      <w:r>
        <w:rPr>
          <w:sz w:val="24"/>
        </w:rPr>
        <w:t>)</w:t>
      </w:r>
      <w:r>
        <w:rPr>
          <w:sz w:val="24"/>
        </w:rPr>
        <w:t>在</w:t>
      </w:r>
      <w:r>
        <w:rPr>
          <w:sz w:val="24"/>
        </w:rPr>
        <w:t xml:space="preserve">20 </w:t>
      </w:r>
      <w:proofErr w:type="spellStart"/>
      <w:r>
        <w:rPr>
          <w:sz w:val="24"/>
        </w:rPr>
        <w:t>uL</w:t>
      </w:r>
      <w:proofErr w:type="spellEnd"/>
      <w:r>
        <w:rPr>
          <w:sz w:val="24"/>
        </w:rPr>
        <w:t>体积内通过反转录进行</w:t>
      </w:r>
      <w:r>
        <w:rPr>
          <w:sz w:val="24"/>
        </w:rPr>
        <w:t>cDNA</w:t>
      </w:r>
      <w:r>
        <w:rPr>
          <w:sz w:val="24"/>
        </w:rPr>
        <w:t>合成。大口黑鲈基因序列是从</w:t>
      </w:r>
      <w:proofErr w:type="gramStart"/>
      <w:r>
        <w:rPr>
          <w:sz w:val="24"/>
        </w:rPr>
        <w:t>转录组</w:t>
      </w:r>
      <w:proofErr w:type="gramEnd"/>
      <w:r>
        <w:rPr>
          <w:sz w:val="24"/>
        </w:rPr>
        <w:t>数据库中获得，用于实时定量聚合酶链反应</w:t>
      </w:r>
      <w:r>
        <w:rPr>
          <w:sz w:val="24"/>
        </w:rPr>
        <w:t>(RT-qPCR)</w:t>
      </w:r>
      <w:r>
        <w:rPr>
          <w:sz w:val="24"/>
        </w:rPr>
        <w:t>基因特异性引物设计，并以表达不受处理影响的延长因子</w:t>
      </w:r>
      <w:r>
        <w:rPr>
          <w:sz w:val="24"/>
        </w:rPr>
        <w:t>l</w:t>
      </w:r>
      <w:bookmarkStart w:id="43" w:name="_Hlk89680331"/>
      <w:r>
        <w:rPr>
          <w:sz w:val="24"/>
        </w:rPr>
        <w:t xml:space="preserve">α </w:t>
      </w:r>
      <w:bookmarkEnd w:id="43"/>
      <w:r>
        <w:rPr>
          <w:sz w:val="24"/>
        </w:rPr>
        <w:t>(</w:t>
      </w:r>
      <w:proofErr w:type="spellStart"/>
      <w:r>
        <w:rPr>
          <w:sz w:val="24"/>
        </w:rPr>
        <w:t>EFl</w:t>
      </w:r>
      <w:proofErr w:type="spellEnd"/>
      <w:r>
        <w:rPr>
          <w:sz w:val="24"/>
        </w:rPr>
        <w:t>α) ( GenBank</w:t>
      </w:r>
      <w:r>
        <w:rPr>
          <w:sz w:val="24"/>
        </w:rPr>
        <w:t>登录号</w:t>
      </w:r>
      <w:r>
        <w:rPr>
          <w:sz w:val="24"/>
        </w:rPr>
        <w:t>:KT827794)</w:t>
      </w:r>
      <w:r>
        <w:rPr>
          <w:sz w:val="24"/>
        </w:rPr>
        <w:t>作为内参，引物序列如表</w:t>
      </w:r>
      <w:r>
        <w:rPr>
          <w:sz w:val="24"/>
        </w:rPr>
        <w:t>2</w:t>
      </w:r>
      <w:r>
        <w:rPr>
          <w:sz w:val="24"/>
        </w:rPr>
        <w:t>所示。用肝脏和</w:t>
      </w:r>
      <w:proofErr w:type="gramStart"/>
      <w:r>
        <w:rPr>
          <w:sz w:val="24"/>
        </w:rPr>
        <w:t>腹脂</w:t>
      </w:r>
      <w:proofErr w:type="gramEnd"/>
      <w:r>
        <w:rPr>
          <w:sz w:val="24"/>
        </w:rPr>
        <w:t>产生的</w:t>
      </w:r>
      <w:r>
        <w:rPr>
          <w:sz w:val="24"/>
        </w:rPr>
        <w:t>cDNA</w:t>
      </w:r>
      <w:r>
        <w:rPr>
          <w:sz w:val="24"/>
        </w:rPr>
        <w:t>的连续稀释液制作标准曲线，测定内参基因和</w:t>
      </w:r>
      <w:proofErr w:type="gramStart"/>
      <w:r>
        <w:rPr>
          <w:sz w:val="24"/>
        </w:rPr>
        <w:t>靶基因</w:t>
      </w:r>
      <w:proofErr w:type="gramEnd"/>
      <w:r>
        <w:rPr>
          <w:sz w:val="24"/>
        </w:rPr>
        <w:t>的扩增效率</w:t>
      </w:r>
      <w:r>
        <w:rPr>
          <w:sz w:val="24"/>
        </w:rPr>
        <w:t>(E</w:t>
      </w:r>
      <w:r>
        <w:rPr>
          <w:sz w:val="24"/>
        </w:rPr>
        <w:t>值</w:t>
      </w:r>
      <w:r>
        <w:rPr>
          <w:sz w:val="24"/>
        </w:rPr>
        <w:t>)</w:t>
      </w:r>
      <w:r>
        <w:rPr>
          <w:sz w:val="24"/>
        </w:rPr>
        <w:t>。</w:t>
      </w:r>
      <w:r>
        <w:rPr>
          <w:sz w:val="24"/>
        </w:rPr>
        <w:t>E</w:t>
      </w:r>
      <w:r>
        <w:rPr>
          <w:sz w:val="24"/>
        </w:rPr>
        <w:t>值范围为</w:t>
      </w:r>
      <w:r>
        <w:rPr>
          <w:sz w:val="24"/>
        </w:rPr>
        <w:t>90.4 % ~113.6%(</w:t>
      </w:r>
      <w:r>
        <w:rPr>
          <w:sz w:val="24"/>
        </w:rPr>
        <w:t>表</w:t>
      </w:r>
      <w:r>
        <w:rPr>
          <w:sz w:val="24"/>
        </w:rPr>
        <w:t>2)</w:t>
      </w:r>
      <w:r>
        <w:rPr>
          <w:sz w:val="24"/>
        </w:rPr>
        <w:t>。使用</w:t>
      </w:r>
      <w:r>
        <w:rPr>
          <w:sz w:val="24"/>
        </w:rPr>
        <w:t>CFX96T</w:t>
      </w:r>
      <w:r>
        <w:rPr>
          <w:sz w:val="24"/>
        </w:rPr>
        <w:t>M</w:t>
      </w:r>
      <w:r>
        <w:rPr>
          <w:sz w:val="24"/>
        </w:rPr>
        <w:t>实时系统</w:t>
      </w:r>
      <w:r>
        <w:rPr>
          <w:sz w:val="24"/>
        </w:rPr>
        <w:t>(</w:t>
      </w:r>
      <w:r>
        <w:rPr>
          <w:sz w:val="24"/>
        </w:rPr>
        <w:t>美国</w:t>
      </w:r>
      <w:r>
        <w:rPr>
          <w:sz w:val="24"/>
        </w:rPr>
        <w:t xml:space="preserve"> Bio-Rad)</w:t>
      </w:r>
      <w:r>
        <w:rPr>
          <w:sz w:val="24"/>
        </w:rPr>
        <w:t>在</w:t>
      </w:r>
      <w:r>
        <w:rPr>
          <w:sz w:val="24"/>
        </w:rPr>
        <w:t xml:space="preserve">20 </w:t>
      </w:r>
      <w:proofErr w:type="spellStart"/>
      <w:r>
        <w:rPr>
          <w:sz w:val="24"/>
        </w:rPr>
        <w:t>uL</w:t>
      </w:r>
      <w:proofErr w:type="spellEnd"/>
      <w:r>
        <w:rPr>
          <w:sz w:val="24"/>
        </w:rPr>
        <w:t>反应体积中进行</w:t>
      </w:r>
      <w:r>
        <w:rPr>
          <w:sz w:val="24"/>
        </w:rPr>
        <w:t>RT-qPCR</w:t>
      </w:r>
      <w:r>
        <w:rPr>
          <w:sz w:val="24"/>
        </w:rPr>
        <w:t>分析，该反应体积包含</w:t>
      </w:r>
      <w:proofErr w:type="spellStart"/>
      <w:r>
        <w:rPr>
          <w:sz w:val="24"/>
        </w:rPr>
        <w:t>iTaq</w:t>
      </w:r>
      <w:r>
        <w:rPr>
          <w:sz w:val="24"/>
          <w:vertAlign w:val="superscript"/>
        </w:rPr>
        <w:t>TM</w:t>
      </w:r>
      <w:proofErr w:type="spellEnd"/>
      <w:r>
        <w:rPr>
          <w:sz w:val="24"/>
        </w:rPr>
        <w:t xml:space="preserve"> </w:t>
      </w:r>
      <w:proofErr w:type="spellStart"/>
      <w:r>
        <w:rPr>
          <w:sz w:val="24"/>
        </w:rPr>
        <w:t>UniversalSYBR</w:t>
      </w:r>
      <w:proofErr w:type="spellEnd"/>
      <w:r>
        <w:rPr>
          <w:sz w:val="24"/>
          <w:vertAlign w:val="superscript"/>
        </w:rPr>
        <w:t>®</w:t>
      </w:r>
      <w:r>
        <w:rPr>
          <w:sz w:val="24"/>
        </w:rPr>
        <w:t xml:space="preserve"> Green </w:t>
      </w:r>
      <w:proofErr w:type="spellStart"/>
      <w:r>
        <w:rPr>
          <w:sz w:val="24"/>
        </w:rPr>
        <w:t>Supermix</w:t>
      </w:r>
      <w:proofErr w:type="spellEnd"/>
      <w:r>
        <w:rPr>
          <w:sz w:val="24"/>
        </w:rPr>
        <w:t>(</w:t>
      </w:r>
      <w:r>
        <w:rPr>
          <w:sz w:val="24"/>
        </w:rPr>
        <w:t>美国</w:t>
      </w:r>
      <w:r>
        <w:rPr>
          <w:sz w:val="24"/>
        </w:rPr>
        <w:t>Bio-Rad)</w:t>
      </w:r>
      <w:r>
        <w:rPr>
          <w:sz w:val="24"/>
        </w:rPr>
        <w:t>。所有基因的</w:t>
      </w:r>
      <w:r>
        <w:rPr>
          <w:sz w:val="24"/>
        </w:rPr>
        <w:t>RT-qPCR</w:t>
      </w:r>
      <w:r>
        <w:rPr>
          <w:sz w:val="24"/>
        </w:rPr>
        <w:t>温度分布为</w:t>
      </w:r>
      <w:r>
        <w:rPr>
          <w:sz w:val="24"/>
        </w:rPr>
        <w:t>95℃</w:t>
      </w:r>
      <w:r>
        <w:rPr>
          <w:sz w:val="24"/>
        </w:rPr>
        <w:t>，持续</w:t>
      </w:r>
      <w:r>
        <w:rPr>
          <w:sz w:val="24"/>
        </w:rPr>
        <w:t>30 s</w:t>
      </w:r>
      <w:r>
        <w:rPr>
          <w:sz w:val="24"/>
        </w:rPr>
        <w:t>，然后在</w:t>
      </w:r>
      <w:r>
        <w:rPr>
          <w:sz w:val="24"/>
        </w:rPr>
        <w:t>95 ℃</w:t>
      </w:r>
      <w:r>
        <w:rPr>
          <w:sz w:val="24"/>
        </w:rPr>
        <w:t>下循环</w:t>
      </w:r>
      <w:r>
        <w:rPr>
          <w:sz w:val="24"/>
        </w:rPr>
        <w:t>10 s</w:t>
      </w:r>
      <w:r>
        <w:rPr>
          <w:sz w:val="24"/>
        </w:rPr>
        <w:t>，在退火温度</w:t>
      </w:r>
      <w:r>
        <w:rPr>
          <w:sz w:val="24"/>
        </w:rPr>
        <w:t>( Tm)</w:t>
      </w:r>
      <w:r>
        <w:rPr>
          <w:sz w:val="24"/>
        </w:rPr>
        <w:t>下循环</w:t>
      </w:r>
      <w:r>
        <w:rPr>
          <w:sz w:val="24"/>
        </w:rPr>
        <w:t>30s</w:t>
      </w:r>
      <w:r>
        <w:rPr>
          <w:sz w:val="24"/>
        </w:rPr>
        <w:t>，</w:t>
      </w:r>
      <w:r>
        <w:rPr>
          <w:sz w:val="24"/>
        </w:rPr>
        <w:t xml:space="preserve"> (</w:t>
      </w:r>
      <w:r>
        <w:rPr>
          <w:sz w:val="24"/>
        </w:rPr>
        <w:t>每个引物退火温度如表</w:t>
      </w:r>
      <w:r>
        <w:rPr>
          <w:sz w:val="24"/>
        </w:rPr>
        <w:t>2</w:t>
      </w:r>
      <w:r>
        <w:rPr>
          <w:sz w:val="24"/>
        </w:rPr>
        <w:t>所示</w:t>
      </w:r>
      <w:r>
        <w:rPr>
          <w:sz w:val="24"/>
        </w:rPr>
        <w:t>)</w:t>
      </w:r>
      <w:r>
        <w:rPr>
          <w:sz w:val="24"/>
        </w:rPr>
        <w:t>，在</w:t>
      </w:r>
      <w:r>
        <w:rPr>
          <w:sz w:val="24"/>
        </w:rPr>
        <w:t>72℃</w:t>
      </w:r>
      <w:r>
        <w:rPr>
          <w:sz w:val="24"/>
        </w:rPr>
        <w:t>下循环</w:t>
      </w:r>
      <w:r>
        <w:rPr>
          <w:sz w:val="24"/>
        </w:rPr>
        <w:t>40 s</w:t>
      </w:r>
      <w:r>
        <w:rPr>
          <w:sz w:val="24"/>
        </w:rPr>
        <w:t>。在最后</w:t>
      </w:r>
      <w:r>
        <w:rPr>
          <w:sz w:val="24"/>
        </w:rPr>
        <w:t>l</w:t>
      </w:r>
      <w:proofErr w:type="gramStart"/>
      <w:r>
        <w:rPr>
          <w:sz w:val="24"/>
        </w:rPr>
        <w:t>个</w:t>
      </w:r>
      <w:proofErr w:type="gramEnd"/>
      <w:r>
        <w:rPr>
          <w:sz w:val="24"/>
        </w:rPr>
        <w:t>PCR</w:t>
      </w:r>
      <w:r>
        <w:rPr>
          <w:sz w:val="24"/>
        </w:rPr>
        <w:t>循环后</w:t>
      </w:r>
      <w:r>
        <w:rPr>
          <w:sz w:val="24"/>
        </w:rPr>
        <w:t>,</w:t>
      </w:r>
      <w:r>
        <w:rPr>
          <w:sz w:val="24"/>
        </w:rPr>
        <w:t>系统地监测熔解曲线</w:t>
      </w:r>
      <w:r>
        <w:rPr>
          <w:sz w:val="24"/>
        </w:rPr>
        <w:t>(65℃</w:t>
      </w:r>
      <w:r>
        <w:rPr>
          <w:sz w:val="24"/>
        </w:rPr>
        <w:t>温度梯度为</w:t>
      </w:r>
      <w:r>
        <w:rPr>
          <w:sz w:val="24"/>
        </w:rPr>
        <w:t>0.05 ℃/10 s,</w:t>
      </w:r>
      <w:r>
        <w:rPr>
          <w:sz w:val="24"/>
        </w:rPr>
        <w:t>从</w:t>
      </w:r>
      <w:r>
        <w:rPr>
          <w:sz w:val="24"/>
        </w:rPr>
        <w:t xml:space="preserve"> 65℃</w:t>
      </w:r>
      <w:r>
        <w:rPr>
          <w:sz w:val="24"/>
        </w:rPr>
        <w:t>升到在</w:t>
      </w:r>
      <w:r>
        <w:rPr>
          <w:sz w:val="24"/>
        </w:rPr>
        <w:t>95 ℃)</w:t>
      </w:r>
      <w:r>
        <w:rPr>
          <w:sz w:val="24"/>
        </w:rPr>
        <w:t>。在检测过程中，每</w:t>
      </w:r>
      <w:r>
        <w:rPr>
          <w:sz w:val="24"/>
        </w:rPr>
        <w:t>1</w:t>
      </w:r>
      <w:r>
        <w:rPr>
          <w:sz w:val="24"/>
        </w:rPr>
        <w:t>个样品进行</w:t>
      </w:r>
      <w:r>
        <w:rPr>
          <w:sz w:val="24"/>
        </w:rPr>
        <w:t>3</w:t>
      </w:r>
      <w:r>
        <w:rPr>
          <w:sz w:val="24"/>
        </w:rPr>
        <w:t>次</w:t>
      </w:r>
      <w:r>
        <w:rPr>
          <w:sz w:val="24"/>
        </w:rPr>
        <w:t>技术性重复。无</w:t>
      </w:r>
      <w:r>
        <w:rPr>
          <w:sz w:val="24"/>
        </w:rPr>
        <w:t>RNA/DNA</w:t>
      </w:r>
      <w:proofErr w:type="gramStart"/>
      <w:r>
        <w:rPr>
          <w:sz w:val="24"/>
        </w:rPr>
        <w:t>酶水代替</w:t>
      </w:r>
      <w:proofErr w:type="gramEnd"/>
      <w:r>
        <w:rPr>
          <w:sz w:val="24"/>
        </w:rPr>
        <w:t>模板作为阴性对照。采用</w:t>
      </w:r>
      <w:r>
        <w:rPr>
          <w:color w:val="000000" w:themeColor="text1"/>
          <w:sz w:val="24"/>
        </w:rPr>
        <w:t>2</w:t>
      </w:r>
      <w:r>
        <w:rPr>
          <w:color w:val="000000" w:themeColor="text1"/>
          <w:sz w:val="24"/>
          <w:vertAlign w:val="superscript"/>
        </w:rPr>
        <w:t>-∆∆Ct</w:t>
      </w:r>
      <w:r>
        <w:rPr>
          <w:sz w:val="24"/>
        </w:rPr>
        <w:t>法计算目标基因的相对表达量。</w:t>
      </w:r>
    </w:p>
    <w:p w14:paraId="1AA32B82" w14:textId="77777777" w:rsidR="008F75C3" w:rsidRDefault="006614AC">
      <w:pPr>
        <w:spacing w:line="360" w:lineRule="auto"/>
        <w:jc w:val="center"/>
        <w:rPr>
          <w:sz w:val="24"/>
        </w:rPr>
      </w:pPr>
      <w:r>
        <w:rPr>
          <w:noProof/>
          <w:sz w:val="24"/>
        </w:rPr>
        <w:lastRenderedPageBreak/>
        <w:drawing>
          <wp:inline distT="0" distB="0" distL="0" distR="0" wp14:anchorId="393D3120" wp14:editId="7B9278D4">
            <wp:extent cx="4473575" cy="3570605"/>
            <wp:effectExtent l="0" t="0" r="3175" b="0"/>
            <wp:docPr id="29" name="图片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图片 29"/>
                    <pic:cNvPicPr>
                      <a:picLocks noChangeAspect="1" noChangeArrowheads="1"/>
                    </pic:cNvPicPr>
                  </pic:nvPicPr>
                  <pic:blipFill>
                    <a:blip r:embed="rId38" cstate="print">
                      <a:extLst>
                        <a:ext uri="{28A0092B-C50C-407E-A947-70E740481C1C}">
                          <a14:useLocalDpi xmlns:a14="http://schemas.microsoft.com/office/drawing/2010/main" val="0"/>
                        </a:ext>
                      </a:extLst>
                    </a:blip>
                    <a:srcRect/>
                    <a:stretch>
                      <a:fillRect/>
                    </a:stretch>
                  </pic:blipFill>
                  <pic:spPr>
                    <a:xfrm>
                      <a:off x="0" y="0"/>
                      <a:ext cx="4492457" cy="3585217"/>
                    </a:xfrm>
                    <a:prstGeom prst="rect">
                      <a:avLst/>
                    </a:prstGeom>
                    <a:noFill/>
                    <a:ln>
                      <a:noFill/>
                    </a:ln>
                  </pic:spPr>
                </pic:pic>
              </a:graphicData>
            </a:graphic>
          </wp:inline>
        </w:drawing>
      </w:r>
    </w:p>
    <w:p w14:paraId="00C8D49A" w14:textId="77777777" w:rsidR="008F75C3" w:rsidRDefault="006614AC">
      <w:pPr>
        <w:spacing w:line="360" w:lineRule="auto"/>
        <w:rPr>
          <w:sz w:val="24"/>
        </w:rPr>
      </w:pPr>
      <w:r>
        <w:rPr>
          <w:sz w:val="24"/>
        </w:rPr>
        <w:t xml:space="preserve">1.6  </w:t>
      </w:r>
      <w:r>
        <w:rPr>
          <w:sz w:val="24"/>
        </w:rPr>
        <w:t>数据统计分析</w:t>
      </w:r>
      <w:r>
        <w:rPr>
          <w:sz w:val="24"/>
        </w:rPr>
        <w:t xml:space="preserve"> </w:t>
      </w:r>
    </w:p>
    <w:p w14:paraId="3390B82A" w14:textId="77777777" w:rsidR="008F75C3" w:rsidRDefault="006614AC">
      <w:pPr>
        <w:spacing w:line="360" w:lineRule="auto"/>
        <w:ind w:firstLineChars="200" w:firstLine="480"/>
        <w:rPr>
          <w:sz w:val="24"/>
        </w:rPr>
      </w:pPr>
      <w:r>
        <w:rPr>
          <w:sz w:val="24"/>
        </w:rPr>
        <w:t>试验数据以平均值</w:t>
      </w:r>
      <w:r>
        <w:rPr>
          <w:sz w:val="24"/>
        </w:rPr>
        <w:t>±</w:t>
      </w:r>
      <w:r>
        <w:rPr>
          <w:sz w:val="24"/>
        </w:rPr>
        <w:t>均值标准误</w:t>
      </w:r>
      <w:r>
        <w:rPr>
          <w:sz w:val="24"/>
        </w:rPr>
        <w:t>( mean :SEM)</w:t>
      </w:r>
      <w:r>
        <w:rPr>
          <w:sz w:val="24"/>
        </w:rPr>
        <w:t>表示</w:t>
      </w:r>
      <w:r>
        <w:rPr>
          <w:sz w:val="24"/>
        </w:rPr>
        <w:t>,</w:t>
      </w:r>
      <w:r>
        <w:rPr>
          <w:sz w:val="24"/>
        </w:rPr>
        <w:t>所有数据用</w:t>
      </w:r>
      <w:r>
        <w:rPr>
          <w:sz w:val="24"/>
        </w:rPr>
        <w:t>SPSS 17.0</w:t>
      </w:r>
      <w:r>
        <w:rPr>
          <w:sz w:val="24"/>
        </w:rPr>
        <w:t>软件进行</w:t>
      </w:r>
      <w:proofErr w:type="gramStart"/>
      <w:r>
        <w:rPr>
          <w:sz w:val="24"/>
        </w:rPr>
        <w:t>单区素</w:t>
      </w:r>
      <w:proofErr w:type="gramEnd"/>
      <w:r>
        <w:rPr>
          <w:sz w:val="24"/>
        </w:rPr>
        <w:t>方差分析</w:t>
      </w:r>
      <w:r>
        <w:rPr>
          <w:sz w:val="24"/>
        </w:rPr>
        <w:t>( one-way ANOVA)</w:t>
      </w:r>
      <w:r>
        <w:rPr>
          <w:sz w:val="24"/>
        </w:rPr>
        <w:t>，</w:t>
      </w:r>
      <w:r>
        <w:rPr>
          <w:sz w:val="24"/>
        </w:rPr>
        <w:t>Duncan</w:t>
      </w:r>
      <w:r>
        <w:rPr>
          <w:sz w:val="24"/>
        </w:rPr>
        <w:t>氏多重比较法检验差异显著性，显著性水平为</w:t>
      </w:r>
      <w:r>
        <w:rPr>
          <w:sz w:val="24"/>
        </w:rPr>
        <w:t>P&lt;0.05</w:t>
      </w:r>
      <w:r>
        <w:rPr>
          <w:sz w:val="24"/>
        </w:rPr>
        <w:t>。图形由</w:t>
      </w:r>
      <w:r>
        <w:rPr>
          <w:sz w:val="24"/>
        </w:rPr>
        <w:t>GraphPad Prism 8.0(GraphPad</w:t>
      </w:r>
      <w:r>
        <w:rPr>
          <w:sz w:val="24"/>
        </w:rPr>
        <w:t>，美国</w:t>
      </w:r>
      <w:r>
        <w:rPr>
          <w:sz w:val="24"/>
        </w:rPr>
        <w:t>)</w:t>
      </w:r>
      <w:r>
        <w:rPr>
          <w:sz w:val="24"/>
        </w:rPr>
        <w:t>绘制。</w:t>
      </w:r>
    </w:p>
    <w:p w14:paraId="51F60125" w14:textId="77777777" w:rsidR="008F75C3" w:rsidRDefault="006614AC">
      <w:pPr>
        <w:spacing w:line="360" w:lineRule="auto"/>
        <w:rPr>
          <w:sz w:val="24"/>
        </w:rPr>
      </w:pPr>
      <w:r>
        <w:rPr>
          <w:sz w:val="24"/>
        </w:rPr>
        <w:t xml:space="preserve">2  </w:t>
      </w:r>
      <w:r>
        <w:rPr>
          <w:sz w:val="24"/>
        </w:rPr>
        <w:t>结</w:t>
      </w:r>
      <w:r>
        <w:rPr>
          <w:sz w:val="24"/>
        </w:rPr>
        <w:t xml:space="preserve"> </w:t>
      </w:r>
      <w:r>
        <w:rPr>
          <w:sz w:val="24"/>
        </w:rPr>
        <w:t>果</w:t>
      </w:r>
      <w:r>
        <w:rPr>
          <w:sz w:val="24"/>
        </w:rPr>
        <w:t xml:space="preserve">  </w:t>
      </w:r>
    </w:p>
    <w:p w14:paraId="6596BE45" w14:textId="77777777" w:rsidR="008F75C3" w:rsidRDefault="006614AC">
      <w:pPr>
        <w:spacing w:line="360" w:lineRule="auto"/>
        <w:rPr>
          <w:sz w:val="24"/>
        </w:rPr>
      </w:pPr>
      <w:bookmarkStart w:id="44" w:name="_Hlk89696565"/>
      <w:r>
        <w:rPr>
          <w:sz w:val="24"/>
        </w:rPr>
        <w:t xml:space="preserve">2.1  </w:t>
      </w:r>
      <w:r>
        <w:rPr>
          <w:sz w:val="24"/>
        </w:rPr>
        <w:t>生长性能和体形指标</w:t>
      </w:r>
    </w:p>
    <w:p w14:paraId="630E4CB5" w14:textId="77777777" w:rsidR="008F75C3" w:rsidRDefault="006614AC">
      <w:pPr>
        <w:spacing w:line="360" w:lineRule="auto"/>
        <w:ind w:firstLineChars="200" w:firstLine="480"/>
        <w:rPr>
          <w:sz w:val="24"/>
        </w:rPr>
      </w:pPr>
      <w:r>
        <w:rPr>
          <w:sz w:val="24"/>
        </w:rPr>
        <w:t>由表</w:t>
      </w:r>
      <w:r>
        <w:rPr>
          <w:sz w:val="24"/>
        </w:rPr>
        <w:t>3</w:t>
      </w:r>
      <w:r>
        <w:rPr>
          <w:sz w:val="24"/>
        </w:rPr>
        <w:t>可知，</w:t>
      </w:r>
      <w:r>
        <w:rPr>
          <w:sz w:val="24"/>
        </w:rPr>
        <w:t>饲料中以</w:t>
      </w:r>
      <w:r>
        <w:rPr>
          <w:sz w:val="24"/>
        </w:rPr>
        <w:t>CPC</w:t>
      </w:r>
      <w:r>
        <w:rPr>
          <w:sz w:val="24"/>
        </w:rPr>
        <w:t>替代</w:t>
      </w:r>
      <w:r>
        <w:rPr>
          <w:sz w:val="24"/>
        </w:rPr>
        <w:t>40%</w:t>
      </w:r>
      <w:r>
        <w:rPr>
          <w:sz w:val="24"/>
        </w:rPr>
        <w:t>鱼粉蛋白后，与</w:t>
      </w:r>
      <w:r>
        <w:rPr>
          <w:sz w:val="24"/>
        </w:rPr>
        <w:t>HFM</w:t>
      </w:r>
      <w:r>
        <w:rPr>
          <w:sz w:val="24"/>
        </w:rPr>
        <w:t>组相比</w:t>
      </w:r>
      <w:r>
        <w:rPr>
          <w:sz w:val="24"/>
        </w:rPr>
        <w:t>,</w:t>
      </w:r>
      <w:r>
        <w:rPr>
          <w:sz w:val="24"/>
        </w:rPr>
        <w:t>大口</w:t>
      </w:r>
      <w:proofErr w:type="gramStart"/>
      <w:r>
        <w:rPr>
          <w:sz w:val="24"/>
        </w:rPr>
        <w:t>黑鲈终末体</w:t>
      </w:r>
      <w:proofErr w:type="gramEnd"/>
      <w:r>
        <w:rPr>
          <w:sz w:val="24"/>
        </w:rPr>
        <w:t>重、增重率和特定生长率显著提高</w:t>
      </w:r>
      <w:r>
        <w:rPr>
          <w:sz w:val="24"/>
        </w:rPr>
        <w:t xml:space="preserve">( </w:t>
      </w:r>
      <w:r>
        <w:rPr>
          <w:i/>
          <w:iCs/>
          <w:sz w:val="24"/>
        </w:rPr>
        <w:t>P</w:t>
      </w:r>
      <w:r>
        <w:rPr>
          <w:sz w:val="24"/>
        </w:rPr>
        <w:t>&lt;0.05 )</w:t>
      </w:r>
      <w:r>
        <w:rPr>
          <w:sz w:val="24"/>
        </w:rPr>
        <w:t>。添加</w:t>
      </w:r>
      <w:r>
        <w:rPr>
          <w:sz w:val="24"/>
        </w:rPr>
        <w:t>4 500 U/kg</w:t>
      </w:r>
      <w:r>
        <w:rPr>
          <w:sz w:val="24"/>
        </w:rPr>
        <w:t>蛋白酶后，生长性能与</w:t>
      </w:r>
      <w:r>
        <w:rPr>
          <w:sz w:val="24"/>
        </w:rPr>
        <w:t>LFM</w:t>
      </w:r>
      <w:r>
        <w:rPr>
          <w:sz w:val="24"/>
        </w:rPr>
        <w:t>组无显著差异</w:t>
      </w:r>
      <w:r>
        <w:rPr>
          <w:sz w:val="24"/>
        </w:rPr>
        <w:t xml:space="preserve">( </w:t>
      </w:r>
      <w:r>
        <w:rPr>
          <w:i/>
          <w:iCs/>
          <w:sz w:val="24"/>
        </w:rPr>
        <w:t>P</w:t>
      </w:r>
      <w:r>
        <w:rPr>
          <w:sz w:val="24"/>
        </w:rPr>
        <w:t>&gt;0.05 );</w:t>
      </w:r>
      <w:r>
        <w:rPr>
          <w:sz w:val="24"/>
        </w:rPr>
        <w:t>添加</w:t>
      </w:r>
      <w:r>
        <w:rPr>
          <w:sz w:val="24"/>
        </w:rPr>
        <w:t xml:space="preserve">7 500 U/kg </w:t>
      </w:r>
      <w:r>
        <w:rPr>
          <w:sz w:val="24"/>
        </w:rPr>
        <w:t>蛋白酶后</w:t>
      </w:r>
      <w:r>
        <w:rPr>
          <w:sz w:val="24"/>
        </w:rPr>
        <w:t>,</w:t>
      </w:r>
      <w:r>
        <w:rPr>
          <w:sz w:val="24"/>
        </w:rPr>
        <w:t>与</w:t>
      </w:r>
      <w:r>
        <w:rPr>
          <w:sz w:val="24"/>
        </w:rPr>
        <w:t>LFM</w:t>
      </w:r>
      <w:r>
        <w:rPr>
          <w:sz w:val="24"/>
        </w:rPr>
        <w:t>组相比，饲料系数显著升高</w:t>
      </w:r>
      <w:r>
        <w:rPr>
          <w:sz w:val="24"/>
        </w:rPr>
        <w:t xml:space="preserve">( </w:t>
      </w:r>
      <w:r>
        <w:rPr>
          <w:i/>
          <w:iCs/>
          <w:sz w:val="24"/>
        </w:rPr>
        <w:t>P</w:t>
      </w:r>
      <w:r>
        <w:rPr>
          <w:sz w:val="24"/>
        </w:rPr>
        <w:t>&lt;0.05)</w:t>
      </w:r>
      <w:r>
        <w:rPr>
          <w:sz w:val="24"/>
        </w:rPr>
        <w:t>，鱼体蛋白质沉积率显著降低</w:t>
      </w:r>
      <w:r>
        <w:rPr>
          <w:sz w:val="24"/>
        </w:rPr>
        <w:t xml:space="preserve">( </w:t>
      </w:r>
      <w:r>
        <w:rPr>
          <w:i/>
          <w:iCs/>
          <w:sz w:val="24"/>
        </w:rPr>
        <w:t>P</w:t>
      </w:r>
      <w:r>
        <w:rPr>
          <w:sz w:val="24"/>
        </w:rPr>
        <w:t>&lt;0.05)</w:t>
      </w:r>
      <w:r>
        <w:rPr>
          <w:sz w:val="24"/>
        </w:rPr>
        <w:t>。各组间存活率均无显著差异</w:t>
      </w:r>
      <w:r>
        <w:rPr>
          <w:sz w:val="24"/>
        </w:rPr>
        <w:t>(</w:t>
      </w:r>
      <w:r>
        <w:rPr>
          <w:i/>
          <w:iCs/>
          <w:sz w:val="24"/>
        </w:rPr>
        <w:t>P</w:t>
      </w:r>
      <w:r>
        <w:rPr>
          <w:sz w:val="24"/>
        </w:rPr>
        <w:t>&gt;0.05)</w:t>
      </w:r>
      <w:r>
        <w:rPr>
          <w:sz w:val="24"/>
        </w:rPr>
        <w:t>，但</w:t>
      </w:r>
      <w:r>
        <w:rPr>
          <w:sz w:val="24"/>
        </w:rPr>
        <w:t>LFM+E4500</w:t>
      </w:r>
      <w:r>
        <w:rPr>
          <w:sz w:val="24"/>
        </w:rPr>
        <w:t>和</w:t>
      </w:r>
      <w:r>
        <w:rPr>
          <w:sz w:val="24"/>
        </w:rPr>
        <w:t>LFM+E7500</w:t>
      </w:r>
      <w:r>
        <w:rPr>
          <w:sz w:val="24"/>
        </w:rPr>
        <w:t>组的存活率较</w:t>
      </w:r>
      <w:r>
        <w:rPr>
          <w:sz w:val="24"/>
        </w:rPr>
        <w:t>LFM</w:t>
      </w:r>
      <w:r>
        <w:rPr>
          <w:sz w:val="24"/>
        </w:rPr>
        <w:t>组有一定程度的提高。</w:t>
      </w:r>
    </w:p>
    <w:bookmarkEnd w:id="44"/>
    <w:p w14:paraId="36A1AE52" w14:textId="77777777" w:rsidR="008F75C3" w:rsidRDefault="006614AC">
      <w:pPr>
        <w:spacing w:line="360" w:lineRule="auto"/>
        <w:ind w:firstLineChars="200" w:firstLine="480"/>
        <w:rPr>
          <w:sz w:val="24"/>
        </w:rPr>
      </w:pPr>
      <w:r>
        <w:rPr>
          <w:sz w:val="24"/>
        </w:rPr>
        <w:t>CPC</w:t>
      </w:r>
      <w:r>
        <w:rPr>
          <w:sz w:val="24"/>
        </w:rPr>
        <w:t>替代</w:t>
      </w:r>
      <w:r>
        <w:rPr>
          <w:sz w:val="24"/>
        </w:rPr>
        <w:t>40%</w:t>
      </w:r>
      <w:r>
        <w:rPr>
          <w:sz w:val="24"/>
        </w:rPr>
        <w:t>鱼粉蛋白后，与</w:t>
      </w:r>
      <w:r>
        <w:rPr>
          <w:sz w:val="24"/>
        </w:rPr>
        <w:t>HFM</w:t>
      </w:r>
      <w:r>
        <w:rPr>
          <w:sz w:val="24"/>
        </w:rPr>
        <w:t>组相比，大口黑鲈肝体</w:t>
      </w:r>
      <w:proofErr w:type="gramStart"/>
      <w:r>
        <w:rPr>
          <w:sz w:val="24"/>
        </w:rPr>
        <w:t>比显著</w:t>
      </w:r>
      <w:proofErr w:type="gramEnd"/>
      <w:r>
        <w:rPr>
          <w:sz w:val="24"/>
        </w:rPr>
        <w:t>升高</w:t>
      </w:r>
      <w:r>
        <w:rPr>
          <w:sz w:val="24"/>
        </w:rPr>
        <w:t>(</w:t>
      </w:r>
      <w:r>
        <w:rPr>
          <w:i/>
          <w:iCs/>
          <w:sz w:val="24"/>
        </w:rPr>
        <w:t>P</w:t>
      </w:r>
      <w:r>
        <w:rPr>
          <w:sz w:val="24"/>
        </w:rPr>
        <w:t>&lt;0.05 )</w:t>
      </w:r>
      <w:r>
        <w:rPr>
          <w:sz w:val="24"/>
        </w:rPr>
        <w:t>，添加</w:t>
      </w:r>
      <w:r>
        <w:rPr>
          <w:sz w:val="24"/>
        </w:rPr>
        <w:t>7 500 U/kg</w:t>
      </w:r>
      <w:r>
        <w:rPr>
          <w:sz w:val="24"/>
        </w:rPr>
        <w:t>蛋白酶显著降低肝体比和</w:t>
      </w:r>
      <w:proofErr w:type="gramStart"/>
      <w:r>
        <w:rPr>
          <w:sz w:val="24"/>
        </w:rPr>
        <w:t>脏体</w:t>
      </w:r>
      <w:proofErr w:type="gramEnd"/>
      <w:r>
        <w:rPr>
          <w:sz w:val="24"/>
        </w:rPr>
        <w:t>比</w:t>
      </w:r>
      <w:r>
        <w:rPr>
          <w:sz w:val="24"/>
        </w:rPr>
        <w:t xml:space="preserve">( </w:t>
      </w:r>
      <w:r>
        <w:rPr>
          <w:i/>
          <w:iCs/>
          <w:sz w:val="24"/>
        </w:rPr>
        <w:t>P</w:t>
      </w:r>
      <w:r>
        <w:rPr>
          <w:sz w:val="24"/>
        </w:rPr>
        <w:t>&lt;0.05)</w:t>
      </w:r>
      <w:r>
        <w:rPr>
          <w:sz w:val="24"/>
        </w:rPr>
        <w:t>，但各组肝体比均未高于</w:t>
      </w:r>
      <w:r>
        <w:rPr>
          <w:sz w:val="24"/>
        </w:rPr>
        <w:t>2</w:t>
      </w:r>
      <w:r>
        <w:rPr>
          <w:sz w:val="24"/>
        </w:rPr>
        <w:t>，属于正常范围。变化最为显著的是蛋白酶对大口黑</w:t>
      </w:r>
      <w:proofErr w:type="gramStart"/>
      <w:r>
        <w:rPr>
          <w:sz w:val="24"/>
        </w:rPr>
        <w:t>鲈腹脂率</w:t>
      </w:r>
      <w:proofErr w:type="gramEnd"/>
      <w:r>
        <w:rPr>
          <w:sz w:val="24"/>
        </w:rPr>
        <w:t>的影响，与</w:t>
      </w:r>
      <w:r>
        <w:rPr>
          <w:sz w:val="24"/>
        </w:rPr>
        <w:t>LFM</w:t>
      </w:r>
      <w:r>
        <w:rPr>
          <w:sz w:val="24"/>
        </w:rPr>
        <w:t>组相比，</w:t>
      </w:r>
      <w:proofErr w:type="gramStart"/>
      <w:r>
        <w:rPr>
          <w:sz w:val="24"/>
        </w:rPr>
        <w:t>2</w:t>
      </w:r>
      <w:r>
        <w:rPr>
          <w:sz w:val="24"/>
        </w:rPr>
        <w:t>组腹脂</w:t>
      </w:r>
      <w:proofErr w:type="gramEnd"/>
      <w:r>
        <w:rPr>
          <w:sz w:val="24"/>
        </w:rPr>
        <w:t>率均显著降低</w:t>
      </w:r>
      <w:r>
        <w:rPr>
          <w:sz w:val="24"/>
        </w:rPr>
        <w:t>(</w:t>
      </w:r>
      <w:r>
        <w:rPr>
          <w:i/>
          <w:iCs/>
          <w:sz w:val="24"/>
        </w:rPr>
        <w:t>P</w:t>
      </w:r>
      <w:r>
        <w:rPr>
          <w:sz w:val="24"/>
        </w:rPr>
        <w:t>&lt;0.05)</w:t>
      </w:r>
      <w:r>
        <w:rPr>
          <w:sz w:val="24"/>
        </w:rPr>
        <w:t>。</w:t>
      </w:r>
    </w:p>
    <w:p w14:paraId="73A94F36" w14:textId="77777777" w:rsidR="008F75C3" w:rsidRDefault="006614AC">
      <w:pPr>
        <w:spacing w:line="360" w:lineRule="auto"/>
        <w:jc w:val="center"/>
        <w:rPr>
          <w:sz w:val="24"/>
        </w:rPr>
      </w:pPr>
      <w:r>
        <w:rPr>
          <w:noProof/>
          <w:sz w:val="24"/>
        </w:rPr>
        <w:lastRenderedPageBreak/>
        <w:drawing>
          <wp:inline distT="0" distB="0" distL="0" distR="0" wp14:anchorId="3D3265E9" wp14:editId="517C7017">
            <wp:extent cx="5693410" cy="3160395"/>
            <wp:effectExtent l="0" t="0" r="2540" b="1905"/>
            <wp:docPr id="33" name="图片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图片 33"/>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a:xfrm>
                      <a:off x="0" y="0"/>
                      <a:ext cx="5693410" cy="3160395"/>
                    </a:xfrm>
                    <a:prstGeom prst="rect">
                      <a:avLst/>
                    </a:prstGeom>
                    <a:noFill/>
                    <a:ln>
                      <a:noFill/>
                    </a:ln>
                  </pic:spPr>
                </pic:pic>
              </a:graphicData>
            </a:graphic>
          </wp:inline>
        </w:drawing>
      </w:r>
    </w:p>
    <w:p w14:paraId="4150B923" w14:textId="77777777" w:rsidR="008F75C3" w:rsidRDefault="006614AC">
      <w:pPr>
        <w:spacing w:line="360" w:lineRule="auto"/>
        <w:rPr>
          <w:sz w:val="24"/>
        </w:rPr>
      </w:pPr>
      <w:r>
        <w:rPr>
          <w:sz w:val="24"/>
        </w:rPr>
        <w:t xml:space="preserve">2.2  </w:t>
      </w:r>
      <w:r>
        <w:rPr>
          <w:sz w:val="24"/>
        </w:rPr>
        <w:t>血浆肝功能和抗氧化指标</w:t>
      </w:r>
    </w:p>
    <w:p w14:paraId="50DB4A8E" w14:textId="77777777" w:rsidR="008F75C3" w:rsidRDefault="006614AC">
      <w:pPr>
        <w:spacing w:line="360" w:lineRule="auto"/>
        <w:ind w:firstLineChars="200" w:firstLine="480"/>
        <w:rPr>
          <w:sz w:val="24"/>
        </w:rPr>
      </w:pPr>
      <w:r>
        <w:rPr>
          <w:sz w:val="24"/>
        </w:rPr>
        <w:t>由表</w:t>
      </w:r>
      <w:r>
        <w:rPr>
          <w:sz w:val="24"/>
        </w:rPr>
        <w:t>4</w:t>
      </w:r>
      <w:r>
        <w:rPr>
          <w:sz w:val="24"/>
        </w:rPr>
        <w:t>可知，</w:t>
      </w:r>
      <w:r>
        <w:rPr>
          <w:sz w:val="24"/>
        </w:rPr>
        <w:t>CPC</w:t>
      </w:r>
      <w:r>
        <w:rPr>
          <w:sz w:val="24"/>
        </w:rPr>
        <w:t>替代</w:t>
      </w:r>
      <w:r>
        <w:rPr>
          <w:sz w:val="24"/>
        </w:rPr>
        <w:t>40%</w:t>
      </w:r>
      <w:r>
        <w:rPr>
          <w:sz w:val="24"/>
        </w:rPr>
        <w:t>鱼粉蛋白后，血浆</w:t>
      </w:r>
      <w:r>
        <w:rPr>
          <w:sz w:val="24"/>
        </w:rPr>
        <w:t>ALT</w:t>
      </w:r>
      <w:r>
        <w:rPr>
          <w:sz w:val="24"/>
        </w:rPr>
        <w:t>、</w:t>
      </w:r>
      <w:r>
        <w:rPr>
          <w:sz w:val="24"/>
        </w:rPr>
        <w:t>AST</w:t>
      </w:r>
      <w:r>
        <w:rPr>
          <w:sz w:val="24"/>
        </w:rPr>
        <w:t>活性较</w:t>
      </w:r>
      <w:r>
        <w:rPr>
          <w:sz w:val="24"/>
        </w:rPr>
        <w:t>HFM</w:t>
      </w:r>
      <w:r>
        <w:rPr>
          <w:sz w:val="24"/>
        </w:rPr>
        <w:t>组显著升高</w:t>
      </w:r>
      <w:r>
        <w:rPr>
          <w:sz w:val="24"/>
        </w:rPr>
        <w:t xml:space="preserve">( </w:t>
      </w:r>
      <w:r>
        <w:rPr>
          <w:i/>
          <w:iCs/>
          <w:sz w:val="24"/>
        </w:rPr>
        <w:t>P</w:t>
      </w:r>
      <w:r>
        <w:rPr>
          <w:sz w:val="24"/>
        </w:rPr>
        <w:t>&lt;0.05)</w:t>
      </w:r>
      <w:r>
        <w:rPr>
          <w:sz w:val="24"/>
        </w:rPr>
        <w:t>，</w:t>
      </w:r>
      <w:r>
        <w:rPr>
          <w:sz w:val="24"/>
        </w:rPr>
        <w:t xml:space="preserve"> AKP</w:t>
      </w:r>
      <w:r>
        <w:rPr>
          <w:sz w:val="24"/>
        </w:rPr>
        <w:t>活性无显著差异</w:t>
      </w:r>
      <w:r>
        <w:rPr>
          <w:sz w:val="24"/>
        </w:rPr>
        <w:t>(</w:t>
      </w:r>
      <w:r>
        <w:rPr>
          <w:i/>
          <w:iCs/>
          <w:sz w:val="24"/>
        </w:rPr>
        <w:t>P</w:t>
      </w:r>
      <w:r>
        <w:rPr>
          <w:sz w:val="24"/>
        </w:rPr>
        <w:t>&gt;0.05)</w:t>
      </w:r>
      <w:r>
        <w:rPr>
          <w:sz w:val="24"/>
        </w:rPr>
        <w:t>；添加蛋白酶后，血浆</w:t>
      </w:r>
      <w:r>
        <w:rPr>
          <w:sz w:val="24"/>
        </w:rPr>
        <w:t>ALT</w:t>
      </w:r>
      <w:r>
        <w:rPr>
          <w:sz w:val="24"/>
        </w:rPr>
        <w:t>、</w:t>
      </w:r>
      <w:r>
        <w:rPr>
          <w:sz w:val="24"/>
        </w:rPr>
        <w:t>AST</w:t>
      </w:r>
      <w:r>
        <w:rPr>
          <w:sz w:val="24"/>
        </w:rPr>
        <w:t>活性较</w:t>
      </w:r>
      <w:r>
        <w:rPr>
          <w:sz w:val="24"/>
        </w:rPr>
        <w:t xml:space="preserve">LFM </w:t>
      </w:r>
      <w:r>
        <w:rPr>
          <w:sz w:val="24"/>
        </w:rPr>
        <w:t>组显著下降</w:t>
      </w:r>
      <w:r>
        <w:rPr>
          <w:sz w:val="24"/>
        </w:rPr>
        <w:t>(</w:t>
      </w:r>
      <w:r>
        <w:rPr>
          <w:i/>
          <w:iCs/>
          <w:sz w:val="24"/>
        </w:rPr>
        <w:t>P</w:t>
      </w:r>
      <w:r>
        <w:rPr>
          <w:sz w:val="24"/>
        </w:rPr>
        <w:t>&lt;0.05)</w:t>
      </w:r>
      <w:r>
        <w:rPr>
          <w:sz w:val="24"/>
        </w:rPr>
        <w:t>，</w:t>
      </w:r>
      <w:r>
        <w:rPr>
          <w:sz w:val="24"/>
        </w:rPr>
        <w:t>AKP</w:t>
      </w:r>
      <w:r>
        <w:rPr>
          <w:sz w:val="24"/>
        </w:rPr>
        <w:t>活性与</w:t>
      </w:r>
      <w:r>
        <w:rPr>
          <w:sz w:val="24"/>
        </w:rPr>
        <w:t>LFM</w:t>
      </w:r>
      <w:r>
        <w:rPr>
          <w:sz w:val="24"/>
        </w:rPr>
        <w:t xml:space="preserve"> </w:t>
      </w:r>
      <w:r>
        <w:rPr>
          <w:sz w:val="24"/>
        </w:rPr>
        <w:t>组无显著差异</w:t>
      </w:r>
      <w:r>
        <w:rPr>
          <w:sz w:val="24"/>
        </w:rPr>
        <w:t xml:space="preserve">( </w:t>
      </w:r>
      <w:r>
        <w:rPr>
          <w:i/>
          <w:iCs/>
          <w:sz w:val="24"/>
        </w:rPr>
        <w:t>P</w:t>
      </w:r>
      <w:r>
        <w:rPr>
          <w:sz w:val="24"/>
        </w:rPr>
        <w:t>&gt;0.05)</w:t>
      </w:r>
      <w:r>
        <w:rPr>
          <w:sz w:val="24"/>
        </w:rPr>
        <w:t>。各组间血浆</w:t>
      </w:r>
      <w:r>
        <w:rPr>
          <w:sz w:val="24"/>
        </w:rPr>
        <w:t>TP</w:t>
      </w:r>
      <w:r>
        <w:rPr>
          <w:sz w:val="24"/>
        </w:rPr>
        <w:t>、</w:t>
      </w:r>
      <w:r>
        <w:rPr>
          <w:sz w:val="24"/>
        </w:rPr>
        <w:t>TBA</w:t>
      </w:r>
      <w:r>
        <w:rPr>
          <w:sz w:val="24"/>
        </w:rPr>
        <w:t>含量和</w:t>
      </w:r>
      <w:r>
        <w:rPr>
          <w:sz w:val="24"/>
        </w:rPr>
        <w:t>T-AOC</w:t>
      </w:r>
      <w:r>
        <w:rPr>
          <w:sz w:val="24"/>
        </w:rPr>
        <w:t>均无显著差异</w:t>
      </w:r>
      <w:r>
        <w:rPr>
          <w:sz w:val="24"/>
        </w:rPr>
        <w:t>(</w:t>
      </w:r>
      <w:r>
        <w:rPr>
          <w:i/>
          <w:iCs/>
          <w:sz w:val="24"/>
        </w:rPr>
        <w:t>P</w:t>
      </w:r>
      <w:r>
        <w:rPr>
          <w:sz w:val="24"/>
        </w:rPr>
        <w:t>&gt;0.05)</w:t>
      </w:r>
      <w:r>
        <w:rPr>
          <w:sz w:val="24"/>
        </w:rPr>
        <w:t>。</w:t>
      </w:r>
    </w:p>
    <w:p w14:paraId="07C8176F" w14:textId="77777777" w:rsidR="008F75C3" w:rsidRDefault="006614AC">
      <w:pPr>
        <w:spacing w:line="360" w:lineRule="auto"/>
        <w:jc w:val="center"/>
        <w:rPr>
          <w:sz w:val="24"/>
        </w:rPr>
      </w:pPr>
      <w:r>
        <w:rPr>
          <w:noProof/>
          <w:sz w:val="24"/>
        </w:rPr>
        <w:drawing>
          <wp:inline distT="0" distB="0" distL="0" distR="0" wp14:anchorId="2DE4F108" wp14:editId="42FF8F1B">
            <wp:extent cx="5976620" cy="1987550"/>
            <wp:effectExtent l="0" t="0" r="5080" b="0"/>
            <wp:docPr id="34" name="图片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图片 34"/>
                    <pic:cNvPicPr>
                      <a:picLocks noChangeAspect="1" noChangeArrowheads="1"/>
                    </pic:cNvPicPr>
                  </pic:nvPicPr>
                  <pic:blipFill>
                    <a:blip r:embed="rId40">
                      <a:extLst>
                        <a:ext uri="{28A0092B-C50C-407E-A947-70E740481C1C}">
                          <a14:useLocalDpi xmlns:a14="http://schemas.microsoft.com/office/drawing/2010/main" val="0"/>
                        </a:ext>
                      </a:extLst>
                    </a:blip>
                    <a:srcRect/>
                    <a:stretch>
                      <a:fillRect/>
                    </a:stretch>
                  </pic:blipFill>
                  <pic:spPr>
                    <a:xfrm>
                      <a:off x="0" y="0"/>
                      <a:ext cx="5976620" cy="1987550"/>
                    </a:xfrm>
                    <a:prstGeom prst="rect">
                      <a:avLst/>
                    </a:prstGeom>
                    <a:noFill/>
                    <a:ln>
                      <a:noFill/>
                    </a:ln>
                  </pic:spPr>
                </pic:pic>
              </a:graphicData>
            </a:graphic>
          </wp:inline>
        </w:drawing>
      </w:r>
    </w:p>
    <w:p w14:paraId="2237BBBE" w14:textId="77777777" w:rsidR="008F75C3" w:rsidRDefault="006614AC">
      <w:pPr>
        <w:spacing w:line="360" w:lineRule="auto"/>
        <w:rPr>
          <w:sz w:val="24"/>
        </w:rPr>
      </w:pPr>
      <w:bookmarkStart w:id="45" w:name="_Hlk89697734"/>
      <w:r>
        <w:rPr>
          <w:sz w:val="24"/>
        </w:rPr>
        <w:t xml:space="preserve">2.3  </w:t>
      </w:r>
      <w:r>
        <w:rPr>
          <w:sz w:val="24"/>
        </w:rPr>
        <w:t>全鱼体成分</w:t>
      </w:r>
    </w:p>
    <w:bookmarkEnd w:id="45"/>
    <w:p w14:paraId="4F2A2743" w14:textId="77777777" w:rsidR="008F75C3" w:rsidRDefault="006614AC">
      <w:pPr>
        <w:spacing w:line="360" w:lineRule="auto"/>
        <w:ind w:firstLineChars="200" w:firstLine="480"/>
        <w:rPr>
          <w:sz w:val="24"/>
        </w:rPr>
      </w:pPr>
      <w:r>
        <w:rPr>
          <w:sz w:val="24"/>
        </w:rPr>
        <w:t>由表</w:t>
      </w:r>
      <w:r>
        <w:rPr>
          <w:sz w:val="24"/>
        </w:rPr>
        <w:t>5</w:t>
      </w:r>
      <w:r>
        <w:rPr>
          <w:sz w:val="24"/>
        </w:rPr>
        <w:t>可见，</w:t>
      </w:r>
      <w:r>
        <w:rPr>
          <w:sz w:val="24"/>
        </w:rPr>
        <w:t>CPC</w:t>
      </w:r>
      <w:r>
        <w:rPr>
          <w:sz w:val="24"/>
        </w:rPr>
        <w:t>替代</w:t>
      </w:r>
      <w:r>
        <w:rPr>
          <w:sz w:val="24"/>
        </w:rPr>
        <w:t>40%</w:t>
      </w:r>
      <w:r>
        <w:rPr>
          <w:sz w:val="24"/>
        </w:rPr>
        <w:t>鱼粉蛋白后，全鱼体成分与</w:t>
      </w:r>
      <w:r>
        <w:rPr>
          <w:sz w:val="24"/>
        </w:rPr>
        <w:t>HFM</w:t>
      </w:r>
      <w:r>
        <w:rPr>
          <w:sz w:val="24"/>
        </w:rPr>
        <w:t>组无显著差异</w:t>
      </w:r>
      <w:r>
        <w:rPr>
          <w:sz w:val="24"/>
        </w:rPr>
        <w:t>(</w:t>
      </w:r>
      <w:r>
        <w:rPr>
          <w:i/>
          <w:iCs/>
          <w:sz w:val="24"/>
        </w:rPr>
        <w:t>P</w:t>
      </w:r>
      <w:r>
        <w:rPr>
          <w:sz w:val="24"/>
        </w:rPr>
        <w:t>&gt;0.05)</w:t>
      </w:r>
      <w:r>
        <w:rPr>
          <w:sz w:val="24"/>
        </w:rPr>
        <w:t>。与</w:t>
      </w:r>
      <w:r>
        <w:rPr>
          <w:sz w:val="24"/>
        </w:rPr>
        <w:t>LFM</w:t>
      </w:r>
      <w:r>
        <w:rPr>
          <w:sz w:val="24"/>
        </w:rPr>
        <w:t>组相比，添加</w:t>
      </w:r>
      <w:r>
        <w:rPr>
          <w:sz w:val="24"/>
        </w:rPr>
        <w:t xml:space="preserve">4 500 U/kg </w:t>
      </w:r>
      <w:r>
        <w:rPr>
          <w:sz w:val="24"/>
        </w:rPr>
        <w:t>蛋白酶后，鱼体水分含量显著上调</w:t>
      </w:r>
      <w:r>
        <w:rPr>
          <w:sz w:val="24"/>
        </w:rPr>
        <w:t>(</w:t>
      </w:r>
      <w:r>
        <w:rPr>
          <w:i/>
          <w:iCs/>
          <w:sz w:val="24"/>
        </w:rPr>
        <w:t>P</w:t>
      </w:r>
      <w:r>
        <w:rPr>
          <w:sz w:val="24"/>
        </w:rPr>
        <w:t>&lt;0.05)</w:t>
      </w:r>
      <w:r>
        <w:rPr>
          <w:sz w:val="24"/>
        </w:rPr>
        <w:t>，粗脂肪含量显著下调</w:t>
      </w:r>
      <w:r>
        <w:rPr>
          <w:sz w:val="24"/>
        </w:rPr>
        <w:t xml:space="preserve">( </w:t>
      </w:r>
      <w:r>
        <w:rPr>
          <w:i/>
          <w:iCs/>
          <w:sz w:val="24"/>
        </w:rPr>
        <w:t>P</w:t>
      </w:r>
      <w:r>
        <w:rPr>
          <w:sz w:val="24"/>
        </w:rPr>
        <w:t>&lt;0.05)</w:t>
      </w:r>
      <w:r>
        <w:rPr>
          <w:sz w:val="24"/>
        </w:rPr>
        <w:t>；添加</w:t>
      </w:r>
      <w:r>
        <w:rPr>
          <w:sz w:val="24"/>
        </w:rPr>
        <w:t>7 500 U/kg</w:t>
      </w:r>
      <w:r>
        <w:rPr>
          <w:sz w:val="24"/>
        </w:rPr>
        <w:t>蛋白酶后，鱼体水分含量显著上调</w:t>
      </w:r>
      <w:bookmarkStart w:id="46" w:name="_Hlk89698033"/>
      <w:r>
        <w:rPr>
          <w:sz w:val="24"/>
        </w:rPr>
        <w:t>(</w:t>
      </w:r>
      <w:r>
        <w:rPr>
          <w:i/>
          <w:iCs/>
          <w:sz w:val="24"/>
        </w:rPr>
        <w:t>P</w:t>
      </w:r>
      <w:r>
        <w:rPr>
          <w:sz w:val="24"/>
        </w:rPr>
        <w:t>&lt;0.05)</w:t>
      </w:r>
      <w:bookmarkEnd w:id="46"/>
      <w:r>
        <w:rPr>
          <w:sz w:val="24"/>
        </w:rPr>
        <w:t>。各组间鱼体粗灰分、粗蛋白质</w:t>
      </w:r>
      <w:proofErr w:type="gramStart"/>
      <w:r>
        <w:rPr>
          <w:sz w:val="24"/>
        </w:rPr>
        <w:t>和肝脂含量</w:t>
      </w:r>
      <w:proofErr w:type="gramEnd"/>
      <w:r>
        <w:rPr>
          <w:sz w:val="24"/>
        </w:rPr>
        <w:t>均无显著差异</w:t>
      </w:r>
      <w:r>
        <w:rPr>
          <w:sz w:val="24"/>
        </w:rPr>
        <w:t>(</w:t>
      </w:r>
      <w:r>
        <w:rPr>
          <w:i/>
          <w:iCs/>
          <w:sz w:val="24"/>
        </w:rPr>
        <w:t>P</w:t>
      </w:r>
      <w:r>
        <w:rPr>
          <w:sz w:val="24"/>
        </w:rPr>
        <w:t>&gt;0.05)</w:t>
      </w:r>
      <w:r>
        <w:rPr>
          <w:sz w:val="24"/>
        </w:rPr>
        <w:t>。</w:t>
      </w:r>
    </w:p>
    <w:p w14:paraId="1F311ADF" w14:textId="77777777" w:rsidR="008F75C3" w:rsidRDefault="006614AC">
      <w:pPr>
        <w:spacing w:line="360" w:lineRule="auto"/>
        <w:jc w:val="left"/>
        <w:rPr>
          <w:sz w:val="24"/>
        </w:rPr>
      </w:pPr>
      <w:bookmarkStart w:id="47" w:name="_Hlk89698381"/>
      <w:r>
        <w:rPr>
          <w:sz w:val="24"/>
        </w:rPr>
        <w:t xml:space="preserve">2.4  </w:t>
      </w:r>
      <w:r>
        <w:rPr>
          <w:sz w:val="24"/>
        </w:rPr>
        <w:t>肠道蛋白酶含量</w:t>
      </w:r>
    </w:p>
    <w:bookmarkEnd w:id="47"/>
    <w:p w14:paraId="39E09535" w14:textId="77777777" w:rsidR="008F75C3" w:rsidRDefault="006614AC">
      <w:pPr>
        <w:spacing w:line="360" w:lineRule="auto"/>
        <w:ind w:firstLineChars="200" w:firstLine="480"/>
        <w:rPr>
          <w:sz w:val="24"/>
        </w:rPr>
      </w:pPr>
      <w:r>
        <w:rPr>
          <w:sz w:val="24"/>
        </w:rPr>
        <w:lastRenderedPageBreak/>
        <w:t>由表</w:t>
      </w:r>
      <w:r>
        <w:rPr>
          <w:sz w:val="24"/>
        </w:rPr>
        <w:t>6</w:t>
      </w:r>
      <w:r>
        <w:rPr>
          <w:sz w:val="24"/>
        </w:rPr>
        <w:t>可知，</w:t>
      </w:r>
      <w:r>
        <w:rPr>
          <w:sz w:val="24"/>
        </w:rPr>
        <w:t>CPC</w:t>
      </w:r>
      <w:r>
        <w:rPr>
          <w:sz w:val="24"/>
        </w:rPr>
        <w:t>替代</w:t>
      </w:r>
      <w:r>
        <w:rPr>
          <w:sz w:val="24"/>
        </w:rPr>
        <w:t>40</w:t>
      </w:r>
      <w:r>
        <w:rPr>
          <w:sz w:val="24"/>
        </w:rPr>
        <w:t>％鱼粉蛋白后，前、中、后肠蛋白酶含量与</w:t>
      </w:r>
      <w:r>
        <w:rPr>
          <w:sz w:val="24"/>
        </w:rPr>
        <w:t>HFM</w:t>
      </w:r>
      <w:r>
        <w:rPr>
          <w:sz w:val="24"/>
        </w:rPr>
        <w:t>组均无显著差异（</w:t>
      </w:r>
      <w:r>
        <w:rPr>
          <w:sz w:val="24"/>
        </w:rPr>
        <w:t>(</w:t>
      </w:r>
      <w:r>
        <w:rPr>
          <w:i/>
          <w:iCs/>
          <w:sz w:val="24"/>
        </w:rPr>
        <w:t>P</w:t>
      </w:r>
      <w:r>
        <w:rPr>
          <w:sz w:val="24"/>
        </w:rPr>
        <w:t>&gt;0.05)</w:t>
      </w:r>
      <w:r>
        <w:rPr>
          <w:sz w:val="24"/>
        </w:rPr>
        <w:t>；与</w:t>
      </w:r>
      <w:r>
        <w:rPr>
          <w:sz w:val="24"/>
        </w:rPr>
        <w:t>LFM</w:t>
      </w:r>
      <w:r>
        <w:rPr>
          <w:sz w:val="24"/>
        </w:rPr>
        <w:t>组相比，添加蛋白酶后，显著提高大口黑鲈前、后肠蛋白酶含量</w:t>
      </w:r>
      <w:r>
        <w:rPr>
          <w:sz w:val="24"/>
        </w:rPr>
        <w:t>(</w:t>
      </w:r>
      <w:r>
        <w:rPr>
          <w:i/>
          <w:iCs/>
          <w:sz w:val="24"/>
        </w:rPr>
        <w:t>P</w:t>
      </w:r>
      <w:r>
        <w:rPr>
          <w:sz w:val="24"/>
        </w:rPr>
        <w:t>&lt;0.05)</w:t>
      </w:r>
      <w:r>
        <w:rPr>
          <w:sz w:val="24"/>
        </w:rPr>
        <w:t>。各组间中肠蛋白酶含量均无显著差异</w:t>
      </w:r>
      <w:r>
        <w:rPr>
          <w:sz w:val="24"/>
        </w:rPr>
        <w:t>(</w:t>
      </w:r>
      <w:r>
        <w:rPr>
          <w:i/>
          <w:iCs/>
          <w:sz w:val="24"/>
        </w:rPr>
        <w:t>P</w:t>
      </w:r>
      <w:r>
        <w:rPr>
          <w:sz w:val="24"/>
        </w:rPr>
        <w:t>&gt;0.05)</w:t>
      </w:r>
      <w:r>
        <w:rPr>
          <w:sz w:val="24"/>
        </w:rPr>
        <w:t>。</w:t>
      </w:r>
    </w:p>
    <w:p w14:paraId="77C8F4EE" w14:textId="77777777" w:rsidR="008F75C3" w:rsidRDefault="006614AC">
      <w:pPr>
        <w:spacing w:line="360" w:lineRule="auto"/>
        <w:jc w:val="left"/>
        <w:rPr>
          <w:sz w:val="24"/>
        </w:rPr>
      </w:pPr>
      <w:r>
        <w:rPr>
          <w:sz w:val="24"/>
        </w:rPr>
        <w:t xml:space="preserve">2.5  </w:t>
      </w:r>
      <w:r>
        <w:rPr>
          <w:sz w:val="24"/>
        </w:rPr>
        <w:t>糖代谢过程</w:t>
      </w:r>
    </w:p>
    <w:p w14:paraId="73695721" w14:textId="77777777" w:rsidR="008F75C3" w:rsidRDefault="006614AC">
      <w:pPr>
        <w:spacing w:line="360" w:lineRule="auto"/>
        <w:ind w:firstLineChars="200" w:firstLine="480"/>
        <w:rPr>
          <w:sz w:val="24"/>
        </w:rPr>
      </w:pPr>
      <w:r>
        <w:rPr>
          <w:sz w:val="24"/>
        </w:rPr>
        <w:t>由图</w:t>
      </w:r>
      <w:r>
        <w:rPr>
          <w:sz w:val="24"/>
        </w:rPr>
        <w:t>1-A</w:t>
      </w:r>
      <w:r>
        <w:rPr>
          <w:sz w:val="24"/>
        </w:rPr>
        <w:t>可见</w:t>
      </w:r>
      <w:r>
        <w:rPr>
          <w:sz w:val="24"/>
        </w:rPr>
        <w:t>, CPC</w:t>
      </w:r>
      <w:r>
        <w:rPr>
          <w:sz w:val="24"/>
        </w:rPr>
        <w:t>替代</w:t>
      </w:r>
      <w:r>
        <w:rPr>
          <w:sz w:val="24"/>
        </w:rPr>
        <w:t>40%</w:t>
      </w:r>
      <w:r>
        <w:rPr>
          <w:sz w:val="24"/>
        </w:rPr>
        <w:t>鱼粉蛋白后，肝脏</w:t>
      </w:r>
      <w:r>
        <w:rPr>
          <w:sz w:val="24"/>
        </w:rPr>
        <w:t>GLY</w:t>
      </w:r>
      <w:r>
        <w:rPr>
          <w:sz w:val="24"/>
        </w:rPr>
        <w:t>含量显著增加</w:t>
      </w:r>
      <w:r>
        <w:rPr>
          <w:sz w:val="24"/>
        </w:rPr>
        <w:t>(</w:t>
      </w:r>
      <w:r>
        <w:rPr>
          <w:i/>
          <w:iCs/>
          <w:sz w:val="24"/>
        </w:rPr>
        <w:t>P</w:t>
      </w:r>
      <w:r>
        <w:rPr>
          <w:sz w:val="24"/>
        </w:rPr>
        <w:t>&lt;0.05)</w:t>
      </w:r>
      <w:r>
        <w:rPr>
          <w:sz w:val="24"/>
        </w:rPr>
        <w:t>；与</w:t>
      </w:r>
      <w:r>
        <w:rPr>
          <w:sz w:val="24"/>
        </w:rPr>
        <w:t xml:space="preserve">LFM </w:t>
      </w:r>
      <w:r>
        <w:rPr>
          <w:sz w:val="24"/>
        </w:rPr>
        <w:t>组相比，添加蛋白酶后，</w:t>
      </w:r>
      <w:r>
        <w:rPr>
          <w:sz w:val="24"/>
        </w:rPr>
        <w:t>LFM+E4 500</w:t>
      </w:r>
      <w:r>
        <w:rPr>
          <w:sz w:val="24"/>
        </w:rPr>
        <w:t>组空腹血浆葡萄糖含量显著升高</w:t>
      </w:r>
      <w:r>
        <w:rPr>
          <w:sz w:val="24"/>
        </w:rPr>
        <w:t>(</w:t>
      </w:r>
      <w:r>
        <w:rPr>
          <w:i/>
          <w:iCs/>
          <w:sz w:val="24"/>
        </w:rPr>
        <w:t>P</w:t>
      </w:r>
      <w:r>
        <w:rPr>
          <w:sz w:val="24"/>
        </w:rPr>
        <w:t>&lt;0.05)</w:t>
      </w:r>
      <w:r>
        <w:rPr>
          <w:sz w:val="24"/>
        </w:rPr>
        <w:t>，</w:t>
      </w:r>
      <w:r>
        <w:rPr>
          <w:sz w:val="24"/>
        </w:rPr>
        <w:t>LFM+E4500</w:t>
      </w:r>
      <w:r>
        <w:rPr>
          <w:sz w:val="24"/>
        </w:rPr>
        <w:t>和</w:t>
      </w:r>
      <w:r>
        <w:rPr>
          <w:sz w:val="24"/>
        </w:rPr>
        <w:t>LFM+E7 500</w:t>
      </w:r>
      <w:r>
        <w:rPr>
          <w:sz w:val="24"/>
        </w:rPr>
        <w:t>组</w:t>
      </w:r>
      <w:r>
        <w:rPr>
          <w:sz w:val="24"/>
        </w:rPr>
        <w:t>GLY</w:t>
      </w:r>
      <w:r>
        <w:rPr>
          <w:sz w:val="24"/>
        </w:rPr>
        <w:t>含量显著减少</w:t>
      </w:r>
      <w:r>
        <w:rPr>
          <w:sz w:val="24"/>
        </w:rPr>
        <w:t xml:space="preserve">( </w:t>
      </w:r>
      <w:r>
        <w:rPr>
          <w:i/>
          <w:iCs/>
          <w:sz w:val="24"/>
        </w:rPr>
        <w:t>P</w:t>
      </w:r>
      <w:r>
        <w:rPr>
          <w:sz w:val="24"/>
        </w:rPr>
        <w:t>&lt;</w:t>
      </w:r>
      <w:r>
        <w:rPr>
          <w:sz w:val="24"/>
        </w:rPr>
        <w:t>0.05)</w:t>
      </w:r>
      <w:r>
        <w:rPr>
          <w:sz w:val="24"/>
        </w:rPr>
        <w:t>，但均与</w:t>
      </w:r>
      <w:r>
        <w:rPr>
          <w:sz w:val="24"/>
        </w:rPr>
        <w:t>HFM</w:t>
      </w:r>
      <w:r>
        <w:rPr>
          <w:sz w:val="24"/>
        </w:rPr>
        <w:t>组无显著差异</w:t>
      </w:r>
      <w:r>
        <w:rPr>
          <w:sz w:val="24"/>
        </w:rPr>
        <w:t xml:space="preserve">( </w:t>
      </w:r>
      <w:r>
        <w:rPr>
          <w:i/>
          <w:iCs/>
          <w:sz w:val="24"/>
        </w:rPr>
        <w:t>P</w:t>
      </w:r>
      <w:r>
        <w:rPr>
          <w:sz w:val="24"/>
        </w:rPr>
        <w:t>&gt;0.05)</w:t>
      </w:r>
      <w:r>
        <w:rPr>
          <w:sz w:val="24"/>
        </w:rPr>
        <w:t>。糖代谢相关酶活性如图</w:t>
      </w:r>
      <w:r>
        <w:rPr>
          <w:sz w:val="24"/>
        </w:rPr>
        <w:t>1-B</w:t>
      </w:r>
      <w:r>
        <w:rPr>
          <w:sz w:val="24"/>
        </w:rPr>
        <w:t>，在餐后</w:t>
      </w:r>
      <w:r>
        <w:rPr>
          <w:sz w:val="24"/>
        </w:rPr>
        <w:t>24 h</w:t>
      </w:r>
      <w:r>
        <w:rPr>
          <w:sz w:val="24"/>
        </w:rPr>
        <w:t>，</w:t>
      </w:r>
      <w:r>
        <w:rPr>
          <w:sz w:val="24"/>
        </w:rPr>
        <w:t>CPC</w:t>
      </w:r>
      <w:r>
        <w:rPr>
          <w:sz w:val="24"/>
        </w:rPr>
        <w:t>替代</w:t>
      </w:r>
      <w:r>
        <w:rPr>
          <w:sz w:val="24"/>
        </w:rPr>
        <w:t>40%</w:t>
      </w:r>
      <w:r>
        <w:rPr>
          <w:sz w:val="24"/>
        </w:rPr>
        <w:t>鱼粉蛋白后，与</w:t>
      </w:r>
      <w:r>
        <w:rPr>
          <w:sz w:val="24"/>
        </w:rPr>
        <w:t>HFM</w:t>
      </w:r>
      <w:r>
        <w:rPr>
          <w:sz w:val="24"/>
        </w:rPr>
        <w:t>组相比，肝脏糖酵解酶</w:t>
      </w:r>
      <w:r>
        <w:rPr>
          <w:sz w:val="24"/>
        </w:rPr>
        <w:t>GK</w:t>
      </w:r>
      <w:r>
        <w:rPr>
          <w:sz w:val="24"/>
        </w:rPr>
        <w:t>活性显著下调</w:t>
      </w:r>
      <w:r>
        <w:rPr>
          <w:sz w:val="24"/>
        </w:rPr>
        <w:t xml:space="preserve">( </w:t>
      </w:r>
      <w:r>
        <w:rPr>
          <w:i/>
          <w:iCs/>
          <w:sz w:val="24"/>
        </w:rPr>
        <w:t>P</w:t>
      </w:r>
      <w:r>
        <w:rPr>
          <w:sz w:val="24"/>
        </w:rPr>
        <w:t>&lt;0.05)</w:t>
      </w:r>
      <w:r>
        <w:rPr>
          <w:sz w:val="24"/>
        </w:rPr>
        <w:t>。添加</w:t>
      </w:r>
      <w:r>
        <w:rPr>
          <w:sz w:val="24"/>
        </w:rPr>
        <w:t xml:space="preserve">4 500 U/kg </w:t>
      </w:r>
      <w:r>
        <w:rPr>
          <w:sz w:val="24"/>
        </w:rPr>
        <w:t>蛋白酶后，肝脏糖酵解酶</w:t>
      </w:r>
      <w:r>
        <w:rPr>
          <w:sz w:val="24"/>
        </w:rPr>
        <w:t>GK</w:t>
      </w:r>
      <w:r>
        <w:rPr>
          <w:sz w:val="24"/>
        </w:rPr>
        <w:t>和糖异生酶</w:t>
      </w:r>
      <w:r>
        <w:rPr>
          <w:sz w:val="24"/>
        </w:rPr>
        <w:t>PEPCK</w:t>
      </w:r>
      <w:r>
        <w:rPr>
          <w:sz w:val="24"/>
        </w:rPr>
        <w:t>，</w:t>
      </w:r>
      <w:r>
        <w:rPr>
          <w:sz w:val="24"/>
        </w:rPr>
        <w:t>G6Pase</w:t>
      </w:r>
      <w:r>
        <w:rPr>
          <w:sz w:val="24"/>
        </w:rPr>
        <w:t>活性较</w:t>
      </w:r>
      <w:r>
        <w:rPr>
          <w:sz w:val="24"/>
        </w:rPr>
        <w:t>LFM</w:t>
      </w:r>
      <w:r>
        <w:rPr>
          <w:sz w:val="24"/>
        </w:rPr>
        <w:t>组显著提高</w:t>
      </w:r>
      <w:r>
        <w:rPr>
          <w:sz w:val="24"/>
        </w:rPr>
        <w:t>(</w:t>
      </w:r>
      <w:r>
        <w:rPr>
          <w:i/>
          <w:iCs/>
          <w:sz w:val="24"/>
        </w:rPr>
        <w:t>P</w:t>
      </w:r>
      <w:r>
        <w:rPr>
          <w:sz w:val="24"/>
        </w:rPr>
        <w:t xml:space="preserve">&lt;0.05) </w:t>
      </w:r>
      <w:r>
        <w:rPr>
          <w:sz w:val="24"/>
        </w:rPr>
        <w:t>；添加</w:t>
      </w:r>
      <w:r>
        <w:rPr>
          <w:sz w:val="24"/>
        </w:rPr>
        <w:t>7 500 U/kg</w:t>
      </w:r>
      <w:r>
        <w:rPr>
          <w:sz w:val="24"/>
        </w:rPr>
        <w:t>蛋白酶后，肝脏糖代谢相关酶活性与</w:t>
      </w:r>
      <w:r>
        <w:rPr>
          <w:sz w:val="24"/>
        </w:rPr>
        <w:t xml:space="preserve">LFM </w:t>
      </w:r>
      <w:r>
        <w:rPr>
          <w:sz w:val="24"/>
        </w:rPr>
        <w:t>组无显著差异</w:t>
      </w:r>
      <w:r>
        <w:rPr>
          <w:sz w:val="24"/>
        </w:rPr>
        <w:t>(</w:t>
      </w:r>
      <w:r>
        <w:rPr>
          <w:i/>
          <w:iCs/>
          <w:sz w:val="24"/>
        </w:rPr>
        <w:t>P</w:t>
      </w:r>
      <w:r>
        <w:rPr>
          <w:sz w:val="24"/>
        </w:rPr>
        <w:t>&gt;0.05)</w:t>
      </w:r>
      <w:r>
        <w:rPr>
          <w:sz w:val="24"/>
        </w:rPr>
        <w:t>。</w:t>
      </w:r>
    </w:p>
    <w:p w14:paraId="2B4072D1" w14:textId="77777777" w:rsidR="008F75C3" w:rsidRDefault="006614AC">
      <w:pPr>
        <w:spacing w:line="360" w:lineRule="auto"/>
        <w:jc w:val="center"/>
        <w:rPr>
          <w:sz w:val="24"/>
        </w:rPr>
      </w:pPr>
      <w:r>
        <w:rPr>
          <w:noProof/>
          <w:sz w:val="24"/>
        </w:rPr>
        <w:drawing>
          <wp:inline distT="0" distB="0" distL="0" distR="0" wp14:anchorId="6121D86C" wp14:editId="6A788A5D">
            <wp:extent cx="4404360" cy="5184140"/>
            <wp:effectExtent l="0" t="0" r="0" b="0"/>
            <wp:docPr id="35" name="图片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图片 35"/>
                    <pic:cNvPicPr>
                      <a:picLocks noChangeAspect="1" noChangeArrowheads="1"/>
                    </pic:cNvPicPr>
                  </pic:nvPicPr>
                  <pic:blipFill>
                    <a:blip r:embed="rId41" cstate="print">
                      <a:extLst>
                        <a:ext uri="{28A0092B-C50C-407E-A947-70E740481C1C}">
                          <a14:useLocalDpi xmlns:a14="http://schemas.microsoft.com/office/drawing/2010/main" val="0"/>
                        </a:ext>
                      </a:extLst>
                    </a:blip>
                    <a:srcRect/>
                    <a:stretch>
                      <a:fillRect/>
                    </a:stretch>
                  </pic:blipFill>
                  <pic:spPr>
                    <a:xfrm>
                      <a:off x="0" y="0"/>
                      <a:ext cx="4413985" cy="5195324"/>
                    </a:xfrm>
                    <a:prstGeom prst="rect">
                      <a:avLst/>
                    </a:prstGeom>
                    <a:noFill/>
                    <a:ln>
                      <a:noFill/>
                    </a:ln>
                  </pic:spPr>
                </pic:pic>
              </a:graphicData>
            </a:graphic>
          </wp:inline>
        </w:drawing>
      </w:r>
    </w:p>
    <w:p w14:paraId="62819012" w14:textId="77777777" w:rsidR="008F75C3" w:rsidRDefault="006614AC">
      <w:pPr>
        <w:spacing w:line="360" w:lineRule="auto"/>
        <w:rPr>
          <w:sz w:val="24"/>
        </w:rPr>
      </w:pPr>
      <w:r>
        <w:rPr>
          <w:sz w:val="24"/>
        </w:rPr>
        <w:lastRenderedPageBreak/>
        <w:t xml:space="preserve">2.6  </w:t>
      </w:r>
      <w:r>
        <w:rPr>
          <w:sz w:val="24"/>
        </w:rPr>
        <w:t>脂代谢过程</w:t>
      </w:r>
    </w:p>
    <w:p w14:paraId="1F80DBB5" w14:textId="77777777" w:rsidR="008F75C3" w:rsidRDefault="006614AC">
      <w:pPr>
        <w:spacing w:line="360" w:lineRule="auto"/>
        <w:ind w:firstLineChars="200" w:firstLine="480"/>
        <w:rPr>
          <w:sz w:val="24"/>
        </w:rPr>
      </w:pPr>
      <w:r>
        <w:rPr>
          <w:sz w:val="24"/>
        </w:rPr>
        <w:t>由图</w:t>
      </w:r>
      <w:r>
        <w:rPr>
          <w:sz w:val="24"/>
        </w:rPr>
        <w:t>2-A</w:t>
      </w:r>
      <w:r>
        <w:rPr>
          <w:sz w:val="24"/>
        </w:rPr>
        <w:t>可见，</w:t>
      </w:r>
      <w:r>
        <w:rPr>
          <w:sz w:val="24"/>
        </w:rPr>
        <w:t>CPC</w:t>
      </w:r>
      <w:r>
        <w:rPr>
          <w:sz w:val="24"/>
        </w:rPr>
        <w:t>替代</w:t>
      </w:r>
      <w:r>
        <w:rPr>
          <w:sz w:val="24"/>
        </w:rPr>
        <w:t>40%</w:t>
      </w:r>
      <w:r>
        <w:rPr>
          <w:sz w:val="24"/>
        </w:rPr>
        <w:t>鱼粉蛋白后，与</w:t>
      </w:r>
      <w:r>
        <w:rPr>
          <w:sz w:val="24"/>
        </w:rPr>
        <w:t>HFM</w:t>
      </w:r>
      <w:r>
        <w:rPr>
          <w:sz w:val="24"/>
        </w:rPr>
        <w:t>组相比，血浆</w:t>
      </w:r>
      <w:r>
        <w:rPr>
          <w:sz w:val="24"/>
        </w:rPr>
        <w:t>TC</w:t>
      </w:r>
      <w:r>
        <w:rPr>
          <w:sz w:val="24"/>
        </w:rPr>
        <w:t>、</w:t>
      </w:r>
      <w:r>
        <w:rPr>
          <w:sz w:val="24"/>
        </w:rPr>
        <w:t xml:space="preserve"> TG</w:t>
      </w:r>
      <w:r>
        <w:rPr>
          <w:sz w:val="24"/>
        </w:rPr>
        <w:t>含量显著增加</w:t>
      </w:r>
      <w:r>
        <w:rPr>
          <w:sz w:val="24"/>
        </w:rPr>
        <w:t xml:space="preserve">( </w:t>
      </w:r>
      <w:r>
        <w:rPr>
          <w:i/>
          <w:iCs/>
          <w:sz w:val="24"/>
        </w:rPr>
        <w:t>P</w:t>
      </w:r>
      <w:r>
        <w:rPr>
          <w:sz w:val="24"/>
        </w:rPr>
        <w:t>&lt;0.05)</w:t>
      </w:r>
      <w:r>
        <w:rPr>
          <w:sz w:val="24"/>
        </w:rPr>
        <w:t>，肝脏</w:t>
      </w:r>
      <w:r>
        <w:rPr>
          <w:sz w:val="24"/>
        </w:rPr>
        <w:t>TG</w:t>
      </w:r>
      <w:r>
        <w:rPr>
          <w:sz w:val="24"/>
        </w:rPr>
        <w:t>含量显著减少</w:t>
      </w:r>
      <w:r>
        <w:rPr>
          <w:sz w:val="24"/>
        </w:rPr>
        <w:t xml:space="preserve">( </w:t>
      </w:r>
      <w:r>
        <w:rPr>
          <w:i/>
          <w:iCs/>
          <w:sz w:val="24"/>
        </w:rPr>
        <w:t>P</w:t>
      </w:r>
      <w:r>
        <w:rPr>
          <w:sz w:val="24"/>
        </w:rPr>
        <w:t>&lt;0.05)</w:t>
      </w:r>
      <w:r>
        <w:rPr>
          <w:sz w:val="24"/>
        </w:rPr>
        <w:t>；添加蛋白酶后，</w:t>
      </w:r>
      <w:r>
        <w:rPr>
          <w:sz w:val="24"/>
        </w:rPr>
        <w:t>LFM+E4500</w:t>
      </w:r>
      <w:r>
        <w:rPr>
          <w:sz w:val="24"/>
        </w:rPr>
        <w:t>和</w:t>
      </w:r>
      <w:r>
        <w:rPr>
          <w:sz w:val="24"/>
        </w:rPr>
        <w:t xml:space="preserve">LFM+E7500 </w:t>
      </w:r>
      <w:r>
        <w:rPr>
          <w:sz w:val="24"/>
        </w:rPr>
        <w:t>组血浆</w:t>
      </w:r>
      <w:r>
        <w:rPr>
          <w:sz w:val="24"/>
        </w:rPr>
        <w:t>TG</w:t>
      </w:r>
      <w:r>
        <w:rPr>
          <w:sz w:val="24"/>
        </w:rPr>
        <w:t>含量较</w:t>
      </w:r>
      <w:r>
        <w:rPr>
          <w:sz w:val="24"/>
        </w:rPr>
        <w:t>LFM</w:t>
      </w:r>
      <w:r>
        <w:rPr>
          <w:sz w:val="24"/>
        </w:rPr>
        <w:t>组显著减少</w:t>
      </w:r>
      <w:r>
        <w:rPr>
          <w:sz w:val="24"/>
        </w:rPr>
        <w:t>(</w:t>
      </w:r>
      <w:r>
        <w:rPr>
          <w:i/>
          <w:iCs/>
          <w:sz w:val="24"/>
        </w:rPr>
        <w:t>P</w:t>
      </w:r>
      <w:r>
        <w:rPr>
          <w:sz w:val="24"/>
        </w:rPr>
        <w:t>&lt;0.05)</w:t>
      </w:r>
      <w:r>
        <w:rPr>
          <w:sz w:val="24"/>
        </w:rPr>
        <w:t>；由图</w:t>
      </w:r>
      <w:r>
        <w:rPr>
          <w:sz w:val="24"/>
        </w:rPr>
        <w:t>2-B</w:t>
      </w:r>
      <w:r>
        <w:rPr>
          <w:sz w:val="24"/>
        </w:rPr>
        <w:t>可见，</w:t>
      </w:r>
      <w:r>
        <w:rPr>
          <w:sz w:val="24"/>
        </w:rPr>
        <w:t>CPC</w:t>
      </w:r>
      <w:r>
        <w:rPr>
          <w:sz w:val="24"/>
        </w:rPr>
        <w:t>替代</w:t>
      </w:r>
      <w:r>
        <w:rPr>
          <w:sz w:val="24"/>
        </w:rPr>
        <w:t>40%</w:t>
      </w:r>
      <w:r>
        <w:rPr>
          <w:sz w:val="24"/>
        </w:rPr>
        <w:t>鱼粉蛋白后，与</w:t>
      </w:r>
      <w:r>
        <w:rPr>
          <w:sz w:val="24"/>
        </w:rPr>
        <w:t>HFM</w:t>
      </w:r>
      <w:r>
        <w:rPr>
          <w:sz w:val="24"/>
        </w:rPr>
        <w:t>组相比，肝脏中脂肪合成基因</w:t>
      </w:r>
      <w:proofErr w:type="spellStart"/>
      <w:r>
        <w:rPr>
          <w:sz w:val="24"/>
        </w:rPr>
        <w:t>PPARγ</w:t>
      </w:r>
      <w:proofErr w:type="spellEnd"/>
      <w:r>
        <w:rPr>
          <w:sz w:val="24"/>
        </w:rPr>
        <w:t>、脂肪分解基因</w:t>
      </w:r>
      <w:r>
        <w:rPr>
          <w:sz w:val="24"/>
        </w:rPr>
        <w:t>ATGL</w:t>
      </w:r>
      <w:r>
        <w:rPr>
          <w:sz w:val="24"/>
        </w:rPr>
        <w:t>和</w:t>
      </w:r>
      <w:r>
        <w:rPr>
          <w:sz w:val="24"/>
        </w:rPr>
        <w:t>β</w:t>
      </w:r>
      <w:r>
        <w:rPr>
          <w:sz w:val="24"/>
        </w:rPr>
        <w:t>氧</w:t>
      </w:r>
      <w:proofErr w:type="gramStart"/>
      <w:r>
        <w:rPr>
          <w:sz w:val="24"/>
        </w:rPr>
        <w:t>化相关</w:t>
      </w:r>
      <w:proofErr w:type="gramEnd"/>
      <w:r>
        <w:rPr>
          <w:sz w:val="24"/>
        </w:rPr>
        <w:t>基因</w:t>
      </w:r>
      <w:r>
        <w:rPr>
          <w:sz w:val="24"/>
        </w:rPr>
        <w:t>PPAR</w:t>
      </w:r>
      <w:bookmarkStart w:id="48" w:name="_Hlk89702462"/>
      <w:r>
        <w:rPr>
          <w:sz w:val="24"/>
        </w:rPr>
        <w:t>α</w:t>
      </w:r>
      <w:bookmarkEnd w:id="48"/>
      <w:r>
        <w:rPr>
          <w:sz w:val="24"/>
        </w:rPr>
        <w:t>mRNA</w:t>
      </w:r>
      <w:r>
        <w:rPr>
          <w:sz w:val="24"/>
        </w:rPr>
        <w:t>相对表达量均显著上调</w:t>
      </w:r>
      <w:r>
        <w:rPr>
          <w:sz w:val="24"/>
        </w:rPr>
        <w:t>(</w:t>
      </w:r>
      <w:r>
        <w:rPr>
          <w:i/>
          <w:iCs/>
          <w:sz w:val="24"/>
        </w:rPr>
        <w:t>P</w:t>
      </w:r>
      <w:r>
        <w:rPr>
          <w:sz w:val="24"/>
        </w:rPr>
        <w:t>&lt;0.05)</w:t>
      </w:r>
      <w:r>
        <w:rPr>
          <w:sz w:val="24"/>
        </w:rPr>
        <w:t>，脂肪分解基因</w:t>
      </w:r>
      <w:proofErr w:type="spellStart"/>
      <w:r>
        <w:rPr>
          <w:sz w:val="24"/>
        </w:rPr>
        <w:t>HSLmRNA</w:t>
      </w:r>
      <w:proofErr w:type="spellEnd"/>
      <w:r>
        <w:rPr>
          <w:sz w:val="24"/>
        </w:rPr>
        <w:t>相对表达量显著下调</w:t>
      </w:r>
      <w:r>
        <w:rPr>
          <w:sz w:val="24"/>
        </w:rPr>
        <w:t>(</w:t>
      </w:r>
      <w:r>
        <w:rPr>
          <w:i/>
          <w:iCs/>
          <w:sz w:val="24"/>
        </w:rPr>
        <w:t>P</w:t>
      </w:r>
      <w:r>
        <w:rPr>
          <w:sz w:val="24"/>
        </w:rPr>
        <w:t>&lt;0.05)</w:t>
      </w:r>
      <w:r>
        <w:rPr>
          <w:sz w:val="24"/>
        </w:rPr>
        <w:t>。与</w:t>
      </w:r>
      <w:r>
        <w:rPr>
          <w:sz w:val="24"/>
        </w:rPr>
        <w:t>LFM</w:t>
      </w:r>
      <w:r>
        <w:rPr>
          <w:sz w:val="24"/>
        </w:rPr>
        <w:t>组相比，</w:t>
      </w:r>
      <w:r>
        <w:rPr>
          <w:sz w:val="24"/>
        </w:rPr>
        <w:t>添加蛋白酶后，</w:t>
      </w:r>
      <w:r>
        <w:rPr>
          <w:sz w:val="24"/>
        </w:rPr>
        <w:t>LFM+E4500</w:t>
      </w:r>
      <w:r>
        <w:rPr>
          <w:sz w:val="24"/>
        </w:rPr>
        <w:t>组肝脏中</w:t>
      </w:r>
      <w:r>
        <w:rPr>
          <w:sz w:val="24"/>
        </w:rPr>
        <w:t>ATGL mRNA</w:t>
      </w:r>
      <w:r>
        <w:rPr>
          <w:sz w:val="24"/>
        </w:rPr>
        <w:t>相对表达量显著下调</w:t>
      </w:r>
      <w:r>
        <w:rPr>
          <w:sz w:val="24"/>
        </w:rPr>
        <w:t>(</w:t>
      </w:r>
      <w:r>
        <w:rPr>
          <w:i/>
          <w:iCs/>
          <w:sz w:val="24"/>
        </w:rPr>
        <w:t>P</w:t>
      </w:r>
      <w:r>
        <w:rPr>
          <w:sz w:val="24"/>
        </w:rPr>
        <w:t>&lt;0.05)</w:t>
      </w:r>
      <w:r>
        <w:rPr>
          <w:sz w:val="24"/>
        </w:rPr>
        <w:t>，</w:t>
      </w:r>
      <w:r>
        <w:rPr>
          <w:sz w:val="24"/>
        </w:rPr>
        <w:t>HSL mRNA</w:t>
      </w:r>
      <w:r>
        <w:rPr>
          <w:sz w:val="24"/>
        </w:rPr>
        <w:t>相对表达量显著上调</w:t>
      </w:r>
      <w:r>
        <w:rPr>
          <w:sz w:val="24"/>
        </w:rPr>
        <w:t>(</w:t>
      </w:r>
      <w:r>
        <w:rPr>
          <w:i/>
          <w:iCs/>
          <w:sz w:val="24"/>
        </w:rPr>
        <w:t>P</w:t>
      </w:r>
      <w:r>
        <w:rPr>
          <w:sz w:val="24"/>
        </w:rPr>
        <w:t>&lt;0.05)</w:t>
      </w:r>
      <w:r>
        <w:rPr>
          <w:sz w:val="24"/>
        </w:rPr>
        <w:t>，</w:t>
      </w:r>
      <w:r>
        <w:rPr>
          <w:sz w:val="24"/>
        </w:rPr>
        <w:t>PPAR</w:t>
      </w:r>
      <w:bookmarkStart w:id="49" w:name="_Hlk89702668"/>
      <w:r>
        <w:rPr>
          <w:sz w:val="24"/>
        </w:rPr>
        <w:t>α</w:t>
      </w:r>
      <w:bookmarkEnd w:id="49"/>
      <w:r>
        <w:rPr>
          <w:sz w:val="24"/>
        </w:rPr>
        <w:t>mRNA</w:t>
      </w:r>
      <w:r>
        <w:rPr>
          <w:sz w:val="24"/>
        </w:rPr>
        <w:t>相对表达量保持高表达；</w:t>
      </w:r>
      <w:r>
        <w:rPr>
          <w:sz w:val="24"/>
        </w:rPr>
        <w:t xml:space="preserve">LFM+E7500 </w:t>
      </w:r>
      <w:r>
        <w:rPr>
          <w:sz w:val="24"/>
        </w:rPr>
        <w:t>组肝脏中</w:t>
      </w:r>
      <w:r>
        <w:rPr>
          <w:sz w:val="24"/>
        </w:rPr>
        <w:t xml:space="preserve"> </w:t>
      </w:r>
      <w:proofErr w:type="spellStart"/>
      <w:r>
        <w:rPr>
          <w:sz w:val="24"/>
        </w:rPr>
        <w:t>PPAR</w:t>
      </w:r>
      <w:bookmarkStart w:id="50" w:name="_Hlk89702292"/>
      <w:r>
        <w:rPr>
          <w:sz w:val="24"/>
        </w:rPr>
        <w:t>γ</w:t>
      </w:r>
      <w:bookmarkEnd w:id="50"/>
      <w:proofErr w:type="spellEnd"/>
      <w:r>
        <w:rPr>
          <w:sz w:val="24"/>
        </w:rPr>
        <w:t xml:space="preserve"> </w:t>
      </w:r>
      <w:r>
        <w:rPr>
          <w:sz w:val="24"/>
        </w:rPr>
        <w:t>、</w:t>
      </w:r>
      <w:r>
        <w:rPr>
          <w:sz w:val="24"/>
        </w:rPr>
        <w:t>ATGL</w:t>
      </w:r>
      <w:r>
        <w:rPr>
          <w:sz w:val="24"/>
        </w:rPr>
        <w:t>和</w:t>
      </w:r>
      <w:r>
        <w:rPr>
          <w:sz w:val="24"/>
        </w:rPr>
        <w:t xml:space="preserve"> PPARαmRNA</w:t>
      </w:r>
      <w:r>
        <w:rPr>
          <w:sz w:val="24"/>
        </w:rPr>
        <w:t>相对表达量显著下调</w:t>
      </w:r>
      <w:r>
        <w:rPr>
          <w:sz w:val="24"/>
        </w:rPr>
        <w:t>(</w:t>
      </w:r>
      <w:r>
        <w:rPr>
          <w:i/>
          <w:iCs/>
          <w:sz w:val="24"/>
        </w:rPr>
        <w:t>P</w:t>
      </w:r>
      <w:r>
        <w:rPr>
          <w:sz w:val="24"/>
        </w:rPr>
        <w:t>&lt;0.05 )</w:t>
      </w:r>
      <w:r>
        <w:rPr>
          <w:sz w:val="24"/>
        </w:rPr>
        <w:t>，</w:t>
      </w:r>
      <w:r>
        <w:rPr>
          <w:sz w:val="24"/>
        </w:rPr>
        <w:t xml:space="preserve"> HSL mRNA</w:t>
      </w:r>
      <w:r>
        <w:rPr>
          <w:sz w:val="24"/>
        </w:rPr>
        <w:t>相对表达量显著上调</w:t>
      </w:r>
      <w:r>
        <w:rPr>
          <w:sz w:val="24"/>
        </w:rPr>
        <w:t>(</w:t>
      </w:r>
      <w:r>
        <w:rPr>
          <w:i/>
          <w:iCs/>
          <w:sz w:val="24"/>
        </w:rPr>
        <w:t>P</w:t>
      </w:r>
      <w:r>
        <w:rPr>
          <w:sz w:val="24"/>
        </w:rPr>
        <w:t>&lt;0.05)</w:t>
      </w:r>
      <w:r>
        <w:rPr>
          <w:sz w:val="24"/>
        </w:rPr>
        <w:t>。由图</w:t>
      </w:r>
      <w:r>
        <w:rPr>
          <w:sz w:val="24"/>
        </w:rPr>
        <w:t>2-C</w:t>
      </w:r>
      <w:r>
        <w:rPr>
          <w:sz w:val="24"/>
        </w:rPr>
        <w:t>可知，</w:t>
      </w:r>
      <w:r>
        <w:rPr>
          <w:sz w:val="24"/>
        </w:rPr>
        <w:t>CPC</w:t>
      </w:r>
      <w:r>
        <w:rPr>
          <w:sz w:val="24"/>
        </w:rPr>
        <w:t>替代</w:t>
      </w:r>
      <w:r>
        <w:rPr>
          <w:sz w:val="24"/>
        </w:rPr>
        <w:t>40%</w:t>
      </w:r>
      <w:r>
        <w:rPr>
          <w:sz w:val="24"/>
        </w:rPr>
        <w:t>鱼粉蛋白质后，肝脏酶活性与</w:t>
      </w:r>
      <w:r>
        <w:rPr>
          <w:sz w:val="24"/>
        </w:rPr>
        <w:t>HFM</w:t>
      </w:r>
      <w:r>
        <w:rPr>
          <w:sz w:val="24"/>
        </w:rPr>
        <w:t>组无显著差异</w:t>
      </w:r>
      <w:r>
        <w:rPr>
          <w:sz w:val="24"/>
        </w:rPr>
        <w:t>(</w:t>
      </w:r>
      <w:r>
        <w:rPr>
          <w:i/>
          <w:iCs/>
          <w:sz w:val="24"/>
        </w:rPr>
        <w:t>P</w:t>
      </w:r>
      <w:r>
        <w:rPr>
          <w:sz w:val="24"/>
        </w:rPr>
        <w:t>&gt;0.05)</w:t>
      </w:r>
      <w:r>
        <w:rPr>
          <w:sz w:val="24"/>
        </w:rPr>
        <w:t>；添加蛋白酶后，</w:t>
      </w:r>
      <w:r>
        <w:rPr>
          <w:sz w:val="24"/>
        </w:rPr>
        <w:t xml:space="preserve">LFM +E4500 </w:t>
      </w:r>
      <w:r>
        <w:rPr>
          <w:sz w:val="24"/>
        </w:rPr>
        <w:t>组肝脏</w:t>
      </w:r>
      <w:r>
        <w:rPr>
          <w:sz w:val="24"/>
        </w:rPr>
        <w:t>ATGL</w:t>
      </w:r>
      <w:r>
        <w:rPr>
          <w:sz w:val="24"/>
        </w:rPr>
        <w:t>和</w:t>
      </w:r>
      <w:r>
        <w:rPr>
          <w:sz w:val="24"/>
        </w:rPr>
        <w:t>MGL</w:t>
      </w:r>
      <w:r>
        <w:rPr>
          <w:sz w:val="24"/>
        </w:rPr>
        <w:t>活性较</w:t>
      </w:r>
      <w:r>
        <w:rPr>
          <w:sz w:val="24"/>
        </w:rPr>
        <w:t>L</w:t>
      </w:r>
      <w:r>
        <w:rPr>
          <w:sz w:val="24"/>
        </w:rPr>
        <w:t>FM</w:t>
      </w:r>
      <w:r>
        <w:rPr>
          <w:sz w:val="24"/>
        </w:rPr>
        <w:t>组显著上调</w:t>
      </w:r>
      <w:r>
        <w:rPr>
          <w:sz w:val="24"/>
        </w:rPr>
        <w:t>(</w:t>
      </w:r>
      <w:r>
        <w:rPr>
          <w:i/>
          <w:iCs/>
          <w:sz w:val="24"/>
        </w:rPr>
        <w:t>P</w:t>
      </w:r>
      <w:r>
        <w:rPr>
          <w:sz w:val="24"/>
        </w:rPr>
        <w:t>&lt;0.05)</w:t>
      </w:r>
      <w:r>
        <w:rPr>
          <w:sz w:val="24"/>
        </w:rPr>
        <w:t>；</w:t>
      </w:r>
      <w:r>
        <w:rPr>
          <w:sz w:val="24"/>
        </w:rPr>
        <w:t>LFM+E7500</w:t>
      </w:r>
      <w:r>
        <w:rPr>
          <w:sz w:val="24"/>
        </w:rPr>
        <w:t>组肝脏</w:t>
      </w:r>
      <w:r>
        <w:rPr>
          <w:sz w:val="24"/>
        </w:rPr>
        <w:t>ATGL</w:t>
      </w:r>
      <w:r>
        <w:rPr>
          <w:sz w:val="24"/>
        </w:rPr>
        <w:t>和</w:t>
      </w:r>
      <w:r>
        <w:rPr>
          <w:sz w:val="24"/>
        </w:rPr>
        <w:t xml:space="preserve"> MGL</w:t>
      </w:r>
      <w:r>
        <w:rPr>
          <w:sz w:val="24"/>
        </w:rPr>
        <w:t>活性与</w:t>
      </w:r>
      <w:r>
        <w:rPr>
          <w:sz w:val="24"/>
        </w:rPr>
        <w:t>LFM</w:t>
      </w:r>
      <w:r>
        <w:rPr>
          <w:sz w:val="24"/>
        </w:rPr>
        <w:t>组无显著差异</w:t>
      </w:r>
      <w:r>
        <w:rPr>
          <w:sz w:val="24"/>
        </w:rPr>
        <w:t>(</w:t>
      </w:r>
      <w:r>
        <w:rPr>
          <w:i/>
          <w:iCs/>
          <w:sz w:val="24"/>
        </w:rPr>
        <w:t>P</w:t>
      </w:r>
      <w:r>
        <w:rPr>
          <w:sz w:val="24"/>
        </w:rPr>
        <w:t>&gt;0.05)</w:t>
      </w:r>
      <w:r>
        <w:rPr>
          <w:sz w:val="24"/>
        </w:rPr>
        <w:t>。</w:t>
      </w:r>
    </w:p>
    <w:p w14:paraId="2D796813" w14:textId="77777777" w:rsidR="008F75C3" w:rsidRDefault="006614AC">
      <w:pPr>
        <w:spacing w:line="360" w:lineRule="auto"/>
        <w:ind w:firstLineChars="200" w:firstLine="480"/>
        <w:rPr>
          <w:sz w:val="24"/>
        </w:rPr>
      </w:pPr>
      <w:r>
        <w:rPr>
          <w:sz w:val="24"/>
        </w:rPr>
        <w:t>由图</w:t>
      </w:r>
      <w:r>
        <w:rPr>
          <w:sz w:val="24"/>
        </w:rPr>
        <w:t>2-D</w:t>
      </w:r>
      <w:r>
        <w:rPr>
          <w:sz w:val="24"/>
        </w:rPr>
        <w:t>可知</w:t>
      </w:r>
      <w:r>
        <w:rPr>
          <w:sz w:val="24"/>
        </w:rPr>
        <w:t>, CPC</w:t>
      </w:r>
      <w:r>
        <w:rPr>
          <w:sz w:val="24"/>
        </w:rPr>
        <w:t>替代</w:t>
      </w:r>
      <w:r>
        <w:rPr>
          <w:sz w:val="24"/>
        </w:rPr>
        <w:t>40%</w:t>
      </w:r>
      <w:r>
        <w:rPr>
          <w:sz w:val="24"/>
        </w:rPr>
        <w:t>鱼粉蛋白后，</w:t>
      </w:r>
      <w:proofErr w:type="gramStart"/>
      <w:r>
        <w:rPr>
          <w:sz w:val="24"/>
        </w:rPr>
        <w:t>腹脂</w:t>
      </w:r>
      <w:proofErr w:type="gramEnd"/>
      <w:r>
        <w:rPr>
          <w:sz w:val="24"/>
        </w:rPr>
        <w:t>β</w:t>
      </w:r>
      <w:r>
        <w:rPr>
          <w:sz w:val="24"/>
        </w:rPr>
        <w:t>氧化基因</w:t>
      </w:r>
      <w:r>
        <w:rPr>
          <w:sz w:val="24"/>
        </w:rPr>
        <w:t>PPAR</w:t>
      </w:r>
      <w:bookmarkStart w:id="51" w:name="_Hlk89702721"/>
      <w:r>
        <w:rPr>
          <w:sz w:val="24"/>
        </w:rPr>
        <w:t>α</w:t>
      </w:r>
      <w:bookmarkEnd w:id="51"/>
      <w:r>
        <w:rPr>
          <w:sz w:val="24"/>
        </w:rPr>
        <w:t xml:space="preserve"> mRNA</w:t>
      </w:r>
      <w:r>
        <w:rPr>
          <w:sz w:val="24"/>
        </w:rPr>
        <w:t>相对表达量较</w:t>
      </w:r>
      <w:r>
        <w:rPr>
          <w:sz w:val="24"/>
        </w:rPr>
        <w:t>HFM</w:t>
      </w:r>
      <w:r>
        <w:rPr>
          <w:sz w:val="24"/>
        </w:rPr>
        <w:t>组显著上调</w:t>
      </w:r>
      <w:r>
        <w:rPr>
          <w:sz w:val="24"/>
        </w:rPr>
        <w:t xml:space="preserve">( </w:t>
      </w:r>
      <w:r>
        <w:rPr>
          <w:i/>
          <w:iCs/>
          <w:sz w:val="24"/>
        </w:rPr>
        <w:t>P</w:t>
      </w:r>
      <w:r>
        <w:rPr>
          <w:sz w:val="24"/>
        </w:rPr>
        <w:t>&lt;0.05)</w:t>
      </w:r>
      <w:r>
        <w:rPr>
          <w:sz w:val="24"/>
        </w:rPr>
        <w:t>。添加蛋白酶后，</w:t>
      </w:r>
      <w:r>
        <w:rPr>
          <w:sz w:val="24"/>
        </w:rPr>
        <w:t>2</w:t>
      </w:r>
      <w:r>
        <w:rPr>
          <w:sz w:val="24"/>
        </w:rPr>
        <w:t>个</w:t>
      </w:r>
      <w:proofErr w:type="gramStart"/>
      <w:r>
        <w:rPr>
          <w:sz w:val="24"/>
        </w:rPr>
        <w:t>试验组腹脂脂肪</w:t>
      </w:r>
      <w:proofErr w:type="gramEnd"/>
      <w:r>
        <w:rPr>
          <w:sz w:val="24"/>
        </w:rPr>
        <w:t>分解基因</w:t>
      </w:r>
      <w:r>
        <w:rPr>
          <w:sz w:val="24"/>
        </w:rPr>
        <w:t>ATGL</w:t>
      </w:r>
      <w:r>
        <w:rPr>
          <w:sz w:val="24"/>
        </w:rPr>
        <w:t>和</w:t>
      </w:r>
      <w:r>
        <w:rPr>
          <w:sz w:val="24"/>
        </w:rPr>
        <w:t xml:space="preserve"> HSL mRNA</w:t>
      </w:r>
      <w:r>
        <w:rPr>
          <w:sz w:val="24"/>
        </w:rPr>
        <w:t>相对表达量较</w:t>
      </w:r>
      <w:r>
        <w:rPr>
          <w:sz w:val="24"/>
        </w:rPr>
        <w:t>LFM</w:t>
      </w:r>
      <w:r>
        <w:rPr>
          <w:sz w:val="24"/>
        </w:rPr>
        <w:t>组显著上调</w:t>
      </w:r>
      <w:r>
        <w:rPr>
          <w:sz w:val="24"/>
        </w:rPr>
        <w:t>(</w:t>
      </w:r>
      <w:r>
        <w:rPr>
          <w:i/>
          <w:iCs/>
          <w:sz w:val="24"/>
        </w:rPr>
        <w:t>P</w:t>
      </w:r>
      <w:r>
        <w:rPr>
          <w:sz w:val="24"/>
        </w:rPr>
        <w:t xml:space="preserve">&lt;0.05) </w:t>
      </w:r>
      <w:r>
        <w:rPr>
          <w:sz w:val="24"/>
        </w:rPr>
        <w:t>，</w:t>
      </w:r>
      <w:r>
        <w:rPr>
          <w:sz w:val="24"/>
        </w:rPr>
        <w:t>β</w:t>
      </w:r>
      <w:r>
        <w:rPr>
          <w:sz w:val="24"/>
        </w:rPr>
        <w:t>氧</w:t>
      </w:r>
      <w:proofErr w:type="gramStart"/>
      <w:r>
        <w:rPr>
          <w:sz w:val="24"/>
        </w:rPr>
        <w:t>化相关</w:t>
      </w:r>
      <w:proofErr w:type="gramEnd"/>
      <w:r>
        <w:rPr>
          <w:sz w:val="24"/>
        </w:rPr>
        <w:t>基因</w:t>
      </w:r>
      <w:r>
        <w:rPr>
          <w:sz w:val="24"/>
        </w:rPr>
        <w:t>PPARαmRNA</w:t>
      </w:r>
      <w:r>
        <w:rPr>
          <w:sz w:val="24"/>
        </w:rPr>
        <w:t>相对表达量较</w:t>
      </w:r>
      <w:r>
        <w:rPr>
          <w:sz w:val="24"/>
        </w:rPr>
        <w:t>LFM</w:t>
      </w:r>
      <w:r>
        <w:rPr>
          <w:sz w:val="24"/>
        </w:rPr>
        <w:t>组显著下调</w:t>
      </w:r>
      <w:r>
        <w:rPr>
          <w:sz w:val="24"/>
        </w:rPr>
        <w:t>(</w:t>
      </w:r>
      <w:r>
        <w:rPr>
          <w:i/>
          <w:iCs/>
          <w:sz w:val="24"/>
        </w:rPr>
        <w:t>P</w:t>
      </w:r>
      <w:r>
        <w:rPr>
          <w:sz w:val="24"/>
        </w:rPr>
        <w:t>&lt;0.05),</w:t>
      </w:r>
      <w:r>
        <w:rPr>
          <w:sz w:val="24"/>
        </w:rPr>
        <w:t>但仍然较</w:t>
      </w:r>
      <w:r>
        <w:rPr>
          <w:sz w:val="24"/>
        </w:rPr>
        <w:t>HFM</w:t>
      </w:r>
      <w:r>
        <w:rPr>
          <w:sz w:val="24"/>
        </w:rPr>
        <w:t>组显著上调</w:t>
      </w:r>
      <w:r>
        <w:rPr>
          <w:sz w:val="24"/>
        </w:rPr>
        <w:t>(</w:t>
      </w:r>
      <w:r>
        <w:rPr>
          <w:i/>
          <w:iCs/>
          <w:sz w:val="24"/>
        </w:rPr>
        <w:t>P</w:t>
      </w:r>
      <w:r>
        <w:rPr>
          <w:sz w:val="24"/>
        </w:rPr>
        <w:t>&lt;0.05)</w:t>
      </w:r>
      <w:r>
        <w:rPr>
          <w:sz w:val="24"/>
        </w:rPr>
        <w:t>。</w:t>
      </w:r>
    </w:p>
    <w:p w14:paraId="259A7905" w14:textId="77777777" w:rsidR="008F75C3" w:rsidRDefault="006614AC">
      <w:pPr>
        <w:spacing w:line="360" w:lineRule="auto"/>
        <w:ind w:firstLineChars="200" w:firstLine="480"/>
        <w:jc w:val="center"/>
        <w:rPr>
          <w:sz w:val="24"/>
        </w:rPr>
      </w:pPr>
      <w:r>
        <w:rPr>
          <w:noProof/>
          <w:sz w:val="24"/>
        </w:rPr>
        <w:drawing>
          <wp:inline distT="0" distB="0" distL="0" distR="0" wp14:anchorId="2D60F78A" wp14:editId="7C05363B">
            <wp:extent cx="4419600" cy="3609340"/>
            <wp:effectExtent l="0" t="0" r="0" b="0"/>
            <wp:docPr id="36" name="图片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图片 36"/>
                    <pic:cNvPicPr>
                      <a:picLocks noChangeAspect="1" noChangeArrowheads="1"/>
                    </pic:cNvPicPr>
                  </pic:nvPicPr>
                  <pic:blipFill>
                    <a:blip r:embed="rId42" cstate="print">
                      <a:extLst>
                        <a:ext uri="{28A0092B-C50C-407E-A947-70E740481C1C}">
                          <a14:useLocalDpi xmlns:a14="http://schemas.microsoft.com/office/drawing/2010/main" val="0"/>
                        </a:ext>
                      </a:extLst>
                    </a:blip>
                    <a:srcRect/>
                    <a:stretch>
                      <a:fillRect/>
                    </a:stretch>
                  </pic:blipFill>
                  <pic:spPr>
                    <a:xfrm>
                      <a:off x="0" y="0"/>
                      <a:ext cx="4435102" cy="3622456"/>
                    </a:xfrm>
                    <a:prstGeom prst="rect">
                      <a:avLst/>
                    </a:prstGeom>
                    <a:noFill/>
                    <a:ln>
                      <a:noFill/>
                    </a:ln>
                  </pic:spPr>
                </pic:pic>
              </a:graphicData>
            </a:graphic>
          </wp:inline>
        </w:drawing>
      </w:r>
    </w:p>
    <w:p w14:paraId="32217FAC" w14:textId="77777777" w:rsidR="008F75C3" w:rsidRDefault="006614AC">
      <w:pPr>
        <w:spacing w:line="360" w:lineRule="auto"/>
        <w:rPr>
          <w:sz w:val="24"/>
        </w:rPr>
      </w:pPr>
      <w:r>
        <w:rPr>
          <w:sz w:val="24"/>
        </w:rPr>
        <w:lastRenderedPageBreak/>
        <w:t xml:space="preserve">2.7  </w:t>
      </w:r>
      <w:r>
        <w:rPr>
          <w:sz w:val="24"/>
        </w:rPr>
        <w:t>基础能量代谢</w:t>
      </w:r>
    </w:p>
    <w:p w14:paraId="4A2BAE91" w14:textId="77777777" w:rsidR="008F75C3" w:rsidRDefault="006614AC">
      <w:pPr>
        <w:spacing w:line="360" w:lineRule="auto"/>
        <w:ind w:firstLineChars="200" w:firstLine="480"/>
        <w:rPr>
          <w:sz w:val="24"/>
        </w:rPr>
      </w:pPr>
      <w:r>
        <w:rPr>
          <w:sz w:val="24"/>
        </w:rPr>
        <w:t>CPC</w:t>
      </w:r>
      <w:r>
        <w:rPr>
          <w:sz w:val="24"/>
        </w:rPr>
        <w:t>替代</w:t>
      </w:r>
      <w:r>
        <w:rPr>
          <w:sz w:val="24"/>
        </w:rPr>
        <w:t>40</w:t>
      </w:r>
      <w:r>
        <w:rPr>
          <w:sz w:val="24"/>
        </w:rPr>
        <w:t>％鱼粉蛋白后，肝脏</w:t>
      </w:r>
      <w:r>
        <w:rPr>
          <w:sz w:val="24"/>
        </w:rPr>
        <w:t>cAMP</w:t>
      </w:r>
      <w:r>
        <w:rPr>
          <w:sz w:val="24"/>
        </w:rPr>
        <w:t>含量较</w:t>
      </w:r>
      <w:r>
        <w:rPr>
          <w:sz w:val="24"/>
        </w:rPr>
        <w:t>HFM</w:t>
      </w:r>
      <w:r>
        <w:rPr>
          <w:sz w:val="24"/>
        </w:rPr>
        <w:t>组显著降低（</w:t>
      </w:r>
      <w:r>
        <w:rPr>
          <w:i/>
          <w:iCs/>
          <w:sz w:val="24"/>
        </w:rPr>
        <w:t>P</w:t>
      </w:r>
      <w:r>
        <w:rPr>
          <w:sz w:val="24"/>
        </w:rPr>
        <w:t>＜</w:t>
      </w:r>
      <w:r>
        <w:rPr>
          <w:sz w:val="24"/>
        </w:rPr>
        <w:t>0.05</w:t>
      </w:r>
      <w:r>
        <w:rPr>
          <w:sz w:val="24"/>
        </w:rPr>
        <w:t>）（图</w:t>
      </w:r>
      <w:r>
        <w:rPr>
          <w:sz w:val="24"/>
        </w:rPr>
        <w:t>3-</w:t>
      </w:r>
      <w:r>
        <w:rPr>
          <w:sz w:val="24"/>
        </w:rPr>
        <w:t>Ａ）；添加蛋白酶后，</w:t>
      </w:r>
      <w:r>
        <w:rPr>
          <w:sz w:val="24"/>
        </w:rPr>
        <w:t>2</w:t>
      </w:r>
      <w:r>
        <w:rPr>
          <w:sz w:val="24"/>
        </w:rPr>
        <w:t>个试验组肝脏</w:t>
      </w:r>
      <w:r>
        <w:rPr>
          <w:sz w:val="24"/>
        </w:rPr>
        <w:t>cAMP</w:t>
      </w:r>
      <w:r>
        <w:rPr>
          <w:sz w:val="24"/>
        </w:rPr>
        <w:t>含量和肝脏</w:t>
      </w:r>
      <w:proofErr w:type="spellStart"/>
      <w:r>
        <w:rPr>
          <w:i/>
          <w:iCs/>
          <w:sz w:val="24"/>
        </w:rPr>
        <w:t>CREB</w:t>
      </w:r>
      <w:r>
        <w:rPr>
          <w:sz w:val="24"/>
        </w:rPr>
        <w:t>mRNA</w:t>
      </w:r>
      <w:proofErr w:type="spellEnd"/>
      <w:r>
        <w:rPr>
          <w:sz w:val="24"/>
        </w:rPr>
        <w:t>相对表达量均较</w:t>
      </w:r>
      <w:r>
        <w:rPr>
          <w:sz w:val="24"/>
        </w:rPr>
        <w:t>LFM</w:t>
      </w:r>
      <w:r>
        <w:rPr>
          <w:sz w:val="24"/>
        </w:rPr>
        <w:t>组显著增加（</w:t>
      </w:r>
      <w:r>
        <w:rPr>
          <w:i/>
          <w:iCs/>
          <w:sz w:val="24"/>
        </w:rPr>
        <w:t>P</w:t>
      </w:r>
      <w:r>
        <w:rPr>
          <w:sz w:val="24"/>
        </w:rPr>
        <w:t>＜</w:t>
      </w:r>
      <w:r>
        <w:rPr>
          <w:sz w:val="24"/>
        </w:rPr>
        <w:t>0.05</w:t>
      </w:r>
      <w:r>
        <w:rPr>
          <w:sz w:val="24"/>
        </w:rPr>
        <w:t>）（图３</w:t>
      </w:r>
      <w:r>
        <w:rPr>
          <w:sz w:val="24"/>
        </w:rPr>
        <w:t>-</w:t>
      </w:r>
      <w:r>
        <w:rPr>
          <w:sz w:val="24"/>
        </w:rPr>
        <w:t>Ｂ）。</w:t>
      </w:r>
    </w:p>
    <w:p w14:paraId="08D4DCA7" w14:textId="77777777" w:rsidR="008F75C3" w:rsidRDefault="006614AC">
      <w:pPr>
        <w:spacing w:line="360" w:lineRule="auto"/>
        <w:jc w:val="center"/>
        <w:rPr>
          <w:sz w:val="24"/>
        </w:rPr>
      </w:pPr>
      <w:r>
        <w:rPr>
          <w:noProof/>
          <w:sz w:val="24"/>
        </w:rPr>
        <w:drawing>
          <wp:inline distT="0" distB="0" distL="0" distR="0" wp14:anchorId="6EFE721D" wp14:editId="326CA5F7">
            <wp:extent cx="4963795" cy="2516505"/>
            <wp:effectExtent l="0" t="0" r="8255" b="0"/>
            <wp:docPr id="37" name="图片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图片 37"/>
                    <pic:cNvPicPr>
                      <a:picLocks noChangeAspect="1" noChangeArrowheads="1"/>
                    </pic:cNvPicPr>
                  </pic:nvPicPr>
                  <pic:blipFill>
                    <a:blip r:embed="rId43">
                      <a:extLst>
                        <a:ext uri="{28A0092B-C50C-407E-A947-70E740481C1C}">
                          <a14:useLocalDpi xmlns:a14="http://schemas.microsoft.com/office/drawing/2010/main" val="0"/>
                        </a:ext>
                      </a:extLst>
                    </a:blip>
                    <a:srcRect/>
                    <a:stretch>
                      <a:fillRect/>
                    </a:stretch>
                  </pic:blipFill>
                  <pic:spPr>
                    <a:xfrm>
                      <a:off x="0" y="0"/>
                      <a:ext cx="4982628" cy="2526097"/>
                    </a:xfrm>
                    <a:prstGeom prst="rect">
                      <a:avLst/>
                    </a:prstGeom>
                    <a:noFill/>
                    <a:ln>
                      <a:noFill/>
                    </a:ln>
                  </pic:spPr>
                </pic:pic>
              </a:graphicData>
            </a:graphic>
          </wp:inline>
        </w:drawing>
      </w:r>
    </w:p>
    <w:p w14:paraId="69219C53" w14:textId="77777777" w:rsidR="008F75C3" w:rsidRDefault="006614AC">
      <w:pPr>
        <w:spacing w:line="360" w:lineRule="auto"/>
        <w:rPr>
          <w:i/>
          <w:iCs/>
          <w:sz w:val="24"/>
        </w:rPr>
      </w:pPr>
      <w:r>
        <w:rPr>
          <w:sz w:val="24"/>
        </w:rPr>
        <w:t xml:space="preserve">2.8  </w:t>
      </w:r>
      <w:r>
        <w:rPr>
          <w:sz w:val="24"/>
        </w:rPr>
        <w:t>蛋白质合成</w:t>
      </w:r>
      <w:r>
        <w:rPr>
          <w:sz w:val="24"/>
        </w:rPr>
        <w:t xml:space="preserve"> </w:t>
      </w:r>
    </w:p>
    <w:p w14:paraId="49771C0E" w14:textId="77777777" w:rsidR="008F75C3" w:rsidRDefault="006614AC">
      <w:pPr>
        <w:spacing w:line="360" w:lineRule="auto"/>
        <w:ind w:firstLineChars="200" w:firstLine="480"/>
        <w:rPr>
          <w:sz w:val="24"/>
        </w:rPr>
      </w:pPr>
      <w:r>
        <w:rPr>
          <w:sz w:val="24"/>
        </w:rPr>
        <w:t>由图</w:t>
      </w:r>
      <w:r>
        <w:rPr>
          <w:sz w:val="24"/>
        </w:rPr>
        <w:t>4</w:t>
      </w:r>
      <w:r>
        <w:rPr>
          <w:sz w:val="24"/>
        </w:rPr>
        <w:t>可知</w:t>
      </w:r>
      <w:r>
        <w:rPr>
          <w:sz w:val="24"/>
        </w:rPr>
        <w:t>, CPC</w:t>
      </w:r>
      <w:r>
        <w:rPr>
          <w:sz w:val="24"/>
        </w:rPr>
        <w:t>替代</w:t>
      </w:r>
      <w:r>
        <w:rPr>
          <w:sz w:val="24"/>
        </w:rPr>
        <w:t>40%</w:t>
      </w:r>
      <w:r>
        <w:rPr>
          <w:sz w:val="24"/>
        </w:rPr>
        <w:t>鱼粉蛋白后</w:t>
      </w:r>
      <w:r>
        <w:rPr>
          <w:sz w:val="24"/>
        </w:rPr>
        <w:t>,</w:t>
      </w:r>
      <w:r>
        <w:rPr>
          <w:sz w:val="24"/>
        </w:rPr>
        <w:t>肝脏蛋白质合成相关基因</w:t>
      </w:r>
      <w:r>
        <w:rPr>
          <w:i/>
          <w:iCs/>
          <w:sz w:val="24"/>
        </w:rPr>
        <w:t>TOR</w:t>
      </w:r>
      <w:r>
        <w:rPr>
          <w:sz w:val="24"/>
        </w:rPr>
        <w:t>和</w:t>
      </w:r>
      <w:r>
        <w:rPr>
          <w:i/>
          <w:iCs/>
          <w:sz w:val="24"/>
        </w:rPr>
        <w:t>IGF</w:t>
      </w:r>
      <w:r>
        <w:rPr>
          <w:sz w:val="24"/>
        </w:rPr>
        <w:t>-1 mRNA</w:t>
      </w:r>
      <w:r>
        <w:rPr>
          <w:sz w:val="24"/>
        </w:rPr>
        <w:t>相对表达量较</w:t>
      </w:r>
      <w:r>
        <w:rPr>
          <w:sz w:val="24"/>
        </w:rPr>
        <w:t>HFM</w:t>
      </w:r>
      <w:r>
        <w:rPr>
          <w:sz w:val="24"/>
        </w:rPr>
        <w:t>组显著上调</w:t>
      </w:r>
      <w:r>
        <w:rPr>
          <w:sz w:val="24"/>
        </w:rPr>
        <w:t>(</w:t>
      </w:r>
      <w:r>
        <w:rPr>
          <w:i/>
          <w:iCs/>
          <w:sz w:val="24"/>
        </w:rPr>
        <w:t>P</w:t>
      </w:r>
      <w:r>
        <w:rPr>
          <w:sz w:val="24"/>
        </w:rPr>
        <w:t>&lt;0.05)</w:t>
      </w:r>
      <w:r>
        <w:rPr>
          <w:sz w:val="24"/>
        </w:rPr>
        <w:t>。添加蛋白酶后</w:t>
      </w:r>
      <w:r>
        <w:rPr>
          <w:sz w:val="24"/>
        </w:rPr>
        <w:t xml:space="preserve">,LFM+E4500 </w:t>
      </w:r>
      <w:r>
        <w:rPr>
          <w:sz w:val="24"/>
        </w:rPr>
        <w:t>组肝脏</w:t>
      </w:r>
      <w:r>
        <w:rPr>
          <w:i/>
          <w:iCs/>
          <w:sz w:val="24"/>
        </w:rPr>
        <w:t>TOR</w:t>
      </w:r>
      <w:r>
        <w:rPr>
          <w:sz w:val="24"/>
        </w:rPr>
        <w:t>和</w:t>
      </w:r>
      <w:r>
        <w:rPr>
          <w:i/>
          <w:iCs/>
          <w:sz w:val="24"/>
        </w:rPr>
        <w:t>IGF</w:t>
      </w:r>
      <w:r>
        <w:rPr>
          <w:sz w:val="24"/>
        </w:rPr>
        <w:t xml:space="preserve">-1 </w:t>
      </w:r>
      <w:r>
        <w:rPr>
          <w:sz w:val="24"/>
        </w:rPr>
        <w:t>mRNA</w:t>
      </w:r>
      <w:r>
        <w:rPr>
          <w:sz w:val="24"/>
        </w:rPr>
        <w:t>相对表达量与</w:t>
      </w:r>
      <w:r>
        <w:rPr>
          <w:sz w:val="24"/>
        </w:rPr>
        <w:t>LFM</w:t>
      </w:r>
      <w:r>
        <w:rPr>
          <w:sz w:val="24"/>
        </w:rPr>
        <w:t>组无显著差异</w:t>
      </w:r>
      <w:r>
        <w:rPr>
          <w:sz w:val="24"/>
        </w:rPr>
        <w:t>(</w:t>
      </w:r>
      <w:r>
        <w:rPr>
          <w:i/>
          <w:iCs/>
          <w:sz w:val="24"/>
        </w:rPr>
        <w:t>P</w:t>
      </w:r>
      <w:r>
        <w:rPr>
          <w:sz w:val="24"/>
        </w:rPr>
        <w:t xml:space="preserve">&gt;0.05) </w:t>
      </w:r>
      <w:r>
        <w:rPr>
          <w:sz w:val="24"/>
        </w:rPr>
        <w:t>；但</w:t>
      </w:r>
      <w:r>
        <w:rPr>
          <w:sz w:val="24"/>
        </w:rPr>
        <w:t>LFM+E7500</w:t>
      </w:r>
      <w:r>
        <w:rPr>
          <w:sz w:val="24"/>
        </w:rPr>
        <w:t>组肝脏</w:t>
      </w:r>
      <w:r>
        <w:rPr>
          <w:i/>
          <w:iCs/>
          <w:sz w:val="24"/>
        </w:rPr>
        <w:t>TOR</w:t>
      </w:r>
      <w:r>
        <w:rPr>
          <w:sz w:val="24"/>
        </w:rPr>
        <w:t>和</w:t>
      </w:r>
      <w:r>
        <w:rPr>
          <w:i/>
          <w:iCs/>
          <w:sz w:val="24"/>
        </w:rPr>
        <w:t>IGF</w:t>
      </w:r>
      <w:r>
        <w:rPr>
          <w:sz w:val="24"/>
        </w:rPr>
        <w:t>-1 mRNA</w:t>
      </w:r>
      <w:r>
        <w:rPr>
          <w:sz w:val="24"/>
        </w:rPr>
        <w:t>相对表达量较</w:t>
      </w:r>
      <w:r>
        <w:rPr>
          <w:sz w:val="24"/>
        </w:rPr>
        <w:t>LFM</w:t>
      </w:r>
      <w:r>
        <w:rPr>
          <w:sz w:val="24"/>
        </w:rPr>
        <w:t>组显著下调</w:t>
      </w:r>
      <w:r>
        <w:rPr>
          <w:sz w:val="24"/>
        </w:rPr>
        <w:t>(</w:t>
      </w:r>
      <w:r>
        <w:rPr>
          <w:i/>
          <w:iCs/>
          <w:sz w:val="24"/>
        </w:rPr>
        <w:t>P</w:t>
      </w:r>
      <w:r>
        <w:rPr>
          <w:sz w:val="24"/>
        </w:rPr>
        <w:t>&lt;0.05)</w:t>
      </w:r>
      <w:r>
        <w:rPr>
          <w:sz w:val="24"/>
        </w:rPr>
        <w:t>。</w:t>
      </w:r>
    </w:p>
    <w:p w14:paraId="797C213F" w14:textId="77777777" w:rsidR="008F75C3" w:rsidRDefault="006614AC">
      <w:pPr>
        <w:spacing w:line="360" w:lineRule="auto"/>
        <w:ind w:firstLineChars="200" w:firstLine="480"/>
        <w:jc w:val="center"/>
        <w:rPr>
          <w:sz w:val="24"/>
        </w:rPr>
      </w:pPr>
      <w:r>
        <w:rPr>
          <w:noProof/>
          <w:sz w:val="24"/>
        </w:rPr>
        <w:drawing>
          <wp:inline distT="0" distB="0" distL="0" distR="0" wp14:anchorId="0D27D012" wp14:editId="4B660620">
            <wp:extent cx="2914015" cy="3462655"/>
            <wp:effectExtent l="0" t="0" r="635" b="4445"/>
            <wp:docPr id="38" name="图片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图片 38"/>
                    <pic:cNvPicPr>
                      <a:picLocks noChangeAspect="1" noChangeArrowheads="1"/>
                    </pic:cNvPicPr>
                  </pic:nvPicPr>
                  <pic:blipFill>
                    <a:blip r:embed="rId44">
                      <a:extLst>
                        <a:ext uri="{28A0092B-C50C-407E-A947-70E740481C1C}">
                          <a14:useLocalDpi xmlns:a14="http://schemas.microsoft.com/office/drawing/2010/main" val="0"/>
                        </a:ext>
                      </a:extLst>
                    </a:blip>
                    <a:srcRect l="1743" t="2899" r="-1"/>
                    <a:stretch>
                      <a:fillRect/>
                    </a:stretch>
                  </pic:blipFill>
                  <pic:spPr>
                    <a:xfrm>
                      <a:off x="0" y="0"/>
                      <a:ext cx="2914401" cy="3462793"/>
                    </a:xfrm>
                    <a:prstGeom prst="rect">
                      <a:avLst/>
                    </a:prstGeom>
                    <a:noFill/>
                    <a:ln>
                      <a:noFill/>
                    </a:ln>
                  </pic:spPr>
                </pic:pic>
              </a:graphicData>
            </a:graphic>
          </wp:inline>
        </w:drawing>
      </w:r>
    </w:p>
    <w:p w14:paraId="2A1457C3" w14:textId="77777777" w:rsidR="008F75C3" w:rsidRDefault="006614AC">
      <w:pPr>
        <w:spacing w:line="360" w:lineRule="auto"/>
        <w:rPr>
          <w:sz w:val="24"/>
        </w:rPr>
      </w:pPr>
      <w:r>
        <w:rPr>
          <w:sz w:val="24"/>
        </w:rPr>
        <w:lastRenderedPageBreak/>
        <w:t xml:space="preserve">3  </w:t>
      </w:r>
      <w:r>
        <w:rPr>
          <w:sz w:val="24"/>
        </w:rPr>
        <w:t>讨论</w:t>
      </w:r>
    </w:p>
    <w:p w14:paraId="6977A0A4" w14:textId="77777777" w:rsidR="008F75C3" w:rsidRDefault="006614AC">
      <w:pPr>
        <w:spacing w:line="360" w:lineRule="auto"/>
        <w:ind w:firstLineChars="200" w:firstLine="480"/>
        <w:rPr>
          <w:sz w:val="24"/>
        </w:rPr>
      </w:pPr>
      <w:r>
        <w:rPr>
          <w:sz w:val="24"/>
        </w:rPr>
        <w:t>酶制剂作为一种绿色饲料添加剂，其在水产饲料中的应用已有广泛研究，但在生产实践中受热敏性限制，并未被广泛应用。近年来，随着真空后喷涂技术在水产饲料中的应用，使得液体酶制剂在水产膨化饲料中的应用成为可能</w:t>
      </w:r>
      <w:r>
        <w:rPr>
          <w:sz w:val="24"/>
          <w:vertAlign w:val="superscript"/>
        </w:rPr>
        <w:t>[26]</w:t>
      </w:r>
      <w:r>
        <w:rPr>
          <w:sz w:val="24"/>
        </w:rPr>
        <w:t>。董颖超等</w:t>
      </w:r>
      <w:r>
        <w:rPr>
          <w:sz w:val="24"/>
          <w:vertAlign w:val="superscript"/>
        </w:rPr>
        <w:t>[ 27]</w:t>
      </w:r>
      <w:r>
        <w:rPr>
          <w:sz w:val="24"/>
        </w:rPr>
        <w:t>对植酸酶的研究表明，真空后喷涂技术可以显著提高膨化饲料中酶活性的保存率，避免酶制剂中有效成分的损失，</w:t>
      </w:r>
      <w:proofErr w:type="gramStart"/>
      <w:r>
        <w:rPr>
          <w:sz w:val="24"/>
        </w:rPr>
        <w:t>为酶制剂</w:t>
      </w:r>
      <w:proofErr w:type="gramEnd"/>
      <w:r>
        <w:rPr>
          <w:sz w:val="24"/>
        </w:rPr>
        <w:t>在</w:t>
      </w:r>
      <w:r>
        <w:rPr>
          <w:sz w:val="24"/>
        </w:rPr>
        <w:t>水产饲料中的实践应用提供有力支撑。</w:t>
      </w:r>
    </w:p>
    <w:p w14:paraId="2D5A9463" w14:textId="77777777" w:rsidR="008F75C3" w:rsidRDefault="006614AC">
      <w:pPr>
        <w:spacing w:line="360" w:lineRule="auto"/>
        <w:ind w:firstLineChars="200" w:firstLine="480"/>
        <w:rPr>
          <w:sz w:val="24"/>
        </w:rPr>
      </w:pPr>
      <w:r>
        <w:rPr>
          <w:sz w:val="24"/>
        </w:rPr>
        <w:t>已有研究表明，</w:t>
      </w:r>
      <w:r>
        <w:rPr>
          <w:sz w:val="24"/>
        </w:rPr>
        <w:t>CPC</w:t>
      </w:r>
      <w:r>
        <w:rPr>
          <w:sz w:val="24"/>
        </w:rPr>
        <w:t>是一种在水产饲料行业具备优秀潜力，且氨基酸均衡、蛋白质变性小、营养价值高、适口性好的非粮蛋白质源</w:t>
      </w:r>
      <w:r>
        <w:rPr>
          <w:sz w:val="24"/>
          <w:vertAlign w:val="superscript"/>
        </w:rPr>
        <w:t>[28-30]</w:t>
      </w:r>
      <w:r>
        <w:rPr>
          <w:sz w:val="24"/>
        </w:rPr>
        <w:t>。本研究显示</w:t>
      </w:r>
      <w:r>
        <w:rPr>
          <w:sz w:val="24"/>
        </w:rPr>
        <w:t>.</w:t>
      </w:r>
      <w:r>
        <w:rPr>
          <w:sz w:val="24"/>
        </w:rPr>
        <w:t>饲料中以</w:t>
      </w:r>
      <w:r>
        <w:rPr>
          <w:sz w:val="24"/>
        </w:rPr>
        <w:t>CPC</w:t>
      </w:r>
      <w:r>
        <w:rPr>
          <w:sz w:val="24"/>
        </w:rPr>
        <w:t>替代</w:t>
      </w:r>
      <w:r>
        <w:rPr>
          <w:sz w:val="24"/>
        </w:rPr>
        <w:t>40%</w:t>
      </w:r>
      <w:r>
        <w:rPr>
          <w:sz w:val="24"/>
        </w:rPr>
        <w:t>的鱼粉蛋白后</w:t>
      </w:r>
      <w:r>
        <w:rPr>
          <w:sz w:val="24"/>
        </w:rPr>
        <w:t>.</w:t>
      </w:r>
      <w:r>
        <w:rPr>
          <w:sz w:val="24"/>
        </w:rPr>
        <w:t>生长性能反而显著升高。本试验结果说明平衡必需营养素后，大口黑鲈饲料中适当降低鱼粉用量</w:t>
      </w:r>
      <w:r>
        <w:rPr>
          <w:sz w:val="24"/>
        </w:rPr>
        <w:t>( 30%)</w:t>
      </w:r>
      <w:r>
        <w:rPr>
          <w:sz w:val="24"/>
        </w:rPr>
        <w:t>是可行的，同时说明</w:t>
      </w:r>
      <w:r>
        <w:rPr>
          <w:sz w:val="24"/>
        </w:rPr>
        <w:t>CPC</w:t>
      </w:r>
      <w:r>
        <w:rPr>
          <w:sz w:val="24"/>
        </w:rPr>
        <w:t>作为一种低抗营养因子的植物蛋白质源，在大口黑鲈膨化饲料中具有较好的应用前景。目前，中性蛋白酶在水产动物配合饲料中的应用研究还比较少。有研究表明，饲料中添加适量蛋白酶可以显著提</w:t>
      </w:r>
      <w:r>
        <w:rPr>
          <w:sz w:val="24"/>
        </w:rPr>
        <w:t>高蛋白质等营养物质的消化率，从而提高生长性能</w:t>
      </w:r>
      <w:r>
        <w:rPr>
          <w:sz w:val="24"/>
          <w:vertAlign w:val="superscript"/>
        </w:rPr>
        <w:t>[31-32]</w:t>
      </w:r>
      <w:r>
        <w:rPr>
          <w:sz w:val="24"/>
        </w:rPr>
        <w:t>。在对罗非鱼</w:t>
      </w:r>
      <w:r>
        <w:rPr>
          <w:sz w:val="24"/>
          <w:vertAlign w:val="superscript"/>
        </w:rPr>
        <w:t>[13]</w:t>
      </w:r>
      <w:r>
        <w:rPr>
          <w:sz w:val="24"/>
        </w:rPr>
        <w:t>、吉富罗非鱼</w:t>
      </w:r>
      <w:r>
        <w:rPr>
          <w:sz w:val="24"/>
          <w:vertAlign w:val="superscript"/>
        </w:rPr>
        <w:t>[18]</w:t>
      </w:r>
      <w:r>
        <w:rPr>
          <w:sz w:val="24"/>
        </w:rPr>
        <w:t>、鲤鱼</w:t>
      </w:r>
      <w:r>
        <w:rPr>
          <w:sz w:val="24"/>
          <w:vertAlign w:val="superscript"/>
        </w:rPr>
        <w:t>[33-3]</w:t>
      </w:r>
      <w:r>
        <w:rPr>
          <w:sz w:val="24"/>
        </w:rPr>
        <w:t>、</w:t>
      </w:r>
      <w:proofErr w:type="gramStart"/>
      <w:r>
        <w:rPr>
          <w:sz w:val="24"/>
        </w:rPr>
        <w:t>凡纳滨对虾</w:t>
      </w:r>
      <w:proofErr w:type="gramEnd"/>
      <w:r>
        <w:rPr>
          <w:sz w:val="24"/>
          <w:vertAlign w:val="superscript"/>
        </w:rPr>
        <w:t>[35]</w:t>
      </w:r>
      <w:r>
        <w:rPr>
          <w:sz w:val="24"/>
        </w:rPr>
        <w:t>和</w:t>
      </w:r>
      <w:proofErr w:type="gramStart"/>
      <w:r>
        <w:rPr>
          <w:sz w:val="24"/>
        </w:rPr>
        <w:t>虹</w:t>
      </w:r>
      <w:r>
        <w:rPr>
          <w:sz w:val="24"/>
          <w:vertAlign w:val="superscript"/>
        </w:rPr>
        <w:t>[</w:t>
      </w:r>
      <w:proofErr w:type="gramEnd"/>
      <w:r>
        <w:rPr>
          <w:sz w:val="24"/>
          <w:vertAlign w:val="superscript"/>
        </w:rPr>
        <w:t>3]</w:t>
      </w:r>
      <w:r>
        <w:rPr>
          <w:sz w:val="24"/>
        </w:rPr>
        <w:t>的研究中表明，饲料中添加蛋白酶可以显著提高水生动物的生长性能。以上对罗非鱼</w:t>
      </w:r>
      <w:r>
        <w:rPr>
          <w:sz w:val="24"/>
          <w:vertAlign w:val="superscript"/>
        </w:rPr>
        <w:t>[l3]</w:t>
      </w:r>
      <w:r>
        <w:rPr>
          <w:sz w:val="24"/>
        </w:rPr>
        <w:t>、吉富罗非鱼</w:t>
      </w:r>
      <w:r>
        <w:rPr>
          <w:sz w:val="24"/>
          <w:vertAlign w:val="superscript"/>
        </w:rPr>
        <w:t>[8]</w:t>
      </w:r>
      <w:r>
        <w:rPr>
          <w:sz w:val="24"/>
        </w:rPr>
        <w:t>、鲤鱼</w:t>
      </w:r>
      <w:r>
        <w:rPr>
          <w:sz w:val="24"/>
          <w:vertAlign w:val="superscript"/>
        </w:rPr>
        <w:t>[33-34]</w:t>
      </w:r>
      <w:r>
        <w:rPr>
          <w:sz w:val="24"/>
        </w:rPr>
        <w:t>、</w:t>
      </w:r>
      <w:proofErr w:type="gramStart"/>
      <w:r>
        <w:rPr>
          <w:sz w:val="24"/>
        </w:rPr>
        <w:t>凡纳滨对虾</w:t>
      </w:r>
      <w:proofErr w:type="gramEnd"/>
      <w:r>
        <w:rPr>
          <w:sz w:val="24"/>
          <w:vertAlign w:val="superscript"/>
        </w:rPr>
        <w:t>[35]</w:t>
      </w:r>
      <w:r>
        <w:rPr>
          <w:sz w:val="24"/>
        </w:rPr>
        <w:t>和</w:t>
      </w:r>
      <w:proofErr w:type="gramStart"/>
      <w:r>
        <w:rPr>
          <w:sz w:val="24"/>
        </w:rPr>
        <w:t>虹鲸</w:t>
      </w:r>
      <w:proofErr w:type="gramEnd"/>
      <w:r>
        <w:rPr>
          <w:sz w:val="24"/>
          <w:vertAlign w:val="superscript"/>
        </w:rPr>
        <w:t>[3l]</w:t>
      </w:r>
      <w:r>
        <w:rPr>
          <w:sz w:val="24"/>
        </w:rPr>
        <w:t>的研究是在鱼粉含量</w:t>
      </w:r>
      <w:r>
        <w:rPr>
          <w:sz w:val="24"/>
        </w:rPr>
        <w:t>(0</w:t>
      </w:r>
      <w:r>
        <w:rPr>
          <w:sz w:val="24"/>
        </w:rPr>
        <w:t>、</w:t>
      </w:r>
      <w:r>
        <w:rPr>
          <w:sz w:val="24"/>
        </w:rPr>
        <w:t xml:space="preserve">5% </w:t>
      </w:r>
      <w:r>
        <w:rPr>
          <w:sz w:val="24"/>
        </w:rPr>
        <w:t>、</w:t>
      </w:r>
      <w:r>
        <w:rPr>
          <w:sz w:val="24"/>
        </w:rPr>
        <w:t xml:space="preserve">6% </w:t>
      </w:r>
      <w:r>
        <w:rPr>
          <w:sz w:val="24"/>
        </w:rPr>
        <w:t>、</w:t>
      </w:r>
      <w:r>
        <w:rPr>
          <w:sz w:val="24"/>
        </w:rPr>
        <w:t>10%</w:t>
      </w:r>
      <w:r>
        <w:rPr>
          <w:sz w:val="24"/>
        </w:rPr>
        <w:t>等</w:t>
      </w:r>
      <w:r>
        <w:rPr>
          <w:sz w:val="24"/>
        </w:rPr>
        <w:t>)</w:t>
      </w:r>
      <w:r>
        <w:rPr>
          <w:sz w:val="24"/>
        </w:rPr>
        <w:t>偏低而植物蛋白质含量较高的基础饲料中添加外源蛋白酶，可以降低植物蛋白质中抗胰蛋白酶的作用，从而使鱼类能更好地利用植物蛋白质，提高生长性能。本研究在</w:t>
      </w:r>
      <w:r>
        <w:rPr>
          <w:sz w:val="24"/>
        </w:rPr>
        <w:t>LFM(</w:t>
      </w:r>
      <w:r>
        <w:rPr>
          <w:sz w:val="24"/>
        </w:rPr>
        <w:t>鱼粉含量</w:t>
      </w:r>
      <w:r>
        <w:rPr>
          <w:sz w:val="24"/>
        </w:rPr>
        <w:t>为</w:t>
      </w:r>
      <w:r>
        <w:rPr>
          <w:sz w:val="24"/>
        </w:rPr>
        <w:t>30%)</w:t>
      </w:r>
      <w:r>
        <w:rPr>
          <w:sz w:val="24"/>
        </w:rPr>
        <w:t>基础上添加</w:t>
      </w:r>
      <w:r>
        <w:rPr>
          <w:sz w:val="24"/>
        </w:rPr>
        <w:t xml:space="preserve">4 500 U/kg </w:t>
      </w:r>
      <w:r>
        <w:rPr>
          <w:sz w:val="24"/>
        </w:rPr>
        <w:t>蛋白酶对生长性能没有显著影响，与上述研究结果不同，可能与基础饲料鱼粉含量较高有关。本研究显示，饲料中添加</w:t>
      </w:r>
      <w:r>
        <w:rPr>
          <w:sz w:val="24"/>
        </w:rPr>
        <w:t>7 500 U/kg</w:t>
      </w:r>
      <w:r>
        <w:rPr>
          <w:sz w:val="24"/>
        </w:rPr>
        <w:t>蛋白酶显著降低大口黑鲈鱼体蛋白质沉积率，并提高饲料系数，降低饲料利用率。这说明酶制剂在水产饲料中的使用需精准添加，添加量要与饲料配方底物中的量相适应，否则会影响水产动物生长性能并降低饲料利用率。</w:t>
      </w:r>
    </w:p>
    <w:p w14:paraId="06FB6785" w14:textId="77777777" w:rsidR="008F75C3" w:rsidRDefault="006614AC">
      <w:pPr>
        <w:spacing w:line="360" w:lineRule="auto"/>
        <w:ind w:firstLineChars="200" w:firstLine="480"/>
        <w:rPr>
          <w:sz w:val="24"/>
        </w:rPr>
      </w:pPr>
      <w:r>
        <w:rPr>
          <w:sz w:val="24"/>
        </w:rPr>
        <w:t>血液指标是衡量鱼类健康状态的一个重要指标</w:t>
      </w:r>
      <w:r>
        <w:rPr>
          <w:sz w:val="24"/>
          <w:vertAlign w:val="superscript"/>
        </w:rPr>
        <w:t>[37]</w:t>
      </w:r>
      <w:r>
        <w:rPr>
          <w:sz w:val="24"/>
        </w:rPr>
        <w:t>。</w:t>
      </w:r>
      <w:r>
        <w:rPr>
          <w:sz w:val="24"/>
        </w:rPr>
        <w:t>AST</w:t>
      </w:r>
      <w:r>
        <w:rPr>
          <w:sz w:val="24"/>
        </w:rPr>
        <w:t>和</w:t>
      </w:r>
      <w:r>
        <w:rPr>
          <w:sz w:val="24"/>
        </w:rPr>
        <w:t xml:space="preserve"> ALT</w:t>
      </w:r>
      <w:r>
        <w:rPr>
          <w:sz w:val="24"/>
        </w:rPr>
        <w:t>主要存在于心脏和肝脏组织中，其活性高低可以反映出动物对蛋白质合成和分解的能力，同时</w:t>
      </w:r>
      <w:r>
        <w:rPr>
          <w:sz w:val="24"/>
        </w:rPr>
        <w:t>A</w:t>
      </w:r>
      <w:r>
        <w:rPr>
          <w:sz w:val="24"/>
        </w:rPr>
        <w:t>ST</w:t>
      </w:r>
      <w:r>
        <w:rPr>
          <w:sz w:val="24"/>
        </w:rPr>
        <w:t>和</w:t>
      </w:r>
      <w:r>
        <w:rPr>
          <w:sz w:val="24"/>
        </w:rPr>
        <w:t>ALT</w:t>
      </w:r>
      <w:r>
        <w:rPr>
          <w:sz w:val="24"/>
        </w:rPr>
        <w:t>是反映动物肝脏运作状态的重要代谢酶，其活性较高时可作为衡量肝脏的损伤与否及损伤程度的指标</w:t>
      </w:r>
      <w:r>
        <w:rPr>
          <w:sz w:val="24"/>
          <w:vertAlign w:val="superscript"/>
        </w:rPr>
        <w:t>[38-40]</w:t>
      </w:r>
      <w:r>
        <w:rPr>
          <w:sz w:val="24"/>
        </w:rPr>
        <w:t>。</w:t>
      </w:r>
      <w:proofErr w:type="gramStart"/>
      <w:r>
        <w:rPr>
          <w:sz w:val="24"/>
        </w:rPr>
        <w:t>石泽</w:t>
      </w:r>
      <w:proofErr w:type="gramEnd"/>
      <w:r>
        <w:rPr>
          <w:sz w:val="24"/>
          <w:vertAlign w:val="superscript"/>
        </w:rPr>
        <w:t>[4l]</w:t>
      </w:r>
      <w:r>
        <w:rPr>
          <w:sz w:val="24"/>
        </w:rPr>
        <w:t>、</w:t>
      </w:r>
      <w:proofErr w:type="spellStart"/>
      <w:r>
        <w:rPr>
          <w:sz w:val="24"/>
        </w:rPr>
        <w:t>Ndazigaruye</w:t>
      </w:r>
      <w:proofErr w:type="spellEnd"/>
      <w:r>
        <w:rPr>
          <w:sz w:val="24"/>
        </w:rPr>
        <w:t>等</w:t>
      </w:r>
      <w:r>
        <w:rPr>
          <w:sz w:val="24"/>
          <w:vertAlign w:val="superscript"/>
        </w:rPr>
        <w:t>[42]</w:t>
      </w:r>
      <w:r>
        <w:rPr>
          <w:sz w:val="24"/>
        </w:rPr>
        <w:t>研究表明，饲料中添加蛋白酶对</w:t>
      </w:r>
      <w:proofErr w:type="gramStart"/>
      <w:r>
        <w:rPr>
          <w:sz w:val="24"/>
        </w:rPr>
        <w:t>建鲤和肉鸡</w:t>
      </w:r>
      <w:proofErr w:type="gramEnd"/>
      <w:r>
        <w:rPr>
          <w:sz w:val="24"/>
        </w:rPr>
        <w:t>的血清</w:t>
      </w:r>
      <w:r>
        <w:rPr>
          <w:sz w:val="24"/>
        </w:rPr>
        <w:t xml:space="preserve">ALT </w:t>
      </w:r>
      <w:r>
        <w:rPr>
          <w:sz w:val="24"/>
        </w:rPr>
        <w:t>、</w:t>
      </w:r>
      <w:r>
        <w:rPr>
          <w:sz w:val="24"/>
        </w:rPr>
        <w:t>AST</w:t>
      </w:r>
      <w:r>
        <w:rPr>
          <w:sz w:val="24"/>
        </w:rPr>
        <w:t>活性无显著影响。本研究显示</w:t>
      </w:r>
      <w:r>
        <w:rPr>
          <w:sz w:val="24"/>
        </w:rPr>
        <w:t>,</w:t>
      </w:r>
      <w:r>
        <w:rPr>
          <w:sz w:val="24"/>
        </w:rPr>
        <w:t>添加蛋白酶后血清</w:t>
      </w:r>
      <w:r>
        <w:rPr>
          <w:sz w:val="24"/>
        </w:rPr>
        <w:t>AST</w:t>
      </w:r>
      <w:r>
        <w:rPr>
          <w:sz w:val="24"/>
        </w:rPr>
        <w:t>、</w:t>
      </w:r>
      <w:r>
        <w:rPr>
          <w:sz w:val="24"/>
        </w:rPr>
        <w:t>ALT</w:t>
      </w:r>
      <w:r>
        <w:rPr>
          <w:sz w:val="24"/>
        </w:rPr>
        <w:t>活性显著下降，与</w:t>
      </w:r>
      <w:proofErr w:type="gramStart"/>
      <w:r>
        <w:rPr>
          <w:sz w:val="24"/>
        </w:rPr>
        <w:t>建鲤和肉鸡</w:t>
      </w:r>
      <w:proofErr w:type="gramEnd"/>
      <w:r>
        <w:rPr>
          <w:sz w:val="24"/>
        </w:rPr>
        <w:t>的研究结果不同，可能与蛋白酶理化性质不同和物种不同有关。本研究说明添加蛋白酶对大口黑鲈肝功能有一定保护作用。</w:t>
      </w:r>
      <w:r>
        <w:rPr>
          <w:sz w:val="24"/>
        </w:rPr>
        <w:t>LFM</w:t>
      </w:r>
      <w:r>
        <w:rPr>
          <w:sz w:val="24"/>
        </w:rPr>
        <w:t>和</w:t>
      </w:r>
      <w:r>
        <w:rPr>
          <w:sz w:val="24"/>
        </w:rPr>
        <w:t>LFM+E4500</w:t>
      </w:r>
      <w:r>
        <w:rPr>
          <w:sz w:val="24"/>
        </w:rPr>
        <w:t>组血浆</w:t>
      </w:r>
      <w:r>
        <w:rPr>
          <w:sz w:val="24"/>
        </w:rPr>
        <w:t>AKP</w:t>
      </w:r>
      <w:r>
        <w:rPr>
          <w:sz w:val="24"/>
        </w:rPr>
        <w:t>活性较</w:t>
      </w:r>
      <w:r>
        <w:rPr>
          <w:sz w:val="24"/>
        </w:rPr>
        <w:lastRenderedPageBreak/>
        <w:t>高</w:t>
      </w:r>
      <w:r>
        <w:rPr>
          <w:sz w:val="24"/>
        </w:rPr>
        <w:t>,</w:t>
      </w:r>
      <w:r>
        <w:rPr>
          <w:sz w:val="24"/>
        </w:rPr>
        <w:t>但各组血浆</w:t>
      </w:r>
      <w:r>
        <w:rPr>
          <w:sz w:val="24"/>
        </w:rPr>
        <w:t>TBA</w:t>
      </w:r>
      <w:r>
        <w:rPr>
          <w:sz w:val="24"/>
        </w:rPr>
        <w:t>含量没有显著差异，说明各组并未显示</w:t>
      </w:r>
      <w:r>
        <w:rPr>
          <w:sz w:val="24"/>
        </w:rPr>
        <w:t>明显胆汁淤积症表型。</w:t>
      </w:r>
    </w:p>
    <w:p w14:paraId="75BF0CB7" w14:textId="77777777" w:rsidR="008F75C3" w:rsidRDefault="006614AC">
      <w:pPr>
        <w:spacing w:line="360" w:lineRule="auto"/>
        <w:ind w:firstLineChars="200" w:firstLine="480"/>
        <w:rPr>
          <w:sz w:val="24"/>
        </w:rPr>
      </w:pPr>
      <w:r>
        <w:rPr>
          <w:sz w:val="24"/>
        </w:rPr>
        <w:t>蛋白酶是蛋白质代谢过程中非常重要的一类消化酶，能催化分解肽键，将大分子的蛋白质降解为蛋白脉、肽和氨基酸等小分子的营养物质，从而促进蛋白质的消化，提高动物对蛋白质的消化率和饲料利用率</w:t>
      </w:r>
      <w:r>
        <w:rPr>
          <w:sz w:val="24"/>
          <w:vertAlign w:val="superscript"/>
        </w:rPr>
        <w:t>[43</w:t>
      </w:r>
      <w:r>
        <w:rPr>
          <w:sz w:val="26"/>
          <w:szCs w:val="26"/>
          <w:vertAlign w:val="superscript"/>
        </w:rPr>
        <w:t>]</w:t>
      </w:r>
      <w:r>
        <w:rPr>
          <w:sz w:val="24"/>
        </w:rPr>
        <w:t>。在对中华草龟</w:t>
      </w:r>
      <w:r>
        <w:rPr>
          <w:sz w:val="24"/>
          <w:vertAlign w:val="superscript"/>
        </w:rPr>
        <w:t>[44]</w:t>
      </w:r>
      <w:r>
        <w:rPr>
          <w:sz w:val="24"/>
        </w:rPr>
        <w:t>、虹</w:t>
      </w:r>
      <w:r>
        <w:rPr>
          <w:sz w:val="24"/>
          <w:vertAlign w:val="superscript"/>
        </w:rPr>
        <w:t>[45]</w:t>
      </w:r>
      <w:r>
        <w:rPr>
          <w:sz w:val="24"/>
        </w:rPr>
        <w:t>、吉富罗非鱼</w:t>
      </w:r>
      <w:r>
        <w:rPr>
          <w:sz w:val="24"/>
          <w:vertAlign w:val="superscript"/>
        </w:rPr>
        <w:t>[13]</w:t>
      </w:r>
      <w:r>
        <w:rPr>
          <w:sz w:val="24"/>
        </w:rPr>
        <w:t>和鲤鱼</w:t>
      </w:r>
      <w:r>
        <w:rPr>
          <w:sz w:val="24"/>
          <w:vertAlign w:val="superscript"/>
        </w:rPr>
        <w:t>[ 33]</w:t>
      </w:r>
      <w:r>
        <w:rPr>
          <w:sz w:val="24"/>
        </w:rPr>
        <w:t>等的研究表明，饲料中添加中性蛋白酶可以显著提高肠道蛋白酶活性。本研究显示，饲料中添加</w:t>
      </w:r>
      <w:r>
        <w:rPr>
          <w:sz w:val="24"/>
        </w:rPr>
        <w:t>4 500</w:t>
      </w:r>
      <w:r>
        <w:rPr>
          <w:sz w:val="24"/>
        </w:rPr>
        <w:t>和</w:t>
      </w:r>
      <w:r>
        <w:rPr>
          <w:sz w:val="24"/>
        </w:rPr>
        <w:t xml:space="preserve">7 500 U/kg </w:t>
      </w:r>
      <w:r>
        <w:rPr>
          <w:sz w:val="24"/>
        </w:rPr>
        <w:t>蛋白酶可以显著提高大口黑鲈前、后肠蛋白酶含量，</w:t>
      </w:r>
      <w:r>
        <w:rPr>
          <w:sz w:val="24"/>
        </w:rPr>
        <w:t>与上述研究结果一致。其作用机理可能是饲料中添加外源性蛋白酶可以水解蛋白质类抗营养因子，提高蛋白质的消化率</w:t>
      </w:r>
      <w:r>
        <w:rPr>
          <w:sz w:val="24"/>
          <w:vertAlign w:val="superscript"/>
        </w:rPr>
        <w:t>[46-47]</w:t>
      </w:r>
      <w:r>
        <w:rPr>
          <w:sz w:val="24"/>
        </w:rPr>
        <w:t>，并且能促进鱼体内源性蛋白酶的分泌，从而提高大口黑鲈肠道蛋白酶活性，内外协同提高鱼体对蛋白质的消化吸收能力</w:t>
      </w:r>
      <w:r>
        <w:rPr>
          <w:sz w:val="24"/>
          <w:vertAlign w:val="superscript"/>
        </w:rPr>
        <w:t>[22]</w:t>
      </w:r>
      <w:r>
        <w:rPr>
          <w:sz w:val="24"/>
        </w:rPr>
        <w:t>。</w:t>
      </w:r>
    </w:p>
    <w:p w14:paraId="3D57B98C" w14:textId="77777777" w:rsidR="008F75C3" w:rsidRDefault="006614AC">
      <w:pPr>
        <w:spacing w:line="360" w:lineRule="auto"/>
        <w:ind w:firstLineChars="200" w:firstLine="480"/>
        <w:rPr>
          <w:sz w:val="24"/>
        </w:rPr>
      </w:pPr>
      <w:r>
        <w:rPr>
          <w:sz w:val="24"/>
        </w:rPr>
        <w:t>与鱼粉相比，植物蛋白质中不但缺乏必需氨基酸、必需脂肪酸和有效磷，并且其碳水化合物含量也较高</w:t>
      </w:r>
      <w:r>
        <w:rPr>
          <w:sz w:val="24"/>
          <w:vertAlign w:val="superscript"/>
        </w:rPr>
        <w:t>[48]</w:t>
      </w:r>
      <w:r>
        <w:rPr>
          <w:sz w:val="24"/>
        </w:rPr>
        <w:t>。大口黑</w:t>
      </w:r>
      <w:proofErr w:type="gramStart"/>
      <w:r>
        <w:rPr>
          <w:sz w:val="24"/>
        </w:rPr>
        <w:t>鲈作为</w:t>
      </w:r>
      <w:proofErr w:type="gramEnd"/>
      <w:r>
        <w:rPr>
          <w:sz w:val="24"/>
        </w:rPr>
        <w:t>一种肉食性鱼类，对碳水化合物的利用能力和对糖代谢稳态的控制能力都比较差</w:t>
      </w:r>
      <w:r>
        <w:rPr>
          <w:sz w:val="24"/>
          <w:vertAlign w:val="superscript"/>
        </w:rPr>
        <w:t>[49]</w:t>
      </w:r>
      <w:r>
        <w:rPr>
          <w:sz w:val="24"/>
        </w:rPr>
        <w:t>。饲料中添加蛋白酶可以显著提高大口黑鲈肠道蛋白酶活性，从而可以将蛋白质更高效地分解成氨</w:t>
      </w:r>
      <w:r>
        <w:rPr>
          <w:sz w:val="24"/>
        </w:rPr>
        <w:t>基酸等小分子物质，提供底物来促进肝脏糖异生作用</w:t>
      </w:r>
      <w:r>
        <w:rPr>
          <w:sz w:val="24"/>
          <w:vertAlign w:val="superscript"/>
        </w:rPr>
        <w:t>[50]</w:t>
      </w:r>
      <w:r>
        <w:rPr>
          <w:sz w:val="24"/>
        </w:rPr>
        <w:t>。目前为止，蛋白酶对大口黑鲈糖、脂代谢方面的影响研究较少。对建鲤</w:t>
      </w:r>
      <w:r>
        <w:rPr>
          <w:sz w:val="24"/>
          <w:vertAlign w:val="superscript"/>
        </w:rPr>
        <w:t>[51]</w:t>
      </w:r>
      <w:r>
        <w:rPr>
          <w:sz w:val="24"/>
        </w:rPr>
        <w:t>和黄</w:t>
      </w:r>
      <w:proofErr w:type="gramStart"/>
      <w:r>
        <w:rPr>
          <w:sz w:val="24"/>
        </w:rPr>
        <w:t>颡</w:t>
      </w:r>
      <w:proofErr w:type="gramEnd"/>
      <w:r>
        <w:rPr>
          <w:sz w:val="24"/>
        </w:rPr>
        <w:t>鱼</w:t>
      </w:r>
      <w:r>
        <w:rPr>
          <w:sz w:val="24"/>
          <w:vertAlign w:val="superscript"/>
        </w:rPr>
        <w:t>[52]</w:t>
      </w:r>
      <w:r>
        <w:rPr>
          <w:sz w:val="24"/>
        </w:rPr>
        <w:t>的研究表明，饲料中添加蛋白酶对血浆</w:t>
      </w:r>
      <w:r>
        <w:rPr>
          <w:sz w:val="24"/>
        </w:rPr>
        <w:t>GLU</w:t>
      </w:r>
      <w:r>
        <w:rPr>
          <w:sz w:val="24"/>
        </w:rPr>
        <w:t>含量均无显著影响。本研究结果显示，在餐后</w:t>
      </w:r>
      <w:r>
        <w:rPr>
          <w:sz w:val="24"/>
        </w:rPr>
        <w:t>24 h, CPC</w:t>
      </w:r>
      <w:r>
        <w:rPr>
          <w:sz w:val="24"/>
        </w:rPr>
        <w:t>替代</w:t>
      </w:r>
      <w:r>
        <w:rPr>
          <w:sz w:val="24"/>
        </w:rPr>
        <w:t>40%</w:t>
      </w:r>
      <w:r>
        <w:rPr>
          <w:sz w:val="24"/>
        </w:rPr>
        <w:t>鱼粉蛋白后</w:t>
      </w:r>
      <w:r>
        <w:rPr>
          <w:sz w:val="24"/>
        </w:rPr>
        <w:t>,</w:t>
      </w:r>
      <w:r>
        <w:rPr>
          <w:sz w:val="24"/>
        </w:rPr>
        <w:t>糖代谢过程与</w:t>
      </w:r>
      <w:r>
        <w:rPr>
          <w:sz w:val="24"/>
        </w:rPr>
        <w:t>HFM</w:t>
      </w:r>
      <w:r>
        <w:rPr>
          <w:sz w:val="24"/>
        </w:rPr>
        <w:t>组无显著差异。添加</w:t>
      </w:r>
      <w:r>
        <w:rPr>
          <w:sz w:val="24"/>
        </w:rPr>
        <w:t>4 500 U/kg</w:t>
      </w:r>
      <w:r>
        <w:rPr>
          <w:sz w:val="24"/>
        </w:rPr>
        <w:t>蛋白酶后，对空腹糖异生有明显的促进作用，显示蛋白酶添加有助于大口黑鲈在空腹状态</w:t>
      </w:r>
      <w:proofErr w:type="gramStart"/>
      <w:r>
        <w:rPr>
          <w:sz w:val="24"/>
        </w:rPr>
        <w:t>时相关酶</w:t>
      </w:r>
      <w:proofErr w:type="gramEnd"/>
      <w:r>
        <w:rPr>
          <w:sz w:val="24"/>
        </w:rPr>
        <w:t>的正常表达。</w:t>
      </w:r>
      <w:r>
        <w:rPr>
          <w:sz w:val="24"/>
        </w:rPr>
        <w:t>LFM+E4500</w:t>
      </w:r>
      <w:r>
        <w:rPr>
          <w:sz w:val="24"/>
        </w:rPr>
        <w:t>组空腹血浆</w:t>
      </w:r>
      <w:r>
        <w:rPr>
          <w:sz w:val="24"/>
        </w:rPr>
        <w:t>GLU</w:t>
      </w:r>
      <w:r>
        <w:rPr>
          <w:sz w:val="24"/>
        </w:rPr>
        <w:t>含量显著升高，可能与其糖异生作用增加有关。鱼类的内脏、肝脏和肌</w:t>
      </w:r>
      <w:r>
        <w:rPr>
          <w:sz w:val="24"/>
        </w:rPr>
        <w:t>肉中分布着大量的脂肪细胞。鱼类腹部脂肪蓄积后会导致机体营养代谢紊乱，从而使抗病力抗应激能力下降，以至于在受到外界环境刺激后容易爆发疾病甚至大部分死亡</w:t>
      </w:r>
      <w:r>
        <w:rPr>
          <w:sz w:val="24"/>
          <w:vertAlign w:val="superscript"/>
        </w:rPr>
        <w:t>[53]</w:t>
      </w:r>
      <w:r>
        <w:rPr>
          <w:sz w:val="24"/>
        </w:rPr>
        <w:t>。对异育银</w:t>
      </w:r>
      <w:proofErr w:type="gramStart"/>
      <w:r>
        <w:rPr>
          <w:sz w:val="24"/>
        </w:rPr>
        <w:t>螂</w:t>
      </w:r>
      <w:proofErr w:type="gramEnd"/>
      <w:r>
        <w:rPr>
          <w:sz w:val="24"/>
          <w:vertAlign w:val="superscript"/>
        </w:rPr>
        <w:t>[41]</w:t>
      </w:r>
      <w:r>
        <w:rPr>
          <w:sz w:val="24"/>
        </w:rPr>
        <w:t>和黄</w:t>
      </w:r>
      <w:proofErr w:type="gramStart"/>
      <w:r>
        <w:rPr>
          <w:sz w:val="24"/>
        </w:rPr>
        <w:t>颡</w:t>
      </w:r>
      <w:proofErr w:type="gramEnd"/>
      <w:r>
        <w:rPr>
          <w:sz w:val="24"/>
        </w:rPr>
        <w:t>鱼</w:t>
      </w:r>
      <w:r>
        <w:rPr>
          <w:sz w:val="24"/>
          <w:vertAlign w:val="superscript"/>
        </w:rPr>
        <w:t>[52]</w:t>
      </w:r>
      <w:r>
        <w:rPr>
          <w:sz w:val="24"/>
        </w:rPr>
        <w:t>的研究表明，饲料中添加蛋白酶对血浆</w:t>
      </w:r>
      <w:r>
        <w:rPr>
          <w:sz w:val="24"/>
        </w:rPr>
        <w:t>TG</w:t>
      </w:r>
      <w:r>
        <w:rPr>
          <w:sz w:val="24"/>
        </w:rPr>
        <w:t>含量均无显著影响。本研究结果显示，</w:t>
      </w:r>
      <w:r>
        <w:rPr>
          <w:sz w:val="24"/>
        </w:rPr>
        <w:t>CPC</w:t>
      </w:r>
      <w:r>
        <w:rPr>
          <w:sz w:val="24"/>
        </w:rPr>
        <w:t>替代</w:t>
      </w:r>
      <w:r>
        <w:rPr>
          <w:sz w:val="24"/>
        </w:rPr>
        <w:t>40%</w:t>
      </w:r>
      <w:r>
        <w:rPr>
          <w:sz w:val="24"/>
        </w:rPr>
        <w:t>鱼粉蛋白后，</w:t>
      </w:r>
      <w:r>
        <w:rPr>
          <w:sz w:val="24"/>
        </w:rPr>
        <w:t>LFM</w:t>
      </w:r>
      <w:r>
        <w:rPr>
          <w:sz w:val="24"/>
        </w:rPr>
        <w:t>组大口黑鲈肝脏脂代谢循环上调；添加蛋白酶后，可以明显加速肝脏和腹部脂肪分解过程，减少大口黑鲈肝脏和腹部脂肪积聚，可以使鱼体可食用部分增加，极大地提高了大口</w:t>
      </w:r>
      <w:proofErr w:type="gramStart"/>
      <w:r>
        <w:rPr>
          <w:sz w:val="24"/>
        </w:rPr>
        <w:t>黑鲈的商业</w:t>
      </w:r>
      <w:proofErr w:type="gramEnd"/>
      <w:r>
        <w:rPr>
          <w:sz w:val="24"/>
        </w:rPr>
        <w:t>价值和经济效益。</w:t>
      </w:r>
    </w:p>
    <w:p w14:paraId="69760D71" w14:textId="77777777" w:rsidR="008F75C3" w:rsidRDefault="006614AC">
      <w:pPr>
        <w:spacing w:line="360" w:lineRule="auto"/>
        <w:ind w:firstLineChars="200" w:firstLine="480"/>
        <w:rPr>
          <w:sz w:val="24"/>
        </w:rPr>
      </w:pPr>
      <w:r>
        <w:rPr>
          <w:sz w:val="24"/>
        </w:rPr>
        <w:t>cAMP</w:t>
      </w:r>
      <w:r>
        <w:rPr>
          <w:sz w:val="24"/>
        </w:rPr>
        <w:t>是由糖酵解和三羧酸循环产</w:t>
      </w:r>
      <w:r>
        <w:rPr>
          <w:sz w:val="24"/>
        </w:rPr>
        <w:t>生的三磷酸腺苷合成的第二信使分子，</w:t>
      </w:r>
      <w:r>
        <w:rPr>
          <w:sz w:val="24"/>
        </w:rPr>
        <w:t>cAMP/CREB</w:t>
      </w:r>
      <w:r>
        <w:rPr>
          <w:sz w:val="24"/>
        </w:rPr>
        <w:t>途径可以上调脂解</w:t>
      </w:r>
      <w:r>
        <w:rPr>
          <w:sz w:val="24"/>
        </w:rPr>
        <w:t>/β</w:t>
      </w:r>
      <w:r>
        <w:rPr>
          <w:sz w:val="24"/>
        </w:rPr>
        <w:t>氧化的基因表达，提高基础能量代谢水平，从而保护肝脏组织免受脂质积聚</w:t>
      </w:r>
      <w:r>
        <w:rPr>
          <w:sz w:val="24"/>
          <w:vertAlign w:val="superscript"/>
        </w:rPr>
        <w:t>[54-55]</w:t>
      </w:r>
      <w:r>
        <w:rPr>
          <w:sz w:val="24"/>
        </w:rPr>
        <w:t>脂肪脂解作用上调后，产生的甘油和游离脂肪酸可分别通过磷酸化和</w:t>
      </w:r>
      <w:r>
        <w:rPr>
          <w:sz w:val="24"/>
        </w:rPr>
        <w:t>β</w:t>
      </w:r>
      <w:r>
        <w:rPr>
          <w:sz w:val="24"/>
        </w:rPr>
        <w:t>氧化途径转变为磷酸二羟丙酮和草酰乙酸，作为糖异生的底物来促进肝脏糖异生</w:t>
      </w:r>
      <w:r>
        <w:rPr>
          <w:sz w:val="24"/>
          <w:vertAlign w:val="superscript"/>
        </w:rPr>
        <w:t>[56]</w:t>
      </w:r>
      <w:r>
        <w:rPr>
          <w:sz w:val="24"/>
        </w:rPr>
        <w:t>。本研究中，</w:t>
      </w:r>
      <w:r>
        <w:rPr>
          <w:sz w:val="24"/>
        </w:rPr>
        <w:lastRenderedPageBreak/>
        <w:t>CPC</w:t>
      </w:r>
      <w:r>
        <w:rPr>
          <w:sz w:val="24"/>
        </w:rPr>
        <w:t>部分替代鱼粉后，</w:t>
      </w:r>
      <w:r>
        <w:rPr>
          <w:sz w:val="24"/>
        </w:rPr>
        <w:t xml:space="preserve">LFM </w:t>
      </w:r>
      <w:r>
        <w:rPr>
          <w:sz w:val="24"/>
        </w:rPr>
        <w:t>组肝脏</w:t>
      </w:r>
      <w:r>
        <w:rPr>
          <w:sz w:val="24"/>
        </w:rPr>
        <w:t>cAMP</w:t>
      </w:r>
      <w:r>
        <w:rPr>
          <w:sz w:val="24"/>
        </w:rPr>
        <w:t>含量显著降低；添加</w:t>
      </w:r>
      <w:r>
        <w:rPr>
          <w:sz w:val="24"/>
        </w:rPr>
        <w:t>4 500 U/kg</w:t>
      </w:r>
      <w:r>
        <w:rPr>
          <w:sz w:val="24"/>
        </w:rPr>
        <w:t>蛋白酶后，肝脏</w:t>
      </w:r>
      <w:r>
        <w:rPr>
          <w:sz w:val="24"/>
        </w:rPr>
        <w:t>cAMP</w:t>
      </w:r>
      <w:r>
        <w:rPr>
          <w:sz w:val="24"/>
        </w:rPr>
        <w:t>含量显著提高到与</w:t>
      </w:r>
      <w:r>
        <w:rPr>
          <w:sz w:val="24"/>
        </w:rPr>
        <w:t>HFM</w:t>
      </w:r>
      <w:r>
        <w:rPr>
          <w:sz w:val="24"/>
        </w:rPr>
        <w:t>组无显著差异的水平，表明蛋白酶可以提高大口</w:t>
      </w:r>
      <w:proofErr w:type="gramStart"/>
      <w:r>
        <w:rPr>
          <w:sz w:val="24"/>
        </w:rPr>
        <w:t>黑鲈的基础</w:t>
      </w:r>
      <w:proofErr w:type="gramEnd"/>
      <w:r>
        <w:rPr>
          <w:sz w:val="24"/>
        </w:rPr>
        <w:t>能量代谢水平，建议在添加蛋白酶</w:t>
      </w:r>
      <w:r>
        <w:rPr>
          <w:sz w:val="24"/>
        </w:rPr>
        <w:t>的饲料中要适当提高饲料能量水平，并且活化的</w:t>
      </w:r>
      <w:r>
        <w:rPr>
          <w:sz w:val="24"/>
        </w:rPr>
        <w:t>cAMP</w:t>
      </w:r>
      <w:r>
        <w:rPr>
          <w:sz w:val="24"/>
        </w:rPr>
        <w:t>通过上调</w:t>
      </w:r>
      <w:r>
        <w:rPr>
          <w:sz w:val="24"/>
        </w:rPr>
        <w:t>CREB</w:t>
      </w:r>
      <w:r>
        <w:rPr>
          <w:sz w:val="24"/>
        </w:rPr>
        <w:t>表达量，上调脂解</w:t>
      </w:r>
      <w:r>
        <w:rPr>
          <w:sz w:val="24"/>
        </w:rPr>
        <w:t>/β-</w:t>
      </w:r>
      <w:r>
        <w:rPr>
          <w:sz w:val="24"/>
        </w:rPr>
        <w:t>氧化的基因</w:t>
      </w:r>
      <w:r>
        <w:rPr>
          <w:sz w:val="24"/>
        </w:rPr>
        <w:t>(HSL</w:t>
      </w:r>
      <w:r>
        <w:rPr>
          <w:sz w:val="24"/>
        </w:rPr>
        <w:t>、</w:t>
      </w:r>
      <w:proofErr w:type="spellStart"/>
      <w:r>
        <w:rPr>
          <w:sz w:val="24"/>
        </w:rPr>
        <w:t>PPARa</w:t>
      </w:r>
      <w:proofErr w:type="spellEnd"/>
      <w:r>
        <w:rPr>
          <w:sz w:val="24"/>
        </w:rPr>
        <w:t>)</w:t>
      </w:r>
      <w:r>
        <w:rPr>
          <w:sz w:val="24"/>
        </w:rPr>
        <w:t>表达和肝脏脂解关键酶</w:t>
      </w:r>
      <w:r>
        <w:rPr>
          <w:sz w:val="24"/>
        </w:rPr>
        <w:t>ATGL</w:t>
      </w:r>
      <w:r>
        <w:rPr>
          <w:sz w:val="24"/>
        </w:rPr>
        <w:t>、</w:t>
      </w:r>
      <w:r>
        <w:rPr>
          <w:sz w:val="24"/>
        </w:rPr>
        <w:t>MGL</w:t>
      </w:r>
      <w:r>
        <w:rPr>
          <w:sz w:val="24"/>
        </w:rPr>
        <w:t>活性，从而保护肝脏组织免受脂质积聚，并进一步增强大口</w:t>
      </w:r>
      <w:proofErr w:type="gramStart"/>
      <w:r>
        <w:rPr>
          <w:sz w:val="24"/>
        </w:rPr>
        <w:t>黑鲈的肝脏</w:t>
      </w:r>
      <w:proofErr w:type="gramEnd"/>
      <w:r>
        <w:rPr>
          <w:sz w:val="24"/>
        </w:rPr>
        <w:t>糖异生作用。</w:t>
      </w:r>
      <w:r>
        <w:rPr>
          <w:sz w:val="24"/>
        </w:rPr>
        <w:t>TOR</w:t>
      </w:r>
      <w:r>
        <w:rPr>
          <w:sz w:val="24"/>
        </w:rPr>
        <w:t>是一种存在于胞浆中的蛋白激酶，胰岛素样生长因子</w:t>
      </w:r>
      <w:r>
        <w:rPr>
          <w:sz w:val="24"/>
        </w:rPr>
        <w:t>IGF-1</w:t>
      </w:r>
      <w:r>
        <w:rPr>
          <w:sz w:val="24"/>
        </w:rPr>
        <w:t>可通过激活</w:t>
      </w:r>
      <w:r>
        <w:rPr>
          <w:sz w:val="24"/>
        </w:rPr>
        <w:t>TOR</w:t>
      </w:r>
      <w:r>
        <w:rPr>
          <w:sz w:val="24"/>
        </w:rPr>
        <w:t>的表达量来促进机体蛋白质的合成</w:t>
      </w:r>
      <w:r>
        <w:rPr>
          <w:sz w:val="24"/>
          <w:vertAlign w:val="superscript"/>
        </w:rPr>
        <w:t>[57-58]</w:t>
      </w:r>
      <w:r>
        <w:rPr>
          <w:sz w:val="24"/>
        </w:rPr>
        <w:t>。本研究显示，饲料中添加</w:t>
      </w:r>
      <w:r>
        <w:rPr>
          <w:sz w:val="24"/>
        </w:rPr>
        <w:t>7 500 U/kg</w:t>
      </w:r>
      <w:r>
        <w:rPr>
          <w:sz w:val="24"/>
        </w:rPr>
        <w:t>蛋白酶后，肝脏中</w:t>
      </w:r>
      <w:r>
        <w:rPr>
          <w:sz w:val="24"/>
        </w:rPr>
        <w:t>IGF-1 mRNA</w:t>
      </w:r>
      <w:r>
        <w:rPr>
          <w:sz w:val="24"/>
        </w:rPr>
        <w:t>相对表达量显著下调，从而使</w:t>
      </w:r>
      <w:r>
        <w:rPr>
          <w:sz w:val="24"/>
        </w:rPr>
        <w:t>TOR mRNA</w:t>
      </w:r>
      <w:r>
        <w:rPr>
          <w:sz w:val="24"/>
        </w:rPr>
        <w:t>相对表达量显著下调，抑制大口黑鲈机体蛋</w:t>
      </w:r>
      <w:r>
        <w:rPr>
          <w:sz w:val="24"/>
        </w:rPr>
        <w:t>白质的合成，并且</w:t>
      </w:r>
      <w:r>
        <w:rPr>
          <w:sz w:val="24"/>
        </w:rPr>
        <w:t xml:space="preserve">LFM+E7500 </w:t>
      </w:r>
      <w:r>
        <w:rPr>
          <w:sz w:val="24"/>
        </w:rPr>
        <w:t>组的基础能量代谢水平与</w:t>
      </w:r>
      <w:r>
        <w:rPr>
          <w:sz w:val="24"/>
        </w:rPr>
        <w:t>LFM+E4500</w:t>
      </w:r>
      <w:r>
        <w:rPr>
          <w:sz w:val="24"/>
        </w:rPr>
        <w:t>组同样保持高表达，从而显著降低鱼体蛋白质沉积率。</w:t>
      </w:r>
    </w:p>
    <w:p w14:paraId="70EEA33B" w14:textId="77777777" w:rsidR="008F75C3" w:rsidRDefault="006614AC">
      <w:pPr>
        <w:spacing w:line="360" w:lineRule="auto"/>
        <w:rPr>
          <w:sz w:val="24"/>
        </w:rPr>
      </w:pPr>
      <w:r>
        <w:rPr>
          <w:sz w:val="24"/>
        </w:rPr>
        <w:t xml:space="preserve">4  </w:t>
      </w:r>
      <w:r>
        <w:rPr>
          <w:sz w:val="24"/>
        </w:rPr>
        <w:t>结</w:t>
      </w:r>
      <w:r>
        <w:rPr>
          <w:sz w:val="24"/>
        </w:rPr>
        <w:t xml:space="preserve"> </w:t>
      </w:r>
      <w:r>
        <w:rPr>
          <w:sz w:val="24"/>
        </w:rPr>
        <w:t>论</w:t>
      </w:r>
      <w:r>
        <w:rPr>
          <w:sz w:val="24"/>
        </w:rPr>
        <w:t xml:space="preserve"> </w:t>
      </w:r>
    </w:p>
    <w:p w14:paraId="0DF8FFF4" w14:textId="77777777" w:rsidR="008F75C3" w:rsidRDefault="006614AC">
      <w:pPr>
        <w:spacing w:line="360" w:lineRule="auto"/>
        <w:ind w:firstLineChars="200" w:firstLine="480"/>
        <w:rPr>
          <w:sz w:val="24"/>
        </w:rPr>
      </w:pPr>
      <w:r>
        <w:rPr>
          <w:sz w:val="24"/>
        </w:rPr>
        <w:t>综上所述，饲料中</w:t>
      </w:r>
      <w:r>
        <w:rPr>
          <w:sz w:val="24"/>
        </w:rPr>
        <w:t xml:space="preserve"> CPC</w:t>
      </w:r>
      <w:r>
        <w:rPr>
          <w:sz w:val="24"/>
        </w:rPr>
        <w:t>替代</w:t>
      </w:r>
      <w:r>
        <w:rPr>
          <w:sz w:val="24"/>
        </w:rPr>
        <w:t>40%</w:t>
      </w:r>
      <w:r>
        <w:rPr>
          <w:sz w:val="24"/>
        </w:rPr>
        <w:t>鱼粉蛋白</w:t>
      </w:r>
      <w:r>
        <w:rPr>
          <w:sz w:val="24"/>
        </w:rPr>
        <w:t>(</w:t>
      </w:r>
      <w:r>
        <w:rPr>
          <w:sz w:val="24"/>
        </w:rPr>
        <w:t>鱼粉用量由</w:t>
      </w:r>
      <w:r>
        <w:rPr>
          <w:sz w:val="24"/>
        </w:rPr>
        <w:t>50%</w:t>
      </w:r>
      <w:r>
        <w:rPr>
          <w:sz w:val="24"/>
        </w:rPr>
        <w:t>降低到</w:t>
      </w:r>
      <w:r>
        <w:rPr>
          <w:sz w:val="24"/>
        </w:rPr>
        <w:t>30%)</w:t>
      </w:r>
      <w:r>
        <w:rPr>
          <w:sz w:val="24"/>
        </w:rPr>
        <w:t>后，大口黑鲈生长性能反而升高。在低鱼粉基础饲料中添加</w:t>
      </w:r>
      <w:r>
        <w:rPr>
          <w:sz w:val="24"/>
        </w:rPr>
        <w:t>4 500 U/kg</w:t>
      </w:r>
      <w:r>
        <w:rPr>
          <w:sz w:val="24"/>
        </w:rPr>
        <w:t>的蛋白酶，可进一步提高大口</w:t>
      </w:r>
      <w:proofErr w:type="gramStart"/>
      <w:r>
        <w:rPr>
          <w:sz w:val="24"/>
        </w:rPr>
        <w:t>黑鲈的基础</w:t>
      </w:r>
      <w:proofErr w:type="gramEnd"/>
      <w:r>
        <w:rPr>
          <w:sz w:val="24"/>
        </w:rPr>
        <w:t>能量代谢水平和前、后肠蛋白酶含量，促进空腹</w:t>
      </w:r>
      <w:proofErr w:type="gramStart"/>
      <w:r>
        <w:rPr>
          <w:sz w:val="24"/>
        </w:rPr>
        <w:t>状态下糖代谢</w:t>
      </w:r>
      <w:proofErr w:type="gramEnd"/>
      <w:r>
        <w:rPr>
          <w:sz w:val="24"/>
        </w:rPr>
        <w:t>关键酶的正常表达，并可以减少肝脏和鱼体脂质积累，但过量添加</w:t>
      </w:r>
      <w:r>
        <w:rPr>
          <w:sz w:val="24"/>
        </w:rPr>
        <w:t>( 7 500 U/kg)</w:t>
      </w:r>
      <w:r>
        <w:rPr>
          <w:sz w:val="24"/>
        </w:rPr>
        <w:t>蛋白酶会降低鱼体蛋白质沉积率，提高饲料系数，从而降</w:t>
      </w:r>
      <w:r>
        <w:rPr>
          <w:sz w:val="24"/>
        </w:rPr>
        <w:t>低饲料利用率。</w:t>
      </w:r>
    </w:p>
    <w:p w14:paraId="247FEE50" w14:textId="77777777" w:rsidR="008F75C3" w:rsidRDefault="006614AC">
      <w:pPr>
        <w:spacing w:line="360" w:lineRule="auto"/>
        <w:rPr>
          <w:sz w:val="24"/>
        </w:rPr>
      </w:pPr>
      <w:r>
        <w:rPr>
          <w:sz w:val="24"/>
        </w:rPr>
        <w:t>参考文献：略</w:t>
      </w:r>
    </w:p>
    <w:p w14:paraId="5AE62F27" w14:textId="77777777" w:rsidR="008F75C3" w:rsidRDefault="006614AC">
      <w:pPr>
        <w:spacing w:line="360" w:lineRule="auto"/>
        <w:ind w:firstLineChars="700" w:firstLine="1470"/>
        <w:jc w:val="right"/>
        <w:rPr>
          <w:sz w:val="24"/>
        </w:rPr>
      </w:pPr>
      <w:r>
        <w:rPr>
          <w:szCs w:val="21"/>
        </w:rPr>
        <w:t>原文刊登在《动物营养学报》，</w:t>
      </w:r>
      <w:r>
        <w:rPr>
          <w:color w:val="333333"/>
          <w:szCs w:val="21"/>
          <w:shd w:val="clear" w:color="auto" w:fill="FFFFFF"/>
        </w:rPr>
        <w:t>2021,33 (10):5974-5988.</w:t>
      </w:r>
    </w:p>
    <w:p w14:paraId="4BABDEEF" w14:textId="77777777" w:rsidR="008F75C3" w:rsidRDefault="006614AC">
      <w:pPr>
        <w:pStyle w:val="1"/>
        <w:spacing w:line="460" w:lineRule="exact"/>
        <w:rPr>
          <w:rFonts w:eastAsia="黑体"/>
          <w:sz w:val="32"/>
          <w:szCs w:val="32"/>
          <w:bdr w:val="single" w:sz="4" w:space="0" w:color="auto"/>
        </w:rPr>
      </w:pPr>
      <w:bookmarkStart w:id="52" w:name="_Toc90390772"/>
      <w:r>
        <w:rPr>
          <w:rFonts w:eastAsia="黑体"/>
          <w:sz w:val="32"/>
          <w:szCs w:val="32"/>
          <w:bdr w:val="single" w:sz="4" w:space="0" w:color="auto"/>
        </w:rPr>
        <w:t>饲料研发</w:t>
      </w:r>
      <w:bookmarkEnd w:id="52"/>
    </w:p>
    <w:p w14:paraId="1B9442A7" w14:textId="77777777" w:rsidR="008F75C3" w:rsidRDefault="006614AC">
      <w:pPr>
        <w:pStyle w:val="2"/>
        <w:spacing w:line="460" w:lineRule="exact"/>
        <w:jc w:val="center"/>
        <w:rPr>
          <w:rFonts w:ascii="Times New Roman" w:eastAsia="黑体" w:hAnsi="Times New Roman" w:cs="Times New Roman"/>
          <w:sz w:val="32"/>
          <w:szCs w:val="32"/>
        </w:rPr>
      </w:pPr>
      <w:bookmarkStart w:id="53" w:name="_Toc90390773"/>
      <w:r>
        <w:rPr>
          <w:rFonts w:ascii="Times New Roman" w:eastAsia="黑体" w:hAnsi="Times New Roman" w:cs="Times New Roman"/>
          <w:sz w:val="32"/>
          <w:szCs w:val="32"/>
        </w:rPr>
        <w:t>鸡肠粉替代鱼粉对鲤生长、消化及免疫相关理化指标的影响</w:t>
      </w:r>
      <w:bookmarkEnd w:id="53"/>
    </w:p>
    <w:p w14:paraId="21CDD39E" w14:textId="77777777" w:rsidR="008F75C3" w:rsidRDefault="006614AC">
      <w:pPr>
        <w:spacing w:line="360" w:lineRule="auto"/>
        <w:ind w:firstLineChars="200" w:firstLine="420"/>
        <w:jc w:val="center"/>
        <w:rPr>
          <w:szCs w:val="21"/>
        </w:rPr>
      </w:pPr>
      <w:r>
        <w:rPr>
          <w:szCs w:val="21"/>
        </w:rPr>
        <w:t>彭祖想</w:t>
      </w:r>
      <w:r>
        <w:rPr>
          <w:szCs w:val="21"/>
          <w:vertAlign w:val="superscript"/>
        </w:rPr>
        <w:t>1</w:t>
      </w:r>
      <w:r>
        <w:rPr>
          <w:szCs w:val="21"/>
        </w:rPr>
        <w:t xml:space="preserve"> </w:t>
      </w:r>
      <w:r>
        <w:rPr>
          <w:szCs w:val="21"/>
        </w:rPr>
        <w:t>严</w:t>
      </w:r>
      <w:r>
        <w:rPr>
          <w:szCs w:val="21"/>
        </w:rPr>
        <w:t xml:space="preserve"> </w:t>
      </w:r>
      <w:r>
        <w:rPr>
          <w:szCs w:val="21"/>
        </w:rPr>
        <w:t>林</w:t>
      </w:r>
      <w:r>
        <w:rPr>
          <w:szCs w:val="21"/>
          <w:vertAlign w:val="superscript"/>
        </w:rPr>
        <w:t>1</w:t>
      </w:r>
      <w:r>
        <w:rPr>
          <w:szCs w:val="21"/>
        </w:rPr>
        <w:t xml:space="preserve"> </w:t>
      </w:r>
      <w:proofErr w:type="gramStart"/>
      <w:r>
        <w:rPr>
          <w:szCs w:val="21"/>
        </w:rPr>
        <w:t>卫力博</w:t>
      </w:r>
      <w:proofErr w:type="gramEnd"/>
      <w:r>
        <w:rPr>
          <w:szCs w:val="21"/>
          <w:vertAlign w:val="superscript"/>
        </w:rPr>
        <w:t xml:space="preserve">1 </w:t>
      </w:r>
      <w:r>
        <w:rPr>
          <w:szCs w:val="21"/>
        </w:rPr>
        <w:t>翟浩杰</w:t>
      </w:r>
      <w:r>
        <w:rPr>
          <w:szCs w:val="21"/>
          <w:vertAlign w:val="superscript"/>
        </w:rPr>
        <w:t>1</w:t>
      </w:r>
      <w:r>
        <w:rPr>
          <w:szCs w:val="21"/>
        </w:rPr>
        <w:t xml:space="preserve"> </w:t>
      </w:r>
      <w:r>
        <w:rPr>
          <w:szCs w:val="21"/>
        </w:rPr>
        <w:t>高</w:t>
      </w:r>
      <w:r>
        <w:rPr>
          <w:szCs w:val="21"/>
        </w:rPr>
        <w:t xml:space="preserve"> </w:t>
      </w:r>
      <w:r>
        <w:rPr>
          <w:szCs w:val="21"/>
        </w:rPr>
        <w:t>欣</w:t>
      </w:r>
      <w:r>
        <w:rPr>
          <w:szCs w:val="21"/>
          <w:vertAlign w:val="superscript"/>
        </w:rPr>
        <w:t>1</w:t>
      </w:r>
      <w:r>
        <w:rPr>
          <w:szCs w:val="21"/>
        </w:rPr>
        <w:t xml:space="preserve"> </w:t>
      </w:r>
      <w:r>
        <w:rPr>
          <w:szCs w:val="21"/>
        </w:rPr>
        <w:t>王</w:t>
      </w:r>
      <w:r>
        <w:rPr>
          <w:szCs w:val="21"/>
        </w:rPr>
        <w:t xml:space="preserve"> </w:t>
      </w:r>
      <w:r>
        <w:rPr>
          <w:szCs w:val="21"/>
        </w:rPr>
        <w:t>伟</w:t>
      </w:r>
      <w:r>
        <w:rPr>
          <w:szCs w:val="21"/>
          <w:vertAlign w:val="superscript"/>
        </w:rPr>
        <w:t>1</w:t>
      </w:r>
      <w:r>
        <w:rPr>
          <w:szCs w:val="21"/>
          <w:vertAlign w:val="superscript"/>
        </w:rPr>
        <w:t>，</w:t>
      </w:r>
      <w:r>
        <w:rPr>
          <w:szCs w:val="21"/>
          <w:vertAlign w:val="superscript"/>
        </w:rPr>
        <w:t>2</w:t>
      </w:r>
      <w:r>
        <w:rPr>
          <w:szCs w:val="21"/>
        </w:rPr>
        <w:t xml:space="preserve"> </w:t>
      </w:r>
      <w:r>
        <w:rPr>
          <w:szCs w:val="21"/>
        </w:rPr>
        <w:t>任同军</w:t>
      </w:r>
      <w:r>
        <w:rPr>
          <w:szCs w:val="21"/>
          <w:vertAlign w:val="superscript"/>
        </w:rPr>
        <w:t>1</w:t>
      </w:r>
      <w:r>
        <w:rPr>
          <w:szCs w:val="21"/>
        </w:rPr>
        <w:t xml:space="preserve"> </w:t>
      </w:r>
      <w:proofErr w:type="gramStart"/>
      <w:r>
        <w:rPr>
          <w:szCs w:val="21"/>
        </w:rPr>
        <w:t>韩雨哲</w:t>
      </w:r>
      <w:proofErr w:type="gramEnd"/>
      <w:r>
        <w:rPr>
          <w:szCs w:val="21"/>
          <w:vertAlign w:val="superscript"/>
        </w:rPr>
        <w:t>1</w:t>
      </w:r>
      <w:r>
        <w:rPr>
          <w:szCs w:val="21"/>
          <w:vertAlign w:val="superscript"/>
        </w:rPr>
        <w:t>，</w:t>
      </w:r>
      <w:r>
        <w:rPr>
          <w:szCs w:val="21"/>
          <w:vertAlign w:val="superscript"/>
        </w:rPr>
        <w:t>2*</w:t>
      </w:r>
    </w:p>
    <w:p w14:paraId="703C0ACB" w14:textId="77777777" w:rsidR="008F75C3" w:rsidRDefault="006614AC">
      <w:pPr>
        <w:spacing w:line="360" w:lineRule="auto"/>
        <w:ind w:firstLineChars="200" w:firstLine="420"/>
        <w:jc w:val="center"/>
        <w:rPr>
          <w:szCs w:val="21"/>
        </w:rPr>
      </w:pPr>
      <w:r>
        <w:rPr>
          <w:szCs w:val="21"/>
        </w:rPr>
        <w:t>（</w:t>
      </w:r>
      <w:r>
        <w:rPr>
          <w:szCs w:val="21"/>
        </w:rPr>
        <w:t>1.</w:t>
      </w:r>
      <w:r>
        <w:rPr>
          <w:szCs w:val="21"/>
        </w:rPr>
        <w:t>大连海洋大学水产与生命学院，辽宁大连</w:t>
      </w:r>
      <w:r>
        <w:rPr>
          <w:szCs w:val="21"/>
        </w:rPr>
        <w:t xml:space="preserve"> 116023</w:t>
      </w:r>
      <w:r>
        <w:rPr>
          <w:szCs w:val="21"/>
        </w:rPr>
        <w:t>；</w:t>
      </w:r>
      <w:r>
        <w:rPr>
          <w:szCs w:val="21"/>
        </w:rPr>
        <w:t>2.</w:t>
      </w:r>
      <w:r>
        <w:rPr>
          <w:szCs w:val="21"/>
        </w:rPr>
        <w:t>大连海洋大学，辽宁省北方鱼类应用生物学与增养殖重点实验室，辽宁大连</w:t>
      </w:r>
      <w:r>
        <w:rPr>
          <w:szCs w:val="21"/>
        </w:rPr>
        <w:t xml:space="preserve"> 116023</w:t>
      </w:r>
      <w:r>
        <w:rPr>
          <w:szCs w:val="21"/>
        </w:rPr>
        <w:t>）</w:t>
      </w:r>
    </w:p>
    <w:p w14:paraId="4A770901" w14:textId="77777777" w:rsidR="008F75C3" w:rsidRDefault="006614AC">
      <w:r>
        <w:rPr>
          <w:b/>
          <w:bCs/>
        </w:rPr>
        <w:t>摘要：</w:t>
      </w:r>
      <w:r>
        <w:t>试验旨在研究鸡肠粉替代鱼粉对鲤（</w:t>
      </w:r>
      <w:r>
        <w:t xml:space="preserve">Cyprinus </w:t>
      </w:r>
      <w:proofErr w:type="spellStart"/>
      <w:r>
        <w:t>carpio</w:t>
      </w:r>
      <w:proofErr w:type="spellEnd"/>
      <w:r>
        <w:t>）生长性能、消化酶活性、抗氧化、非特异性免疫能力和血清生化指标的影响。配制</w:t>
      </w:r>
      <w:r>
        <w:t>5</w:t>
      </w:r>
      <w:r>
        <w:t>组等氮等脂的饲料（标记为</w:t>
      </w:r>
      <w:r>
        <w:t>D1</w:t>
      </w:r>
      <w:r>
        <w:t>、</w:t>
      </w:r>
      <w:r>
        <w:t>D2</w:t>
      </w:r>
      <w:r>
        <w:t>、</w:t>
      </w:r>
      <w:r>
        <w:t>D3</w:t>
      </w:r>
      <w:r>
        <w:t>、</w:t>
      </w:r>
      <w:r>
        <w:t>D4</w:t>
      </w:r>
      <w:r>
        <w:t>、</w:t>
      </w:r>
      <w:r>
        <w:t>D5</w:t>
      </w:r>
      <w:r>
        <w:t>），对照组（</w:t>
      </w:r>
      <w:r>
        <w:t>D1</w:t>
      </w:r>
      <w:r>
        <w:t>组）饲料鱼粉含量为</w:t>
      </w:r>
      <w:r>
        <w:t>4%</w:t>
      </w:r>
      <w:r>
        <w:t>，</w:t>
      </w:r>
      <w:r>
        <w:t>5</w:t>
      </w:r>
      <w:r>
        <w:t>组饲料不同比例替代</w:t>
      </w:r>
      <w:r>
        <w:t>0</w:t>
      </w:r>
      <w:r>
        <w:t>、</w:t>
      </w:r>
      <w:r>
        <w:t>25%</w:t>
      </w:r>
      <w:r>
        <w:t>、</w:t>
      </w:r>
      <w:r>
        <w:t>50%</w:t>
      </w:r>
      <w:r>
        <w:t>、</w:t>
      </w:r>
      <w:r>
        <w:t>75%</w:t>
      </w:r>
      <w:r>
        <w:t>和</w:t>
      </w:r>
      <w:r>
        <w:t>100%</w:t>
      </w:r>
      <w:r>
        <w:t>的鱼粉。选取初始体重约为</w:t>
      </w:r>
      <w:r>
        <w:t>66.34 g</w:t>
      </w:r>
      <w:r>
        <w:t>的鲤</w:t>
      </w:r>
      <w:r>
        <w:t>150</w:t>
      </w:r>
      <w:r>
        <w:t>尾，随机分为</w:t>
      </w:r>
      <w:r>
        <w:t>5</w:t>
      </w:r>
      <w:r>
        <w:t>组，每组</w:t>
      </w:r>
      <w:r>
        <w:t>3</w:t>
      </w:r>
      <w:r>
        <w:t>个重复，每个重复</w:t>
      </w:r>
      <w:r>
        <w:t>10</w:t>
      </w:r>
      <w:r>
        <w:t>尾，进行为期</w:t>
      </w:r>
      <w:r>
        <w:t>6</w:t>
      </w:r>
      <w:r>
        <w:t>周养殖试验。结果表明：饲料中鸡肠粉替代鱼粉对鲤成活率和形态学指标无显著影响（</w:t>
      </w:r>
      <w:r>
        <w:rPr>
          <w:i/>
          <w:iCs/>
        </w:rPr>
        <w:t>P</w:t>
      </w:r>
      <w:r>
        <w:t>&gt;0.05</w:t>
      </w:r>
      <w:r>
        <w:t>）。</w:t>
      </w:r>
      <w:proofErr w:type="gramStart"/>
      <w:r>
        <w:t>鲤</w:t>
      </w:r>
      <w:proofErr w:type="gramEnd"/>
      <w:r>
        <w:t>增重率（</w:t>
      </w:r>
      <w:r>
        <w:t>WGR</w:t>
      </w:r>
      <w:r>
        <w:t>）和特定生长率（</w:t>
      </w:r>
      <w:r>
        <w:t>SGR</w:t>
      </w:r>
      <w:r>
        <w:t>）随着鸡肠粉替代水平的增加呈先上升后下降</w:t>
      </w:r>
      <w:r>
        <w:t>的趋势，均在</w:t>
      </w:r>
      <w:r>
        <w:t>D4</w:t>
      </w:r>
      <w:r>
        <w:t>组时达到峰值，显著高于对照组（</w:t>
      </w:r>
      <w:r>
        <w:rPr>
          <w:i/>
          <w:iCs/>
        </w:rPr>
        <w:t>P</w:t>
      </w:r>
      <w:r>
        <w:t>&lt;0.05</w:t>
      </w:r>
      <w:r>
        <w:t>）。各试验组饲料系数（</w:t>
      </w:r>
      <w:r>
        <w:t>FCR</w:t>
      </w:r>
      <w:r>
        <w:t>）显著低于对照组（</w:t>
      </w:r>
      <w:r>
        <w:rPr>
          <w:i/>
          <w:iCs/>
        </w:rPr>
        <w:t>P</w:t>
      </w:r>
      <w:r>
        <w:t>&lt;0.05</w:t>
      </w:r>
      <w:r>
        <w:t>）。饲料中鸡肠粉替代</w:t>
      </w:r>
      <w:r>
        <w:lastRenderedPageBreak/>
        <w:t>鱼粉显著提高了各试验组</w:t>
      </w:r>
      <w:proofErr w:type="gramStart"/>
      <w:r>
        <w:t>鲤</w:t>
      </w:r>
      <w:proofErr w:type="gramEnd"/>
      <w:r>
        <w:t>肠道胃蛋白酶（</w:t>
      </w:r>
      <w:r>
        <w:t>PEP</w:t>
      </w:r>
      <w:r>
        <w:t>）活性，</w:t>
      </w:r>
      <w:r>
        <w:t>D2</w:t>
      </w:r>
      <w:r>
        <w:t>、</w:t>
      </w:r>
      <w:r>
        <w:t>D3</w:t>
      </w:r>
      <w:r>
        <w:t>和</w:t>
      </w:r>
      <w:r>
        <w:t>D4</w:t>
      </w:r>
      <w:r>
        <w:t>组</w:t>
      </w:r>
      <w:r>
        <w:t>α-</w:t>
      </w:r>
      <w:r>
        <w:t>淀粉酶（</w:t>
      </w:r>
      <w:r>
        <w:t>α-AMS</w:t>
      </w:r>
      <w:r>
        <w:t>）和</w:t>
      </w:r>
      <w:r>
        <w:t>D3</w:t>
      </w:r>
      <w:r>
        <w:t>、</w:t>
      </w:r>
      <w:r>
        <w:t xml:space="preserve">D4 </w:t>
      </w:r>
      <w:r>
        <w:t>组脂肪酶（</w:t>
      </w:r>
      <w:r>
        <w:t>LPS</w:t>
      </w:r>
      <w:r>
        <w:t>）活性显著高于对照组（</w:t>
      </w:r>
      <w:r>
        <w:rPr>
          <w:i/>
          <w:iCs/>
        </w:rPr>
        <w:t>P</w:t>
      </w:r>
      <w:r>
        <w:t>&lt;0.05</w:t>
      </w:r>
      <w:r>
        <w:t>）。</w:t>
      </w:r>
      <w:proofErr w:type="gramStart"/>
      <w:r>
        <w:t>各组间丙二</w:t>
      </w:r>
      <w:proofErr w:type="gramEnd"/>
      <w:r>
        <w:t>醛（</w:t>
      </w:r>
      <w:r>
        <w:t>MDA</w:t>
      </w:r>
      <w:r>
        <w:t>）水平无显著差异（</w:t>
      </w:r>
      <w:r>
        <w:rPr>
          <w:i/>
          <w:iCs/>
        </w:rPr>
        <w:t>P</w:t>
      </w:r>
      <w:r>
        <w:t>&gt;0.05</w:t>
      </w:r>
      <w:r>
        <w:t>）。</w:t>
      </w:r>
      <w:r>
        <w:t>D3</w:t>
      </w:r>
      <w:r>
        <w:t>组过氧化氢酶（</w:t>
      </w:r>
      <w:r>
        <w:t>CAT</w:t>
      </w:r>
      <w:r>
        <w:t>）活性最高（</w:t>
      </w:r>
      <w:r>
        <w:rPr>
          <w:i/>
          <w:iCs/>
        </w:rPr>
        <w:t>P</w:t>
      </w:r>
      <w:r>
        <w:t>&lt;0.05</w:t>
      </w:r>
      <w:r>
        <w:t>），</w:t>
      </w:r>
      <w:r>
        <w:t>D4</w:t>
      </w:r>
      <w:r>
        <w:t>组超氧化物歧化酶（</w:t>
      </w:r>
      <w:r>
        <w:t>SOD</w:t>
      </w:r>
      <w:r>
        <w:t>）活性最高（</w:t>
      </w:r>
      <w:r>
        <w:rPr>
          <w:i/>
          <w:iCs/>
        </w:rPr>
        <w:t>P</w:t>
      </w:r>
      <w:r>
        <w:t>&lt;0.05</w:t>
      </w:r>
      <w:r>
        <w:t>）。</w:t>
      </w:r>
      <w:proofErr w:type="gramStart"/>
      <w:r>
        <w:t>鲤</w:t>
      </w:r>
      <w:proofErr w:type="gramEnd"/>
      <w:r>
        <w:t>肝脏酸性磷酸酶（</w:t>
      </w:r>
      <w:r>
        <w:t>ACP</w:t>
      </w:r>
      <w:r>
        <w:t>）、碱性磷酸酶（</w:t>
      </w:r>
      <w:r>
        <w:t>AKP</w:t>
      </w:r>
      <w:r>
        <w:t>）和溶</w:t>
      </w:r>
      <w:r>
        <w:t>菌酶（</w:t>
      </w:r>
      <w:r>
        <w:t>LZM</w:t>
      </w:r>
      <w:r>
        <w:t>）活性均在</w:t>
      </w:r>
      <w:r>
        <w:t>D4</w:t>
      </w:r>
      <w:r>
        <w:t>组达到最高（</w:t>
      </w:r>
      <w:r>
        <w:rPr>
          <w:i/>
          <w:iCs/>
        </w:rPr>
        <w:t>P</w:t>
      </w:r>
      <w:r>
        <w:t>&lt;0.05</w:t>
      </w:r>
      <w:r>
        <w:t>）。各组间总蛋白（</w:t>
      </w:r>
      <w:r>
        <w:t>TP</w:t>
      </w:r>
      <w:r>
        <w:t>）、白蛋白（</w:t>
      </w:r>
      <w:r>
        <w:t>ALB</w:t>
      </w:r>
      <w:r>
        <w:t>）、总胆固醇（</w:t>
      </w:r>
      <w:r>
        <w:t>T-CHO</w:t>
      </w:r>
      <w:r>
        <w:t>）和三酰甘（</w:t>
      </w:r>
      <w:r>
        <w:t>TG</w:t>
      </w:r>
      <w:r>
        <w:t>水平无显著差异（</w:t>
      </w:r>
      <w:r>
        <w:rPr>
          <w:i/>
          <w:iCs/>
        </w:rPr>
        <w:t>P</w:t>
      </w:r>
      <w:r>
        <w:t>&gt;0.05</w:t>
      </w:r>
      <w:r>
        <w:t>）。随着替代水平的增加，鲤血清中谷草转氨酶（</w:t>
      </w:r>
      <w:r>
        <w:t>GOT</w:t>
      </w:r>
      <w:r>
        <w:t>）和谷丙转氨（</w:t>
      </w:r>
      <w:r>
        <w:t>GPT</w:t>
      </w:r>
      <w:r>
        <w:t>）活性呈上升趋势，均在</w:t>
      </w:r>
      <w:r>
        <w:t>D5</w:t>
      </w:r>
      <w:r>
        <w:t>组达到峰值</w:t>
      </w:r>
      <w:proofErr w:type="gramStart"/>
      <w:r>
        <w:t>且显著</w:t>
      </w:r>
      <w:proofErr w:type="gramEnd"/>
      <w:r>
        <w:t>高于对照组（</w:t>
      </w:r>
      <w:r>
        <w:rPr>
          <w:i/>
          <w:iCs/>
        </w:rPr>
        <w:t>P</w:t>
      </w:r>
      <w:r>
        <w:t>&lt;0.05</w:t>
      </w:r>
      <w:r>
        <w:t>）。研究表明，对照鱼粉含量为</w:t>
      </w:r>
      <w:r>
        <w:t>4%</w:t>
      </w:r>
      <w:r>
        <w:t>的基础饲料，鸡肠粉可部分或全部替代鱼粉，当鸡肠粉替代鱼粉比例</w:t>
      </w:r>
      <w:r>
        <w:t>≥75%</w:t>
      </w:r>
      <w:r>
        <w:t>时可能会引起</w:t>
      </w:r>
      <w:proofErr w:type="gramStart"/>
      <w:r>
        <w:t>鲤</w:t>
      </w:r>
      <w:proofErr w:type="gramEnd"/>
      <w:r>
        <w:t>肝脏代谢异常。</w:t>
      </w:r>
    </w:p>
    <w:p w14:paraId="53A13D8F" w14:textId="77777777" w:rsidR="008F75C3" w:rsidRDefault="006614AC">
      <w:pPr>
        <w:rPr>
          <w:i/>
          <w:iCs/>
          <w:szCs w:val="21"/>
        </w:rPr>
      </w:pPr>
      <w:r>
        <w:rPr>
          <w:b/>
          <w:bCs/>
        </w:rPr>
        <w:t>关键词：</w:t>
      </w:r>
      <w:r>
        <w:t>鸡肠粉；鲤；生长性能；消化酶活性；非特异性免疫；血清生化指标</w:t>
      </w:r>
    </w:p>
    <w:p w14:paraId="6BC37AC0" w14:textId="77777777" w:rsidR="008F75C3" w:rsidRDefault="006614AC">
      <w:pPr>
        <w:spacing w:line="360" w:lineRule="auto"/>
        <w:jc w:val="center"/>
        <w:rPr>
          <w:b/>
          <w:bCs/>
          <w:sz w:val="24"/>
        </w:rPr>
      </w:pPr>
      <w:r>
        <w:rPr>
          <w:b/>
          <w:bCs/>
          <w:sz w:val="24"/>
        </w:rPr>
        <w:t>Effects o</w:t>
      </w:r>
      <w:r>
        <w:rPr>
          <w:b/>
          <w:bCs/>
          <w:sz w:val="24"/>
        </w:rPr>
        <w:t xml:space="preserve">f Chicken Intestine Meal Instead of Fish Meal on Growth, Digestive Capacity, Immune Related Physical and Chemical Indexes of Cyprinus </w:t>
      </w:r>
      <w:proofErr w:type="spellStart"/>
      <w:r>
        <w:rPr>
          <w:b/>
          <w:bCs/>
          <w:sz w:val="24"/>
        </w:rPr>
        <w:t>carpio</w:t>
      </w:r>
      <w:proofErr w:type="spellEnd"/>
    </w:p>
    <w:p w14:paraId="454915DB" w14:textId="77777777" w:rsidR="008F75C3" w:rsidRDefault="006614AC">
      <w:pPr>
        <w:spacing w:line="360" w:lineRule="auto"/>
        <w:jc w:val="center"/>
        <w:rPr>
          <w:szCs w:val="21"/>
        </w:rPr>
      </w:pPr>
      <w:r>
        <w:rPr>
          <w:szCs w:val="21"/>
        </w:rPr>
        <w:t>PENG Zuxiang</w:t>
      </w:r>
      <w:proofErr w:type="gramStart"/>
      <w:r>
        <w:rPr>
          <w:szCs w:val="21"/>
          <w:vertAlign w:val="superscript"/>
        </w:rPr>
        <w:t xml:space="preserve">1 </w:t>
      </w:r>
      <w:r>
        <w:rPr>
          <w:szCs w:val="21"/>
        </w:rPr>
        <w:t xml:space="preserve"> YAN</w:t>
      </w:r>
      <w:proofErr w:type="gramEnd"/>
      <w:r>
        <w:rPr>
          <w:szCs w:val="21"/>
        </w:rPr>
        <w:t xml:space="preserve"> Lin</w:t>
      </w:r>
      <w:r>
        <w:rPr>
          <w:szCs w:val="21"/>
          <w:vertAlign w:val="superscript"/>
        </w:rPr>
        <w:t xml:space="preserve">1  </w:t>
      </w:r>
      <w:r>
        <w:rPr>
          <w:szCs w:val="21"/>
        </w:rPr>
        <w:t xml:space="preserve"> WEI Libo</w:t>
      </w:r>
      <w:r>
        <w:rPr>
          <w:szCs w:val="21"/>
          <w:vertAlign w:val="superscript"/>
        </w:rPr>
        <w:t>1</w:t>
      </w:r>
      <w:r>
        <w:rPr>
          <w:szCs w:val="21"/>
        </w:rPr>
        <w:t xml:space="preserve">  ZHAI Haojie</w:t>
      </w:r>
      <w:r>
        <w:rPr>
          <w:szCs w:val="21"/>
          <w:vertAlign w:val="superscript"/>
        </w:rPr>
        <w:t>1</w:t>
      </w:r>
      <w:r>
        <w:rPr>
          <w:szCs w:val="21"/>
        </w:rPr>
        <w:t xml:space="preserve">  GAO Xin</w:t>
      </w:r>
      <w:r>
        <w:rPr>
          <w:szCs w:val="21"/>
          <w:vertAlign w:val="superscript"/>
        </w:rPr>
        <w:t xml:space="preserve">1 </w:t>
      </w:r>
      <w:r>
        <w:rPr>
          <w:szCs w:val="21"/>
        </w:rPr>
        <w:t xml:space="preserve"> WANG Wei</w:t>
      </w:r>
      <w:r>
        <w:rPr>
          <w:szCs w:val="21"/>
          <w:vertAlign w:val="superscript"/>
        </w:rPr>
        <w:t>1,2</w:t>
      </w:r>
    </w:p>
    <w:p w14:paraId="1FD84103" w14:textId="77777777" w:rsidR="008F75C3" w:rsidRDefault="006614AC">
      <w:pPr>
        <w:spacing w:line="360" w:lineRule="auto"/>
        <w:jc w:val="center"/>
        <w:rPr>
          <w:i/>
          <w:iCs/>
          <w:szCs w:val="21"/>
        </w:rPr>
      </w:pPr>
      <w:r>
        <w:rPr>
          <w:szCs w:val="21"/>
        </w:rPr>
        <w:t>REN Tongjun</w:t>
      </w:r>
      <w:proofErr w:type="gramStart"/>
      <w:r>
        <w:rPr>
          <w:szCs w:val="21"/>
          <w:vertAlign w:val="superscript"/>
        </w:rPr>
        <w:t xml:space="preserve">1  </w:t>
      </w:r>
      <w:r>
        <w:rPr>
          <w:szCs w:val="21"/>
        </w:rPr>
        <w:t>HAN</w:t>
      </w:r>
      <w:proofErr w:type="gramEnd"/>
      <w:r>
        <w:rPr>
          <w:szCs w:val="21"/>
        </w:rPr>
        <w:t xml:space="preserve"> Yuzhe</w:t>
      </w:r>
      <w:r>
        <w:rPr>
          <w:szCs w:val="21"/>
          <w:vertAlign w:val="superscript"/>
        </w:rPr>
        <w:t>1,2*</w:t>
      </w:r>
      <w:r>
        <w:rPr>
          <w:i/>
          <w:iCs/>
          <w:szCs w:val="21"/>
          <w:vertAlign w:val="superscript"/>
        </w:rPr>
        <w:t xml:space="preserve"> </w:t>
      </w:r>
    </w:p>
    <w:p w14:paraId="4642CA62" w14:textId="77777777" w:rsidR="008F75C3" w:rsidRDefault="006614AC">
      <w:pPr>
        <w:spacing w:line="360" w:lineRule="auto"/>
        <w:jc w:val="center"/>
        <w:rPr>
          <w:i/>
          <w:iCs/>
          <w:szCs w:val="21"/>
        </w:rPr>
      </w:pPr>
      <w:r>
        <w:rPr>
          <w:i/>
          <w:iCs/>
          <w:szCs w:val="21"/>
        </w:rPr>
        <w:t xml:space="preserve">(1. </w:t>
      </w:r>
      <w:r>
        <w:rPr>
          <w:i/>
          <w:iCs/>
          <w:szCs w:val="21"/>
        </w:rPr>
        <w:t>College of Fisheries and Life Science, Dalian Ocean University, Liaoning Dalian 116023, China;</w:t>
      </w:r>
    </w:p>
    <w:p w14:paraId="0B5AF795" w14:textId="77777777" w:rsidR="008F75C3" w:rsidRDefault="006614AC">
      <w:pPr>
        <w:spacing w:line="360" w:lineRule="auto"/>
        <w:jc w:val="center"/>
        <w:rPr>
          <w:i/>
          <w:iCs/>
          <w:szCs w:val="21"/>
        </w:rPr>
      </w:pPr>
      <w:r>
        <w:rPr>
          <w:i/>
          <w:iCs/>
          <w:szCs w:val="21"/>
        </w:rPr>
        <w:t xml:space="preserve">2. Key Laboratory of Fish Applied Biology and Aquaculture in North China, Dalian Ocean </w:t>
      </w:r>
      <w:proofErr w:type="spellStart"/>
      <w:proofErr w:type="gramStart"/>
      <w:r>
        <w:rPr>
          <w:i/>
          <w:iCs/>
          <w:szCs w:val="21"/>
        </w:rPr>
        <w:t>University,Liaoning</w:t>
      </w:r>
      <w:proofErr w:type="spellEnd"/>
      <w:proofErr w:type="gramEnd"/>
      <w:r>
        <w:rPr>
          <w:i/>
          <w:iCs/>
          <w:szCs w:val="21"/>
        </w:rPr>
        <w:t xml:space="preserve"> Dalian 116023, China)</w:t>
      </w:r>
    </w:p>
    <w:p w14:paraId="3BD8CAC6" w14:textId="77777777" w:rsidR="008F75C3" w:rsidRDefault="006614AC">
      <w:pPr>
        <w:rPr>
          <w:szCs w:val="21"/>
        </w:rPr>
      </w:pPr>
      <w:r>
        <w:rPr>
          <w:b/>
          <w:bCs/>
          <w:szCs w:val="21"/>
        </w:rPr>
        <w:t>Abstract</w:t>
      </w:r>
      <w:r>
        <w:rPr>
          <w:b/>
          <w:bCs/>
          <w:szCs w:val="21"/>
        </w:rPr>
        <w:t>：</w:t>
      </w:r>
      <w:r>
        <w:rPr>
          <w:szCs w:val="21"/>
        </w:rPr>
        <w:t xml:space="preserve">A 6-week feeding trial </w:t>
      </w:r>
      <w:r>
        <w:rPr>
          <w:szCs w:val="21"/>
        </w:rPr>
        <w:t xml:space="preserve">was conducted to evaluate the effects of chicken intestine meal (poultry by- product meal) replacement with fish </w:t>
      </w:r>
      <w:proofErr w:type="gramStart"/>
      <w:r>
        <w:rPr>
          <w:szCs w:val="21"/>
        </w:rPr>
        <w:t>meal(</w:t>
      </w:r>
      <w:proofErr w:type="gramEnd"/>
      <w:r>
        <w:rPr>
          <w:szCs w:val="21"/>
        </w:rPr>
        <w:t xml:space="preserve">FM) on growth performance, digestive enzyme </w:t>
      </w:r>
      <w:proofErr w:type="spellStart"/>
      <w:r>
        <w:rPr>
          <w:szCs w:val="21"/>
        </w:rPr>
        <w:t>ac⁃tivity</w:t>
      </w:r>
      <w:proofErr w:type="spellEnd"/>
      <w:r>
        <w:rPr>
          <w:szCs w:val="21"/>
        </w:rPr>
        <w:t>, antioxidant capacity, non- specific immune capacity and serum biochemical indexes o</w:t>
      </w:r>
      <w:r>
        <w:rPr>
          <w:szCs w:val="21"/>
        </w:rPr>
        <w:t xml:space="preserve">f </w:t>
      </w:r>
      <w:proofErr w:type="spellStart"/>
      <w:r>
        <w:rPr>
          <w:szCs w:val="21"/>
        </w:rPr>
        <w:t>Cypri⁃nus</w:t>
      </w:r>
      <w:proofErr w:type="spellEnd"/>
      <w:r>
        <w:rPr>
          <w:szCs w:val="21"/>
        </w:rPr>
        <w:t xml:space="preserve"> </w:t>
      </w:r>
      <w:proofErr w:type="spellStart"/>
      <w:r>
        <w:rPr>
          <w:szCs w:val="21"/>
        </w:rPr>
        <w:t>carpio</w:t>
      </w:r>
      <w:proofErr w:type="spellEnd"/>
      <w:r>
        <w:rPr>
          <w:szCs w:val="21"/>
        </w:rPr>
        <w:t>. Five iso- nitrogenous and iso-lipid diets were formulated with different levels of chicken</w:t>
      </w:r>
      <w:r>
        <w:rPr>
          <w:szCs w:val="21"/>
        </w:rPr>
        <w:t>，</w:t>
      </w:r>
      <w:r>
        <w:rPr>
          <w:szCs w:val="21"/>
        </w:rPr>
        <w:t>intestine meal which were supplemented with 0(D1), 1% (D2), 2% (D3), 3% (D4) and 4% (D5) to replace 0, 25%, 50%, 75% and 100% FM, respect</w:t>
      </w:r>
      <w:r>
        <w:t xml:space="preserve"> </w:t>
      </w:r>
      <w:proofErr w:type="spellStart"/>
      <w:r>
        <w:rPr>
          <w:szCs w:val="21"/>
        </w:rPr>
        <w:t>ively</w:t>
      </w:r>
      <w:proofErr w:type="spellEnd"/>
      <w:r>
        <w:rPr>
          <w:szCs w:val="21"/>
        </w:rPr>
        <w:t xml:space="preserve">. </w:t>
      </w:r>
      <w:r>
        <w:rPr>
          <w:szCs w:val="21"/>
        </w:rPr>
        <w:t xml:space="preserve">A total of 150 Cyprinus </w:t>
      </w:r>
      <w:proofErr w:type="spellStart"/>
      <w:r>
        <w:rPr>
          <w:szCs w:val="21"/>
        </w:rPr>
        <w:t>carpio</w:t>
      </w:r>
      <w:proofErr w:type="spellEnd"/>
      <w:r>
        <w:rPr>
          <w:szCs w:val="21"/>
        </w:rPr>
        <w:t xml:space="preserve"> with an initial body weight of 66.34 g were randomly divided into five groups with three replicates per group and allocated 10 fish in each replicate. The results showed that there were no significant differences in survival </w:t>
      </w:r>
      <w:r>
        <w:rPr>
          <w:szCs w:val="21"/>
        </w:rPr>
        <w:t>ratio (SR) and body morphological indexes (</w:t>
      </w:r>
      <w:r>
        <w:rPr>
          <w:i/>
          <w:iCs/>
          <w:szCs w:val="21"/>
        </w:rPr>
        <w:t>P</w:t>
      </w:r>
      <w:r>
        <w:rPr>
          <w:szCs w:val="21"/>
        </w:rPr>
        <w:t>&gt;0.05</w:t>
      </w:r>
      <w:proofErr w:type="gramStart"/>
      <w:r>
        <w:rPr>
          <w:szCs w:val="21"/>
        </w:rPr>
        <w:t>).As</w:t>
      </w:r>
      <w:proofErr w:type="gramEnd"/>
      <w:r>
        <w:rPr>
          <w:szCs w:val="21"/>
        </w:rPr>
        <w:t xml:space="preserve"> the replacement ratio of fish meal by chicken intestine increased, the weight gain ration (WGR) and specific growth rate (SGR) showed a trend of first rising and then decreasing, They were all significa</w:t>
      </w:r>
      <w:r>
        <w:rPr>
          <w:szCs w:val="21"/>
        </w:rPr>
        <w:t>ntly higher in the group D4 than that in the control group (</w:t>
      </w:r>
      <w:r>
        <w:rPr>
          <w:i/>
          <w:iCs/>
          <w:szCs w:val="21"/>
        </w:rPr>
        <w:t>P</w:t>
      </w:r>
      <w:r>
        <w:rPr>
          <w:szCs w:val="21"/>
        </w:rPr>
        <w:t xml:space="preserve">&lt;0.05). The feed conversion ratio (FCR) in </w:t>
      </w:r>
      <w:proofErr w:type="spellStart"/>
      <w:r>
        <w:rPr>
          <w:szCs w:val="21"/>
        </w:rPr>
        <w:t>experi⁃mental</w:t>
      </w:r>
      <w:proofErr w:type="spellEnd"/>
      <w:r>
        <w:rPr>
          <w:szCs w:val="21"/>
        </w:rPr>
        <w:t xml:space="preserve"> groups was significantly lower than that in control group (</w:t>
      </w:r>
      <w:r>
        <w:rPr>
          <w:i/>
          <w:iCs/>
          <w:szCs w:val="21"/>
        </w:rPr>
        <w:t>P</w:t>
      </w:r>
      <w:r>
        <w:rPr>
          <w:szCs w:val="21"/>
        </w:rPr>
        <w:t xml:space="preserve">&lt;0.05). Dietary chicken intestine meal replacing with fish meal significantly </w:t>
      </w:r>
      <w:r>
        <w:rPr>
          <w:szCs w:val="21"/>
        </w:rPr>
        <w:t xml:space="preserve">increased the activities of intestinal pepsin (PEP) of the carp in all experimental </w:t>
      </w:r>
      <w:proofErr w:type="spellStart"/>
      <w:proofErr w:type="gramStart"/>
      <w:r>
        <w:rPr>
          <w:szCs w:val="21"/>
        </w:rPr>
        <w:t>groups,and</w:t>
      </w:r>
      <w:proofErr w:type="spellEnd"/>
      <w:proofErr w:type="gramEnd"/>
      <w:r>
        <w:rPr>
          <w:szCs w:val="21"/>
        </w:rPr>
        <w:t xml:space="preserve"> the α-amylase (α-AMS) activity in the groups D2 , D3 and D4 and the lipase(LPS) activity in groups D3 and D4 were significantly higher than in the control group </w:t>
      </w:r>
      <w:r>
        <w:rPr>
          <w:szCs w:val="21"/>
        </w:rPr>
        <w:t>(</w:t>
      </w:r>
      <w:r>
        <w:rPr>
          <w:i/>
          <w:iCs/>
          <w:szCs w:val="21"/>
        </w:rPr>
        <w:t>P</w:t>
      </w:r>
      <w:r>
        <w:rPr>
          <w:szCs w:val="21"/>
        </w:rPr>
        <w:t>&lt;0.05). There were no significant difference malondialdehyde (MDA) level among experimental groups. Catalase (CAT) activity showed highest in group D3 (</w:t>
      </w:r>
      <w:r>
        <w:rPr>
          <w:i/>
          <w:iCs/>
          <w:szCs w:val="21"/>
        </w:rPr>
        <w:t>P</w:t>
      </w:r>
      <w:r>
        <w:rPr>
          <w:szCs w:val="21"/>
        </w:rPr>
        <w:t>&lt;0.05), while superoxide dismutase (SOD) activity was greatest in group D4 (</w:t>
      </w:r>
      <w:r>
        <w:rPr>
          <w:i/>
          <w:iCs/>
          <w:szCs w:val="21"/>
        </w:rPr>
        <w:t>P</w:t>
      </w:r>
      <w:r>
        <w:rPr>
          <w:szCs w:val="21"/>
        </w:rPr>
        <w:t>&lt;0.05). The liver acid p</w:t>
      </w:r>
      <w:r>
        <w:rPr>
          <w:szCs w:val="21"/>
        </w:rPr>
        <w:t>hosphatase (ACP), alkaline phosphatase (AKP) and lysozyme (LZM)activities were highest in the group D4 (</w:t>
      </w:r>
      <w:r>
        <w:rPr>
          <w:i/>
          <w:iCs/>
          <w:szCs w:val="21"/>
        </w:rPr>
        <w:t>P</w:t>
      </w:r>
      <w:r>
        <w:rPr>
          <w:szCs w:val="21"/>
        </w:rPr>
        <w:t xml:space="preserve">&lt;0.05). There were no significant differences in the total protein (TP), albumin (ALB), the total cholesterol (T-CHO), and </w:t>
      </w:r>
      <w:proofErr w:type="gramStart"/>
      <w:r>
        <w:rPr>
          <w:szCs w:val="21"/>
        </w:rPr>
        <w:t>triglyceride(</w:t>
      </w:r>
      <w:proofErr w:type="gramEnd"/>
      <w:r>
        <w:rPr>
          <w:szCs w:val="21"/>
        </w:rPr>
        <w:t>TG) levels betw</w:t>
      </w:r>
      <w:r>
        <w:rPr>
          <w:szCs w:val="21"/>
        </w:rPr>
        <w:t xml:space="preserve">een </w:t>
      </w:r>
      <w:proofErr w:type="spellStart"/>
      <w:r>
        <w:rPr>
          <w:szCs w:val="21"/>
        </w:rPr>
        <w:t>groups.With</w:t>
      </w:r>
      <w:proofErr w:type="spellEnd"/>
      <w:r>
        <w:rPr>
          <w:szCs w:val="21"/>
        </w:rPr>
        <w:t xml:space="preserve"> the substitution level increasing, the serum glutamic-</w:t>
      </w:r>
      <w:proofErr w:type="spellStart"/>
      <w:r>
        <w:rPr>
          <w:szCs w:val="21"/>
        </w:rPr>
        <w:t>oxalacetic</w:t>
      </w:r>
      <w:proofErr w:type="spellEnd"/>
      <w:r>
        <w:rPr>
          <w:szCs w:val="21"/>
        </w:rPr>
        <w:t xml:space="preserve"> transaminase (GOT) and </w:t>
      </w:r>
      <w:proofErr w:type="spellStart"/>
      <w:r>
        <w:rPr>
          <w:szCs w:val="21"/>
        </w:rPr>
        <w:t>glutamicpyruvic</w:t>
      </w:r>
      <w:proofErr w:type="spellEnd"/>
      <w:r>
        <w:rPr>
          <w:szCs w:val="21"/>
        </w:rPr>
        <w:t xml:space="preserve"> transaminase (GPT) activities showed an increasing trend, and both reached to the peak in D5 group and were significantly higher than th</w:t>
      </w:r>
      <w:r>
        <w:rPr>
          <w:szCs w:val="21"/>
        </w:rPr>
        <w:t xml:space="preserve">ose in the control group </w:t>
      </w:r>
      <w:r>
        <w:rPr>
          <w:i/>
          <w:iCs/>
          <w:szCs w:val="21"/>
        </w:rPr>
        <w:t>(P</w:t>
      </w:r>
      <w:r>
        <w:rPr>
          <w:szCs w:val="21"/>
        </w:rPr>
        <w:t>&lt;0.05). It could be concluded that under the experimental conditions, compared to the basic feed with 4% fishmeal content, chicken intestine meal could partially or completely replace fish meal. When the ratio of chicken intestin</w:t>
      </w:r>
      <w:r>
        <w:rPr>
          <w:szCs w:val="21"/>
        </w:rPr>
        <w:t xml:space="preserve">e meal to fish meal was ≥75%, it might cause abnormal liver metabolism of </w:t>
      </w:r>
      <w:r>
        <w:rPr>
          <w:i/>
          <w:iCs/>
          <w:szCs w:val="21"/>
        </w:rPr>
        <w:t xml:space="preserve">Cyprinus </w:t>
      </w:r>
      <w:proofErr w:type="spellStart"/>
      <w:r>
        <w:rPr>
          <w:i/>
          <w:iCs/>
          <w:szCs w:val="21"/>
        </w:rPr>
        <w:t>carpio</w:t>
      </w:r>
      <w:proofErr w:type="spellEnd"/>
      <w:r>
        <w:rPr>
          <w:szCs w:val="21"/>
        </w:rPr>
        <w:t>.</w:t>
      </w:r>
    </w:p>
    <w:p w14:paraId="06E7D7E3" w14:textId="77777777" w:rsidR="008F75C3" w:rsidRDefault="006614AC">
      <w:pPr>
        <w:rPr>
          <w:szCs w:val="21"/>
        </w:rPr>
      </w:pPr>
      <w:r>
        <w:rPr>
          <w:b/>
          <w:bCs/>
          <w:szCs w:val="21"/>
        </w:rPr>
        <w:lastRenderedPageBreak/>
        <w:t>Key words</w:t>
      </w:r>
      <w:r>
        <w:rPr>
          <w:szCs w:val="21"/>
        </w:rPr>
        <w:t>：</w:t>
      </w:r>
      <w:r>
        <w:rPr>
          <w:szCs w:val="21"/>
        </w:rPr>
        <w:t xml:space="preserve"> chicken intestine meal; </w:t>
      </w:r>
      <w:r>
        <w:rPr>
          <w:i/>
          <w:iCs/>
          <w:szCs w:val="21"/>
        </w:rPr>
        <w:t xml:space="preserve">Cyprinus </w:t>
      </w:r>
      <w:proofErr w:type="spellStart"/>
      <w:r>
        <w:rPr>
          <w:i/>
          <w:iCs/>
          <w:szCs w:val="21"/>
        </w:rPr>
        <w:t>carpio</w:t>
      </w:r>
      <w:proofErr w:type="spellEnd"/>
      <w:r>
        <w:rPr>
          <w:szCs w:val="21"/>
        </w:rPr>
        <w:t xml:space="preserve">; growth performance; digestive enzyme activity; nonspecific immune capacity; serum biochemical </w:t>
      </w:r>
      <w:proofErr w:type="spellStart"/>
      <w:r>
        <w:rPr>
          <w:szCs w:val="21"/>
        </w:rPr>
        <w:t>indexesaction</w:t>
      </w:r>
      <w:proofErr w:type="spellEnd"/>
    </w:p>
    <w:p w14:paraId="0751DDA9" w14:textId="77777777" w:rsidR="008F75C3" w:rsidRDefault="008F75C3">
      <w:pPr>
        <w:jc w:val="center"/>
        <w:rPr>
          <w:i/>
          <w:iCs/>
          <w:szCs w:val="21"/>
        </w:rPr>
      </w:pPr>
    </w:p>
    <w:p w14:paraId="6AB146BA" w14:textId="77777777" w:rsidR="008F75C3" w:rsidRDefault="006614AC">
      <w:pPr>
        <w:spacing w:line="360" w:lineRule="auto"/>
        <w:ind w:firstLineChars="200" w:firstLine="480"/>
        <w:rPr>
          <w:sz w:val="24"/>
        </w:rPr>
      </w:pPr>
      <w:r>
        <w:rPr>
          <w:sz w:val="24"/>
        </w:rPr>
        <w:t>鱼粉因营</w:t>
      </w:r>
      <w:r>
        <w:rPr>
          <w:sz w:val="24"/>
        </w:rPr>
        <w:t>养价值高、营养比例均衡成为了一种优质的动物蛋白，在我国水产饲料行业被广泛应用。近年来我国水产养殖发展迅速，巨大的需求导致鱼粉资源短缺和价格上涨，这成为了水产行业发展的制约因素。目前我国北方地区的一些饲料厂普遍使用国产鱼粉作为大宗淡水鱼饲料原料，但国产鱼粉也存在着以次充好、以假乱真的现象，质量不稳定。劣质的国产鱼粉中通常会被掺入</w:t>
      </w:r>
      <w:proofErr w:type="gramStart"/>
      <w:r>
        <w:rPr>
          <w:sz w:val="24"/>
        </w:rPr>
        <w:t>锯</w:t>
      </w:r>
      <w:proofErr w:type="gramEnd"/>
      <w:r>
        <w:rPr>
          <w:sz w:val="24"/>
        </w:rPr>
        <w:t>木粉和稻壳粉以增加其疏松度，掺入血粉、羽毛粉甚至尿素以增加粗蛋白含量</w:t>
      </w:r>
      <w:r>
        <w:rPr>
          <w:sz w:val="24"/>
          <w:vertAlign w:val="superscript"/>
        </w:rPr>
        <w:t>[1]</w:t>
      </w:r>
      <w:r>
        <w:rPr>
          <w:sz w:val="24"/>
        </w:rPr>
        <w:t>，这对于水产养殖危害极大，因此寻找一种替代鱼粉的优质蛋白成为了要迫切解决的难题。家禽副产品粉（</w:t>
      </w:r>
      <w:r>
        <w:rPr>
          <w:sz w:val="24"/>
        </w:rPr>
        <w:t>poultry</w:t>
      </w:r>
      <w:r>
        <w:rPr>
          <w:sz w:val="24"/>
        </w:rPr>
        <w:t xml:space="preserve"> by-product meal</w:t>
      </w:r>
      <w:r>
        <w:rPr>
          <w:sz w:val="24"/>
        </w:rPr>
        <w:t>，</w:t>
      </w:r>
      <w:r>
        <w:rPr>
          <w:sz w:val="24"/>
        </w:rPr>
        <w:t>PBM</w:t>
      </w:r>
      <w:r>
        <w:rPr>
          <w:sz w:val="24"/>
        </w:rPr>
        <w:t>）是家禽屠宰之后的下脚料，经提炼油脂和粉碎后得到的粉状产品，在营养组成上与鱼粉相似且价格低廉，与植物性蛋白源相比不含抗营养因子，因此被认作是一种潜在的鱼粉替代源</w:t>
      </w:r>
      <w:r>
        <w:rPr>
          <w:sz w:val="24"/>
          <w:vertAlign w:val="superscript"/>
        </w:rPr>
        <w:t>[2]</w:t>
      </w:r>
      <w:r>
        <w:rPr>
          <w:sz w:val="24"/>
        </w:rPr>
        <w:t>。国内外对军曹鱼（</w:t>
      </w:r>
      <w:r>
        <w:rPr>
          <w:i/>
          <w:iCs/>
          <w:sz w:val="24"/>
        </w:rPr>
        <w:t>Rachycentron canadum</w:t>
      </w:r>
      <w:r>
        <w:rPr>
          <w:sz w:val="24"/>
        </w:rPr>
        <w:t>）</w:t>
      </w:r>
      <w:r>
        <w:rPr>
          <w:sz w:val="24"/>
          <w:vertAlign w:val="superscript"/>
        </w:rPr>
        <w:t>[3-4]</w:t>
      </w:r>
      <w:r>
        <w:rPr>
          <w:sz w:val="24"/>
        </w:rPr>
        <w:t>、</w:t>
      </w:r>
      <w:proofErr w:type="gramStart"/>
      <w:r>
        <w:rPr>
          <w:sz w:val="24"/>
        </w:rPr>
        <w:t>凡纳滨对虾</w:t>
      </w:r>
      <w:proofErr w:type="gramEnd"/>
      <w:r>
        <w:rPr>
          <w:sz w:val="24"/>
        </w:rPr>
        <w:t>（</w:t>
      </w:r>
      <w:proofErr w:type="spellStart"/>
      <w:r>
        <w:rPr>
          <w:i/>
          <w:iCs/>
          <w:sz w:val="24"/>
        </w:rPr>
        <w:t>Litopenarus</w:t>
      </w:r>
      <w:proofErr w:type="spellEnd"/>
      <w:r>
        <w:rPr>
          <w:i/>
          <w:iCs/>
          <w:sz w:val="24"/>
        </w:rPr>
        <w:t xml:space="preserve"> </w:t>
      </w:r>
      <w:proofErr w:type="spellStart"/>
      <w:r>
        <w:rPr>
          <w:i/>
          <w:iCs/>
          <w:sz w:val="24"/>
        </w:rPr>
        <w:t>vannamei</w:t>
      </w:r>
      <w:proofErr w:type="spellEnd"/>
      <w:r>
        <w:rPr>
          <w:sz w:val="24"/>
        </w:rPr>
        <w:t>）</w:t>
      </w:r>
      <w:r>
        <w:rPr>
          <w:sz w:val="24"/>
          <w:vertAlign w:val="superscript"/>
        </w:rPr>
        <w:t>[5]</w:t>
      </w:r>
      <w:r>
        <w:rPr>
          <w:sz w:val="24"/>
        </w:rPr>
        <w:t>和</w:t>
      </w:r>
      <w:proofErr w:type="gramStart"/>
      <w:r>
        <w:rPr>
          <w:sz w:val="24"/>
        </w:rPr>
        <w:t>尼罗</w:t>
      </w:r>
      <w:proofErr w:type="gramEnd"/>
      <w:r>
        <w:rPr>
          <w:sz w:val="24"/>
        </w:rPr>
        <w:t>罗非鱼（</w:t>
      </w:r>
      <w:r>
        <w:rPr>
          <w:i/>
          <w:iCs/>
          <w:sz w:val="24"/>
        </w:rPr>
        <w:t xml:space="preserve">Oreochromis </w:t>
      </w:r>
      <w:proofErr w:type="spellStart"/>
      <w:r>
        <w:rPr>
          <w:i/>
          <w:iCs/>
          <w:sz w:val="24"/>
        </w:rPr>
        <w:t>niloticus</w:t>
      </w:r>
      <w:proofErr w:type="spellEnd"/>
      <w:r>
        <w:rPr>
          <w:sz w:val="24"/>
        </w:rPr>
        <w:t>）</w:t>
      </w:r>
      <w:r>
        <w:rPr>
          <w:sz w:val="24"/>
          <w:vertAlign w:val="superscript"/>
        </w:rPr>
        <w:t>[6]</w:t>
      </w:r>
      <w:r>
        <w:rPr>
          <w:sz w:val="24"/>
        </w:rPr>
        <w:t>等水产动物的研究表明</w:t>
      </w:r>
      <w:r>
        <w:rPr>
          <w:sz w:val="24"/>
        </w:rPr>
        <w:t>PBM</w:t>
      </w:r>
      <w:r>
        <w:rPr>
          <w:sz w:val="24"/>
        </w:rPr>
        <w:t>可在一定程度上替代鱼粉。鸡肠粉是</w:t>
      </w:r>
      <w:r>
        <w:rPr>
          <w:sz w:val="24"/>
        </w:rPr>
        <w:t xml:space="preserve"> PBM </w:t>
      </w:r>
      <w:r>
        <w:rPr>
          <w:sz w:val="24"/>
        </w:rPr>
        <w:t>的一种，</w:t>
      </w:r>
      <w:r>
        <w:rPr>
          <w:sz w:val="24"/>
        </w:rPr>
        <w:t>是以新鲜鸡肠为原料，经冲洗、蒸煮、喷雾干燥和粉碎等工序加工而成的新型优质饲料蛋白源。优质的鸡肠粉粗蛋白和粗脂肪含量与鱼粉接近，部分氨基酸含量甚至高于鱼粉，从营养成分及氨基酸组成分析，鸡肠粉作为一种饲料原料可以替代一定量的鱼粉</w:t>
      </w:r>
      <w:r>
        <w:rPr>
          <w:sz w:val="24"/>
          <w:vertAlign w:val="superscript"/>
        </w:rPr>
        <w:t>[7]</w:t>
      </w:r>
      <w:r>
        <w:rPr>
          <w:sz w:val="24"/>
        </w:rPr>
        <w:t>。</w:t>
      </w:r>
    </w:p>
    <w:p w14:paraId="2DF33F76" w14:textId="77777777" w:rsidR="008F75C3" w:rsidRDefault="006614AC">
      <w:pPr>
        <w:spacing w:line="360" w:lineRule="auto"/>
        <w:ind w:firstLineChars="200" w:firstLine="480"/>
        <w:rPr>
          <w:sz w:val="24"/>
        </w:rPr>
      </w:pPr>
      <w:r>
        <w:rPr>
          <w:sz w:val="24"/>
        </w:rPr>
        <w:t>鲤（</w:t>
      </w:r>
      <w:r>
        <w:rPr>
          <w:sz w:val="24"/>
        </w:rPr>
        <w:t xml:space="preserve">Cyprinus </w:t>
      </w:r>
      <w:proofErr w:type="spellStart"/>
      <w:r>
        <w:rPr>
          <w:sz w:val="24"/>
        </w:rPr>
        <w:t>carpio</w:t>
      </w:r>
      <w:proofErr w:type="spellEnd"/>
      <w:r>
        <w:rPr>
          <w:sz w:val="24"/>
        </w:rPr>
        <w:t>），是我国重要的淡水经济养殖品种，据中国渔业统计年鉴统计</w:t>
      </w:r>
      <w:r>
        <w:rPr>
          <w:sz w:val="24"/>
        </w:rPr>
        <w:t xml:space="preserve"> 2019 </w:t>
      </w:r>
      <w:r>
        <w:rPr>
          <w:sz w:val="24"/>
        </w:rPr>
        <w:t>年全国</w:t>
      </w:r>
      <w:proofErr w:type="gramStart"/>
      <w:r>
        <w:rPr>
          <w:sz w:val="24"/>
        </w:rPr>
        <w:t>鲤</w:t>
      </w:r>
      <w:proofErr w:type="gramEnd"/>
      <w:r>
        <w:rPr>
          <w:sz w:val="24"/>
        </w:rPr>
        <w:t>养殖产量为</w:t>
      </w:r>
      <w:r>
        <w:rPr>
          <w:sz w:val="24"/>
        </w:rPr>
        <w:t>288.5</w:t>
      </w:r>
      <w:r>
        <w:rPr>
          <w:sz w:val="24"/>
        </w:rPr>
        <w:t>万吨，是全国淡水鱼养殖产量的</w:t>
      </w:r>
      <w:r>
        <w:rPr>
          <w:sz w:val="24"/>
        </w:rPr>
        <w:t>11.32%</w:t>
      </w:r>
      <w:r>
        <w:rPr>
          <w:sz w:val="24"/>
        </w:rPr>
        <w:t>。作为大宗淡水鱼主要品种，鲤具有苗种容易获得、抗病力强、食性广、生长快、耐低氧、产量高、产品运输方便等优势，</w:t>
      </w:r>
      <w:r>
        <w:rPr>
          <w:sz w:val="24"/>
        </w:rPr>
        <w:t>在我国水产养殖产业中具有一定的发展前景。</w:t>
      </w:r>
    </w:p>
    <w:p w14:paraId="67D66F4D" w14:textId="77777777" w:rsidR="008F75C3" w:rsidRDefault="006614AC">
      <w:pPr>
        <w:spacing w:line="360" w:lineRule="auto"/>
        <w:ind w:firstLineChars="200" w:firstLine="480"/>
        <w:rPr>
          <w:sz w:val="24"/>
        </w:rPr>
      </w:pPr>
      <w:r>
        <w:rPr>
          <w:sz w:val="24"/>
        </w:rPr>
        <w:t>本试验的目的是基于</w:t>
      </w:r>
      <w:proofErr w:type="gramStart"/>
      <w:r>
        <w:rPr>
          <w:sz w:val="24"/>
        </w:rPr>
        <w:t>鲤</w:t>
      </w:r>
      <w:proofErr w:type="gramEnd"/>
      <w:r>
        <w:rPr>
          <w:sz w:val="24"/>
        </w:rPr>
        <w:t>营养研究基础，探究鸡肠粉替代鱼粉对鲤生长、消化、免疫、抗氧化和血清生化指标的影响，探究</w:t>
      </w:r>
      <w:proofErr w:type="gramStart"/>
      <w:r>
        <w:rPr>
          <w:sz w:val="24"/>
        </w:rPr>
        <w:t>鲤</w:t>
      </w:r>
      <w:proofErr w:type="gramEnd"/>
      <w:r>
        <w:rPr>
          <w:sz w:val="24"/>
        </w:rPr>
        <w:t>饲料中鸡肠粉最佳鱼粉替代比例，以期为鸡肠粉在淡水鱼饲料中的应用提供理论依据。</w:t>
      </w:r>
    </w:p>
    <w:p w14:paraId="2878CA38" w14:textId="77777777" w:rsidR="008F75C3" w:rsidRDefault="006614AC">
      <w:pPr>
        <w:pStyle w:val="af3"/>
        <w:numPr>
          <w:ilvl w:val="0"/>
          <w:numId w:val="2"/>
        </w:numPr>
        <w:spacing w:line="360" w:lineRule="auto"/>
        <w:ind w:firstLineChars="0"/>
        <w:rPr>
          <w:rFonts w:ascii="Times New Roman" w:eastAsia="宋体" w:hAnsi="Times New Roman" w:cs="Times New Roman"/>
          <w:sz w:val="24"/>
        </w:rPr>
      </w:pPr>
      <w:r>
        <w:rPr>
          <w:rFonts w:ascii="Times New Roman" w:eastAsia="宋体" w:hAnsi="Times New Roman" w:cs="Times New Roman"/>
          <w:sz w:val="24"/>
        </w:rPr>
        <w:t>材料方法</w:t>
      </w:r>
    </w:p>
    <w:p w14:paraId="3CF299BD" w14:textId="77777777" w:rsidR="008F75C3" w:rsidRDefault="006614AC">
      <w:pPr>
        <w:spacing w:line="360" w:lineRule="auto"/>
        <w:jc w:val="left"/>
        <w:rPr>
          <w:sz w:val="24"/>
        </w:rPr>
      </w:pPr>
      <w:r>
        <w:rPr>
          <w:sz w:val="24"/>
        </w:rPr>
        <w:t xml:space="preserve">1.1 </w:t>
      </w:r>
      <w:r>
        <w:rPr>
          <w:sz w:val="24"/>
        </w:rPr>
        <w:t>试验设计和管理</w:t>
      </w:r>
    </w:p>
    <w:p w14:paraId="4200C7DE" w14:textId="77777777" w:rsidR="008F75C3" w:rsidRDefault="006614AC">
      <w:pPr>
        <w:spacing w:line="360" w:lineRule="auto"/>
        <w:ind w:firstLineChars="200" w:firstLine="480"/>
        <w:rPr>
          <w:sz w:val="24"/>
        </w:rPr>
      </w:pPr>
      <w:r>
        <w:rPr>
          <w:sz w:val="24"/>
        </w:rPr>
        <w:t>养殖试验在大连海洋大学辽宁省北方鱼类生物学与增养殖重点实验室循环水池内进行，试验所用的鲤购于辽宁省丹东市景波养殖场。选取当年繁殖的初始体重为</w:t>
      </w:r>
      <w:r>
        <w:rPr>
          <w:sz w:val="24"/>
        </w:rPr>
        <w:t>66 g</w:t>
      </w:r>
      <w:r>
        <w:rPr>
          <w:sz w:val="24"/>
        </w:rPr>
        <w:t>左右的鲤</w:t>
      </w:r>
      <w:r>
        <w:rPr>
          <w:sz w:val="24"/>
        </w:rPr>
        <w:t xml:space="preserve"> 200</w:t>
      </w:r>
      <w:r>
        <w:rPr>
          <w:sz w:val="24"/>
        </w:rPr>
        <w:t>尾，于</w:t>
      </w:r>
      <w:r>
        <w:rPr>
          <w:sz w:val="24"/>
        </w:rPr>
        <w:t>4.3 m×1.5 m×1.2 m</w:t>
      </w:r>
      <w:r>
        <w:rPr>
          <w:sz w:val="24"/>
        </w:rPr>
        <w:t>的水泥池中暂养</w:t>
      </w:r>
      <w:r>
        <w:rPr>
          <w:sz w:val="24"/>
        </w:rPr>
        <w:t>1</w:t>
      </w:r>
      <w:r>
        <w:rPr>
          <w:sz w:val="24"/>
        </w:rPr>
        <w:t>周以适应试验环境，暂养期间投喂</w:t>
      </w:r>
      <w:r>
        <w:rPr>
          <w:sz w:val="24"/>
        </w:rPr>
        <w:t>对照组</w:t>
      </w:r>
      <w:r>
        <w:rPr>
          <w:sz w:val="24"/>
        </w:rPr>
        <w:lastRenderedPageBreak/>
        <w:t>饲料。暂养后选取体重相近、活力较好、体表无伤的鲤</w:t>
      </w:r>
      <w:r>
        <w:rPr>
          <w:sz w:val="24"/>
        </w:rPr>
        <w:t>150</w:t>
      </w:r>
      <w:r>
        <w:rPr>
          <w:sz w:val="24"/>
        </w:rPr>
        <w:t>尾，随机分为</w:t>
      </w:r>
      <w:r>
        <w:rPr>
          <w:sz w:val="24"/>
        </w:rPr>
        <w:t>5</w:t>
      </w:r>
      <w:r>
        <w:rPr>
          <w:sz w:val="24"/>
        </w:rPr>
        <w:t>组，每组</w:t>
      </w:r>
      <w:r>
        <w:rPr>
          <w:sz w:val="24"/>
        </w:rPr>
        <w:t>3</w:t>
      </w:r>
      <w:r>
        <w:rPr>
          <w:sz w:val="24"/>
        </w:rPr>
        <w:t>个平行，每个平行</w:t>
      </w:r>
      <w:r>
        <w:rPr>
          <w:sz w:val="24"/>
        </w:rPr>
        <w:t>10</w:t>
      </w:r>
      <w:r>
        <w:rPr>
          <w:sz w:val="24"/>
        </w:rPr>
        <w:t>尾，置于</w:t>
      </w:r>
      <w:r>
        <w:rPr>
          <w:sz w:val="24"/>
        </w:rPr>
        <w:t>15</w:t>
      </w:r>
      <w:r>
        <w:rPr>
          <w:sz w:val="24"/>
        </w:rPr>
        <w:t>个</w:t>
      </w:r>
      <w:r>
        <w:rPr>
          <w:sz w:val="24"/>
        </w:rPr>
        <w:t>1.3 m×0.8 m×0.7 m</w:t>
      </w:r>
      <w:r>
        <w:rPr>
          <w:sz w:val="24"/>
        </w:rPr>
        <w:t>的聚乙烯网箱中，水体覆盖网箱</w:t>
      </w:r>
      <w:r>
        <w:rPr>
          <w:sz w:val="24"/>
        </w:rPr>
        <w:t>80%</w:t>
      </w:r>
      <w:r>
        <w:rPr>
          <w:sz w:val="24"/>
        </w:rPr>
        <w:t>以上，以曝气</w:t>
      </w:r>
      <w:r>
        <w:rPr>
          <w:sz w:val="24"/>
        </w:rPr>
        <w:t>24 h</w:t>
      </w:r>
      <w:r>
        <w:rPr>
          <w:sz w:val="24"/>
        </w:rPr>
        <w:t>以上的自来水作为试验水体，试验期间</w:t>
      </w:r>
      <w:proofErr w:type="gramStart"/>
      <w:r>
        <w:rPr>
          <w:sz w:val="24"/>
        </w:rPr>
        <w:t>采用气石</w:t>
      </w:r>
      <w:proofErr w:type="gramEnd"/>
      <w:r>
        <w:rPr>
          <w:sz w:val="24"/>
        </w:rPr>
        <w:t xml:space="preserve">24 h </w:t>
      </w:r>
      <w:r>
        <w:rPr>
          <w:sz w:val="24"/>
        </w:rPr>
        <w:t>充气，每日</w:t>
      </w:r>
      <w:r>
        <w:rPr>
          <w:sz w:val="24"/>
        </w:rPr>
        <w:t xml:space="preserve"> 08</w:t>
      </w:r>
      <w:r>
        <w:rPr>
          <w:sz w:val="24"/>
        </w:rPr>
        <w:t>：</w:t>
      </w:r>
      <w:r>
        <w:rPr>
          <w:sz w:val="24"/>
        </w:rPr>
        <w:t xml:space="preserve">00 </w:t>
      </w:r>
      <w:r>
        <w:rPr>
          <w:sz w:val="24"/>
        </w:rPr>
        <w:t>和</w:t>
      </w:r>
      <w:r>
        <w:rPr>
          <w:sz w:val="24"/>
        </w:rPr>
        <w:t xml:space="preserve"> 16</w:t>
      </w:r>
      <w:r>
        <w:rPr>
          <w:sz w:val="24"/>
        </w:rPr>
        <w:t>：</w:t>
      </w:r>
      <w:r>
        <w:rPr>
          <w:sz w:val="24"/>
        </w:rPr>
        <w:t xml:space="preserve">00 </w:t>
      </w:r>
      <w:r>
        <w:rPr>
          <w:sz w:val="24"/>
        </w:rPr>
        <w:t>投喂</w:t>
      </w:r>
      <w:r>
        <w:rPr>
          <w:sz w:val="24"/>
        </w:rPr>
        <w:t xml:space="preserve"> 2 </w:t>
      </w:r>
      <w:r>
        <w:rPr>
          <w:sz w:val="24"/>
        </w:rPr>
        <w:t>次，表观饱食，</w:t>
      </w:r>
      <w:proofErr w:type="gramStart"/>
      <w:r>
        <w:rPr>
          <w:sz w:val="24"/>
        </w:rPr>
        <w:t>每日吸底</w:t>
      </w:r>
      <w:r>
        <w:rPr>
          <w:sz w:val="24"/>
        </w:rPr>
        <w:t>1</w:t>
      </w:r>
      <w:r>
        <w:rPr>
          <w:sz w:val="24"/>
        </w:rPr>
        <w:t>次</w:t>
      </w:r>
      <w:proofErr w:type="gramEnd"/>
      <w:r>
        <w:rPr>
          <w:sz w:val="24"/>
        </w:rPr>
        <w:t>、换水</w:t>
      </w:r>
      <w:r>
        <w:rPr>
          <w:sz w:val="24"/>
        </w:rPr>
        <w:t>1</w:t>
      </w:r>
      <w:r>
        <w:rPr>
          <w:sz w:val="24"/>
        </w:rPr>
        <w:t>次，换水量约为</w:t>
      </w:r>
      <w:r>
        <w:rPr>
          <w:sz w:val="24"/>
        </w:rPr>
        <w:t>1/2</w:t>
      </w:r>
      <w:r>
        <w:rPr>
          <w:sz w:val="24"/>
        </w:rPr>
        <w:t>，试验期间水温（</w:t>
      </w:r>
      <w:r>
        <w:rPr>
          <w:sz w:val="24"/>
        </w:rPr>
        <w:t>18±1</w:t>
      </w:r>
      <w:r>
        <w:rPr>
          <w:sz w:val="24"/>
        </w:rPr>
        <w:t>）</w:t>
      </w:r>
      <w:r>
        <w:rPr>
          <w:sz w:val="24"/>
        </w:rPr>
        <w:t>℃</w:t>
      </w:r>
      <w:r>
        <w:rPr>
          <w:sz w:val="24"/>
        </w:rPr>
        <w:t>，溶氧为（</w:t>
      </w:r>
      <w:r>
        <w:rPr>
          <w:sz w:val="24"/>
        </w:rPr>
        <w:t>6±0.5</w:t>
      </w:r>
      <w:r>
        <w:rPr>
          <w:sz w:val="24"/>
        </w:rPr>
        <w:t>）</w:t>
      </w:r>
      <w:r>
        <w:rPr>
          <w:sz w:val="24"/>
        </w:rPr>
        <w:t>mg/L</w:t>
      </w:r>
      <w:r>
        <w:rPr>
          <w:sz w:val="24"/>
        </w:rPr>
        <w:t>，</w:t>
      </w:r>
      <w:r>
        <w:rPr>
          <w:sz w:val="24"/>
        </w:rPr>
        <w:t xml:space="preserve">pH </w:t>
      </w:r>
      <w:r>
        <w:rPr>
          <w:sz w:val="24"/>
        </w:rPr>
        <w:t>为（</w:t>
      </w:r>
      <w:r>
        <w:rPr>
          <w:sz w:val="24"/>
        </w:rPr>
        <w:t>7.1±0.5</w:t>
      </w:r>
      <w:r>
        <w:rPr>
          <w:sz w:val="24"/>
        </w:rPr>
        <w:t>），养殖周期为</w:t>
      </w:r>
      <w:r>
        <w:rPr>
          <w:sz w:val="24"/>
        </w:rPr>
        <w:t>6</w:t>
      </w:r>
      <w:r>
        <w:rPr>
          <w:sz w:val="24"/>
        </w:rPr>
        <w:t>周。</w:t>
      </w:r>
    </w:p>
    <w:p w14:paraId="3300722E" w14:textId="77777777" w:rsidR="008F75C3" w:rsidRDefault="006614AC">
      <w:pPr>
        <w:spacing w:line="360" w:lineRule="auto"/>
        <w:rPr>
          <w:sz w:val="24"/>
        </w:rPr>
      </w:pPr>
      <w:r>
        <w:rPr>
          <w:sz w:val="24"/>
        </w:rPr>
        <w:t xml:space="preserve">1.2 </w:t>
      </w:r>
      <w:r>
        <w:rPr>
          <w:sz w:val="24"/>
        </w:rPr>
        <w:t>试验饲料</w:t>
      </w:r>
    </w:p>
    <w:p w14:paraId="33292315" w14:textId="77777777" w:rsidR="008F75C3" w:rsidRDefault="006614AC">
      <w:pPr>
        <w:spacing w:line="360" w:lineRule="auto"/>
        <w:ind w:firstLineChars="200" w:firstLine="480"/>
        <w:rPr>
          <w:sz w:val="24"/>
        </w:rPr>
      </w:pPr>
      <w:r>
        <w:rPr>
          <w:sz w:val="24"/>
        </w:rPr>
        <w:t>鸡肠粉由辽宁省鞍山裕丰饲料</w:t>
      </w:r>
      <w:r>
        <w:rPr>
          <w:sz w:val="24"/>
        </w:rPr>
        <w:t>有限公司提供，粗蛋白</w:t>
      </w:r>
      <w:r>
        <w:rPr>
          <w:sz w:val="24"/>
        </w:rPr>
        <w:t xml:space="preserve"> 65.47%</w:t>
      </w:r>
      <w:r>
        <w:rPr>
          <w:sz w:val="24"/>
        </w:rPr>
        <w:t>，粗脂肪</w:t>
      </w:r>
      <w:r>
        <w:rPr>
          <w:sz w:val="24"/>
        </w:rPr>
        <w:t xml:space="preserve"> 14.80%</w:t>
      </w:r>
      <w:r>
        <w:rPr>
          <w:sz w:val="24"/>
        </w:rPr>
        <w:t>。鱼粉为本地饲料厂大宗淡水鱼饲料普遍使用的国产鱼粉，粗蛋白</w:t>
      </w:r>
      <w:r>
        <w:rPr>
          <w:sz w:val="24"/>
        </w:rPr>
        <w:t>52.20%</w:t>
      </w:r>
      <w:r>
        <w:rPr>
          <w:sz w:val="24"/>
        </w:rPr>
        <w:t>，粗脂肪</w:t>
      </w:r>
      <w:r>
        <w:rPr>
          <w:sz w:val="24"/>
        </w:rPr>
        <w:t>11.60%</w:t>
      </w:r>
      <w:r>
        <w:rPr>
          <w:sz w:val="24"/>
        </w:rPr>
        <w:t>。试验饲料原料购自于大连贝西商贸有限公司。试验饲料配方见表</w:t>
      </w:r>
      <w:r>
        <w:rPr>
          <w:sz w:val="24"/>
        </w:rPr>
        <w:t>1</w:t>
      </w:r>
      <w:r>
        <w:rPr>
          <w:sz w:val="24"/>
        </w:rPr>
        <w:t>，以鱼粉、鸡肠粉、豆</w:t>
      </w:r>
      <w:proofErr w:type="gramStart"/>
      <w:r>
        <w:rPr>
          <w:sz w:val="24"/>
        </w:rPr>
        <w:t>粕</w:t>
      </w:r>
      <w:proofErr w:type="gramEnd"/>
      <w:r>
        <w:rPr>
          <w:sz w:val="24"/>
        </w:rPr>
        <w:t>等为主要蛋白源，以豆油为主要脂肪源配制</w:t>
      </w:r>
      <w:r>
        <w:rPr>
          <w:sz w:val="24"/>
        </w:rPr>
        <w:t>5</w:t>
      </w:r>
      <w:r>
        <w:rPr>
          <w:sz w:val="24"/>
        </w:rPr>
        <w:t>组等氮等脂饲料，标记为</w:t>
      </w:r>
      <w:r>
        <w:rPr>
          <w:sz w:val="24"/>
        </w:rPr>
        <w:t>D1</w:t>
      </w:r>
      <w:r>
        <w:rPr>
          <w:sz w:val="24"/>
        </w:rPr>
        <w:t>、</w:t>
      </w:r>
      <w:r>
        <w:rPr>
          <w:sz w:val="24"/>
        </w:rPr>
        <w:t>D2</w:t>
      </w:r>
      <w:r>
        <w:rPr>
          <w:sz w:val="24"/>
        </w:rPr>
        <w:t>、</w:t>
      </w:r>
      <w:r>
        <w:rPr>
          <w:sz w:val="24"/>
        </w:rPr>
        <w:t>D3</w:t>
      </w:r>
      <w:r>
        <w:rPr>
          <w:sz w:val="24"/>
        </w:rPr>
        <w:t>、</w:t>
      </w:r>
      <w:r>
        <w:rPr>
          <w:sz w:val="24"/>
        </w:rPr>
        <w:t>D4</w:t>
      </w:r>
      <w:r>
        <w:rPr>
          <w:sz w:val="24"/>
        </w:rPr>
        <w:t>、</w:t>
      </w:r>
      <w:r>
        <w:rPr>
          <w:sz w:val="24"/>
        </w:rPr>
        <w:t>D5</w:t>
      </w:r>
      <w:r>
        <w:rPr>
          <w:sz w:val="24"/>
        </w:rPr>
        <w:t>。对照组（</w:t>
      </w:r>
      <w:r>
        <w:rPr>
          <w:sz w:val="24"/>
        </w:rPr>
        <w:t>D1</w:t>
      </w:r>
      <w:r>
        <w:rPr>
          <w:sz w:val="24"/>
        </w:rPr>
        <w:t>组）饲料鱼粉含量为</w:t>
      </w:r>
      <w:r>
        <w:rPr>
          <w:sz w:val="24"/>
        </w:rPr>
        <w:t>4%</w:t>
      </w:r>
      <w:r>
        <w:rPr>
          <w:sz w:val="24"/>
        </w:rPr>
        <w:t>，</w:t>
      </w:r>
      <w:r>
        <w:rPr>
          <w:sz w:val="24"/>
        </w:rPr>
        <w:t>5</w:t>
      </w:r>
      <w:r>
        <w:rPr>
          <w:sz w:val="24"/>
        </w:rPr>
        <w:t>组饲料替代鱼粉比例分别为</w:t>
      </w:r>
      <w:r>
        <w:rPr>
          <w:sz w:val="24"/>
        </w:rPr>
        <w:t>0</w:t>
      </w:r>
      <w:r>
        <w:rPr>
          <w:sz w:val="24"/>
        </w:rPr>
        <w:t>、</w:t>
      </w:r>
      <w:r>
        <w:rPr>
          <w:sz w:val="24"/>
        </w:rPr>
        <w:t>25%</w:t>
      </w:r>
      <w:r>
        <w:rPr>
          <w:sz w:val="24"/>
        </w:rPr>
        <w:t>、</w:t>
      </w:r>
      <w:r>
        <w:rPr>
          <w:sz w:val="24"/>
        </w:rPr>
        <w:t>50%</w:t>
      </w:r>
      <w:r>
        <w:rPr>
          <w:sz w:val="24"/>
        </w:rPr>
        <w:t>、</w:t>
      </w:r>
      <w:r>
        <w:rPr>
          <w:sz w:val="24"/>
        </w:rPr>
        <w:t>75%</w:t>
      </w:r>
      <w:r>
        <w:rPr>
          <w:sz w:val="24"/>
        </w:rPr>
        <w:t>、</w:t>
      </w:r>
      <w:r>
        <w:rPr>
          <w:sz w:val="24"/>
        </w:rPr>
        <w:t>100%</w:t>
      </w:r>
      <w:r>
        <w:rPr>
          <w:sz w:val="24"/>
        </w:rPr>
        <w:t>。饲料原料过</w:t>
      </w:r>
      <w:r>
        <w:rPr>
          <w:sz w:val="24"/>
        </w:rPr>
        <w:t>80</w:t>
      </w:r>
      <w:r>
        <w:rPr>
          <w:sz w:val="24"/>
        </w:rPr>
        <w:t>目筛，逐级混匀，混合后的粉状饲料经制</w:t>
      </w:r>
      <w:proofErr w:type="gramStart"/>
      <w:r>
        <w:rPr>
          <w:sz w:val="24"/>
        </w:rPr>
        <w:t>粒机制</w:t>
      </w:r>
      <w:proofErr w:type="gramEnd"/>
      <w:r>
        <w:rPr>
          <w:sz w:val="24"/>
        </w:rPr>
        <w:t>成</w:t>
      </w:r>
      <w:r>
        <w:rPr>
          <w:sz w:val="24"/>
        </w:rPr>
        <w:t>2 mm</w:t>
      </w:r>
      <w:r>
        <w:rPr>
          <w:sz w:val="24"/>
        </w:rPr>
        <w:t>的颗粒饲料，放入烘箱中</w:t>
      </w:r>
      <w:r>
        <w:rPr>
          <w:sz w:val="24"/>
        </w:rPr>
        <w:t xml:space="preserve"> 4</w:t>
      </w:r>
      <w:r>
        <w:rPr>
          <w:sz w:val="24"/>
        </w:rPr>
        <w:t>2 ℃</w:t>
      </w:r>
      <w:r>
        <w:rPr>
          <w:sz w:val="24"/>
        </w:rPr>
        <w:t>烘干至水分含量为</w:t>
      </w:r>
      <w:r>
        <w:rPr>
          <w:sz w:val="24"/>
        </w:rPr>
        <w:t>10%</w:t>
      </w:r>
      <w:r>
        <w:rPr>
          <w:sz w:val="24"/>
        </w:rPr>
        <w:t>，于</w:t>
      </w:r>
      <w:r>
        <w:rPr>
          <w:sz w:val="24"/>
        </w:rPr>
        <w:t>-20 ℃</w:t>
      </w:r>
      <w:r>
        <w:rPr>
          <w:sz w:val="24"/>
        </w:rPr>
        <w:t>冰箱中保存。</w:t>
      </w:r>
    </w:p>
    <w:p w14:paraId="4C33A456" w14:textId="77777777" w:rsidR="008F75C3" w:rsidRDefault="006614AC">
      <w:pPr>
        <w:spacing w:line="360" w:lineRule="auto"/>
        <w:rPr>
          <w:sz w:val="24"/>
        </w:rPr>
      </w:pPr>
      <w:r>
        <w:rPr>
          <w:sz w:val="24"/>
        </w:rPr>
        <w:t xml:space="preserve">1.3 </w:t>
      </w:r>
      <w:r>
        <w:rPr>
          <w:sz w:val="24"/>
        </w:rPr>
        <w:t>样品采集及指标测定</w:t>
      </w:r>
    </w:p>
    <w:p w14:paraId="74344A8F" w14:textId="77777777" w:rsidR="008F75C3" w:rsidRDefault="006614AC">
      <w:pPr>
        <w:spacing w:line="360" w:lineRule="auto"/>
        <w:ind w:firstLineChars="200" w:firstLine="480"/>
        <w:rPr>
          <w:sz w:val="24"/>
        </w:rPr>
      </w:pPr>
      <w:r>
        <w:rPr>
          <w:sz w:val="24"/>
        </w:rPr>
        <w:t>取样前，试验鱼停食</w:t>
      </w:r>
      <w:r>
        <w:rPr>
          <w:sz w:val="24"/>
        </w:rPr>
        <w:t>24 h</w:t>
      </w:r>
      <w:r>
        <w:rPr>
          <w:sz w:val="24"/>
        </w:rPr>
        <w:t>，放入冰水中冷休克，称重测量体长、体重，剥离内脏和肠系膜脂肪并称重，计算其生长指标。称重后，于冰上进行无菌解剖，每个平行</w:t>
      </w:r>
      <w:r>
        <w:rPr>
          <w:sz w:val="24"/>
        </w:rPr>
        <w:t>6</w:t>
      </w:r>
      <w:r>
        <w:rPr>
          <w:sz w:val="24"/>
        </w:rPr>
        <w:t>尾鱼全部取肝脏、肠道及背部肌肉，同组混样装管，样品于</w:t>
      </w:r>
      <w:r>
        <w:rPr>
          <w:sz w:val="24"/>
        </w:rPr>
        <w:t>-80 ℃</w:t>
      </w:r>
      <w:r>
        <w:rPr>
          <w:sz w:val="24"/>
        </w:rPr>
        <w:t>保存待测。每个平行取</w:t>
      </w:r>
      <w:r>
        <w:rPr>
          <w:sz w:val="24"/>
        </w:rPr>
        <w:t>4</w:t>
      </w:r>
      <w:r>
        <w:rPr>
          <w:sz w:val="24"/>
        </w:rPr>
        <w:t>尾鱼用注射器静脉采血，将采集到的血液样本放于</w:t>
      </w:r>
      <w:r>
        <w:rPr>
          <w:sz w:val="24"/>
        </w:rPr>
        <w:t>4 ℃</w:t>
      </w:r>
      <w:r>
        <w:rPr>
          <w:sz w:val="24"/>
        </w:rPr>
        <w:t>冰箱中静置</w:t>
      </w:r>
      <w:r>
        <w:rPr>
          <w:sz w:val="24"/>
        </w:rPr>
        <w:t>24 h</w:t>
      </w:r>
      <w:r>
        <w:rPr>
          <w:sz w:val="24"/>
        </w:rPr>
        <w:t>，于</w:t>
      </w:r>
      <w:r>
        <w:rPr>
          <w:sz w:val="24"/>
        </w:rPr>
        <w:t xml:space="preserve">5 000 r/min </w:t>
      </w:r>
      <w:r>
        <w:rPr>
          <w:sz w:val="24"/>
        </w:rPr>
        <w:t>离心</w:t>
      </w:r>
      <w:r>
        <w:rPr>
          <w:sz w:val="24"/>
        </w:rPr>
        <w:t>10 min</w:t>
      </w:r>
      <w:r>
        <w:rPr>
          <w:sz w:val="24"/>
        </w:rPr>
        <w:t>，取上清液保存于</w:t>
      </w:r>
      <w:r>
        <w:rPr>
          <w:sz w:val="24"/>
        </w:rPr>
        <w:t xml:space="preserve">-80 </w:t>
      </w:r>
      <w:r>
        <w:rPr>
          <w:sz w:val="24"/>
        </w:rPr>
        <w:t>℃</w:t>
      </w:r>
      <w:r>
        <w:rPr>
          <w:sz w:val="24"/>
        </w:rPr>
        <w:t>备用，用于血清生化指标分析。肠道和肝脏样品分别注入质量体积比</w:t>
      </w:r>
      <w:r>
        <w:rPr>
          <w:sz w:val="24"/>
        </w:rPr>
        <w:t>1</w:t>
      </w:r>
      <w:r>
        <w:rPr>
          <w:sz w:val="24"/>
        </w:rPr>
        <w:t>：</w:t>
      </w:r>
      <w:r>
        <w:rPr>
          <w:sz w:val="24"/>
        </w:rPr>
        <w:t xml:space="preserve">9 </w:t>
      </w:r>
      <w:r>
        <w:rPr>
          <w:sz w:val="24"/>
        </w:rPr>
        <w:t>的生理盐水，经</w:t>
      </w:r>
      <w:r>
        <w:rPr>
          <w:sz w:val="24"/>
        </w:rPr>
        <w:t>4 ℃</w:t>
      </w:r>
      <w:r>
        <w:rPr>
          <w:sz w:val="24"/>
        </w:rPr>
        <w:t>、</w:t>
      </w:r>
      <w:r>
        <w:rPr>
          <w:sz w:val="24"/>
        </w:rPr>
        <w:t>4 000 r/min</w:t>
      </w:r>
      <w:r>
        <w:rPr>
          <w:sz w:val="24"/>
        </w:rPr>
        <w:t>、</w:t>
      </w:r>
      <w:r>
        <w:rPr>
          <w:sz w:val="24"/>
        </w:rPr>
        <w:t>10 min</w:t>
      </w:r>
      <w:r>
        <w:rPr>
          <w:sz w:val="24"/>
        </w:rPr>
        <w:t>高速离心后，取上清液，</w:t>
      </w:r>
      <w:r>
        <w:rPr>
          <w:sz w:val="24"/>
        </w:rPr>
        <w:t>4 ℃</w:t>
      </w:r>
      <w:r>
        <w:rPr>
          <w:sz w:val="24"/>
        </w:rPr>
        <w:t>保存，用于测定肠道消化酶活性、肝脏抗氧</w:t>
      </w:r>
      <w:proofErr w:type="gramStart"/>
      <w:r>
        <w:rPr>
          <w:sz w:val="24"/>
        </w:rPr>
        <w:t>化指标</w:t>
      </w:r>
      <w:proofErr w:type="gramEnd"/>
      <w:r>
        <w:rPr>
          <w:sz w:val="24"/>
        </w:rPr>
        <w:t>和非特异性免疫指标的测定。</w:t>
      </w:r>
    </w:p>
    <w:p w14:paraId="151D4F8E" w14:textId="77777777" w:rsidR="008F75C3" w:rsidRDefault="006614AC">
      <w:pPr>
        <w:spacing w:line="360" w:lineRule="auto"/>
        <w:jc w:val="left"/>
        <w:rPr>
          <w:sz w:val="24"/>
        </w:rPr>
      </w:pPr>
      <w:r>
        <w:rPr>
          <w:sz w:val="24"/>
        </w:rPr>
        <w:t>特定生长率（</w:t>
      </w:r>
      <w:r>
        <w:rPr>
          <w:sz w:val="24"/>
        </w:rPr>
        <w:t>SGR</w:t>
      </w:r>
      <w:r>
        <w:rPr>
          <w:sz w:val="24"/>
        </w:rPr>
        <w:t>，</w:t>
      </w:r>
      <w:r>
        <w:rPr>
          <w:sz w:val="24"/>
        </w:rPr>
        <w:t>%/d</w:t>
      </w:r>
      <w:r>
        <w:rPr>
          <w:sz w:val="24"/>
        </w:rPr>
        <w:t>）</w:t>
      </w:r>
      <w:r>
        <w:rPr>
          <w:sz w:val="24"/>
        </w:rPr>
        <w:t>=100×</w:t>
      </w:r>
      <w:r>
        <w:rPr>
          <w:sz w:val="24"/>
        </w:rPr>
        <w:t>（</w:t>
      </w:r>
      <w:r>
        <w:rPr>
          <w:sz w:val="24"/>
        </w:rPr>
        <w:t xml:space="preserve">ln </w:t>
      </w:r>
      <w:r>
        <w:rPr>
          <w:sz w:val="24"/>
        </w:rPr>
        <w:t>终末体质量</w:t>
      </w:r>
      <w:r>
        <w:rPr>
          <w:sz w:val="24"/>
        </w:rPr>
        <w:t>—ln</w:t>
      </w:r>
      <w:r>
        <w:rPr>
          <w:sz w:val="24"/>
        </w:rPr>
        <w:t>初始体质量）</w:t>
      </w:r>
      <w:r>
        <w:rPr>
          <w:sz w:val="24"/>
        </w:rPr>
        <w:t>/42</w:t>
      </w:r>
    </w:p>
    <w:p w14:paraId="2081BAF4" w14:textId="77777777" w:rsidR="008F75C3" w:rsidRDefault="006614AC">
      <w:pPr>
        <w:spacing w:line="360" w:lineRule="auto"/>
        <w:jc w:val="left"/>
        <w:rPr>
          <w:sz w:val="24"/>
        </w:rPr>
      </w:pPr>
      <w:r>
        <w:rPr>
          <w:sz w:val="24"/>
        </w:rPr>
        <w:t>增重率（</w:t>
      </w:r>
      <w:r>
        <w:rPr>
          <w:sz w:val="24"/>
        </w:rPr>
        <w:t>WGR</w:t>
      </w:r>
      <w:r>
        <w:rPr>
          <w:sz w:val="24"/>
        </w:rPr>
        <w:t>，</w:t>
      </w:r>
      <w:r>
        <w:rPr>
          <w:sz w:val="24"/>
        </w:rPr>
        <w:t>%</w:t>
      </w:r>
      <w:r>
        <w:rPr>
          <w:sz w:val="24"/>
        </w:rPr>
        <w:t>）</w:t>
      </w:r>
      <w:r>
        <w:rPr>
          <w:sz w:val="24"/>
        </w:rPr>
        <w:t>=100×</w:t>
      </w:r>
      <w:r>
        <w:rPr>
          <w:sz w:val="24"/>
        </w:rPr>
        <w:t>（平均终末体质量</w:t>
      </w:r>
      <w:proofErr w:type="gramStart"/>
      <w:r>
        <w:rPr>
          <w:sz w:val="24"/>
        </w:rPr>
        <w:t>—</w:t>
      </w:r>
      <w:r>
        <w:rPr>
          <w:sz w:val="24"/>
        </w:rPr>
        <w:t>平均</w:t>
      </w:r>
      <w:proofErr w:type="gramEnd"/>
      <w:r>
        <w:rPr>
          <w:sz w:val="24"/>
        </w:rPr>
        <w:t>初始体质量）</w:t>
      </w:r>
      <w:r>
        <w:rPr>
          <w:sz w:val="24"/>
        </w:rPr>
        <w:t>/</w:t>
      </w:r>
      <w:r>
        <w:rPr>
          <w:sz w:val="24"/>
        </w:rPr>
        <w:t>平均初始体质量</w:t>
      </w:r>
    </w:p>
    <w:p w14:paraId="2BEDD73E" w14:textId="77777777" w:rsidR="008F75C3" w:rsidRDefault="006614AC">
      <w:pPr>
        <w:spacing w:line="360" w:lineRule="auto"/>
        <w:jc w:val="left"/>
        <w:rPr>
          <w:sz w:val="24"/>
        </w:rPr>
      </w:pPr>
      <w:r>
        <w:rPr>
          <w:sz w:val="24"/>
        </w:rPr>
        <w:t>饲料系数（</w:t>
      </w:r>
      <w:r>
        <w:rPr>
          <w:sz w:val="24"/>
        </w:rPr>
        <w:t>FCR</w:t>
      </w:r>
      <w:r>
        <w:rPr>
          <w:sz w:val="24"/>
        </w:rPr>
        <w:t>）</w:t>
      </w:r>
      <w:r>
        <w:rPr>
          <w:sz w:val="24"/>
        </w:rPr>
        <w:t>=</w:t>
      </w:r>
      <w:r>
        <w:rPr>
          <w:sz w:val="24"/>
        </w:rPr>
        <w:t>平均投饵量</w:t>
      </w:r>
      <w:r>
        <w:rPr>
          <w:sz w:val="24"/>
        </w:rPr>
        <w:t xml:space="preserve"> /</w:t>
      </w:r>
      <w:r>
        <w:rPr>
          <w:sz w:val="24"/>
        </w:rPr>
        <w:t>（终</w:t>
      </w:r>
      <w:proofErr w:type="gramStart"/>
      <w:r>
        <w:rPr>
          <w:sz w:val="24"/>
        </w:rPr>
        <w:t>末平均</w:t>
      </w:r>
      <w:proofErr w:type="gramEnd"/>
      <w:r>
        <w:rPr>
          <w:sz w:val="24"/>
        </w:rPr>
        <w:t>体质量</w:t>
      </w:r>
      <w:r>
        <w:rPr>
          <w:sz w:val="24"/>
        </w:rPr>
        <w:t>—</w:t>
      </w:r>
      <w:r>
        <w:rPr>
          <w:sz w:val="24"/>
        </w:rPr>
        <w:t>初始平均体质量）</w:t>
      </w:r>
    </w:p>
    <w:p w14:paraId="5E672CA1" w14:textId="77777777" w:rsidR="008F75C3" w:rsidRDefault="006614AC">
      <w:pPr>
        <w:spacing w:line="360" w:lineRule="auto"/>
        <w:jc w:val="left"/>
        <w:rPr>
          <w:sz w:val="24"/>
        </w:rPr>
      </w:pPr>
      <w:r>
        <w:rPr>
          <w:sz w:val="24"/>
        </w:rPr>
        <w:t>肥满度（</w:t>
      </w:r>
      <w:r>
        <w:rPr>
          <w:sz w:val="24"/>
        </w:rPr>
        <w:t>CF</w:t>
      </w:r>
      <w:r>
        <w:rPr>
          <w:sz w:val="24"/>
        </w:rPr>
        <w:t>，</w:t>
      </w:r>
      <w:r>
        <w:rPr>
          <w:sz w:val="24"/>
        </w:rPr>
        <w:t>g/cm3</w:t>
      </w:r>
      <w:r>
        <w:rPr>
          <w:sz w:val="24"/>
        </w:rPr>
        <w:t>）</w:t>
      </w:r>
      <w:r>
        <w:rPr>
          <w:sz w:val="24"/>
        </w:rPr>
        <w:t>=100×</w:t>
      </w:r>
      <w:r>
        <w:rPr>
          <w:sz w:val="24"/>
        </w:rPr>
        <w:t>终末体质量</w:t>
      </w:r>
      <w:r>
        <w:rPr>
          <w:sz w:val="24"/>
        </w:rPr>
        <w:t>/</w:t>
      </w:r>
      <w:r>
        <w:rPr>
          <w:sz w:val="24"/>
        </w:rPr>
        <w:t>体</w:t>
      </w:r>
      <w:r>
        <w:rPr>
          <w:sz w:val="24"/>
        </w:rPr>
        <w:t>长</w:t>
      </w:r>
      <w:r>
        <w:rPr>
          <w:sz w:val="24"/>
          <w:vertAlign w:val="superscript"/>
        </w:rPr>
        <w:t>3</w:t>
      </w:r>
    </w:p>
    <w:p w14:paraId="372804CA" w14:textId="77777777" w:rsidR="008F75C3" w:rsidRDefault="006614AC">
      <w:pPr>
        <w:spacing w:line="360" w:lineRule="auto"/>
        <w:jc w:val="left"/>
        <w:rPr>
          <w:sz w:val="24"/>
        </w:rPr>
      </w:pPr>
      <w:r>
        <w:rPr>
          <w:sz w:val="24"/>
        </w:rPr>
        <w:t>成活率（</w:t>
      </w:r>
      <w:r>
        <w:rPr>
          <w:sz w:val="24"/>
        </w:rPr>
        <w:t>SR</w:t>
      </w:r>
      <w:r>
        <w:rPr>
          <w:sz w:val="24"/>
        </w:rPr>
        <w:t>，</w:t>
      </w:r>
      <w:r>
        <w:rPr>
          <w:sz w:val="24"/>
        </w:rPr>
        <w:t>%</w:t>
      </w:r>
      <w:r>
        <w:rPr>
          <w:sz w:val="24"/>
        </w:rPr>
        <w:t>）</w:t>
      </w:r>
      <w:r>
        <w:rPr>
          <w:sz w:val="24"/>
        </w:rPr>
        <w:t>=100×</w:t>
      </w:r>
      <w:r>
        <w:rPr>
          <w:sz w:val="24"/>
        </w:rPr>
        <w:t>（终末个体数</w:t>
      </w:r>
      <w:r>
        <w:rPr>
          <w:sz w:val="24"/>
        </w:rPr>
        <w:t>/</w:t>
      </w:r>
      <w:r>
        <w:rPr>
          <w:sz w:val="24"/>
        </w:rPr>
        <w:t>初始个体数）</w:t>
      </w:r>
    </w:p>
    <w:p w14:paraId="154C8D3B" w14:textId="77777777" w:rsidR="008F75C3" w:rsidRDefault="006614AC">
      <w:pPr>
        <w:spacing w:line="360" w:lineRule="auto"/>
        <w:jc w:val="left"/>
        <w:rPr>
          <w:sz w:val="24"/>
        </w:rPr>
      </w:pPr>
      <w:proofErr w:type="gramStart"/>
      <w:r>
        <w:rPr>
          <w:sz w:val="24"/>
        </w:rPr>
        <w:t>肠脂比</w:t>
      </w:r>
      <w:proofErr w:type="gramEnd"/>
      <w:r>
        <w:rPr>
          <w:sz w:val="24"/>
        </w:rPr>
        <w:t>（</w:t>
      </w:r>
      <w:r>
        <w:rPr>
          <w:sz w:val="24"/>
        </w:rPr>
        <w:t>ISI</w:t>
      </w:r>
      <w:r>
        <w:rPr>
          <w:sz w:val="24"/>
        </w:rPr>
        <w:t>，</w:t>
      </w:r>
      <w:r>
        <w:rPr>
          <w:sz w:val="24"/>
        </w:rPr>
        <w:t>%</w:t>
      </w:r>
      <w:r>
        <w:rPr>
          <w:sz w:val="24"/>
        </w:rPr>
        <w:t>）</w:t>
      </w:r>
      <w:r>
        <w:rPr>
          <w:sz w:val="24"/>
        </w:rPr>
        <w:t>=100×</w:t>
      </w:r>
      <w:r>
        <w:rPr>
          <w:sz w:val="24"/>
        </w:rPr>
        <w:t>肠脂质量</w:t>
      </w:r>
      <w:r>
        <w:rPr>
          <w:sz w:val="24"/>
        </w:rPr>
        <w:t>/</w:t>
      </w:r>
      <w:r>
        <w:rPr>
          <w:sz w:val="24"/>
        </w:rPr>
        <w:t>体质量</w:t>
      </w:r>
    </w:p>
    <w:p w14:paraId="34D2CDBA" w14:textId="77777777" w:rsidR="008F75C3" w:rsidRDefault="006614AC">
      <w:pPr>
        <w:spacing w:line="360" w:lineRule="auto"/>
        <w:jc w:val="left"/>
        <w:rPr>
          <w:sz w:val="24"/>
        </w:rPr>
      </w:pPr>
      <w:r>
        <w:rPr>
          <w:sz w:val="24"/>
        </w:rPr>
        <w:t>脏体比（</w:t>
      </w:r>
      <w:r>
        <w:rPr>
          <w:sz w:val="24"/>
        </w:rPr>
        <w:t>VSI</w:t>
      </w:r>
      <w:r>
        <w:rPr>
          <w:sz w:val="24"/>
        </w:rPr>
        <w:t>，</w:t>
      </w:r>
      <w:r>
        <w:rPr>
          <w:sz w:val="24"/>
        </w:rPr>
        <w:t>%</w:t>
      </w:r>
      <w:r>
        <w:rPr>
          <w:sz w:val="24"/>
        </w:rPr>
        <w:t>）</w:t>
      </w:r>
      <w:r>
        <w:rPr>
          <w:sz w:val="24"/>
        </w:rPr>
        <w:t>=100×</w:t>
      </w:r>
      <w:r>
        <w:rPr>
          <w:sz w:val="24"/>
        </w:rPr>
        <w:t>内脏团质量</w:t>
      </w:r>
      <w:r>
        <w:rPr>
          <w:sz w:val="24"/>
        </w:rPr>
        <w:t>/</w:t>
      </w:r>
      <w:r>
        <w:rPr>
          <w:sz w:val="24"/>
        </w:rPr>
        <w:t>体质量</w:t>
      </w:r>
    </w:p>
    <w:p w14:paraId="162B2261" w14:textId="77777777" w:rsidR="008F75C3" w:rsidRDefault="006614AC">
      <w:pPr>
        <w:spacing w:line="360" w:lineRule="auto"/>
        <w:jc w:val="center"/>
        <w:rPr>
          <w:sz w:val="24"/>
        </w:rPr>
      </w:pPr>
      <w:r>
        <w:rPr>
          <w:noProof/>
          <w:sz w:val="24"/>
        </w:rPr>
        <w:lastRenderedPageBreak/>
        <w:drawing>
          <wp:inline distT="0" distB="0" distL="0" distR="0" wp14:anchorId="2405CD52" wp14:editId="0DA29883">
            <wp:extent cx="1956435" cy="2840355"/>
            <wp:effectExtent l="0" t="0" r="5715" b="17145"/>
            <wp:docPr id="39" name="图片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图片 39"/>
                    <pic:cNvPicPr>
                      <a:picLocks noChangeAspect="1" noChangeArrowheads="1"/>
                    </pic:cNvPicPr>
                  </pic:nvPicPr>
                  <pic:blipFill>
                    <a:blip r:embed="rId45">
                      <a:extLst>
                        <a:ext uri="{28A0092B-C50C-407E-A947-70E740481C1C}">
                          <a14:useLocalDpi xmlns:a14="http://schemas.microsoft.com/office/drawing/2010/main" val="0"/>
                        </a:ext>
                      </a:extLst>
                    </a:blip>
                    <a:srcRect/>
                    <a:stretch>
                      <a:fillRect/>
                    </a:stretch>
                  </pic:blipFill>
                  <pic:spPr>
                    <a:xfrm>
                      <a:off x="0" y="0"/>
                      <a:ext cx="1956435" cy="2840355"/>
                    </a:xfrm>
                    <a:prstGeom prst="rect">
                      <a:avLst/>
                    </a:prstGeom>
                    <a:noFill/>
                    <a:ln>
                      <a:noFill/>
                    </a:ln>
                  </pic:spPr>
                </pic:pic>
              </a:graphicData>
            </a:graphic>
          </wp:inline>
        </w:drawing>
      </w:r>
    </w:p>
    <w:p w14:paraId="0FD2937F" w14:textId="77777777" w:rsidR="008F75C3" w:rsidRDefault="006614AC">
      <w:pPr>
        <w:spacing w:line="360" w:lineRule="auto"/>
        <w:ind w:firstLineChars="200" w:firstLine="480"/>
        <w:rPr>
          <w:sz w:val="24"/>
        </w:rPr>
      </w:pPr>
      <w:r>
        <w:rPr>
          <w:sz w:val="24"/>
        </w:rPr>
        <w:t>饲料常规营养成分的测定：饲料中水分含量采用</w:t>
      </w:r>
      <w:r>
        <w:rPr>
          <w:sz w:val="24"/>
        </w:rPr>
        <w:t>105 ℃</w:t>
      </w:r>
      <w:r>
        <w:rPr>
          <w:sz w:val="24"/>
        </w:rPr>
        <w:t>烘箱烘干至恒重法测定（</w:t>
      </w:r>
      <w:r>
        <w:rPr>
          <w:sz w:val="24"/>
        </w:rPr>
        <w:t>GB/T 6435—2006</w:t>
      </w:r>
      <w:r>
        <w:rPr>
          <w:sz w:val="24"/>
        </w:rPr>
        <w:t>），粗蛋白含量采用凯氏定氮法测定（</w:t>
      </w:r>
      <w:r>
        <w:rPr>
          <w:sz w:val="24"/>
        </w:rPr>
        <w:t>GB/T 6432—2018</w:t>
      </w:r>
      <w:r>
        <w:rPr>
          <w:sz w:val="24"/>
        </w:rPr>
        <w:t>），粗脂肪含量采用索氏</w:t>
      </w:r>
      <w:r>
        <w:rPr>
          <w:sz w:val="24"/>
        </w:rPr>
        <w:t xml:space="preserve"> </w:t>
      </w:r>
      <w:r>
        <w:rPr>
          <w:sz w:val="24"/>
        </w:rPr>
        <w:t>抽提法测定（</w:t>
      </w:r>
      <w:r>
        <w:rPr>
          <w:sz w:val="24"/>
        </w:rPr>
        <w:t>GB/T 6433—2006</w:t>
      </w:r>
      <w:r>
        <w:rPr>
          <w:sz w:val="24"/>
        </w:rPr>
        <w:t>），粗灰分采用马弗炉</w:t>
      </w:r>
      <w:r>
        <w:rPr>
          <w:sz w:val="24"/>
        </w:rPr>
        <w:t>550 ℃</w:t>
      </w:r>
      <w:r>
        <w:rPr>
          <w:sz w:val="24"/>
        </w:rPr>
        <w:t>高温灼烧法测定（</w:t>
      </w:r>
      <w:r>
        <w:rPr>
          <w:sz w:val="24"/>
        </w:rPr>
        <w:t>GB/T 6438—2007</w:t>
      </w:r>
      <w:r>
        <w:rPr>
          <w:sz w:val="24"/>
        </w:rPr>
        <w:t>）。</w:t>
      </w:r>
    </w:p>
    <w:p w14:paraId="1C7121B7" w14:textId="77777777" w:rsidR="008F75C3" w:rsidRDefault="006614AC">
      <w:pPr>
        <w:spacing w:line="360" w:lineRule="auto"/>
        <w:ind w:firstLineChars="200" w:firstLine="480"/>
        <w:rPr>
          <w:sz w:val="24"/>
        </w:rPr>
      </w:pPr>
      <w:r>
        <w:rPr>
          <w:sz w:val="24"/>
        </w:rPr>
        <w:t>肠道消化酶活性的测定：胃蛋白酶（</w:t>
      </w:r>
      <w:r>
        <w:rPr>
          <w:sz w:val="24"/>
        </w:rPr>
        <w:t>Peps</w:t>
      </w:r>
      <w:r>
        <w:rPr>
          <w:sz w:val="24"/>
        </w:rPr>
        <w:t>in</w:t>
      </w:r>
      <w:r>
        <w:rPr>
          <w:sz w:val="24"/>
        </w:rPr>
        <w:t>，</w:t>
      </w:r>
      <w:r>
        <w:rPr>
          <w:sz w:val="24"/>
        </w:rPr>
        <w:t>PEP</w:t>
      </w:r>
      <w:r>
        <w:rPr>
          <w:sz w:val="24"/>
        </w:rPr>
        <w:t>）、</w:t>
      </w:r>
      <w:r>
        <w:rPr>
          <w:sz w:val="24"/>
        </w:rPr>
        <w:t>α-</w:t>
      </w:r>
      <w:r>
        <w:rPr>
          <w:sz w:val="24"/>
        </w:rPr>
        <w:t>淀粉酶（</w:t>
      </w:r>
      <w:r>
        <w:rPr>
          <w:sz w:val="24"/>
        </w:rPr>
        <w:t>α-amylase</w:t>
      </w:r>
      <w:r>
        <w:rPr>
          <w:sz w:val="24"/>
        </w:rPr>
        <w:t>，</w:t>
      </w:r>
      <w:r>
        <w:rPr>
          <w:sz w:val="24"/>
        </w:rPr>
        <w:t>α-AMS</w:t>
      </w:r>
      <w:r>
        <w:rPr>
          <w:sz w:val="24"/>
        </w:rPr>
        <w:t>）和脂肪酶（</w:t>
      </w:r>
      <w:proofErr w:type="spellStart"/>
      <w:r>
        <w:rPr>
          <w:sz w:val="24"/>
        </w:rPr>
        <w:t>li⁃pase</w:t>
      </w:r>
      <w:proofErr w:type="spellEnd"/>
      <w:r>
        <w:rPr>
          <w:sz w:val="24"/>
        </w:rPr>
        <w:t>，</w:t>
      </w:r>
      <w:r>
        <w:rPr>
          <w:sz w:val="24"/>
        </w:rPr>
        <w:t>LPS</w:t>
      </w:r>
      <w:r>
        <w:rPr>
          <w:sz w:val="24"/>
        </w:rPr>
        <w:t>）均采用南京建成生物工程研究所试剂盒进行测定。</w:t>
      </w:r>
    </w:p>
    <w:p w14:paraId="3B273442" w14:textId="77777777" w:rsidR="008F75C3" w:rsidRDefault="006614AC">
      <w:pPr>
        <w:spacing w:line="360" w:lineRule="auto"/>
        <w:ind w:firstLineChars="200" w:firstLine="480"/>
        <w:rPr>
          <w:sz w:val="24"/>
        </w:rPr>
      </w:pPr>
      <w:r>
        <w:rPr>
          <w:sz w:val="24"/>
        </w:rPr>
        <w:t>肝脏抗氧</w:t>
      </w:r>
      <w:proofErr w:type="gramStart"/>
      <w:r>
        <w:rPr>
          <w:sz w:val="24"/>
        </w:rPr>
        <w:t>化指标</w:t>
      </w:r>
      <w:proofErr w:type="gramEnd"/>
      <w:r>
        <w:rPr>
          <w:sz w:val="24"/>
        </w:rPr>
        <w:t>的测定：总超氧化物歧化酶（</w:t>
      </w:r>
      <w:proofErr w:type="spellStart"/>
      <w:r>
        <w:rPr>
          <w:sz w:val="24"/>
        </w:rPr>
        <w:t>su⁃peroxide</w:t>
      </w:r>
      <w:proofErr w:type="spellEnd"/>
      <w:r>
        <w:rPr>
          <w:sz w:val="24"/>
        </w:rPr>
        <w:t xml:space="preserve"> </w:t>
      </w:r>
      <w:proofErr w:type="spellStart"/>
      <w:r>
        <w:rPr>
          <w:sz w:val="24"/>
        </w:rPr>
        <w:t>dismutase,SOD</w:t>
      </w:r>
      <w:proofErr w:type="spellEnd"/>
      <w:r>
        <w:rPr>
          <w:sz w:val="24"/>
        </w:rPr>
        <w:t>）、过氧化氢酶（</w:t>
      </w:r>
      <w:r>
        <w:rPr>
          <w:sz w:val="24"/>
        </w:rPr>
        <w:t xml:space="preserve">catalase from micrococcus </w:t>
      </w:r>
      <w:proofErr w:type="spellStart"/>
      <w:r>
        <w:rPr>
          <w:sz w:val="24"/>
        </w:rPr>
        <w:t>lysodeikticu</w:t>
      </w:r>
      <w:proofErr w:type="spellEnd"/>
      <w:r>
        <w:rPr>
          <w:sz w:val="24"/>
        </w:rPr>
        <w:t>，</w:t>
      </w:r>
      <w:r>
        <w:rPr>
          <w:sz w:val="24"/>
        </w:rPr>
        <w:t>CAT</w:t>
      </w:r>
      <w:r>
        <w:rPr>
          <w:sz w:val="24"/>
        </w:rPr>
        <w:t>）活性及丙二醛（</w:t>
      </w:r>
      <w:proofErr w:type="spellStart"/>
      <w:r>
        <w:rPr>
          <w:sz w:val="24"/>
        </w:rPr>
        <w:t>malond⁃ialdehyde</w:t>
      </w:r>
      <w:proofErr w:type="spellEnd"/>
      <w:r>
        <w:rPr>
          <w:sz w:val="24"/>
        </w:rPr>
        <w:t>，</w:t>
      </w:r>
      <w:r>
        <w:rPr>
          <w:sz w:val="24"/>
        </w:rPr>
        <w:t>MDA</w:t>
      </w:r>
      <w:r>
        <w:rPr>
          <w:sz w:val="24"/>
        </w:rPr>
        <w:t>）含量，均采用南京建成生物工程研究所试剂盒进行测定。</w:t>
      </w:r>
    </w:p>
    <w:p w14:paraId="6A0CAC74" w14:textId="77777777" w:rsidR="008F75C3" w:rsidRDefault="006614AC">
      <w:pPr>
        <w:spacing w:line="360" w:lineRule="auto"/>
        <w:ind w:firstLineChars="200" w:firstLine="480"/>
        <w:rPr>
          <w:sz w:val="24"/>
        </w:rPr>
      </w:pPr>
      <w:r>
        <w:rPr>
          <w:sz w:val="24"/>
        </w:rPr>
        <w:t>非特异性免疫指标的测定：肝脏酸性磷酸酶（</w:t>
      </w:r>
      <w:r>
        <w:rPr>
          <w:sz w:val="24"/>
        </w:rPr>
        <w:t>acid phosphatase</w:t>
      </w:r>
      <w:r>
        <w:rPr>
          <w:sz w:val="24"/>
        </w:rPr>
        <w:t>，</w:t>
      </w:r>
      <w:r>
        <w:rPr>
          <w:sz w:val="24"/>
        </w:rPr>
        <w:t>ACP</w:t>
      </w:r>
      <w:r>
        <w:rPr>
          <w:sz w:val="24"/>
        </w:rPr>
        <w:t>）、碱性磷酸酶（</w:t>
      </w:r>
      <w:r>
        <w:rPr>
          <w:sz w:val="24"/>
        </w:rPr>
        <w:t>alkaline phosphatase</w:t>
      </w:r>
      <w:r>
        <w:rPr>
          <w:sz w:val="24"/>
        </w:rPr>
        <w:t>，</w:t>
      </w:r>
      <w:r>
        <w:rPr>
          <w:sz w:val="24"/>
        </w:rPr>
        <w:t>AKP</w:t>
      </w:r>
      <w:r>
        <w:rPr>
          <w:sz w:val="24"/>
        </w:rPr>
        <w:t>）和溶菌酶活性（</w:t>
      </w:r>
      <w:r>
        <w:rPr>
          <w:sz w:val="24"/>
        </w:rPr>
        <w:t>lysozyme</w:t>
      </w:r>
      <w:r>
        <w:rPr>
          <w:sz w:val="24"/>
        </w:rPr>
        <w:t>，</w:t>
      </w:r>
      <w:r>
        <w:rPr>
          <w:sz w:val="24"/>
        </w:rPr>
        <w:t>LZM</w:t>
      </w:r>
      <w:r>
        <w:rPr>
          <w:sz w:val="24"/>
        </w:rPr>
        <w:t>）均采用南京建成生物工程研究所试剂盒进行测定。</w:t>
      </w:r>
    </w:p>
    <w:p w14:paraId="0340CE3D" w14:textId="77777777" w:rsidR="008F75C3" w:rsidRDefault="006614AC">
      <w:pPr>
        <w:spacing w:line="360" w:lineRule="auto"/>
        <w:ind w:firstLineChars="200" w:firstLine="480"/>
        <w:rPr>
          <w:sz w:val="24"/>
        </w:rPr>
      </w:pPr>
      <w:r>
        <w:rPr>
          <w:sz w:val="24"/>
        </w:rPr>
        <w:t>血清生化指标的测定：总蛋白（</w:t>
      </w:r>
      <w:r>
        <w:rPr>
          <w:sz w:val="24"/>
        </w:rPr>
        <w:t>total protein</w:t>
      </w:r>
      <w:r>
        <w:rPr>
          <w:sz w:val="24"/>
        </w:rPr>
        <w:t>，</w:t>
      </w:r>
      <w:r>
        <w:rPr>
          <w:sz w:val="24"/>
        </w:rPr>
        <w:t>TP</w:t>
      </w:r>
      <w:r>
        <w:rPr>
          <w:sz w:val="24"/>
        </w:rPr>
        <w:t>）、白蛋白（</w:t>
      </w:r>
      <w:r>
        <w:rPr>
          <w:sz w:val="24"/>
        </w:rPr>
        <w:t>albumin</w:t>
      </w:r>
      <w:r>
        <w:rPr>
          <w:sz w:val="24"/>
        </w:rPr>
        <w:t>，</w:t>
      </w:r>
      <w:r>
        <w:rPr>
          <w:sz w:val="24"/>
        </w:rPr>
        <w:t>ALB</w:t>
      </w:r>
      <w:r>
        <w:rPr>
          <w:sz w:val="24"/>
        </w:rPr>
        <w:t>）、总胆固醇（</w:t>
      </w:r>
      <w:r>
        <w:rPr>
          <w:sz w:val="24"/>
        </w:rPr>
        <w:t xml:space="preserve">total </w:t>
      </w:r>
      <w:proofErr w:type="spellStart"/>
      <w:r>
        <w:rPr>
          <w:sz w:val="24"/>
        </w:rPr>
        <w:t>cho-lesterol</w:t>
      </w:r>
      <w:proofErr w:type="spellEnd"/>
      <w:r>
        <w:rPr>
          <w:sz w:val="24"/>
        </w:rPr>
        <w:t>，</w:t>
      </w:r>
      <w:r>
        <w:rPr>
          <w:sz w:val="24"/>
        </w:rPr>
        <w:t>T- CHO</w:t>
      </w:r>
      <w:r>
        <w:rPr>
          <w:sz w:val="24"/>
        </w:rPr>
        <w:t>）、三酰甘油（</w:t>
      </w:r>
      <w:r>
        <w:rPr>
          <w:sz w:val="24"/>
        </w:rPr>
        <w:t>triglyceride</w:t>
      </w:r>
      <w:r>
        <w:rPr>
          <w:sz w:val="24"/>
        </w:rPr>
        <w:t>，</w:t>
      </w:r>
      <w:r>
        <w:rPr>
          <w:sz w:val="24"/>
        </w:rPr>
        <w:t>TG</w:t>
      </w:r>
      <w:r>
        <w:rPr>
          <w:sz w:val="24"/>
        </w:rPr>
        <w:t>）、谷草转氨酶（</w:t>
      </w:r>
      <w:r>
        <w:rPr>
          <w:sz w:val="24"/>
        </w:rPr>
        <w:t xml:space="preserve">glutamic- </w:t>
      </w:r>
      <w:proofErr w:type="spellStart"/>
      <w:r>
        <w:rPr>
          <w:sz w:val="24"/>
        </w:rPr>
        <w:t>oxalacetic</w:t>
      </w:r>
      <w:proofErr w:type="spellEnd"/>
      <w:r>
        <w:rPr>
          <w:sz w:val="24"/>
        </w:rPr>
        <w:t xml:space="preserve"> transaminase</w:t>
      </w:r>
      <w:r>
        <w:rPr>
          <w:sz w:val="24"/>
        </w:rPr>
        <w:t>，</w:t>
      </w:r>
      <w:r>
        <w:rPr>
          <w:sz w:val="24"/>
        </w:rPr>
        <w:t>GOT</w:t>
      </w:r>
      <w:r>
        <w:rPr>
          <w:sz w:val="24"/>
        </w:rPr>
        <w:t>）和谷丙转氨酶（</w:t>
      </w:r>
      <w:r>
        <w:rPr>
          <w:sz w:val="24"/>
        </w:rPr>
        <w:t>glutamic-pyruvic trans</w:t>
      </w:r>
      <w:r>
        <w:rPr>
          <w:sz w:val="24"/>
        </w:rPr>
        <w:t>aminase</w:t>
      </w:r>
      <w:r>
        <w:rPr>
          <w:sz w:val="24"/>
        </w:rPr>
        <w:t>，</w:t>
      </w:r>
      <w:r>
        <w:rPr>
          <w:sz w:val="24"/>
        </w:rPr>
        <w:t>GPT</w:t>
      </w:r>
      <w:r>
        <w:rPr>
          <w:sz w:val="24"/>
        </w:rPr>
        <w:t>）均采用南京建成生物工程研究所试剂盒进行测定。</w:t>
      </w:r>
    </w:p>
    <w:p w14:paraId="6834A372" w14:textId="77777777" w:rsidR="008F75C3" w:rsidRDefault="006614AC">
      <w:pPr>
        <w:spacing w:line="360" w:lineRule="auto"/>
        <w:rPr>
          <w:sz w:val="24"/>
        </w:rPr>
      </w:pPr>
      <w:r>
        <w:rPr>
          <w:sz w:val="24"/>
        </w:rPr>
        <w:t xml:space="preserve">1.4 </w:t>
      </w:r>
      <w:r>
        <w:rPr>
          <w:sz w:val="24"/>
        </w:rPr>
        <w:t>数据处理</w:t>
      </w:r>
    </w:p>
    <w:p w14:paraId="466F297A" w14:textId="77777777" w:rsidR="008F75C3" w:rsidRDefault="006614AC">
      <w:pPr>
        <w:spacing w:line="360" w:lineRule="auto"/>
        <w:ind w:firstLineChars="200" w:firstLine="480"/>
        <w:rPr>
          <w:sz w:val="24"/>
        </w:rPr>
      </w:pPr>
      <w:r>
        <w:rPr>
          <w:sz w:val="24"/>
        </w:rPr>
        <w:t>试验数据用</w:t>
      </w:r>
      <w:r>
        <w:rPr>
          <w:sz w:val="24"/>
        </w:rPr>
        <w:t>“</w:t>
      </w:r>
      <w:r>
        <w:rPr>
          <w:sz w:val="24"/>
        </w:rPr>
        <w:t>平均值</w:t>
      </w:r>
      <w:r>
        <w:rPr>
          <w:sz w:val="24"/>
        </w:rPr>
        <w:t>±</w:t>
      </w:r>
      <w:r>
        <w:rPr>
          <w:sz w:val="24"/>
        </w:rPr>
        <w:t>标准误（</w:t>
      </w:r>
      <w:proofErr w:type="spellStart"/>
      <w:r>
        <w:rPr>
          <w:sz w:val="24"/>
        </w:rPr>
        <w:t>mean±standard</w:t>
      </w:r>
      <w:proofErr w:type="spellEnd"/>
      <w:r>
        <w:rPr>
          <w:sz w:val="24"/>
        </w:rPr>
        <w:t xml:space="preserve"> </w:t>
      </w:r>
      <w:proofErr w:type="spellStart"/>
      <w:r>
        <w:rPr>
          <w:sz w:val="24"/>
        </w:rPr>
        <w:t>er⁃ror</w:t>
      </w:r>
      <w:proofErr w:type="spellEnd"/>
      <w:r>
        <w:rPr>
          <w:sz w:val="24"/>
        </w:rPr>
        <w:t>，</w:t>
      </w:r>
      <w:r>
        <w:rPr>
          <w:sz w:val="24"/>
        </w:rPr>
        <w:t>SE</w:t>
      </w:r>
      <w:r>
        <w:rPr>
          <w:sz w:val="24"/>
        </w:rPr>
        <w:t>）</w:t>
      </w:r>
      <w:r>
        <w:rPr>
          <w:sz w:val="24"/>
        </w:rPr>
        <w:t>”</w:t>
      </w:r>
      <w:r>
        <w:rPr>
          <w:sz w:val="24"/>
        </w:rPr>
        <w:t>表示，用</w:t>
      </w:r>
      <w:r>
        <w:rPr>
          <w:sz w:val="24"/>
        </w:rPr>
        <w:t>SPSS 25.0</w:t>
      </w:r>
      <w:r>
        <w:rPr>
          <w:sz w:val="24"/>
        </w:rPr>
        <w:t>软件（</w:t>
      </w:r>
      <w:r>
        <w:rPr>
          <w:sz w:val="24"/>
        </w:rPr>
        <w:t>IBM</w:t>
      </w:r>
      <w:r>
        <w:rPr>
          <w:sz w:val="24"/>
        </w:rPr>
        <w:t>，</w:t>
      </w:r>
      <w:r>
        <w:rPr>
          <w:sz w:val="24"/>
        </w:rPr>
        <w:t>USA</w:t>
      </w:r>
      <w:r>
        <w:rPr>
          <w:sz w:val="24"/>
        </w:rPr>
        <w:t>）进行单因素方差分析（</w:t>
      </w:r>
      <w:r>
        <w:rPr>
          <w:sz w:val="24"/>
        </w:rPr>
        <w:t>one-way ANOVA</w:t>
      </w:r>
      <w:r>
        <w:rPr>
          <w:sz w:val="24"/>
        </w:rPr>
        <w:t>）。并采用</w:t>
      </w:r>
      <w:r>
        <w:rPr>
          <w:sz w:val="24"/>
        </w:rPr>
        <w:t>Duncan</w:t>
      </w:r>
      <w:proofErr w:type="gramStart"/>
      <w:r>
        <w:rPr>
          <w:sz w:val="24"/>
        </w:rPr>
        <w:t>’</w:t>
      </w:r>
      <w:proofErr w:type="gramEnd"/>
      <w:r>
        <w:rPr>
          <w:sz w:val="24"/>
        </w:rPr>
        <w:t>s</w:t>
      </w:r>
      <w:r>
        <w:rPr>
          <w:sz w:val="24"/>
        </w:rPr>
        <w:t>法进行多重比较来分析</w:t>
      </w:r>
      <w:proofErr w:type="gramStart"/>
      <w:r>
        <w:rPr>
          <w:sz w:val="24"/>
        </w:rPr>
        <w:lastRenderedPageBreak/>
        <w:t>各处理组间</w:t>
      </w:r>
      <w:proofErr w:type="gramEnd"/>
      <w:r>
        <w:rPr>
          <w:sz w:val="24"/>
        </w:rPr>
        <w:t>的显著性，设置</w:t>
      </w:r>
      <w:r>
        <w:rPr>
          <w:i/>
          <w:iCs/>
          <w:sz w:val="24"/>
        </w:rPr>
        <w:t>P</w:t>
      </w:r>
      <w:r>
        <w:rPr>
          <w:sz w:val="24"/>
        </w:rPr>
        <w:t>&lt;0.05</w:t>
      </w:r>
      <w:r>
        <w:rPr>
          <w:sz w:val="24"/>
        </w:rPr>
        <w:t>为差异显著。</w:t>
      </w:r>
    </w:p>
    <w:p w14:paraId="31970EBA" w14:textId="77777777" w:rsidR="008F75C3" w:rsidRDefault="006614AC">
      <w:pPr>
        <w:spacing w:line="360" w:lineRule="auto"/>
        <w:rPr>
          <w:sz w:val="24"/>
        </w:rPr>
      </w:pPr>
      <w:r>
        <w:rPr>
          <w:sz w:val="24"/>
        </w:rPr>
        <w:t xml:space="preserve">2 </w:t>
      </w:r>
      <w:r>
        <w:rPr>
          <w:sz w:val="24"/>
        </w:rPr>
        <w:t>结果与分析</w:t>
      </w:r>
    </w:p>
    <w:p w14:paraId="0B1CD482" w14:textId="77777777" w:rsidR="008F75C3" w:rsidRDefault="006614AC">
      <w:pPr>
        <w:spacing w:line="360" w:lineRule="auto"/>
        <w:rPr>
          <w:sz w:val="24"/>
        </w:rPr>
      </w:pPr>
      <w:r>
        <w:rPr>
          <w:sz w:val="24"/>
        </w:rPr>
        <w:t xml:space="preserve">2.1 </w:t>
      </w:r>
      <w:r>
        <w:rPr>
          <w:sz w:val="24"/>
        </w:rPr>
        <w:t>鸡肠粉替代鱼粉对鲤生长性能的影响（见表</w:t>
      </w:r>
      <w:r>
        <w:rPr>
          <w:sz w:val="24"/>
        </w:rPr>
        <w:t>2</w:t>
      </w:r>
      <w:r>
        <w:rPr>
          <w:sz w:val="24"/>
        </w:rPr>
        <w:t>）</w:t>
      </w:r>
    </w:p>
    <w:p w14:paraId="6C113805" w14:textId="77777777" w:rsidR="008F75C3" w:rsidRDefault="006614AC">
      <w:pPr>
        <w:spacing w:line="360" w:lineRule="auto"/>
        <w:jc w:val="center"/>
        <w:rPr>
          <w:sz w:val="24"/>
        </w:rPr>
      </w:pPr>
      <w:r>
        <w:rPr>
          <w:noProof/>
          <w:sz w:val="24"/>
        </w:rPr>
        <w:drawing>
          <wp:inline distT="0" distB="0" distL="0" distR="0" wp14:anchorId="31C18546" wp14:editId="6822A44C">
            <wp:extent cx="5433060" cy="1823085"/>
            <wp:effectExtent l="0" t="0" r="0" b="5715"/>
            <wp:docPr id="40" name="图片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图片 40"/>
                    <pic:cNvPicPr>
                      <a:picLocks noChangeAspect="1" noChangeArrowheads="1"/>
                    </pic:cNvPicPr>
                  </pic:nvPicPr>
                  <pic:blipFill>
                    <a:blip r:embed="rId46">
                      <a:extLst>
                        <a:ext uri="{28A0092B-C50C-407E-A947-70E740481C1C}">
                          <a14:useLocalDpi xmlns:a14="http://schemas.microsoft.com/office/drawing/2010/main" val="0"/>
                        </a:ext>
                      </a:extLst>
                    </a:blip>
                    <a:srcRect/>
                    <a:stretch>
                      <a:fillRect/>
                    </a:stretch>
                  </pic:blipFill>
                  <pic:spPr>
                    <a:xfrm>
                      <a:off x="0" y="0"/>
                      <a:ext cx="5437419" cy="1824413"/>
                    </a:xfrm>
                    <a:prstGeom prst="rect">
                      <a:avLst/>
                    </a:prstGeom>
                    <a:noFill/>
                    <a:ln>
                      <a:noFill/>
                    </a:ln>
                  </pic:spPr>
                </pic:pic>
              </a:graphicData>
            </a:graphic>
          </wp:inline>
        </w:drawing>
      </w:r>
    </w:p>
    <w:p w14:paraId="6B9F0BE1" w14:textId="77777777" w:rsidR="008F75C3" w:rsidRDefault="006614AC">
      <w:pPr>
        <w:spacing w:line="360" w:lineRule="auto"/>
        <w:ind w:firstLineChars="200" w:firstLine="480"/>
        <w:rPr>
          <w:sz w:val="24"/>
        </w:rPr>
      </w:pPr>
      <w:r>
        <w:rPr>
          <w:sz w:val="24"/>
        </w:rPr>
        <w:t>由表</w:t>
      </w:r>
      <w:r>
        <w:rPr>
          <w:sz w:val="24"/>
        </w:rPr>
        <w:t>2</w:t>
      </w:r>
      <w:r>
        <w:rPr>
          <w:sz w:val="24"/>
        </w:rPr>
        <w:t>可知，鲤的成活率在各组间均无显著差异（</w:t>
      </w:r>
      <w:r>
        <w:rPr>
          <w:i/>
          <w:iCs/>
          <w:sz w:val="24"/>
        </w:rPr>
        <w:t>P</w:t>
      </w:r>
      <w:r>
        <w:rPr>
          <w:sz w:val="24"/>
        </w:rPr>
        <w:t>&gt;0.05</w:t>
      </w:r>
      <w:r>
        <w:rPr>
          <w:sz w:val="24"/>
        </w:rPr>
        <w:t>）。随鸡肠粉替代鱼粉比例的升</w:t>
      </w:r>
      <w:r>
        <w:rPr>
          <w:sz w:val="24"/>
        </w:rPr>
        <w:t>高，增重率和特定生长率呈先上升后下降的趋势，且在</w:t>
      </w:r>
      <w:r>
        <w:rPr>
          <w:sz w:val="24"/>
        </w:rPr>
        <w:t>D4</w:t>
      </w:r>
      <w:r>
        <w:rPr>
          <w:sz w:val="24"/>
        </w:rPr>
        <w:t>组时，鲤的增重率和特定生长率均达到峰值，并显著高于对照组（</w:t>
      </w:r>
      <w:r>
        <w:rPr>
          <w:i/>
          <w:iCs/>
          <w:sz w:val="24"/>
        </w:rPr>
        <w:t>P</w:t>
      </w:r>
      <w:r>
        <w:rPr>
          <w:sz w:val="24"/>
        </w:rPr>
        <w:t>&lt;0.05</w:t>
      </w:r>
      <w:r>
        <w:rPr>
          <w:sz w:val="24"/>
        </w:rPr>
        <w:t>）。各试验组饲料系数均低于对照组，随着替代比例的升高，饲料系数逐渐降低且均显著低于对照组（</w:t>
      </w:r>
      <w:r>
        <w:rPr>
          <w:i/>
          <w:iCs/>
          <w:sz w:val="24"/>
        </w:rPr>
        <w:t>P</w:t>
      </w:r>
      <w:r>
        <w:rPr>
          <w:sz w:val="24"/>
        </w:rPr>
        <w:t>&lt;0.05</w:t>
      </w:r>
      <w:r>
        <w:rPr>
          <w:sz w:val="24"/>
        </w:rPr>
        <w:t>）。鲤的肥满度、脏体比及</w:t>
      </w:r>
      <w:proofErr w:type="gramStart"/>
      <w:r>
        <w:rPr>
          <w:sz w:val="24"/>
        </w:rPr>
        <w:t>肠脂比</w:t>
      </w:r>
      <w:proofErr w:type="gramEnd"/>
      <w:r>
        <w:rPr>
          <w:sz w:val="24"/>
        </w:rPr>
        <w:t>在各组间无显著差异（</w:t>
      </w:r>
      <w:r>
        <w:rPr>
          <w:i/>
          <w:iCs/>
          <w:sz w:val="24"/>
        </w:rPr>
        <w:t>P</w:t>
      </w:r>
      <w:r>
        <w:rPr>
          <w:sz w:val="24"/>
        </w:rPr>
        <w:t>&gt;0.05</w:t>
      </w:r>
      <w:r>
        <w:rPr>
          <w:sz w:val="24"/>
        </w:rPr>
        <w:t>）。</w:t>
      </w:r>
    </w:p>
    <w:p w14:paraId="4F979E83" w14:textId="77777777" w:rsidR="008F75C3" w:rsidRDefault="006614AC">
      <w:pPr>
        <w:spacing w:line="360" w:lineRule="auto"/>
        <w:rPr>
          <w:sz w:val="24"/>
        </w:rPr>
      </w:pPr>
      <w:r>
        <w:rPr>
          <w:sz w:val="24"/>
        </w:rPr>
        <w:t xml:space="preserve">2.2 </w:t>
      </w:r>
      <w:r>
        <w:rPr>
          <w:sz w:val="24"/>
        </w:rPr>
        <w:t>鸡肠粉替代鱼粉对鲤肠道消化酶活性的影响（见表</w:t>
      </w:r>
      <w:r>
        <w:rPr>
          <w:sz w:val="24"/>
        </w:rPr>
        <w:t>3</w:t>
      </w:r>
      <w:r>
        <w:rPr>
          <w:sz w:val="24"/>
        </w:rPr>
        <w:t>）</w:t>
      </w:r>
    </w:p>
    <w:p w14:paraId="06A8F776" w14:textId="77777777" w:rsidR="008F75C3" w:rsidRDefault="006614AC">
      <w:pPr>
        <w:spacing w:line="360" w:lineRule="auto"/>
        <w:ind w:firstLineChars="200" w:firstLine="480"/>
        <w:rPr>
          <w:sz w:val="24"/>
        </w:rPr>
      </w:pPr>
      <w:r>
        <w:rPr>
          <w:sz w:val="24"/>
        </w:rPr>
        <w:t>由表</w:t>
      </w:r>
      <w:r>
        <w:rPr>
          <w:sz w:val="24"/>
        </w:rPr>
        <w:t>3</w:t>
      </w:r>
      <w:r>
        <w:rPr>
          <w:sz w:val="24"/>
        </w:rPr>
        <w:t>可知，与对照组相比，鸡肠粉替代鱼粉影</w:t>
      </w:r>
      <w:r>
        <w:rPr>
          <w:sz w:val="24"/>
        </w:rPr>
        <w:t xml:space="preserve"> </w:t>
      </w:r>
      <w:r>
        <w:rPr>
          <w:sz w:val="24"/>
        </w:rPr>
        <w:t>响</w:t>
      </w:r>
      <w:r>
        <w:rPr>
          <w:sz w:val="24"/>
        </w:rPr>
        <w:t xml:space="preserve"> PEP</w:t>
      </w:r>
      <w:r>
        <w:rPr>
          <w:sz w:val="24"/>
        </w:rPr>
        <w:t>、</w:t>
      </w:r>
      <w:r>
        <w:rPr>
          <w:sz w:val="24"/>
        </w:rPr>
        <w:t xml:space="preserve">α-AMS </w:t>
      </w:r>
      <w:r>
        <w:rPr>
          <w:sz w:val="24"/>
        </w:rPr>
        <w:t>和</w:t>
      </w:r>
      <w:r>
        <w:rPr>
          <w:sz w:val="24"/>
        </w:rPr>
        <w:t xml:space="preserve"> LPS </w:t>
      </w:r>
      <w:r>
        <w:rPr>
          <w:sz w:val="24"/>
        </w:rPr>
        <w:t>活</w:t>
      </w:r>
      <w:r>
        <w:rPr>
          <w:sz w:val="24"/>
        </w:rPr>
        <w:t xml:space="preserve"> </w:t>
      </w:r>
      <w:r>
        <w:rPr>
          <w:sz w:val="24"/>
        </w:rPr>
        <w:t>性</w:t>
      </w:r>
      <w:r>
        <w:rPr>
          <w:sz w:val="24"/>
        </w:rPr>
        <w:t xml:space="preserve"> </w:t>
      </w:r>
      <w:r>
        <w:rPr>
          <w:sz w:val="24"/>
        </w:rPr>
        <w:t>，随着</w:t>
      </w:r>
      <w:r>
        <w:rPr>
          <w:sz w:val="24"/>
        </w:rPr>
        <w:t xml:space="preserve"> </w:t>
      </w:r>
      <w:r>
        <w:rPr>
          <w:sz w:val="24"/>
        </w:rPr>
        <w:t>替代比例的增</w:t>
      </w:r>
      <w:r>
        <w:rPr>
          <w:sz w:val="24"/>
        </w:rPr>
        <w:t xml:space="preserve"> </w:t>
      </w:r>
      <w:r>
        <w:rPr>
          <w:sz w:val="24"/>
        </w:rPr>
        <w:t>加</w:t>
      </w:r>
      <w:r>
        <w:rPr>
          <w:sz w:val="24"/>
        </w:rPr>
        <w:t xml:space="preserve"> PEP</w:t>
      </w:r>
      <w:r>
        <w:rPr>
          <w:sz w:val="24"/>
        </w:rPr>
        <w:t>、</w:t>
      </w:r>
      <w:r>
        <w:rPr>
          <w:sz w:val="24"/>
        </w:rPr>
        <w:t xml:space="preserve">α-AMS </w:t>
      </w:r>
      <w:r>
        <w:rPr>
          <w:sz w:val="24"/>
        </w:rPr>
        <w:t>和</w:t>
      </w:r>
      <w:r>
        <w:rPr>
          <w:sz w:val="24"/>
        </w:rPr>
        <w:t xml:space="preserve"> LPS </w:t>
      </w:r>
      <w:r>
        <w:rPr>
          <w:sz w:val="24"/>
        </w:rPr>
        <w:t>活性均呈现先升高后下降的趋势，并在</w:t>
      </w:r>
      <w:r>
        <w:rPr>
          <w:sz w:val="24"/>
        </w:rPr>
        <w:t xml:space="preserve"> D4 </w:t>
      </w:r>
      <w:r>
        <w:rPr>
          <w:sz w:val="24"/>
        </w:rPr>
        <w:t>组时达到峰值，</w:t>
      </w:r>
      <w:r>
        <w:rPr>
          <w:sz w:val="24"/>
        </w:rPr>
        <w:t>D2</w:t>
      </w:r>
      <w:r>
        <w:rPr>
          <w:sz w:val="24"/>
        </w:rPr>
        <w:t>组</w:t>
      </w:r>
      <w:r>
        <w:rPr>
          <w:sz w:val="24"/>
        </w:rPr>
        <w:t xml:space="preserve"> LPS </w:t>
      </w:r>
      <w:r>
        <w:rPr>
          <w:sz w:val="24"/>
        </w:rPr>
        <w:t>活性及</w:t>
      </w:r>
      <w:r>
        <w:rPr>
          <w:sz w:val="24"/>
        </w:rPr>
        <w:t>D5</w:t>
      </w:r>
      <w:r>
        <w:rPr>
          <w:sz w:val="24"/>
        </w:rPr>
        <w:t>组</w:t>
      </w:r>
      <w:r>
        <w:rPr>
          <w:sz w:val="24"/>
        </w:rPr>
        <w:t xml:space="preserve">α-AMS </w:t>
      </w:r>
      <w:r>
        <w:rPr>
          <w:sz w:val="24"/>
        </w:rPr>
        <w:t>和</w:t>
      </w:r>
      <w:r>
        <w:rPr>
          <w:sz w:val="24"/>
        </w:rPr>
        <w:t xml:space="preserve"> LPS </w:t>
      </w:r>
      <w:r>
        <w:rPr>
          <w:sz w:val="24"/>
        </w:rPr>
        <w:t>活性与对照组差异不显著（</w:t>
      </w:r>
      <w:r>
        <w:rPr>
          <w:i/>
          <w:iCs/>
          <w:sz w:val="24"/>
        </w:rPr>
        <w:t>P</w:t>
      </w:r>
      <w:r>
        <w:rPr>
          <w:sz w:val="24"/>
        </w:rPr>
        <w:t>&gt;0.05</w:t>
      </w:r>
      <w:r>
        <w:rPr>
          <w:sz w:val="24"/>
        </w:rPr>
        <w:t>）。</w:t>
      </w:r>
    </w:p>
    <w:p w14:paraId="1B2A249D" w14:textId="77777777" w:rsidR="008F75C3" w:rsidRDefault="006614AC">
      <w:pPr>
        <w:spacing w:line="360" w:lineRule="auto"/>
        <w:ind w:firstLineChars="200" w:firstLine="480"/>
        <w:rPr>
          <w:sz w:val="24"/>
        </w:rPr>
      </w:pPr>
      <w:r>
        <w:rPr>
          <w:noProof/>
          <w:sz w:val="24"/>
        </w:rPr>
        <w:drawing>
          <wp:inline distT="0" distB="0" distL="0" distR="0" wp14:anchorId="1405D798" wp14:editId="3F2CAFD8">
            <wp:extent cx="5768340" cy="1327785"/>
            <wp:effectExtent l="0" t="0" r="3810" b="5715"/>
            <wp:docPr id="41" name="图片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图片 41"/>
                    <pic:cNvPicPr>
                      <a:picLocks noChangeAspect="1" noChangeArrowheads="1"/>
                    </pic:cNvPicPr>
                  </pic:nvPicPr>
                  <pic:blipFill>
                    <a:blip r:embed="rId47">
                      <a:extLst>
                        <a:ext uri="{28A0092B-C50C-407E-A947-70E740481C1C}">
                          <a14:useLocalDpi xmlns:a14="http://schemas.microsoft.com/office/drawing/2010/main" val="0"/>
                        </a:ext>
                      </a:extLst>
                    </a:blip>
                    <a:srcRect/>
                    <a:stretch>
                      <a:fillRect/>
                    </a:stretch>
                  </pic:blipFill>
                  <pic:spPr>
                    <a:xfrm>
                      <a:off x="0" y="0"/>
                      <a:ext cx="5779414" cy="1330309"/>
                    </a:xfrm>
                    <a:prstGeom prst="rect">
                      <a:avLst/>
                    </a:prstGeom>
                    <a:noFill/>
                    <a:ln>
                      <a:noFill/>
                    </a:ln>
                  </pic:spPr>
                </pic:pic>
              </a:graphicData>
            </a:graphic>
          </wp:inline>
        </w:drawing>
      </w:r>
    </w:p>
    <w:p w14:paraId="3ACB5E19" w14:textId="77777777" w:rsidR="008F75C3" w:rsidRDefault="006614AC">
      <w:pPr>
        <w:spacing w:line="360" w:lineRule="auto"/>
        <w:rPr>
          <w:sz w:val="24"/>
        </w:rPr>
      </w:pPr>
      <w:r>
        <w:rPr>
          <w:sz w:val="24"/>
        </w:rPr>
        <w:t xml:space="preserve">2.3 </w:t>
      </w:r>
      <w:r>
        <w:rPr>
          <w:sz w:val="24"/>
        </w:rPr>
        <w:t>鸡肠粉替代鱼粉对鲤肝脏抗氧化能力的影响（见表</w:t>
      </w:r>
      <w:r>
        <w:rPr>
          <w:sz w:val="24"/>
        </w:rPr>
        <w:t>4</w:t>
      </w:r>
      <w:r>
        <w:rPr>
          <w:sz w:val="24"/>
        </w:rPr>
        <w:t>）</w:t>
      </w:r>
    </w:p>
    <w:p w14:paraId="26E5AE5D" w14:textId="77777777" w:rsidR="008F75C3" w:rsidRDefault="006614AC">
      <w:pPr>
        <w:spacing w:line="360" w:lineRule="auto"/>
        <w:ind w:firstLineChars="200" w:firstLine="480"/>
        <w:rPr>
          <w:sz w:val="24"/>
        </w:rPr>
      </w:pPr>
      <w:r>
        <w:rPr>
          <w:sz w:val="24"/>
        </w:rPr>
        <w:t>由表</w:t>
      </w:r>
      <w:r>
        <w:rPr>
          <w:sz w:val="24"/>
        </w:rPr>
        <w:t xml:space="preserve"> 4 </w:t>
      </w:r>
      <w:r>
        <w:rPr>
          <w:sz w:val="24"/>
        </w:rPr>
        <w:t>可知，鲤肝脏</w:t>
      </w:r>
      <w:r>
        <w:rPr>
          <w:sz w:val="24"/>
        </w:rPr>
        <w:t>SOD</w:t>
      </w:r>
      <w:r>
        <w:rPr>
          <w:sz w:val="24"/>
        </w:rPr>
        <w:t>活性在</w:t>
      </w:r>
      <w:r>
        <w:rPr>
          <w:sz w:val="24"/>
        </w:rPr>
        <w:t>D4</w:t>
      </w:r>
      <w:r>
        <w:rPr>
          <w:sz w:val="24"/>
        </w:rPr>
        <w:t>组时达到峰值、</w:t>
      </w:r>
      <w:r>
        <w:rPr>
          <w:sz w:val="24"/>
        </w:rPr>
        <w:t>CAT</w:t>
      </w:r>
      <w:r>
        <w:rPr>
          <w:sz w:val="24"/>
        </w:rPr>
        <w:t>活性在</w:t>
      </w:r>
      <w:r>
        <w:rPr>
          <w:sz w:val="24"/>
        </w:rPr>
        <w:t>D3</w:t>
      </w:r>
      <w:r>
        <w:rPr>
          <w:sz w:val="24"/>
        </w:rPr>
        <w:t>组时达到峰值，且与对照组相比差异显著（</w:t>
      </w:r>
      <w:r>
        <w:rPr>
          <w:i/>
          <w:iCs/>
          <w:sz w:val="24"/>
        </w:rPr>
        <w:t>P</w:t>
      </w:r>
      <w:r>
        <w:rPr>
          <w:sz w:val="24"/>
        </w:rPr>
        <w:t>&lt;0.05</w:t>
      </w:r>
      <w:r>
        <w:rPr>
          <w:sz w:val="24"/>
        </w:rPr>
        <w:t>），呈现先升高后下降的趋势。与对照组相比鸡肠粉替代鱼粉后对</w:t>
      </w:r>
      <w:r>
        <w:rPr>
          <w:sz w:val="24"/>
        </w:rPr>
        <w:t xml:space="preserve"> MDA </w:t>
      </w:r>
      <w:r>
        <w:rPr>
          <w:sz w:val="24"/>
        </w:rPr>
        <w:t>水平无显著</w:t>
      </w:r>
      <w:r>
        <w:rPr>
          <w:sz w:val="24"/>
        </w:rPr>
        <w:t>影响（</w:t>
      </w:r>
      <w:r>
        <w:rPr>
          <w:i/>
          <w:iCs/>
          <w:sz w:val="24"/>
        </w:rPr>
        <w:t>P</w:t>
      </w:r>
      <w:r>
        <w:rPr>
          <w:sz w:val="24"/>
        </w:rPr>
        <w:t>&gt;0.05</w:t>
      </w:r>
      <w:r>
        <w:rPr>
          <w:sz w:val="24"/>
        </w:rPr>
        <w:t>），</w:t>
      </w:r>
      <w:r>
        <w:rPr>
          <w:sz w:val="24"/>
        </w:rPr>
        <w:t>D5</w:t>
      </w:r>
      <w:r>
        <w:rPr>
          <w:sz w:val="24"/>
        </w:rPr>
        <w:t>组</w:t>
      </w:r>
      <w:r>
        <w:rPr>
          <w:sz w:val="24"/>
        </w:rPr>
        <w:t>SOD</w:t>
      </w:r>
      <w:r>
        <w:rPr>
          <w:sz w:val="24"/>
        </w:rPr>
        <w:t>活性显著低于对照组（</w:t>
      </w:r>
      <w:r>
        <w:rPr>
          <w:i/>
          <w:iCs/>
          <w:sz w:val="24"/>
        </w:rPr>
        <w:t>P</w:t>
      </w:r>
      <w:r>
        <w:rPr>
          <w:sz w:val="24"/>
        </w:rPr>
        <w:t>&lt;0.05</w:t>
      </w:r>
      <w:r>
        <w:rPr>
          <w:sz w:val="24"/>
        </w:rPr>
        <w:t>）、</w:t>
      </w:r>
      <w:r>
        <w:rPr>
          <w:sz w:val="24"/>
        </w:rPr>
        <w:t>CAT</w:t>
      </w:r>
      <w:r>
        <w:rPr>
          <w:sz w:val="24"/>
        </w:rPr>
        <w:t>活性与对照组差异不显著（</w:t>
      </w:r>
      <w:r>
        <w:rPr>
          <w:i/>
          <w:iCs/>
          <w:sz w:val="24"/>
        </w:rPr>
        <w:t>P</w:t>
      </w:r>
      <w:r>
        <w:rPr>
          <w:sz w:val="24"/>
        </w:rPr>
        <w:t>&gt;0.05</w:t>
      </w:r>
      <w:r>
        <w:rPr>
          <w:sz w:val="24"/>
        </w:rPr>
        <w:t>）。</w:t>
      </w:r>
    </w:p>
    <w:p w14:paraId="545EF1FC" w14:textId="77777777" w:rsidR="008F75C3" w:rsidRDefault="006614AC">
      <w:pPr>
        <w:spacing w:line="360" w:lineRule="auto"/>
        <w:ind w:firstLineChars="200" w:firstLine="480"/>
        <w:rPr>
          <w:sz w:val="24"/>
        </w:rPr>
      </w:pPr>
      <w:r>
        <w:rPr>
          <w:noProof/>
          <w:sz w:val="24"/>
        </w:rPr>
        <w:lastRenderedPageBreak/>
        <w:drawing>
          <wp:inline distT="0" distB="0" distL="0" distR="0" wp14:anchorId="3062D234" wp14:editId="5A26DB79">
            <wp:extent cx="5976620" cy="1251585"/>
            <wp:effectExtent l="0" t="0" r="5080" b="5715"/>
            <wp:docPr id="42" name="图片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图片 42"/>
                    <pic:cNvPicPr>
                      <a:picLocks noChangeAspect="1" noChangeArrowheads="1"/>
                    </pic:cNvPicPr>
                  </pic:nvPicPr>
                  <pic:blipFill>
                    <a:blip r:embed="rId48">
                      <a:extLst>
                        <a:ext uri="{28A0092B-C50C-407E-A947-70E740481C1C}">
                          <a14:useLocalDpi xmlns:a14="http://schemas.microsoft.com/office/drawing/2010/main" val="0"/>
                        </a:ext>
                      </a:extLst>
                    </a:blip>
                    <a:srcRect/>
                    <a:stretch>
                      <a:fillRect/>
                    </a:stretch>
                  </pic:blipFill>
                  <pic:spPr>
                    <a:xfrm>
                      <a:off x="0" y="0"/>
                      <a:ext cx="5976620" cy="1251585"/>
                    </a:xfrm>
                    <a:prstGeom prst="rect">
                      <a:avLst/>
                    </a:prstGeom>
                    <a:noFill/>
                    <a:ln>
                      <a:noFill/>
                    </a:ln>
                  </pic:spPr>
                </pic:pic>
              </a:graphicData>
            </a:graphic>
          </wp:inline>
        </w:drawing>
      </w:r>
    </w:p>
    <w:p w14:paraId="59764655" w14:textId="77777777" w:rsidR="008F75C3" w:rsidRDefault="006614AC">
      <w:pPr>
        <w:spacing w:line="360" w:lineRule="auto"/>
        <w:rPr>
          <w:sz w:val="24"/>
        </w:rPr>
      </w:pPr>
      <w:r>
        <w:rPr>
          <w:sz w:val="24"/>
        </w:rPr>
        <w:t xml:space="preserve">2.4 </w:t>
      </w:r>
      <w:r>
        <w:rPr>
          <w:sz w:val="24"/>
        </w:rPr>
        <w:t>鸡肠粉替代鱼粉对鲤肝脏非特异性免疫指标的影响（见表</w:t>
      </w:r>
      <w:r>
        <w:rPr>
          <w:sz w:val="24"/>
        </w:rPr>
        <w:t>5</w:t>
      </w:r>
      <w:r>
        <w:rPr>
          <w:sz w:val="24"/>
        </w:rPr>
        <w:t>）</w:t>
      </w:r>
    </w:p>
    <w:p w14:paraId="29751966" w14:textId="77777777" w:rsidR="008F75C3" w:rsidRDefault="006614AC">
      <w:pPr>
        <w:spacing w:line="360" w:lineRule="auto"/>
        <w:ind w:firstLineChars="200" w:firstLine="480"/>
        <w:rPr>
          <w:sz w:val="24"/>
        </w:rPr>
      </w:pPr>
      <w:r>
        <w:rPr>
          <w:sz w:val="24"/>
        </w:rPr>
        <w:t>由表</w:t>
      </w:r>
      <w:r>
        <w:rPr>
          <w:sz w:val="24"/>
        </w:rPr>
        <w:t>5</w:t>
      </w:r>
      <w:r>
        <w:rPr>
          <w:sz w:val="24"/>
        </w:rPr>
        <w:t>可知，与对照组相比，鲤肝脏</w:t>
      </w:r>
      <w:r>
        <w:rPr>
          <w:sz w:val="24"/>
        </w:rPr>
        <w:t>ACP</w:t>
      </w:r>
      <w:r>
        <w:rPr>
          <w:sz w:val="24"/>
        </w:rPr>
        <w:t>、</w:t>
      </w:r>
      <w:r>
        <w:rPr>
          <w:sz w:val="24"/>
        </w:rPr>
        <w:t>AKP</w:t>
      </w:r>
      <w:r>
        <w:rPr>
          <w:sz w:val="24"/>
        </w:rPr>
        <w:t>和</w:t>
      </w:r>
      <w:r>
        <w:rPr>
          <w:sz w:val="24"/>
        </w:rPr>
        <w:t>LZM</w:t>
      </w:r>
      <w:r>
        <w:rPr>
          <w:sz w:val="24"/>
        </w:rPr>
        <w:t>活性在</w:t>
      </w:r>
      <w:r>
        <w:rPr>
          <w:sz w:val="24"/>
        </w:rPr>
        <w:t>D4</w:t>
      </w:r>
      <w:r>
        <w:rPr>
          <w:sz w:val="24"/>
        </w:rPr>
        <w:t>组时达到峰值（</w:t>
      </w:r>
      <w:r>
        <w:rPr>
          <w:i/>
          <w:iCs/>
          <w:sz w:val="24"/>
        </w:rPr>
        <w:t>P</w:t>
      </w:r>
      <w:r>
        <w:rPr>
          <w:sz w:val="24"/>
        </w:rPr>
        <w:t>&lt;0.05</w:t>
      </w:r>
      <w:r>
        <w:rPr>
          <w:sz w:val="24"/>
        </w:rPr>
        <w:t>）。</w:t>
      </w:r>
      <w:r>
        <w:rPr>
          <w:sz w:val="24"/>
        </w:rPr>
        <w:t>D2</w:t>
      </w:r>
      <w:r>
        <w:rPr>
          <w:sz w:val="24"/>
        </w:rPr>
        <w:t>组、</w:t>
      </w:r>
      <w:r>
        <w:rPr>
          <w:sz w:val="24"/>
        </w:rPr>
        <w:t>D3</w:t>
      </w:r>
      <w:r>
        <w:rPr>
          <w:sz w:val="24"/>
        </w:rPr>
        <w:t>组和</w:t>
      </w:r>
      <w:r>
        <w:rPr>
          <w:sz w:val="24"/>
        </w:rPr>
        <w:t>D5</w:t>
      </w:r>
      <w:r>
        <w:rPr>
          <w:sz w:val="24"/>
        </w:rPr>
        <w:t>组</w:t>
      </w:r>
      <w:r>
        <w:rPr>
          <w:sz w:val="24"/>
        </w:rPr>
        <w:t>ACP</w:t>
      </w:r>
      <w:r>
        <w:rPr>
          <w:sz w:val="24"/>
        </w:rPr>
        <w:t>活性与对照组差异不显著（</w:t>
      </w:r>
      <w:r>
        <w:rPr>
          <w:i/>
          <w:iCs/>
          <w:sz w:val="24"/>
        </w:rPr>
        <w:t>P</w:t>
      </w:r>
      <w:r>
        <w:rPr>
          <w:sz w:val="24"/>
        </w:rPr>
        <w:t>&gt;0.05</w:t>
      </w:r>
      <w:r>
        <w:rPr>
          <w:sz w:val="24"/>
        </w:rPr>
        <w:t>），</w:t>
      </w:r>
      <w:r>
        <w:rPr>
          <w:sz w:val="24"/>
        </w:rPr>
        <w:t>D2</w:t>
      </w:r>
      <w:r>
        <w:rPr>
          <w:sz w:val="24"/>
        </w:rPr>
        <w:t>组和</w:t>
      </w:r>
      <w:r>
        <w:rPr>
          <w:sz w:val="24"/>
        </w:rPr>
        <w:t>D5</w:t>
      </w:r>
      <w:r>
        <w:rPr>
          <w:sz w:val="24"/>
        </w:rPr>
        <w:t>组</w:t>
      </w:r>
      <w:r>
        <w:rPr>
          <w:sz w:val="24"/>
        </w:rPr>
        <w:t>AKP</w:t>
      </w:r>
      <w:r>
        <w:rPr>
          <w:sz w:val="24"/>
        </w:rPr>
        <w:t>和</w:t>
      </w:r>
      <w:r>
        <w:rPr>
          <w:sz w:val="24"/>
        </w:rPr>
        <w:t>LZM</w:t>
      </w:r>
      <w:r>
        <w:rPr>
          <w:sz w:val="24"/>
        </w:rPr>
        <w:t>活性与对照组差异不显著（</w:t>
      </w:r>
      <w:r>
        <w:rPr>
          <w:i/>
          <w:iCs/>
          <w:sz w:val="24"/>
        </w:rPr>
        <w:t>P</w:t>
      </w:r>
      <w:r>
        <w:rPr>
          <w:sz w:val="24"/>
        </w:rPr>
        <w:t>&gt;0.05</w:t>
      </w:r>
      <w:r>
        <w:rPr>
          <w:sz w:val="24"/>
        </w:rPr>
        <w:t>）。</w:t>
      </w:r>
    </w:p>
    <w:p w14:paraId="0C5C34D3" w14:textId="77777777" w:rsidR="008F75C3" w:rsidRDefault="006614AC">
      <w:pPr>
        <w:spacing w:line="360" w:lineRule="auto"/>
        <w:ind w:firstLineChars="200" w:firstLine="480"/>
        <w:rPr>
          <w:sz w:val="24"/>
        </w:rPr>
      </w:pPr>
      <w:r>
        <w:rPr>
          <w:noProof/>
          <w:sz w:val="24"/>
        </w:rPr>
        <w:drawing>
          <wp:inline distT="0" distB="0" distL="0" distR="0" wp14:anchorId="1FBE8ED8" wp14:editId="6C7ABECC">
            <wp:extent cx="5976620" cy="1243330"/>
            <wp:effectExtent l="0" t="0" r="5080" b="0"/>
            <wp:docPr id="43" name="图片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图片 43"/>
                    <pic:cNvPicPr>
                      <a:picLocks noChangeAspect="1" noChangeArrowheads="1"/>
                    </pic:cNvPicPr>
                  </pic:nvPicPr>
                  <pic:blipFill>
                    <a:blip r:embed="rId49">
                      <a:extLst>
                        <a:ext uri="{28A0092B-C50C-407E-A947-70E740481C1C}">
                          <a14:useLocalDpi xmlns:a14="http://schemas.microsoft.com/office/drawing/2010/main" val="0"/>
                        </a:ext>
                      </a:extLst>
                    </a:blip>
                    <a:srcRect/>
                    <a:stretch>
                      <a:fillRect/>
                    </a:stretch>
                  </pic:blipFill>
                  <pic:spPr>
                    <a:xfrm>
                      <a:off x="0" y="0"/>
                      <a:ext cx="5976620" cy="1243330"/>
                    </a:xfrm>
                    <a:prstGeom prst="rect">
                      <a:avLst/>
                    </a:prstGeom>
                    <a:noFill/>
                    <a:ln>
                      <a:noFill/>
                    </a:ln>
                  </pic:spPr>
                </pic:pic>
              </a:graphicData>
            </a:graphic>
          </wp:inline>
        </w:drawing>
      </w:r>
    </w:p>
    <w:p w14:paraId="4863432A" w14:textId="77777777" w:rsidR="008F75C3" w:rsidRDefault="006614AC">
      <w:pPr>
        <w:spacing w:line="360" w:lineRule="auto"/>
        <w:rPr>
          <w:sz w:val="24"/>
        </w:rPr>
      </w:pPr>
      <w:r>
        <w:rPr>
          <w:sz w:val="24"/>
        </w:rPr>
        <w:t xml:space="preserve">2.5 </w:t>
      </w:r>
      <w:r>
        <w:rPr>
          <w:sz w:val="24"/>
        </w:rPr>
        <w:t>鸡肠粉替代鱼粉对鲤血清生化指标的影响（见表</w:t>
      </w:r>
      <w:r>
        <w:rPr>
          <w:sz w:val="24"/>
        </w:rPr>
        <w:t>6</w:t>
      </w:r>
      <w:r>
        <w:rPr>
          <w:sz w:val="24"/>
        </w:rPr>
        <w:t>）</w:t>
      </w:r>
    </w:p>
    <w:p w14:paraId="23148B29" w14:textId="77777777" w:rsidR="008F75C3" w:rsidRDefault="006614AC">
      <w:pPr>
        <w:spacing w:line="360" w:lineRule="auto"/>
        <w:ind w:firstLineChars="200" w:firstLine="480"/>
        <w:rPr>
          <w:sz w:val="24"/>
        </w:rPr>
      </w:pPr>
      <w:r>
        <w:rPr>
          <w:sz w:val="24"/>
        </w:rPr>
        <w:t>由表</w:t>
      </w:r>
      <w:r>
        <w:rPr>
          <w:sz w:val="24"/>
        </w:rPr>
        <w:t>6</w:t>
      </w:r>
      <w:r>
        <w:rPr>
          <w:sz w:val="24"/>
        </w:rPr>
        <w:t>可知，鲤血清总蛋白、白蛋白、总胆固醇和三酯甘油水平在各组间无显著差异（</w:t>
      </w:r>
      <w:r>
        <w:rPr>
          <w:i/>
          <w:iCs/>
          <w:sz w:val="24"/>
        </w:rPr>
        <w:t>P</w:t>
      </w:r>
      <w:r>
        <w:rPr>
          <w:sz w:val="24"/>
        </w:rPr>
        <w:t>&gt;0.05</w:t>
      </w:r>
      <w:r>
        <w:rPr>
          <w:sz w:val="24"/>
        </w:rPr>
        <w:t>）。与对照组相比，鸡肠粉替代鱼粉增加了鲤血清中</w:t>
      </w:r>
      <w:r>
        <w:rPr>
          <w:sz w:val="24"/>
        </w:rPr>
        <w:t xml:space="preserve"> GOT </w:t>
      </w:r>
      <w:r>
        <w:rPr>
          <w:sz w:val="24"/>
        </w:rPr>
        <w:t>和</w:t>
      </w:r>
      <w:r>
        <w:rPr>
          <w:sz w:val="24"/>
        </w:rPr>
        <w:t>GPT</w:t>
      </w:r>
      <w:r>
        <w:rPr>
          <w:sz w:val="24"/>
        </w:rPr>
        <w:t>活性，并在</w:t>
      </w:r>
      <w:r>
        <w:rPr>
          <w:sz w:val="24"/>
        </w:rPr>
        <w:t>D5</w:t>
      </w:r>
      <w:r>
        <w:rPr>
          <w:sz w:val="24"/>
        </w:rPr>
        <w:t>组达到峰值（</w:t>
      </w:r>
      <w:r>
        <w:rPr>
          <w:i/>
          <w:iCs/>
          <w:sz w:val="24"/>
        </w:rPr>
        <w:t>P</w:t>
      </w:r>
      <w:r>
        <w:rPr>
          <w:sz w:val="24"/>
        </w:rPr>
        <w:t>&lt;0.05</w:t>
      </w:r>
      <w:r>
        <w:rPr>
          <w:sz w:val="24"/>
        </w:rPr>
        <w:t>）。</w:t>
      </w:r>
    </w:p>
    <w:p w14:paraId="662B62C2" w14:textId="77777777" w:rsidR="008F75C3" w:rsidRDefault="006614AC">
      <w:pPr>
        <w:spacing w:line="360" w:lineRule="auto"/>
        <w:ind w:firstLineChars="200" w:firstLine="480"/>
        <w:rPr>
          <w:sz w:val="24"/>
        </w:rPr>
      </w:pPr>
      <w:r>
        <w:rPr>
          <w:noProof/>
          <w:sz w:val="24"/>
        </w:rPr>
        <w:drawing>
          <wp:inline distT="0" distB="0" distL="0" distR="0" wp14:anchorId="3BF67924" wp14:editId="79923C9B">
            <wp:extent cx="5534025" cy="1443355"/>
            <wp:effectExtent l="0" t="0" r="9525" b="4445"/>
            <wp:docPr id="44" name="图片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图片 44"/>
                    <pic:cNvPicPr>
                      <a:picLocks noChangeAspect="1" noChangeArrowheads="1"/>
                    </pic:cNvPicPr>
                  </pic:nvPicPr>
                  <pic:blipFill>
                    <a:blip r:embed="rId50">
                      <a:extLst>
                        <a:ext uri="{28A0092B-C50C-407E-A947-70E740481C1C}">
                          <a14:useLocalDpi xmlns:a14="http://schemas.microsoft.com/office/drawing/2010/main" val="0"/>
                        </a:ext>
                      </a:extLst>
                    </a:blip>
                    <a:srcRect/>
                    <a:stretch>
                      <a:fillRect/>
                    </a:stretch>
                  </pic:blipFill>
                  <pic:spPr>
                    <a:xfrm>
                      <a:off x="0" y="0"/>
                      <a:ext cx="5534025" cy="1443355"/>
                    </a:xfrm>
                    <a:prstGeom prst="rect">
                      <a:avLst/>
                    </a:prstGeom>
                    <a:noFill/>
                    <a:ln>
                      <a:noFill/>
                    </a:ln>
                  </pic:spPr>
                </pic:pic>
              </a:graphicData>
            </a:graphic>
          </wp:inline>
        </w:drawing>
      </w:r>
    </w:p>
    <w:p w14:paraId="29789587" w14:textId="77777777" w:rsidR="008F75C3" w:rsidRDefault="006614AC">
      <w:pPr>
        <w:spacing w:line="360" w:lineRule="auto"/>
        <w:rPr>
          <w:sz w:val="24"/>
        </w:rPr>
      </w:pPr>
      <w:r>
        <w:rPr>
          <w:sz w:val="24"/>
        </w:rPr>
        <w:t>讨论</w:t>
      </w:r>
    </w:p>
    <w:p w14:paraId="120D28D9" w14:textId="77777777" w:rsidR="008F75C3" w:rsidRDefault="006614AC">
      <w:pPr>
        <w:spacing w:line="360" w:lineRule="auto"/>
        <w:rPr>
          <w:sz w:val="24"/>
        </w:rPr>
      </w:pPr>
      <w:r>
        <w:rPr>
          <w:sz w:val="24"/>
        </w:rPr>
        <w:t xml:space="preserve">3.1  </w:t>
      </w:r>
      <w:r>
        <w:rPr>
          <w:sz w:val="24"/>
        </w:rPr>
        <w:t>鸡肠粉替代鱼粉对鲤生长的影响</w:t>
      </w:r>
    </w:p>
    <w:p w14:paraId="1DE4C747" w14:textId="77777777" w:rsidR="008F75C3" w:rsidRDefault="006614AC">
      <w:pPr>
        <w:spacing w:line="360" w:lineRule="auto"/>
        <w:ind w:firstLineChars="200" w:firstLine="480"/>
        <w:rPr>
          <w:sz w:val="24"/>
        </w:rPr>
      </w:pPr>
      <w:r>
        <w:rPr>
          <w:sz w:val="24"/>
        </w:rPr>
        <w:t>PBM</w:t>
      </w:r>
      <w:r>
        <w:rPr>
          <w:sz w:val="24"/>
        </w:rPr>
        <w:t>是家禽屠宰之后的下脚料经提炼油脂和粉碎后得到的粉状产品，其蛋白质含量、氨基酸组成与鱼粉类似，是一种很有潜力的动物蛋白</w:t>
      </w:r>
      <w:r>
        <w:rPr>
          <w:sz w:val="24"/>
          <w:vertAlign w:val="superscript"/>
        </w:rPr>
        <w:t>[8]</w:t>
      </w:r>
      <w:r>
        <w:rPr>
          <w:sz w:val="24"/>
        </w:rPr>
        <w:t>。鸡肠粉属于</w:t>
      </w:r>
      <w:r>
        <w:rPr>
          <w:sz w:val="24"/>
        </w:rPr>
        <w:t xml:space="preserve">PBM </w:t>
      </w:r>
      <w:r>
        <w:rPr>
          <w:sz w:val="24"/>
        </w:rPr>
        <w:t>的一种，使用</w:t>
      </w:r>
      <w:r>
        <w:rPr>
          <w:sz w:val="24"/>
        </w:rPr>
        <w:t xml:space="preserve">PBM </w:t>
      </w:r>
      <w:r>
        <w:rPr>
          <w:sz w:val="24"/>
        </w:rPr>
        <w:t>替代鱼粉的相关研究在国内外都有在进行，由于受到试验鱼种类、禽类副产品</w:t>
      </w:r>
      <w:proofErr w:type="gramStart"/>
      <w:r>
        <w:rPr>
          <w:sz w:val="24"/>
        </w:rPr>
        <w:t>料组成</w:t>
      </w:r>
      <w:proofErr w:type="gramEnd"/>
      <w:r>
        <w:rPr>
          <w:sz w:val="24"/>
        </w:rPr>
        <w:t>和加工工艺的影响，</w:t>
      </w:r>
      <w:r>
        <w:rPr>
          <w:sz w:val="24"/>
        </w:rPr>
        <w:t>PBM</w:t>
      </w:r>
      <w:r>
        <w:rPr>
          <w:sz w:val="24"/>
        </w:rPr>
        <w:t>替代</w:t>
      </w:r>
      <w:r>
        <w:rPr>
          <w:sz w:val="24"/>
        </w:rPr>
        <w:t>鱼粉对鱼类生长性能的影响结果往往不同。</w:t>
      </w:r>
      <w:r>
        <w:rPr>
          <w:sz w:val="24"/>
        </w:rPr>
        <w:t>Emre</w:t>
      </w:r>
      <w:r>
        <w:rPr>
          <w:sz w:val="24"/>
        </w:rPr>
        <w:t>等</w:t>
      </w:r>
      <w:r>
        <w:rPr>
          <w:sz w:val="24"/>
          <w:vertAlign w:val="superscript"/>
        </w:rPr>
        <w:t>[9]</w:t>
      </w:r>
      <w:r>
        <w:rPr>
          <w:sz w:val="24"/>
        </w:rPr>
        <w:t>研究发现在饲料中添加</w:t>
      </w:r>
      <w:r>
        <w:rPr>
          <w:sz w:val="24"/>
        </w:rPr>
        <w:t xml:space="preserve"> PBM </w:t>
      </w:r>
      <w:r>
        <w:rPr>
          <w:sz w:val="24"/>
        </w:rPr>
        <w:t>后，镜鲤（</w:t>
      </w:r>
      <w:r>
        <w:rPr>
          <w:i/>
          <w:iCs/>
          <w:sz w:val="24"/>
        </w:rPr>
        <w:t xml:space="preserve">Cyprinus </w:t>
      </w:r>
      <w:proofErr w:type="spellStart"/>
      <w:r>
        <w:rPr>
          <w:i/>
          <w:iCs/>
          <w:sz w:val="24"/>
        </w:rPr>
        <w:t>carpio</w:t>
      </w:r>
      <w:proofErr w:type="spellEnd"/>
      <w:r>
        <w:rPr>
          <w:sz w:val="24"/>
        </w:rPr>
        <w:t>）的生长会显著下降，</w:t>
      </w:r>
      <w:proofErr w:type="gramStart"/>
      <w:r>
        <w:rPr>
          <w:sz w:val="24"/>
        </w:rPr>
        <w:t>饲喂全</w:t>
      </w:r>
      <w:proofErr w:type="gramEnd"/>
      <w:r>
        <w:rPr>
          <w:sz w:val="24"/>
        </w:rPr>
        <w:t>鱼粉饲料镜</w:t>
      </w:r>
      <w:r>
        <w:rPr>
          <w:sz w:val="24"/>
        </w:rPr>
        <w:lastRenderedPageBreak/>
        <w:t>鲤体重增长显著高于饲喂</w:t>
      </w:r>
      <w:r>
        <w:rPr>
          <w:sz w:val="24"/>
        </w:rPr>
        <w:t>PBM</w:t>
      </w:r>
      <w:r>
        <w:rPr>
          <w:sz w:val="24"/>
        </w:rPr>
        <w:t>替代鱼粉比例为</w:t>
      </w:r>
      <w:r>
        <w:rPr>
          <w:sz w:val="24"/>
        </w:rPr>
        <w:t>33%</w:t>
      </w:r>
      <w:r>
        <w:rPr>
          <w:sz w:val="24"/>
        </w:rPr>
        <w:t>、</w:t>
      </w:r>
      <w:r>
        <w:rPr>
          <w:sz w:val="24"/>
        </w:rPr>
        <w:t>67%</w:t>
      </w:r>
      <w:r>
        <w:rPr>
          <w:sz w:val="24"/>
        </w:rPr>
        <w:t>和</w:t>
      </w:r>
      <w:r>
        <w:rPr>
          <w:sz w:val="24"/>
        </w:rPr>
        <w:t xml:space="preserve"> 100%</w:t>
      </w:r>
      <w:r>
        <w:rPr>
          <w:sz w:val="24"/>
        </w:rPr>
        <w:t>的试验组。但也有研究发现投喂鸡肠粉部分替代鱼粉的饲料能够显著提高鱼类的增重率、饲料效率和显著降低饲料系数，并且在鸡肠粉替代鱼粉比例为</w:t>
      </w:r>
      <w:r>
        <w:rPr>
          <w:sz w:val="24"/>
        </w:rPr>
        <w:t>75%</w:t>
      </w:r>
      <w:r>
        <w:rPr>
          <w:sz w:val="24"/>
        </w:rPr>
        <w:t>时，草鱼（</w:t>
      </w:r>
      <w:proofErr w:type="spellStart"/>
      <w:r>
        <w:rPr>
          <w:i/>
          <w:iCs/>
          <w:sz w:val="24"/>
        </w:rPr>
        <w:t>Ctenopharyngodon</w:t>
      </w:r>
      <w:proofErr w:type="spellEnd"/>
      <w:r>
        <w:rPr>
          <w:i/>
          <w:iCs/>
          <w:sz w:val="24"/>
        </w:rPr>
        <w:t xml:space="preserve"> </w:t>
      </w:r>
      <w:proofErr w:type="spellStart"/>
      <w:r>
        <w:rPr>
          <w:i/>
          <w:iCs/>
          <w:sz w:val="24"/>
        </w:rPr>
        <w:t>idella</w:t>
      </w:r>
      <w:proofErr w:type="spellEnd"/>
      <w:r>
        <w:rPr>
          <w:sz w:val="24"/>
        </w:rPr>
        <w:t>）的生长性能体现出明显的优势，替代比例为</w:t>
      </w:r>
      <w:r>
        <w:rPr>
          <w:sz w:val="24"/>
        </w:rPr>
        <w:t>100%</w:t>
      </w:r>
      <w:r>
        <w:rPr>
          <w:sz w:val="24"/>
        </w:rPr>
        <w:t>时不影响生长</w:t>
      </w:r>
      <w:r>
        <w:rPr>
          <w:sz w:val="24"/>
          <w:vertAlign w:val="superscript"/>
        </w:rPr>
        <w:t>[7]</w:t>
      </w:r>
      <w:r>
        <w:rPr>
          <w:sz w:val="24"/>
        </w:rPr>
        <w:t>。与后者相似，在本试验中</w:t>
      </w:r>
      <w:r>
        <w:rPr>
          <w:sz w:val="24"/>
        </w:rPr>
        <w:t>，鸡肠粉替代鱼粉比例为</w:t>
      </w:r>
      <w:r>
        <w:rPr>
          <w:sz w:val="24"/>
        </w:rPr>
        <w:t xml:space="preserve"> 25%</w:t>
      </w:r>
      <w:r>
        <w:rPr>
          <w:sz w:val="24"/>
        </w:rPr>
        <w:t>、</w:t>
      </w:r>
      <w:r>
        <w:rPr>
          <w:sz w:val="24"/>
        </w:rPr>
        <w:t>50%</w:t>
      </w:r>
      <w:r>
        <w:rPr>
          <w:sz w:val="24"/>
        </w:rPr>
        <w:t>、</w:t>
      </w:r>
      <w:r>
        <w:rPr>
          <w:sz w:val="24"/>
        </w:rPr>
        <w:t>75%</w:t>
      </w:r>
      <w:r>
        <w:rPr>
          <w:sz w:val="24"/>
        </w:rPr>
        <w:t>和</w:t>
      </w:r>
      <w:r>
        <w:rPr>
          <w:sz w:val="24"/>
        </w:rPr>
        <w:t xml:space="preserve"> 100%</w:t>
      </w:r>
      <w:r>
        <w:rPr>
          <w:sz w:val="24"/>
        </w:rPr>
        <w:t>时均能够显著提高增重率、特定生长率和降低饲料系数，并且在替代比例为</w:t>
      </w:r>
      <w:r>
        <w:rPr>
          <w:sz w:val="24"/>
        </w:rPr>
        <w:t>75%</w:t>
      </w:r>
      <w:r>
        <w:rPr>
          <w:sz w:val="24"/>
        </w:rPr>
        <w:t>时鲤增重率和特定生长率达到峰值，替代比例达到</w:t>
      </w:r>
      <w:r>
        <w:rPr>
          <w:sz w:val="24"/>
        </w:rPr>
        <w:t>100%</w:t>
      </w:r>
      <w:r>
        <w:rPr>
          <w:sz w:val="24"/>
        </w:rPr>
        <w:t>时仍具有显著性。在一些相似的研究中，随着</w:t>
      </w:r>
      <w:r>
        <w:rPr>
          <w:sz w:val="24"/>
        </w:rPr>
        <w:t>PBM</w:t>
      </w:r>
      <w:r>
        <w:rPr>
          <w:sz w:val="24"/>
        </w:rPr>
        <w:t>替代鱼粉比例的升高，</w:t>
      </w:r>
      <w:proofErr w:type="gramStart"/>
      <w:r>
        <w:rPr>
          <w:sz w:val="24"/>
        </w:rPr>
        <w:t>鲶</w:t>
      </w:r>
      <w:proofErr w:type="gramEnd"/>
      <w:r>
        <w:rPr>
          <w:sz w:val="24"/>
        </w:rPr>
        <w:t>（</w:t>
      </w:r>
      <w:proofErr w:type="spellStart"/>
      <w:r>
        <w:rPr>
          <w:i/>
          <w:iCs/>
          <w:sz w:val="24"/>
        </w:rPr>
        <w:t>Clarias</w:t>
      </w:r>
      <w:proofErr w:type="spellEnd"/>
      <w:r>
        <w:rPr>
          <w:i/>
          <w:iCs/>
          <w:sz w:val="24"/>
        </w:rPr>
        <w:t xml:space="preserve"> </w:t>
      </w:r>
      <w:proofErr w:type="spellStart"/>
      <w:r>
        <w:rPr>
          <w:i/>
          <w:iCs/>
          <w:sz w:val="24"/>
        </w:rPr>
        <w:t>batrachus</w:t>
      </w:r>
      <w:proofErr w:type="spellEnd"/>
      <w:r>
        <w:rPr>
          <w:sz w:val="24"/>
        </w:rPr>
        <w:t>）</w:t>
      </w:r>
      <w:r>
        <w:rPr>
          <w:sz w:val="24"/>
          <w:vertAlign w:val="superscript"/>
        </w:rPr>
        <w:t>[10]</w:t>
      </w:r>
      <w:r>
        <w:rPr>
          <w:sz w:val="24"/>
        </w:rPr>
        <w:t>、驼背鲈（</w:t>
      </w:r>
      <w:proofErr w:type="spellStart"/>
      <w:r>
        <w:rPr>
          <w:i/>
          <w:iCs/>
          <w:sz w:val="24"/>
        </w:rPr>
        <w:t>Cromileptes</w:t>
      </w:r>
      <w:proofErr w:type="spellEnd"/>
      <w:r>
        <w:rPr>
          <w:i/>
          <w:iCs/>
          <w:sz w:val="24"/>
        </w:rPr>
        <w:t xml:space="preserve"> </w:t>
      </w:r>
      <w:proofErr w:type="spellStart"/>
      <w:r>
        <w:rPr>
          <w:i/>
          <w:iCs/>
          <w:sz w:val="24"/>
        </w:rPr>
        <w:t>altivelis</w:t>
      </w:r>
      <w:proofErr w:type="spellEnd"/>
      <w:r>
        <w:rPr>
          <w:sz w:val="24"/>
        </w:rPr>
        <w:t>）</w:t>
      </w:r>
      <w:r>
        <w:rPr>
          <w:sz w:val="24"/>
          <w:vertAlign w:val="superscript"/>
        </w:rPr>
        <w:t>[11]</w:t>
      </w:r>
      <w:r>
        <w:rPr>
          <w:sz w:val="24"/>
        </w:rPr>
        <w:t>、红鼓鱼（</w:t>
      </w:r>
      <w:r>
        <w:rPr>
          <w:i/>
          <w:iCs/>
          <w:sz w:val="24"/>
        </w:rPr>
        <w:t>Sciaenops ocellatus</w:t>
      </w:r>
      <w:r>
        <w:rPr>
          <w:sz w:val="24"/>
        </w:rPr>
        <w:t>）</w:t>
      </w:r>
      <w:r>
        <w:rPr>
          <w:sz w:val="24"/>
          <w:vertAlign w:val="superscript"/>
        </w:rPr>
        <w:t>[12]</w:t>
      </w:r>
      <w:r>
        <w:rPr>
          <w:sz w:val="24"/>
        </w:rPr>
        <w:t>的生长性能均显著升高并且在替代比例达到</w:t>
      </w:r>
      <w:r>
        <w:rPr>
          <w:sz w:val="24"/>
        </w:rPr>
        <w:t>100%</w:t>
      </w:r>
      <w:r>
        <w:rPr>
          <w:sz w:val="24"/>
        </w:rPr>
        <w:t>均对生长无负面作用，点带石斑鱼（</w:t>
      </w:r>
      <w:proofErr w:type="spellStart"/>
      <w:r>
        <w:rPr>
          <w:i/>
          <w:iCs/>
          <w:sz w:val="24"/>
        </w:rPr>
        <w:t>Epinephel</w:t>
      </w:r>
      <w:r>
        <w:rPr>
          <w:i/>
          <w:iCs/>
          <w:sz w:val="24"/>
        </w:rPr>
        <w:t>us</w:t>
      </w:r>
      <w:proofErr w:type="spellEnd"/>
      <w:r>
        <w:rPr>
          <w:i/>
          <w:iCs/>
          <w:sz w:val="24"/>
        </w:rPr>
        <w:t xml:space="preserve"> </w:t>
      </w:r>
      <w:proofErr w:type="spellStart"/>
      <w:r>
        <w:rPr>
          <w:i/>
          <w:iCs/>
          <w:sz w:val="24"/>
        </w:rPr>
        <w:t>coioides</w:t>
      </w:r>
      <w:proofErr w:type="spellEnd"/>
      <w:r>
        <w:rPr>
          <w:sz w:val="24"/>
        </w:rPr>
        <w:t>）</w:t>
      </w:r>
      <w:r>
        <w:rPr>
          <w:sz w:val="24"/>
          <w:vertAlign w:val="superscript"/>
        </w:rPr>
        <w:t>[13]</w:t>
      </w:r>
      <w:r>
        <w:rPr>
          <w:sz w:val="24"/>
        </w:rPr>
        <w:t>和银鲫（</w:t>
      </w:r>
      <w:r>
        <w:rPr>
          <w:sz w:val="24"/>
        </w:rPr>
        <w:t xml:space="preserve">Carassius auratus </w:t>
      </w:r>
      <w:proofErr w:type="spellStart"/>
      <w:r>
        <w:rPr>
          <w:sz w:val="24"/>
        </w:rPr>
        <w:t>gibelio</w:t>
      </w:r>
      <w:proofErr w:type="spellEnd"/>
      <w:r>
        <w:rPr>
          <w:sz w:val="24"/>
        </w:rPr>
        <w:t>）</w:t>
      </w:r>
      <w:r>
        <w:rPr>
          <w:sz w:val="24"/>
          <w:vertAlign w:val="superscript"/>
        </w:rPr>
        <w:t>[14]</w:t>
      </w:r>
      <w:r>
        <w:rPr>
          <w:sz w:val="24"/>
        </w:rPr>
        <w:t>在</w:t>
      </w:r>
      <w:r>
        <w:rPr>
          <w:sz w:val="24"/>
        </w:rPr>
        <w:t xml:space="preserve"> PBM </w:t>
      </w:r>
      <w:r>
        <w:rPr>
          <w:sz w:val="24"/>
        </w:rPr>
        <w:t>替代鱼粉比例达到</w:t>
      </w:r>
      <w:r>
        <w:rPr>
          <w:sz w:val="24"/>
        </w:rPr>
        <w:t>60%</w:t>
      </w:r>
      <w:r>
        <w:rPr>
          <w:sz w:val="24"/>
        </w:rPr>
        <w:t>时均能显著生长。一些研究人员使用高质量的</w:t>
      </w:r>
      <w:r>
        <w:rPr>
          <w:sz w:val="24"/>
        </w:rPr>
        <w:t>PBM</w:t>
      </w:r>
      <w:r>
        <w:rPr>
          <w:sz w:val="24"/>
        </w:rPr>
        <w:t>替代对虾和鱼饲料中</w:t>
      </w:r>
      <w:r>
        <w:rPr>
          <w:sz w:val="24"/>
        </w:rPr>
        <w:t>50%~100%</w:t>
      </w:r>
      <w:r>
        <w:rPr>
          <w:sz w:val="24"/>
        </w:rPr>
        <w:t>的鱼粉，发现不会影响其生长性能和鱼体健康</w:t>
      </w:r>
      <w:r>
        <w:rPr>
          <w:sz w:val="24"/>
          <w:vertAlign w:val="superscript"/>
        </w:rPr>
        <w:t>[15-17]</w:t>
      </w:r>
      <w:r>
        <w:rPr>
          <w:sz w:val="24"/>
        </w:rPr>
        <w:t>。这些研究取得了与本试验相一致的结果。但李宗升</w:t>
      </w:r>
      <w:r>
        <w:rPr>
          <w:sz w:val="24"/>
          <w:vertAlign w:val="superscript"/>
        </w:rPr>
        <w:t>[18]</w:t>
      </w:r>
      <w:r>
        <w:rPr>
          <w:sz w:val="24"/>
        </w:rPr>
        <w:t>研究发现鸡肉粉替代鱼粉比例超过</w:t>
      </w:r>
      <w:r>
        <w:rPr>
          <w:sz w:val="24"/>
        </w:rPr>
        <w:t>60%</w:t>
      </w:r>
      <w:r>
        <w:rPr>
          <w:sz w:val="24"/>
        </w:rPr>
        <w:t>时大菱</w:t>
      </w:r>
      <w:proofErr w:type="gramStart"/>
      <w:r>
        <w:rPr>
          <w:sz w:val="24"/>
        </w:rPr>
        <w:t>鲆</w:t>
      </w:r>
      <w:proofErr w:type="gramEnd"/>
      <w:r>
        <w:rPr>
          <w:sz w:val="24"/>
        </w:rPr>
        <w:t>（</w:t>
      </w:r>
      <w:proofErr w:type="spellStart"/>
      <w:r>
        <w:rPr>
          <w:i/>
          <w:iCs/>
          <w:sz w:val="24"/>
        </w:rPr>
        <w:t>Scophthal⁃mus</w:t>
      </w:r>
      <w:proofErr w:type="spellEnd"/>
      <w:r>
        <w:rPr>
          <w:i/>
          <w:iCs/>
          <w:sz w:val="24"/>
        </w:rPr>
        <w:t xml:space="preserve"> maximus</w:t>
      </w:r>
      <w:r>
        <w:rPr>
          <w:sz w:val="24"/>
        </w:rPr>
        <w:t>）增重率显著降低，替代水平达到</w:t>
      </w:r>
      <w:r>
        <w:rPr>
          <w:sz w:val="24"/>
        </w:rPr>
        <w:t>80%</w:t>
      </w:r>
      <w:r>
        <w:rPr>
          <w:sz w:val="24"/>
        </w:rPr>
        <w:t>时</w:t>
      </w:r>
      <w:r>
        <w:rPr>
          <w:sz w:val="24"/>
        </w:rPr>
        <w:t>终末体质量、特定生长率均显著低于对照组，这与本试验结果存在差异。这可能因为</w:t>
      </w:r>
      <w:r>
        <w:rPr>
          <w:sz w:val="24"/>
        </w:rPr>
        <w:t>PBM</w:t>
      </w:r>
      <w:r>
        <w:rPr>
          <w:sz w:val="24"/>
        </w:rPr>
        <w:t>营养成分存差异及不同鱼类对</w:t>
      </w:r>
      <w:r>
        <w:rPr>
          <w:sz w:val="24"/>
        </w:rPr>
        <w:t>PBM</w:t>
      </w:r>
      <w:r>
        <w:rPr>
          <w:sz w:val="24"/>
        </w:rPr>
        <w:t>消化和适应不同。</w:t>
      </w:r>
      <w:r>
        <w:rPr>
          <w:sz w:val="24"/>
        </w:rPr>
        <w:t>PBM</w:t>
      </w:r>
      <w:r>
        <w:rPr>
          <w:sz w:val="24"/>
        </w:rPr>
        <w:t>替代鱼粉的主要短板是限制性氨基酸的缺乏和适口性差，氨基酸的不平衡和高比例的鱼粉替代导致的适口性降低都是鱼类生长性能降低的主要原因</w:t>
      </w:r>
      <w:r>
        <w:rPr>
          <w:sz w:val="24"/>
          <w:vertAlign w:val="superscript"/>
        </w:rPr>
        <w:t>[19]</w:t>
      </w:r>
      <w:r>
        <w:rPr>
          <w:sz w:val="24"/>
        </w:rPr>
        <w:t>。由于劣质国产鱼粉普遍存在着掺假问题，而大宗淡水鱼饲料又大量使用国产鱼粉作为原料，这就不可避免地会出现饲料质量安全问题。使用掺假鱼粉做成的饲料不仅适口性</w:t>
      </w:r>
      <w:proofErr w:type="gramStart"/>
      <w:r>
        <w:rPr>
          <w:sz w:val="24"/>
        </w:rPr>
        <w:t>差影响</w:t>
      </w:r>
      <w:proofErr w:type="gramEnd"/>
      <w:r>
        <w:rPr>
          <w:sz w:val="24"/>
        </w:rPr>
        <w:t>鱼类生长，还会导致鱼类体质变差，饲料系数增大等</w:t>
      </w:r>
      <w:r>
        <w:rPr>
          <w:sz w:val="24"/>
          <w:vertAlign w:val="superscript"/>
        </w:rPr>
        <w:t>[20]</w:t>
      </w:r>
      <w:r>
        <w:rPr>
          <w:sz w:val="24"/>
        </w:rPr>
        <w:t>。在本试验结果中饲料系数较高的</w:t>
      </w:r>
      <w:r>
        <w:rPr>
          <w:sz w:val="24"/>
        </w:rPr>
        <w:t>原因可能有两个：</w:t>
      </w:r>
      <w:r>
        <w:rPr>
          <w:sz w:val="24"/>
        </w:rPr>
        <w:t>①</w:t>
      </w:r>
      <w:r>
        <w:rPr>
          <w:sz w:val="24"/>
        </w:rPr>
        <w:t>鱼粉选用的是当地饲料厂普遍使用的廉价国产鱼粉，可能存在掺假和质量不稳定等问题，因此试验结果中对照组饲料系数显著高于其他各组；</w:t>
      </w:r>
      <w:r>
        <w:rPr>
          <w:sz w:val="24"/>
        </w:rPr>
        <w:t>②</w:t>
      </w:r>
      <w:r>
        <w:rPr>
          <w:sz w:val="24"/>
        </w:rPr>
        <w:t>试验采用网箱养殖，投喂过程中一些饲料未被</w:t>
      </w:r>
      <w:proofErr w:type="gramStart"/>
      <w:r>
        <w:rPr>
          <w:sz w:val="24"/>
        </w:rPr>
        <w:t>鲤</w:t>
      </w:r>
      <w:proofErr w:type="gramEnd"/>
      <w:r>
        <w:rPr>
          <w:sz w:val="24"/>
        </w:rPr>
        <w:t>及时摄食掉落池底也会影响饲料系数。各</w:t>
      </w:r>
      <w:proofErr w:type="gramStart"/>
      <w:r>
        <w:rPr>
          <w:sz w:val="24"/>
        </w:rPr>
        <w:t>替代组鲤</w:t>
      </w:r>
      <w:proofErr w:type="gramEnd"/>
      <w:r>
        <w:rPr>
          <w:sz w:val="24"/>
        </w:rPr>
        <w:t>增重率显著高于对照</w:t>
      </w:r>
      <w:proofErr w:type="gramStart"/>
      <w:r>
        <w:rPr>
          <w:sz w:val="24"/>
        </w:rPr>
        <w:t>组原因</w:t>
      </w:r>
      <w:proofErr w:type="gramEnd"/>
      <w:r>
        <w:rPr>
          <w:sz w:val="24"/>
        </w:rPr>
        <w:t>很可能是由于劣质掺假的国产鱼粉抑制了对照组鲤的生长，而</w:t>
      </w:r>
      <w:proofErr w:type="gramStart"/>
      <w:r>
        <w:rPr>
          <w:sz w:val="24"/>
        </w:rPr>
        <w:t>替代组鸡</w:t>
      </w:r>
      <w:proofErr w:type="gramEnd"/>
      <w:r>
        <w:rPr>
          <w:sz w:val="24"/>
        </w:rPr>
        <w:t>肠粉比例逐渐升高促进了鲤的生长，并且各组生长缓慢，这可能都是由于使用了劣质国产鱼粉的原因。这也</w:t>
      </w:r>
      <w:proofErr w:type="gramStart"/>
      <w:r>
        <w:rPr>
          <w:sz w:val="24"/>
        </w:rPr>
        <w:t>间接说</w:t>
      </w:r>
      <w:proofErr w:type="gramEnd"/>
      <w:r>
        <w:rPr>
          <w:sz w:val="24"/>
        </w:rPr>
        <w:t>明了鸡肠粉替代质量不稳定的国产鱼粉的必要性，同时使用优质的鸡肠粉替代质量不稳定的国产鱼粉也是本试</w:t>
      </w:r>
      <w:r>
        <w:rPr>
          <w:sz w:val="24"/>
        </w:rPr>
        <w:t>验的目的之一。在本试验条件下，以生长性能为评价指标，鲤饲料中鸡肠粉可部分或全部替代鱼粉。</w:t>
      </w:r>
    </w:p>
    <w:p w14:paraId="6CBDBC57" w14:textId="77777777" w:rsidR="008F75C3" w:rsidRDefault="006614AC">
      <w:pPr>
        <w:spacing w:line="360" w:lineRule="auto"/>
        <w:rPr>
          <w:sz w:val="24"/>
        </w:rPr>
      </w:pPr>
      <w:r>
        <w:rPr>
          <w:sz w:val="24"/>
        </w:rPr>
        <w:t xml:space="preserve">3.2  </w:t>
      </w:r>
      <w:r>
        <w:rPr>
          <w:sz w:val="24"/>
        </w:rPr>
        <w:t>鸡肠粉替代鱼粉</w:t>
      </w:r>
      <w:proofErr w:type="gramStart"/>
      <w:r>
        <w:rPr>
          <w:sz w:val="24"/>
        </w:rPr>
        <w:t>对鲤肠消化</w:t>
      </w:r>
      <w:proofErr w:type="gramEnd"/>
      <w:r>
        <w:rPr>
          <w:sz w:val="24"/>
        </w:rPr>
        <w:t>酶活性的影响</w:t>
      </w:r>
    </w:p>
    <w:p w14:paraId="45EF55BC" w14:textId="77777777" w:rsidR="008F75C3" w:rsidRDefault="006614AC">
      <w:pPr>
        <w:spacing w:line="360" w:lineRule="auto"/>
        <w:rPr>
          <w:sz w:val="24"/>
          <w:vertAlign w:val="superscript"/>
        </w:rPr>
      </w:pPr>
      <w:r>
        <w:rPr>
          <w:sz w:val="24"/>
        </w:rPr>
        <w:lastRenderedPageBreak/>
        <w:t>消化酶是由消化器官和消化系统分泌的一种具有高度的催化性和专一性的酶类，能够促进机体对食物的消化和营养吸收</w:t>
      </w:r>
      <w:r>
        <w:rPr>
          <w:sz w:val="24"/>
          <w:vertAlign w:val="superscript"/>
        </w:rPr>
        <w:t>[21]</w:t>
      </w:r>
      <w:r>
        <w:rPr>
          <w:sz w:val="24"/>
        </w:rPr>
        <w:t>。曹晓莉等</w:t>
      </w:r>
      <w:r>
        <w:rPr>
          <w:sz w:val="24"/>
          <w:vertAlign w:val="superscript"/>
        </w:rPr>
        <w:t>[22]</w:t>
      </w:r>
      <w:r>
        <w:rPr>
          <w:sz w:val="24"/>
        </w:rPr>
        <w:t>使用鸡肉粉替代黄鳝（</w:t>
      </w:r>
      <w:proofErr w:type="spellStart"/>
      <w:r>
        <w:rPr>
          <w:i/>
          <w:iCs/>
          <w:sz w:val="24"/>
        </w:rPr>
        <w:t>Monopterus</w:t>
      </w:r>
      <w:proofErr w:type="spellEnd"/>
      <w:r>
        <w:rPr>
          <w:i/>
          <w:iCs/>
          <w:sz w:val="24"/>
        </w:rPr>
        <w:t xml:space="preserve"> albus</w:t>
      </w:r>
      <w:r>
        <w:rPr>
          <w:sz w:val="24"/>
        </w:rPr>
        <w:t>）饲料中的鱼粉，发现</w:t>
      </w:r>
      <w:r>
        <w:rPr>
          <w:sz w:val="24"/>
        </w:rPr>
        <w:t>45%</w:t>
      </w:r>
      <w:proofErr w:type="gramStart"/>
      <w:r>
        <w:rPr>
          <w:sz w:val="24"/>
        </w:rPr>
        <w:t>替代组</w:t>
      </w:r>
      <w:proofErr w:type="gramEnd"/>
      <w:r>
        <w:rPr>
          <w:sz w:val="24"/>
        </w:rPr>
        <w:t>的脂肪酶活性、淀粉酶活性和胰蛋白酶活性均最高，表明鸡肉</w:t>
      </w:r>
      <w:proofErr w:type="gramStart"/>
      <w:r>
        <w:rPr>
          <w:sz w:val="24"/>
        </w:rPr>
        <w:t>粉适当</w:t>
      </w:r>
      <w:proofErr w:type="gramEnd"/>
      <w:r>
        <w:rPr>
          <w:sz w:val="24"/>
        </w:rPr>
        <w:t>替代鱼粉可促进黄鳝对蛋白质、淀粉和脂肪的利用。但李宗升</w:t>
      </w:r>
      <w:r>
        <w:rPr>
          <w:sz w:val="24"/>
          <w:vertAlign w:val="superscript"/>
        </w:rPr>
        <w:t>[18]</w:t>
      </w:r>
      <w:r>
        <w:rPr>
          <w:sz w:val="24"/>
        </w:rPr>
        <w:t>发现鸡肉粉替代鱼粉对大菱</w:t>
      </w:r>
      <w:proofErr w:type="gramStart"/>
      <w:r>
        <w:rPr>
          <w:sz w:val="24"/>
        </w:rPr>
        <w:t>鲆</w:t>
      </w:r>
      <w:proofErr w:type="gramEnd"/>
      <w:r>
        <w:rPr>
          <w:sz w:val="24"/>
        </w:rPr>
        <w:t>幼鱼肝胰脏蛋</w:t>
      </w:r>
      <w:r>
        <w:rPr>
          <w:sz w:val="24"/>
        </w:rPr>
        <w:t>白酶、淀粉酶、脂肪酶活性影响不显著，这可能也是因为</w:t>
      </w:r>
      <w:r>
        <w:rPr>
          <w:sz w:val="24"/>
        </w:rPr>
        <w:t xml:space="preserve"> PBM </w:t>
      </w:r>
      <w:r>
        <w:rPr>
          <w:sz w:val="24"/>
        </w:rPr>
        <w:t>营养成分存在差异及不同鱼类对</w:t>
      </w:r>
      <w:r>
        <w:rPr>
          <w:sz w:val="24"/>
        </w:rPr>
        <w:t xml:space="preserve"> PBM </w:t>
      </w:r>
      <w:r>
        <w:rPr>
          <w:sz w:val="24"/>
        </w:rPr>
        <w:t>消化和适应不同。本试验发现，适量的鸡肠粉替代鱼粉后能够显著提高</w:t>
      </w:r>
      <w:proofErr w:type="gramStart"/>
      <w:r>
        <w:rPr>
          <w:sz w:val="24"/>
        </w:rPr>
        <w:t>鲤</w:t>
      </w:r>
      <w:proofErr w:type="gramEnd"/>
      <w:r>
        <w:rPr>
          <w:sz w:val="24"/>
        </w:rPr>
        <w:t>胃蛋白酶、</w:t>
      </w:r>
      <w:r>
        <w:rPr>
          <w:sz w:val="24"/>
        </w:rPr>
        <w:t>α-</w:t>
      </w:r>
      <w:r>
        <w:rPr>
          <w:sz w:val="24"/>
        </w:rPr>
        <w:t>淀粉酶和脂肪酶活性，并呈现先升高后下降的趋势，这与罗嘉翔等</w:t>
      </w:r>
      <w:r>
        <w:rPr>
          <w:sz w:val="24"/>
          <w:vertAlign w:val="superscript"/>
        </w:rPr>
        <w:t>[23]</w:t>
      </w:r>
      <w:r>
        <w:rPr>
          <w:sz w:val="24"/>
        </w:rPr>
        <w:t>对黄</w:t>
      </w:r>
      <w:proofErr w:type="gramStart"/>
      <w:r>
        <w:rPr>
          <w:sz w:val="24"/>
        </w:rPr>
        <w:t>颡</w:t>
      </w:r>
      <w:proofErr w:type="gramEnd"/>
      <w:r>
        <w:rPr>
          <w:sz w:val="24"/>
        </w:rPr>
        <w:t>鱼（</w:t>
      </w:r>
      <w:proofErr w:type="spellStart"/>
      <w:r>
        <w:rPr>
          <w:i/>
          <w:iCs/>
          <w:sz w:val="24"/>
        </w:rPr>
        <w:t>Pelteobagrus</w:t>
      </w:r>
      <w:proofErr w:type="spellEnd"/>
      <w:r>
        <w:rPr>
          <w:i/>
          <w:iCs/>
          <w:sz w:val="24"/>
        </w:rPr>
        <w:t xml:space="preserve"> </w:t>
      </w:r>
      <w:proofErr w:type="spellStart"/>
      <w:r>
        <w:rPr>
          <w:i/>
          <w:iCs/>
          <w:sz w:val="24"/>
        </w:rPr>
        <w:t>fulvidraco</w:t>
      </w:r>
      <w:proofErr w:type="spellEnd"/>
      <w:r>
        <w:rPr>
          <w:sz w:val="24"/>
        </w:rPr>
        <w:t>）幼鱼胃蛋白酶活性和前肠淀粉酶活性研究结果相似。贾高旺等</w:t>
      </w:r>
      <w:r>
        <w:rPr>
          <w:sz w:val="24"/>
          <w:vertAlign w:val="superscript"/>
        </w:rPr>
        <w:t>[24]</w:t>
      </w:r>
      <w:r>
        <w:rPr>
          <w:sz w:val="24"/>
        </w:rPr>
        <w:t>研究表明，随着家禽副产品酶解</w:t>
      </w:r>
      <w:proofErr w:type="gramStart"/>
      <w:r>
        <w:rPr>
          <w:sz w:val="24"/>
        </w:rPr>
        <w:t>肽部分</w:t>
      </w:r>
      <w:proofErr w:type="gramEnd"/>
      <w:r>
        <w:rPr>
          <w:sz w:val="24"/>
        </w:rPr>
        <w:t>替代鱼粉比例的增加，大菱</w:t>
      </w:r>
      <w:proofErr w:type="gramStart"/>
      <w:r>
        <w:rPr>
          <w:sz w:val="24"/>
        </w:rPr>
        <w:t>鲆</w:t>
      </w:r>
      <w:proofErr w:type="gramEnd"/>
      <w:r>
        <w:rPr>
          <w:sz w:val="24"/>
        </w:rPr>
        <w:t>胃蛋白酶和胰蛋白酶活性先升高后降低，这与本研究结果相似，但家禽副产品酶解</w:t>
      </w:r>
      <w:proofErr w:type="gramStart"/>
      <w:r>
        <w:rPr>
          <w:sz w:val="24"/>
        </w:rPr>
        <w:t>肽部分</w:t>
      </w:r>
      <w:proofErr w:type="gramEnd"/>
      <w:r>
        <w:rPr>
          <w:sz w:val="24"/>
        </w:rPr>
        <w:t>替代鱼粉对大</w:t>
      </w:r>
      <w:r>
        <w:rPr>
          <w:sz w:val="24"/>
        </w:rPr>
        <w:t>菱</w:t>
      </w:r>
      <w:proofErr w:type="gramStart"/>
      <w:r>
        <w:rPr>
          <w:sz w:val="24"/>
        </w:rPr>
        <w:t>鲆</w:t>
      </w:r>
      <w:proofErr w:type="gramEnd"/>
      <w:r>
        <w:rPr>
          <w:sz w:val="24"/>
        </w:rPr>
        <w:t>脂肪酶活性影响不显著，这与本研究结果不同，可能是由于饲料配方、试验鱼种类、食性和生活的盐度环境不同所导致的</w:t>
      </w:r>
      <w:r>
        <w:rPr>
          <w:sz w:val="24"/>
          <w:vertAlign w:val="superscript"/>
        </w:rPr>
        <w:t>[16]</w:t>
      </w:r>
      <w:r>
        <w:rPr>
          <w:sz w:val="24"/>
        </w:rPr>
        <w:t>。</w:t>
      </w:r>
    </w:p>
    <w:p w14:paraId="09B8D827" w14:textId="77777777" w:rsidR="008F75C3" w:rsidRDefault="006614AC">
      <w:pPr>
        <w:spacing w:line="360" w:lineRule="auto"/>
        <w:rPr>
          <w:sz w:val="24"/>
        </w:rPr>
      </w:pPr>
      <w:r>
        <w:rPr>
          <w:sz w:val="24"/>
        </w:rPr>
        <w:t xml:space="preserve">3.3  </w:t>
      </w:r>
      <w:r>
        <w:rPr>
          <w:sz w:val="24"/>
        </w:rPr>
        <w:t>鸡肠粉替代鱼粉对鲤肝脏抗氧化能力的影响</w:t>
      </w:r>
    </w:p>
    <w:p w14:paraId="13491541" w14:textId="77777777" w:rsidR="008F75C3" w:rsidRDefault="006614AC">
      <w:pPr>
        <w:spacing w:line="360" w:lineRule="auto"/>
        <w:ind w:firstLineChars="200" w:firstLine="480"/>
        <w:rPr>
          <w:sz w:val="24"/>
        </w:rPr>
      </w:pPr>
      <w:r>
        <w:rPr>
          <w:sz w:val="24"/>
        </w:rPr>
        <w:t>机体在正常代谢时会产生大量的氧化自由基，这些自由基会对机体产生损伤，诱发多种慢性疾病，但机体自身也存在抗氧化酶防御系统维持氧化自由基产生和清除。抗氧化酶防御系统主要包括</w:t>
      </w:r>
      <w:r>
        <w:rPr>
          <w:sz w:val="24"/>
        </w:rPr>
        <w:t>SOD</w:t>
      </w:r>
      <w:r>
        <w:rPr>
          <w:sz w:val="24"/>
        </w:rPr>
        <w:t>、</w:t>
      </w:r>
      <w:r>
        <w:rPr>
          <w:sz w:val="24"/>
        </w:rPr>
        <w:t>CAT</w:t>
      </w:r>
      <w:r>
        <w:rPr>
          <w:sz w:val="24"/>
        </w:rPr>
        <w:t>和</w:t>
      </w:r>
      <w:r>
        <w:rPr>
          <w:sz w:val="24"/>
        </w:rPr>
        <w:t>GSH</w:t>
      </w:r>
      <w:r>
        <w:rPr>
          <w:sz w:val="24"/>
        </w:rPr>
        <w:t>等，机体组织损伤程度就是自由基与抗氧化保护防御平衡的结果</w:t>
      </w:r>
      <w:r>
        <w:rPr>
          <w:sz w:val="24"/>
          <w:vertAlign w:val="superscript"/>
        </w:rPr>
        <w:t>[25]</w:t>
      </w:r>
      <w:r>
        <w:rPr>
          <w:sz w:val="24"/>
        </w:rPr>
        <w:t>。</w:t>
      </w:r>
      <w:r>
        <w:rPr>
          <w:sz w:val="24"/>
        </w:rPr>
        <w:t>SOD</w:t>
      </w:r>
      <w:r>
        <w:rPr>
          <w:sz w:val="24"/>
        </w:rPr>
        <w:t>和</w:t>
      </w:r>
      <w:r>
        <w:rPr>
          <w:sz w:val="24"/>
        </w:rPr>
        <w:t>CAT</w:t>
      </w:r>
      <w:r>
        <w:rPr>
          <w:sz w:val="24"/>
        </w:rPr>
        <w:t>是衡量机体抗氧化能力的重要指标，</w:t>
      </w:r>
      <w:r>
        <w:rPr>
          <w:sz w:val="24"/>
        </w:rPr>
        <w:t>MDA</w:t>
      </w:r>
      <w:r>
        <w:rPr>
          <w:sz w:val="24"/>
        </w:rPr>
        <w:t>是脂质过氧化作用的分解产物，可以</w:t>
      </w:r>
      <w:r>
        <w:rPr>
          <w:sz w:val="24"/>
        </w:rPr>
        <w:t>间接反映细胞损伤程度</w:t>
      </w:r>
      <w:r>
        <w:rPr>
          <w:sz w:val="24"/>
          <w:vertAlign w:val="superscript"/>
        </w:rPr>
        <w:t>[26]</w:t>
      </w:r>
      <w:r>
        <w:rPr>
          <w:sz w:val="24"/>
        </w:rPr>
        <w:t>。在本研究中随着鸡肠粉替代鱼粉比例的增加，鲤肝脏中的</w:t>
      </w:r>
      <w:r>
        <w:rPr>
          <w:sz w:val="24"/>
        </w:rPr>
        <w:t>SOD</w:t>
      </w:r>
      <w:r>
        <w:rPr>
          <w:sz w:val="24"/>
        </w:rPr>
        <w:t>和</w:t>
      </w:r>
      <w:r>
        <w:rPr>
          <w:sz w:val="24"/>
        </w:rPr>
        <w:t>CAT</w:t>
      </w:r>
      <w:r>
        <w:rPr>
          <w:sz w:val="24"/>
        </w:rPr>
        <w:t>活性先升高后下降，</w:t>
      </w:r>
      <w:r>
        <w:rPr>
          <w:sz w:val="24"/>
        </w:rPr>
        <w:t>MDA</w:t>
      </w:r>
      <w:r>
        <w:rPr>
          <w:sz w:val="24"/>
        </w:rPr>
        <w:t>水平无显著影响，</w:t>
      </w:r>
      <w:r>
        <w:rPr>
          <w:sz w:val="24"/>
        </w:rPr>
        <w:t>D4</w:t>
      </w:r>
      <w:r>
        <w:rPr>
          <w:sz w:val="24"/>
        </w:rPr>
        <w:t>组</w:t>
      </w:r>
      <w:r>
        <w:rPr>
          <w:sz w:val="24"/>
        </w:rPr>
        <w:t>SOD</w:t>
      </w:r>
      <w:r>
        <w:rPr>
          <w:sz w:val="24"/>
        </w:rPr>
        <w:t>活性和</w:t>
      </w:r>
      <w:r>
        <w:rPr>
          <w:sz w:val="24"/>
        </w:rPr>
        <w:t>D3</w:t>
      </w:r>
      <w:r>
        <w:rPr>
          <w:sz w:val="24"/>
        </w:rPr>
        <w:t>组</w:t>
      </w:r>
      <w:r>
        <w:rPr>
          <w:sz w:val="24"/>
        </w:rPr>
        <w:t>CAT</w:t>
      </w:r>
      <w:r>
        <w:rPr>
          <w:sz w:val="24"/>
        </w:rPr>
        <w:t>活性达到峰值，这表明鸡肠粉替代鱼粉提高了鲤的抗氧化能力。这与贾倩</w:t>
      </w:r>
      <w:r>
        <w:rPr>
          <w:sz w:val="24"/>
          <w:vertAlign w:val="superscript"/>
        </w:rPr>
        <w:t>[27]</w:t>
      </w:r>
    </w:p>
    <w:p w14:paraId="75C12438" w14:textId="77777777" w:rsidR="008F75C3" w:rsidRDefault="006614AC">
      <w:pPr>
        <w:spacing w:line="360" w:lineRule="auto"/>
        <w:rPr>
          <w:sz w:val="24"/>
        </w:rPr>
      </w:pPr>
      <w:r>
        <w:rPr>
          <w:sz w:val="24"/>
        </w:rPr>
        <w:t>的研究结果相似，随着禽肉骨粉替代鱼粉比例增加，大菱</w:t>
      </w:r>
      <w:proofErr w:type="gramStart"/>
      <w:r>
        <w:rPr>
          <w:sz w:val="24"/>
        </w:rPr>
        <w:t>鲆</w:t>
      </w:r>
      <w:proofErr w:type="gramEnd"/>
      <w:r>
        <w:rPr>
          <w:sz w:val="24"/>
        </w:rPr>
        <w:t>肝脏</w:t>
      </w:r>
      <w:r>
        <w:rPr>
          <w:sz w:val="24"/>
        </w:rPr>
        <w:t>SOD</w:t>
      </w:r>
      <w:r>
        <w:rPr>
          <w:sz w:val="24"/>
        </w:rPr>
        <w:t>活性和</w:t>
      </w:r>
      <w:r>
        <w:rPr>
          <w:sz w:val="24"/>
        </w:rPr>
        <w:t>CAT</w:t>
      </w:r>
      <w:r>
        <w:rPr>
          <w:sz w:val="24"/>
        </w:rPr>
        <w:t>活性均呈上升趋势，在替代比例为</w:t>
      </w:r>
      <w:r>
        <w:rPr>
          <w:sz w:val="24"/>
        </w:rPr>
        <w:t>50%</w:t>
      </w:r>
      <w:r>
        <w:rPr>
          <w:sz w:val="24"/>
        </w:rPr>
        <w:t>时达到峰值，与对照组差异显著。但</w:t>
      </w:r>
      <w:r>
        <w:rPr>
          <w:sz w:val="24"/>
        </w:rPr>
        <w:t>PBM</w:t>
      </w:r>
      <w:r>
        <w:rPr>
          <w:sz w:val="24"/>
        </w:rPr>
        <w:t>替代鱼粉对水产动物抗氧化性的研究结果并不一致，黄文庆等</w:t>
      </w:r>
      <w:r>
        <w:rPr>
          <w:sz w:val="24"/>
          <w:vertAlign w:val="superscript"/>
        </w:rPr>
        <w:t>[28]</w:t>
      </w:r>
      <w:r>
        <w:rPr>
          <w:sz w:val="24"/>
        </w:rPr>
        <w:t>发现不同比例的</w:t>
      </w:r>
      <w:r>
        <w:rPr>
          <w:sz w:val="24"/>
        </w:rPr>
        <w:t>PBM</w:t>
      </w:r>
      <w:r>
        <w:rPr>
          <w:sz w:val="24"/>
        </w:rPr>
        <w:t>替代鱼粉对草鱼</w:t>
      </w:r>
      <w:r>
        <w:rPr>
          <w:sz w:val="24"/>
        </w:rPr>
        <w:t>T-SOD</w:t>
      </w:r>
      <w:r>
        <w:rPr>
          <w:sz w:val="24"/>
        </w:rPr>
        <w:t>活性、</w:t>
      </w:r>
      <w:r>
        <w:rPr>
          <w:sz w:val="24"/>
        </w:rPr>
        <w:t>MDA</w:t>
      </w:r>
      <w:r>
        <w:rPr>
          <w:sz w:val="24"/>
        </w:rPr>
        <w:t>水平和</w:t>
      </w:r>
      <w:r>
        <w:rPr>
          <w:sz w:val="24"/>
        </w:rPr>
        <w:t>T</w:t>
      </w:r>
      <w:r>
        <w:rPr>
          <w:sz w:val="24"/>
        </w:rPr>
        <w:t>-AOC</w:t>
      </w:r>
      <w:r>
        <w:rPr>
          <w:sz w:val="24"/>
        </w:rPr>
        <w:t>无显著影响。</w:t>
      </w:r>
      <w:r>
        <w:rPr>
          <w:sz w:val="24"/>
        </w:rPr>
        <w:t>Zhou</w:t>
      </w:r>
      <w:r>
        <w:rPr>
          <w:sz w:val="24"/>
        </w:rPr>
        <w:t>等</w:t>
      </w:r>
      <w:r>
        <w:rPr>
          <w:sz w:val="24"/>
          <w:vertAlign w:val="superscript"/>
        </w:rPr>
        <w:t>[3]</w:t>
      </w:r>
      <w:r>
        <w:rPr>
          <w:sz w:val="24"/>
        </w:rPr>
        <w:t>的研究表明不同比例的</w:t>
      </w:r>
      <w:r>
        <w:rPr>
          <w:sz w:val="24"/>
        </w:rPr>
        <w:t>PBM</w:t>
      </w:r>
      <w:r>
        <w:rPr>
          <w:sz w:val="24"/>
        </w:rPr>
        <w:t>并不会对军曹鱼幼鱼肝脏</w:t>
      </w:r>
      <w:r>
        <w:rPr>
          <w:sz w:val="24"/>
        </w:rPr>
        <w:t xml:space="preserve"> SOD</w:t>
      </w:r>
      <w:r>
        <w:rPr>
          <w:sz w:val="24"/>
        </w:rPr>
        <w:t>、</w:t>
      </w:r>
      <w:r>
        <w:rPr>
          <w:sz w:val="24"/>
        </w:rPr>
        <w:t>CAT</w:t>
      </w:r>
      <w:r>
        <w:rPr>
          <w:sz w:val="24"/>
        </w:rPr>
        <w:t>、</w:t>
      </w:r>
      <w:r>
        <w:rPr>
          <w:sz w:val="24"/>
        </w:rPr>
        <w:t xml:space="preserve">GPX </w:t>
      </w:r>
      <w:r>
        <w:rPr>
          <w:sz w:val="24"/>
        </w:rPr>
        <w:t>和</w:t>
      </w:r>
      <w:r>
        <w:rPr>
          <w:sz w:val="24"/>
        </w:rPr>
        <w:t xml:space="preserve"> GST </w:t>
      </w:r>
      <w:r>
        <w:rPr>
          <w:sz w:val="24"/>
        </w:rPr>
        <w:t>活性产生显著影响。但易新文等</w:t>
      </w:r>
      <w:r>
        <w:rPr>
          <w:sz w:val="24"/>
          <w:vertAlign w:val="superscript"/>
        </w:rPr>
        <w:t>[29]</w:t>
      </w:r>
      <w:r>
        <w:rPr>
          <w:sz w:val="24"/>
        </w:rPr>
        <w:t>发现随着</w:t>
      </w:r>
      <w:r>
        <w:rPr>
          <w:sz w:val="24"/>
        </w:rPr>
        <w:t>PBM</w:t>
      </w:r>
      <w:r>
        <w:rPr>
          <w:sz w:val="24"/>
        </w:rPr>
        <w:t>替代鱼粉比例的增加卵形</w:t>
      </w:r>
      <w:proofErr w:type="gramStart"/>
      <w:r>
        <w:rPr>
          <w:sz w:val="24"/>
        </w:rPr>
        <w:t>鲳</w:t>
      </w:r>
      <w:proofErr w:type="gramEnd"/>
      <w:r>
        <w:rPr>
          <w:sz w:val="24"/>
        </w:rPr>
        <w:t>鲹（</w:t>
      </w:r>
      <w:proofErr w:type="spellStart"/>
      <w:r>
        <w:rPr>
          <w:sz w:val="24"/>
        </w:rPr>
        <w:t>Trachinotus</w:t>
      </w:r>
      <w:proofErr w:type="spellEnd"/>
      <w:r>
        <w:rPr>
          <w:sz w:val="24"/>
        </w:rPr>
        <w:t xml:space="preserve"> </w:t>
      </w:r>
      <w:proofErr w:type="spellStart"/>
      <w:r>
        <w:rPr>
          <w:sz w:val="24"/>
        </w:rPr>
        <w:t>ovatus</w:t>
      </w:r>
      <w:proofErr w:type="spellEnd"/>
      <w:r>
        <w:rPr>
          <w:sz w:val="24"/>
        </w:rPr>
        <w:t>）肝脏中</w:t>
      </w:r>
      <w:r>
        <w:rPr>
          <w:sz w:val="24"/>
        </w:rPr>
        <w:t>SOD</w:t>
      </w:r>
      <w:r>
        <w:rPr>
          <w:sz w:val="24"/>
        </w:rPr>
        <w:t>和</w:t>
      </w:r>
      <w:r>
        <w:rPr>
          <w:sz w:val="24"/>
        </w:rPr>
        <w:t>CAT</w:t>
      </w:r>
      <w:r>
        <w:rPr>
          <w:sz w:val="24"/>
        </w:rPr>
        <w:t>活性呈下降趋势，降低了卵形</w:t>
      </w:r>
      <w:proofErr w:type="gramStart"/>
      <w:r>
        <w:rPr>
          <w:sz w:val="24"/>
        </w:rPr>
        <w:t>鲳</w:t>
      </w:r>
      <w:proofErr w:type="gramEnd"/>
      <w:r>
        <w:rPr>
          <w:sz w:val="24"/>
        </w:rPr>
        <w:t>鲹的抗氧化能力。</w:t>
      </w:r>
      <w:r>
        <w:rPr>
          <w:sz w:val="24"/>
        </w:rPr>
        <w:t>PBM</w:t>
      </w:r>
      <w:r>
        <w:rPr>
          <w:sz w:val="24"/>
        </w:rPr>
        <w:t>替代鱼粉对水产动物抗氧化性结果的差异可能是饲料营养成分的不同所导致的，有研究表明高蛋白和高脂肪饲料更有利于提高水产动物抗氧化性</w:t>
      </w:r>
      <w:r>
        <w:rPr>
          <w:sz w:val="24"/>
          <w:vertAlign w:val="superscript"/>
        </w:rPr>
        <w:t>[30]</w:t>
      </w:r>
      <w:r>
        <w:rPr>
          <w:sz w:val="24"/>
        </w:rPr>
        <w:t>。</w:t>
      </w:r>
    </w:p>
    <w:p w14:paraId="0D976EBC" w14:textId="77777777" w:rsidR="008F75C3" w:rsidRDefault="006614AC">
      <w:pPr>
        <w:spacing w:line="360" w:lineRule="auto"/>
        <w:rPr>
          <w:sz w:val="24"/>
        </w:rPr>
      </w:pPr>
      <w:r>
        <w:rPr>
          <w:sz w:val="24"/>
        </w:rPr>
        <w:lastRenderedPageBreak/>
        <w:t xml:space="preserve">3.4  </w:t>
      </w:r>
      <w:r>
        <w:rPr>
          <w:sz w:val="24"/>
        </w:rPr>
        <w:t>鸡肠粉替代鱼粉</w:t>
      </w:r>
      <w:proofErr w:type="gramStart"/>
      <w:r>
        <w:rPr>
          <w:sz w:val="24"/>
        </w:rPr>
        <w:t>对鲤非特异性免疫</w:t>
      </w:r>
      <w:proofErr w:type="gramEnd"/>
      <w:r>
        <w:rPr>
          <w:sz w:val="24"/>
        </w:rPr>
        <w:t>指标的影响</w:t>
      </w:r>
    </w:p>
    <w:p w14:paraId="057FD57A" w14:textId="77777777" w:rsidR="008F75C3" w:rsidRDefault="006614AC">
      <w:pPr>
        <w:spacing w:line="360" w:lineRule="auto"/>
        <w:ind w:firstLineChars="200" w:firstLine="480"/>
        <w:rPr>
          <w:sz w:val="24"/>
        </w:rPr>
      </w:pPr>
      <w:r>
        <w:rPr>
          <w:sz w:val="24"/>
        </w:rPr>
        <w:t>鱼类的非特异性</w:t>
      </w:r>
      <w:r>
        <w:rPr>
          <w:sz w:val="24"/>
        </w:rPr>
        <w:t>免疫在鱼类受到病原入侵时发挥着主要作用，</w:t>
      </w:r>
      <w:r>
        <w:rPr>
          <w:sz w:val="24"/>
        </w:rPr>
        <w:t>AKP</w:t>
      </w:r>
      <w:r>
        <w:rPr>
          <w:sz w:val="24"/>
        </w:rPr>
        <w:t>、</w:t>
      </w:r>
      <w:r>
        <w:rPr>
          <w:sz w:val="24"/>
        </w:rPr>
        <w:t>ACP</w:t>
      </w:r>
      <w:r>
        <w:rPr>
          <w:sz w:val="24"/>
        </w:rPr>
        <w:t>和</w:t>
      </w:r>
      <w:r>
        <w:rPr>
          <w:sz w:val="24"/>
        </w:rPr>
        <w:t>LZM</w:t>
      </w:r>
      <w:r>
        <w:rPr>
          <w:sz w:val="24"/>
        </w:rPr>
        <w:t>就是其中重要的抗菌蛋白。</w:t>
      </w:r>
      <w:r>
        <w:rPr>
          <w:sz w:val="24"/>
        </w:rPr>
        <w:t>LZM</w:t>
      </w:r>
      <w:r>
        <w:rPr>
          <w:sz w:val="24"/>
        </w:rPr>
        <w:t>是免疫细胞产生的抗菌酶，能够溶解微生物细胞壁消灭病原微生物，可反映鱼类非特异性免疫状态</w:t>
      </w:r>
      <w:r>
        <w:rPr>
          <w:sz w:val="24"/>
          <w:vertAlign w:val="superscript"/>
        </w:rPr>
        <w:t>[31]</w:t>
      </w:r>
      <w:r>
        <w:rPr>
          <w:sz w:val="24"/>
        </w:rPr>
        <w:t>。</w:t>
      </w:r>
      <w:r>
        <w:rPr>
          <w:sz w:val="24"/>
        </w:rPr>
        <w:t>ACP</w:t>
      </w:r>
      <w:r>
        <w:rPr>
          <w:sz w:val="24"/>
        </w:rPr>
        <w:t>参与吞噬溶酶体的组成，是巨噬细胞溶酶体酶的标志酶，</w:t>
      </w:r>
      <w:r>
        <w:rPr>
          <w:sz w:val="24"/>
        </w:rPr>
        <w:t>AKP</w:t>
      </w:r>
      <w:r>
        <w:rPr>
          <w:sz w:val="24"/>
        </w:rPr>
        <w:t>参与钙磷的吸收，二者均在鱼类免疫应答中发挥着重要作用</w:t>
      </w:r>
      <w:r>
        <w:rPr>
          <w:sz w:val="24"/>
          <w:vertAlign w:val="superscript"/>
        </w:rPr>
        <w:t>[32-33]</w:t>
      </w:r>
      <w:r>
        <w:rPr>
          <w:sz w:val="24"/>
        </w:rPr>
        <w:t>。不同品质的</w:t>
      </w:r>
      <w:r>
        <w:rPr>
          <w:sz w:val="24"/>
        </w:rPr>
        <w:t>PBM</w:t>
      </w:r>
      <w:r>
        <w:rPr>
          <w:sz w:val="24"/>
        </w:rPr>
        <w:t>替代鱼粉对水产动物非特异性免疫结果也有差异，贾倩</w:t>
      </w:r>
      <w:r>
        <w:rPr>
          <w:sz w:val="24"/>
          <w:vertAlign w:val="superscript"/>
        </w:rPr>
        <w:t>[27]</w:t>
      </w:r>
      <w:r>
        <w:rPr>
          <w:sz w:val="24"/>
        </w:rPr>
        <w:t>研究表明不同比例禽肉骨粉替代鱼粉对大菱</w:t>
      </w:r>
      <w:proofErr w:type="gramStart"/>
      <w:r>
        <w:rPr>
          <w:sz w:val="24"/>
        </w:rPr>
        <w:t>鲆</w:t>
      </w:r>
      <w:proofErr w:type="gramEnd"/>
      <w:r>
        <w:rPr>
          <w:sz w:val="24"/>
        </w:rPr>
        <w:t>LZM</w:t>
      </w:r>
      <w:r>
        <w:rPr>
          <w:sz w:val="24"/>
        </w:rPr>
        <w:t>活性和</w:t>
      </w:r>
      <w:r>
        <w:rPr>
          <w:sz w:val="24"/>
        </w:rPr>
        <w:t>ACP</w:t>
      </w:r>
      <w:r>
        <w:rPr>
          <w:sz w:val="24"/>
        </w:rPr>
        <w:t>活性影响不显著，虽然没有增加大菱</w:t>
      </w:r>
      <w:proofErr w:type="gramStart"/>
      <w:r>
        <w:rPr>
          <w:sz w:val="24"/>
        </w:rPr>
        <w:t>鲆</w:t>
      </w:r>
      <w:proofErr w:type="gramEnd"/>
      <w:r>
        <w:rPr>
          <w:sz w:val="24"/>
        </w:rPr>
        <w:t>非特异性免疫能力，但也不会对大</w:t>
      </w:r>
      <w:r>
        <w:rPr>
          <w:sz w:val="24"/>
        </w:rPr>
        <w:t>菱</w:t>
      </w:r>
      <w:proofErr w:type="gramStart"/>
      <w:r>
        <w:rPr>
          <w:sz w:val="24"/>
        </w:rPr>
        <w:t>鲆</w:t>
      </w:r>
      <w:proofErr w:type="gramEnd"/>
      <w:r>
        <w:rPr>
          <w:sz w:val="24"/>
        </w:rPr>
        <w:t>免疫系统造成损伤。路晶晶等</w:t>
      </w:r>
      <w:r>
        <w:rPr>
          <w:sz w:val="24"/>
          <w:vertAlign w:val="superscript"/>
        </w:rPr>
        <w:t>[34]</w:t>
      </w:r>
      <w:r>
        <w:rPr>
          <w:sz w:val="24"/>
        </w:rPr>
        <w:t>发现随着家禽副产物酶解肽替代鱼粉水平的增加，</w:t>
      </w:r>
      <w:proofErr w:type="gramStart"/>
      <w:r>
        <w:rPr>
          <w:sz w:val="24"/>
        </w:rPr>
        <w:t>凡纳滨对虾</w:t>
      </w:r>
      <w:proofErr w:type="gramEnd"/>
      <w:r>
        <w:rPr>
          <w:sz w:val="24"/>
        </w:rPr>
        <w:t>血浆中的</w:t>
      </w:r>
      <w:r>
        <w:rPr>
          <w:sz w:val="24"/>
        </w:rPr>
        <w:t>LZM</w:t>
      </w:r>
      <w:r>
        <w:rPr>
          <w:sz w:val="24"/>
        </w:rPr>
        <w:t>活性显著升高，呈现先上升后下降的趋势，禽副产物酶解肽替代鱼粉能够增加</w:t>
      </w:r>
      <w:proofErr w:type="gramStart"/>
      <w:r>
        <w:rPr>
          <w:sz w:val="24"/>
        </w:rPr>
        <w:t>凡纳滨对虾</w:t>
      </w:r>
      <w:proofErr w:type="gramEnd"/>
      <w:r>
        <w:rPr>
          <w:sz w:val="24"/>
        </w:rPr>
        <w:t>的非特异性免疫能力。</w:t>
      </w:r>
      <w:r>
        <w:rPr>
          <w:sz w:val="24"/>
        </w:rPr>
        <w:t xml:space="preserve">Dawood </w:t>
      </w:r>
      <w:r>
        <w:rPr>
          <w:sz w:val="24"/>
        </w:rPr>
        <w:t>等</w:t>
      </w:r>
      <w:r>
        <w:rPr>
          <w:sz w:val="24"/>
          <w:vertAlign w:val="superscript"/>
        </w:rPr>
        <w:t>[35]</w:t>
      </w:r>
      <w:r>
        <w:rPr>
          <w:sz w:val="24"/>
        </w:rPr>
        <w:t>发现在饲料添加</w:t>
      </w:r>
      <w:r>
        <w:rPr>
          <w:sz w:val="24"/>
        </w:rPr>
        <w:t xml:space="preserve"> 5%</w:t>
      </w:r>
      <w:r>
        <w:rPr>
          <w:sz w:val="24"/>
        </w:rPr>
        <w:t>、</w:t>
      </w:r>
      <w:r>
        <w:rPr>
          <w:sz w:val="24"/>
        </w:rPr>
        <w:t>10%</w:t>
      </w:r>
      <w:r>
        <w:rPr>
          <w:sz w:val="24"/>
        </w:rPr>
        <w:t>和</w:t>
      </w:r>
      <w:r>
        <w:rPr>
          <w:sz w:val="24"/>
        </w:rPr>
        <w:t>15%</w:t>
      </w:r>
      <w:r>
        <w:rPr>
          <w:sz w:val="24"/>
        </w:rPr>
        <w:t>经发酵后的</w:t>
      </w:r>
      <w:r>
        <w:rPr>
          <w:sz w:val="24"/>
        </w:rPr>
        <w:t>PBM</w:t>
      </w:r>
      <w:r>
        <w:rPr>
          <w:sz w:val="24"/>
        </w:rPr>
        <w:t>能够显著提高</w:t>
      </w:r>
      <w:proofErr w:type="gramStart"/>
      <w:r>
        <w:rPr>
          <w:sz w:val="24"/>
        </w:rPr>
        <w:t>鲤</w:t>
      </w:r>
      <w:proofErr w:type="gramEnd"/>
      <w:r>
        <w:rPr>
          <w:sz w:val="24"/>
        </w:rPr>
        <w:t>LZM</w:t>
      </w:r>
      <w:r>
        <w:rPr>
          <w:sz w:val="24"/>
        </w:rPr>
        <w:t>活性，同样在尼罗罗非鱼日粮中添加</w:t>
      </w:r>
      <w:r>
        <w:rPr>
          <w:sz w:val="24"/>
        </w:rPr>
        <w:t>10%</w:t>
      </w:r>
      <w:r>
        <w:rPr>
          <w:sz w:val="24"/>
        </w:rPr>
        <w:t>和</w:t>
      </w:r>
      <w:r>
        <w:rPr>
          <w:sz w:val="24"/>
        </w:rPr>
        <w:t>20%</w:t>
      </w:r>
      <w:r>
        <w:rPr>
          <w:sz w:val="24"/>
        </w:rPr>
        <w:t>的经发酵后的</w:t>
      </w:r>
      <w:r>
        <w:rPr>
          <w:sz w:val="24"/>
        </w:rPr>
        <w:t>PBM</w:t>
      </w:r>
      <w:r>
        <w:rPr>
          <w:sz w:val="24"/>
        </w:rPr>
        <w:t>也能够显著提高鱼体</w:t>
      </w:r>
      <w:r>
        <w:rPr>
          <w:sz w:val="24"/>
        </w:rPr>
        <w:t>LZM</w:t>
      </w:r>
      <w:r>
        <w:rPr>
          <w:sz w:val="24"/>
        </w:rPr>
        <w:t>活性和血清中</w:t>
      </w:r>
      <w:r>
        <w:rPr>
          <w:sz w:val="24"/>
        </w:rPr>
        <w:t>IgM</w:t>
      </w:r>
      <w:r>
        <w:rPr>
          <w:sz w:val="24"/>
        </w:rPr>
        <w:t>水平</w:t>
      </w:r>
      <w:r>
        <w:rPr>
          <w:sz w:val="24"/>
          <w:vertAlign w:val="superscript"/>
        </w:rPr>
        <w:t>[36]</w:t>
      </w:r>
      <w:r>
        <w:rPr>
          <w:sz w:val="24"/>
        </w:rPr>
        <w:t>。与前人研究结果相似，在本研究中随着鸡肠粉替代鱼粉比例的增加，鲤</w:t>
      </w:r>
      <w:r>
        <w:rPr>
          <w:sz w:val="24"/>
        </w:rPr>
        <w:t>ACP</w:t>
      </w:r>
      <w:r>
        <w:rPr>
          <w:sz w:val="24"/>
        </w:rPr>
        <w:t>、</w:t>
      </w:r>
      <w:r>
        <w:rPr>
          <w:sz w:val="24"/>
        </w:rPr>
        <w:t>AKP</w:t>
      </w:r>
      <w:r>
        <w:rPr>
          <w:sz w:val="24"/>
        </w:rPr>
        <w:t>和</w:t>
      </w:r>
      <w:r>
        <w:rPr>
          <w:sz w:val="24"/>
        </w:rPr>
        <w:t>LZM</w:t>
      </w:r>
      <w:r>
        <w:rPr>
          <w:sz w:val="24"/>
        </w:rPr>
        <w:t>活性有不</w:t>
      </w:r>
      <w:r>
        <w:rPr>
          <w:sz w:val="24"/>
        </w:rPr>
        <w:t>同程度的影响，并呈现先升高后下降的趋势，</w:t>
      </w:r>
      <w:r>
        <w:rPr>
          <w:sz w:val="24"/>
        </w:rPr>
        <w:t>D4</w:t>
      </w:r>
      <w:r>
        <w:rPr>
          <w:sz w:val="24"/>
        </w:rPr>
        <w:t>组</w:t>
      </w:r>
      <w:r>
        <w:rPr>
          <w:sz w:val="24"/>
        </w:rPr>
        <w:t>ACP</w:t>
      </w:r>
      <w:r>
        <w:rPr>
          <w:sz w:val="24"/>
        </w:rPr>
        <w:t>、</w:t>
      </w:r>
      <w:r>
        <w:rPr>
          <w:sz w:val="24"/>
        </w:rPr>
        <w:t>AKP</w:t>
      </w:r>
      <w:r>
        <w:rPr>
          <w:sz w:val="24"/>
        </w:rPr>
        <w:t>和</w:t>
      </w:r>
      <w:r>
        <w:rPr>
          <w:sz w:val="24"/>
        </w:rPr>
        <w:t>LZM</w:t>
      </w:r>
      <w:r>
        <w:rPr>
          <w:sz w:val="24"/>
        </w:rPr>
        <w:t>活性均显著高于对照组，说明适量的鸡肠粉替代鱼粉可以</w:t>
      </w:r>
      <w:proofErr w:type="gramStart"/>
      <w:r>
        <w:rPr>
          <w:sz w:val="24"/>
        </w:rPr>
        <w:t>增强鲤非特异性免疫</w:t>
      </w:r>
      <w:proofErr w:type="gramEnd"/>
      <w:r>
        <w:rPr>
          <w:sz w:val="24"/>
        </w:rPr>
        <w:t>能力。</w:t>
      </w:r>
    </w:p>
    <w:p w14:paraId="142D5F1F" w14:textId="77777777" w:rsidR="008F75C3" w:rsidRDefault="006614AC">
      <w:pPr>
        <w:spacing w:line="360" w:lineRule="auto"/>
        <w:rPr>
          <w:sz w:val="24"/>
        </w:rPr>
      </w:pPr>
      <w:r>
        <w:rPr>
          <w:sz w:val="24"/>
        </w:rPr>
        <w:t xml:space="preserve">3.5  </w:t>
      </w:r>
      <w:r>
        <w:rPr>
          <w:sz w:val="24"/>
        </w:rPr>
        <w:t>鸡肠粉替代鱼粉对鲤血清生化指标的影响</w:t>
      </w:r>
    </w:p>
    <w:p w14:paraId="2BA6EBC6" w14:textId="77777777" w:rsidR="008F75C3" w:rsidRDefault="006614AC">
      <w:pPr>
        <w:spacing w:line="360" w:lineRule="auto"/>
        <w:ind w:firstLineChars="200" w:firstLine="480"/>
        <w:rPr>
          <w:sz w:val="24"/>
        </w:rPr>
      </w:pPr>
      <w:r>
        <w:rPr>
          <w:sz w:val="24"/>
        </w:rPr>
        <w:t>血清生化指标可以反映组织细胞通透性和机体生理代谢状态，在一定程度上可以作为评价动物健康状态的指标之一。血清总蛋白是在肝脏合成的，他是白蛋白和球蛋白的总和，反映了机体蛋白质代谢和肝脏功能状态</w:t>
      </w:r>
      <w:r>
        <w:rPr>
          <w:sz w:val="24"/>
          <w:vertAlign w:val="superscript"/>
        </w:rPr>
        <w:t>[37]</w:t>
      </w:r>
      <w:r>
        <w:rPr>
          <w:sz w:val="24"/>
        </w:rPr>
        <w:t>。三酰甘油和总胆固醇反映了机体脂肪代谢状态，脂类运输受到阻碍会导致血清中总胆固醇含量升高</w:t>
      </w:r>
      <w:r>
        <w:rPr>
          <w:sz w:val="24"/>
          <w:vertAlign w:val="superscript"/>
        </w:rPr>
        <w:t>[34]</w:t>
      </w:r>
      <w:r>
        <w:rPr>
          <w:sz w:val="24"/>
        </w:rPr>
        <w:t>。在本试验中，与对照组相比，</w:t>
      </w:r>
      <w:r>
        <w:rPr>
          <w:sz w:val="24"/>
        </w:rPr>
        <w:t>各</w:t>
      </w:r>
      <w:proofErr w:type="gramStart"/>
      <w:r>
        <w:rPr>
          <w:sz w:val="24"/>
        </w:rPr>
        <w:t>替代组</w:t>
      </w:r>
      <w:proofErr w:type="gramEnd"/>
      <w:r>
        <w:rPr>
          <w:sz w:val="24"/>
        </w:rPr>
        <w:t>总蛋白、白蛋白、三酯甘油和总胆固醇含量差异不显著，说明鸡肠粉替代鱼粉不会对鲤蛋白质代谢和脂肪代谢产生有害影响，这也与前人对黄</w:t>
      </w:r>
      <w:proofErr w:type="gramStart"/>
      <w:r>
        <w:rPr>
          <w:sz w:val="24"/>
        </w:rPr>
        <w:t>颡</w:t>
      </w:r>
      <w:proofErr w:type="gramEnd"/>
      <w:r>
        <w:rPr>
          <w:sz w:val="24"/>
        </w:rPr>
        <w:t>鱼</w:t>
      </w:r>
      <w:r>
        <w:rPr>
          <w:sz w:val="24"/>
          <w:vertAlign w:val="superscript"/>
        </w:rPr>
        <w:t>[23]</w:t>
      </w:r>
      <w:r>
        <w:rPr>
          <w:sz w:val="24"/>
        </w:rPr>
        <w:t>、金</w:t>
      </w:r>
      <w:proofErr w:type="gramStart"/>
      <w:r>
        <w:rPr>
          <w:sz w:val="24"/>
        </w:rPr>
        <w:t>鲳</w:t>
      </w:r>
      <w:proofErr w:type="gramEnd"/>
      <w:r>
        <w:rPr>
          <w:sz w:val="24"/>
        </w:rPr>
        <w:t>（</w:t>
      </w:r>
      <w:proofErr w:type="spellStart"/>
      <w:r>
        <w:rPr>
          <w:sz w:val="24"/>
        </w:rPr>
        <w:t>Trachinotus</w:t>
      </w:r>
      <w:proofErr w:type="spellEnd"/>
      <w:r>
        <w:rPr>
          <w:sz w:val="24"/>
        </w:rPr>
        <w:t xml:space="preserve"> </w:t>
      </w:r>
      <w:proofErr w:type="spellStart"/>
      <w:r>
        <w:rPr>
          <w:sz w:val="24"/>
        </w:rPr>
        <w:t>ovatus</w:t>
      </w:r>
      <w:proofErr w:type="spellEnd"/>
      <w:r>
        <w:rPr>
          <w:sz w:val="24"/>
        </w:rPr>
        <w:t>）</w:t>
      </w:r>
      <w:r>
        <w:rPr>
          <w:sz w:val="24"/>
          <w:vertAlign w:val="superscript"/>
        </w:rPr>
        <w:t>[38]</w:t>
      </w:r>
      <w:r>
        <w:rPr>
          <w:sz w:val="24"/>
        </w:rPr>
        <w:t>和黄鳝</w:t>
      </w:r>
      <w:r>
        <w:rPr>
          <w:sz w:val="24"/>
          <w:vertAlign w:val="superscript"/>
        </w:rPr>
        <w:t>[22]</w:t>
      </w:r>
      <w:r>
        <w:rPr>
          <w:sz w:val="24"/>
        </w:rPr>
        <w:t>的研究结果相似。谷草转氨酶和谷丙转氨酶是肝脏内参与氨基酸代谢的转氨酶，正常情况下血清中这两种转氨酶的活性较低，当肝脏受到损伤时才会释放到血液之中导致活性升高，因此可通过这两种转氨酶活性判断肝脏功能情况</w:t>
      </w:r>
      <w:r>
        <w:rPr>
          <w:sz w:val="24"/>
          <w:vertAlign w:val="superscript"/>
        </w:rPr>
        <w:t>[39]</w:t>
      </w:r>
      <w:r>
        <w:rPr>
          <w:sz w:val="24"/>
        </w:rPr>
        <w:t>。在本试验中，随着鸡肠粉替代鱼粉比例的升高</w:t>
      </w:r>
      <w:proofErr w:type="gramStart"/>
      <w:r>
        <w:rPr>
          <w:sz w:val="24"/>
        </w:rPr>
        <w:t>鲤</w:t>
      </w:r>
      <w:proofErr w:type="gramEnd"/>
      <w:r>
        <w:rPr>
          <w:sz w:val="24"/>
        </w:rPr>
        <w:t>血清谷草转氨酶和谷丙转氨酶活性逐渐增强，当鸡肠粉</w:t>
      </w:r>
      <w:r>
        <w:rPr>
          <w:sz w:val="24"/>
        </w:rPr>
        <w:t>替代鱼粉比例</w:t>
      </w:r>
      <w:r>
        <w:rPr>
          <w:sz w:val="24"/>
        </w:rPr>
        <w:t>≥75%</w:t>
      </w:r>
      <w:r>
        <w:rPr>
          <w:sz w:val="24"/>
        </w:rPr>
        <w:t>时，谷草转氨酶和谷丙转氨酶活性均显著高于对照组，表明</w:t>
      </w:r>
      <w:proofErr w:type="gramStart"/>
      <w:r>
        <w:rPr>
          <w:sz w:val="24"/>
        </w:rPr>
        <w:t>鲤</w:t>
      </w:r>
      <w:proofErr w:type="gramEnd"/>
      <w:r>
        <w:rPr>
          <w:sz w:val="24"/>
        </w:rPr>
        <w:t>肝脏可能受到了损伤。但李宗升</w:t>
      </w:r>
      <w:r>
        <w:rPr>
          <w:sz w:val="24"/>
          <w:vertAlign w:val="superscript"/>
        </w:rPr>
        <w:t>[18]</w:t>
      </w:r>
      <w:r>
        <w:rPr>
          <w:sz w:val="24"/>
        </w:rPr>
        <w:t>认为随着鸡肉粉替代鱼粉比例的增加，大菱</w:t>
      </w:r>
      <w:proofErr w:type="gramStart"/>
      <w:r>
        <w:rPr>
          <w:sz w:val="24"/>
        </w:rPr>
        <w:t>鲆</w:t>
      </w:r>
      <w:proofErr w:type="gramEnd"/>
      <w:r>
        <w:rPr>
          <w:sz w:val="24"/>
        </w:rPr>
        <w:t>血清谷草转氨酶和谷丙转氨酶活</w:t>
      </w:r>
      <w:r>
        <w:rPr>
          <w:sz w:val="24"/>
        </w:rPr>
        <w:lastRenderedPageBreak/>
        <w:t>性显著增加的原因也可能是肝脏蛋白质代谢活动增强以适应高含量的鸡肉粉饲料。结合在金</w:t>
      </w:r>
      <w:proofErr w:type="gramStart"/>
      <w:r>
        <w:rPr>
          <w:sz w:val="24"/>
        </w:rPr>
        <w:t>鲳</w:t>
      </w:r>
      <w:proofErr w:type="gramEnd"/>
      <w:r>
        <w:rPr>
          <w:sz w:val="24"/>
          <w:vertAlign w:val="superscript"/>
        </w:rPr>
        <w:t>[38]</w:t>
      </w:r>
      <w:r>
        <w:rPr>
          <w:sz w:val="24"/>
        </w:rPr>
        <w:t>的研究结果，当鸡肉粉替代鱼粉比例</w:t>
      </w:r>
      <w:r>
        <w:rPr>
          <w:sz w:val="24"/>
        </w:rPr>
        <w:t>≥80%</w:t>
      </w:r>
      <w:r>
        <w:rPr>
          <w:sz w:val="24"/>
        </w:rPr>
        <w:t>时谷草转氨酶和谷丙转</w:t>
      </w:r>
      <w:r>
        <w:rPr>
          <w:sz w:val="24"/>
        </w:rPr>
        <w:t>氨酶活性显著增强，金</w:t>
      </w:r>
      <w:proofErr w:type="gramStart"/>
      <w:r>
        <w:rPr>
          <w:sz w:val="24"/>
        </w:rPr>
        <w:t>鲳</w:t>
      </w:r>
      <w:proofErr w:type="gramEnd"/>
      <w:r>
        <w:rPr>
          <w:sz w:val="24"/>
        </w:rPr>
        <w:t>肝细胞可能受到一定损伤，也不排除在高比例鸡肠粉替代鱼粉时鲤肝脏出现损伤情况。</w:t>
      </w:r>
    </w:p>
    <w:p w14:paraId="3DAFD7A8" w14:textId="77777777" w:rsidR="008F75C3" w:rsidRDefault="006614AC">
      <w:pPr>
        <w:spacing w:line="360" w:lineRule="auto"/>
        <w:rPr>
          <w:sz w:val="24"/>
        </w:rPr>
      </w:pPr>
      <w:r>
        <w:rPr>
          <w:sz w:val="24"/>
        </w:rPr>
        <w:t xml:space="preserve">4  </w:t>
      </w:r>
      <w:r>
        <w:rPr>
          <w:sz w:val="24"/>
        </w:rPr>
        <w:t>结论</w:t>
      </w:r>
    </w:p>
    <w:p w14:paraId="1DF121DF" w14:textId="77777777" w:rsidR="008F75C3" w:rsidRDefault="006614AC">
      <w:pPr>
        <w:spacing w:line="360" w:lineRule="auto"/>
        <w:ind w:firstLineChars="200" w:firstLine="480"/>
        <w:rPr>
          <w:sz w:val="24"/>
        </w:rPr>
      </w:pPr>
      <w:r>
        <w:rPr>
          <w:sz w:val="24"/>
        </w:rPr>
        <w:t>综上所述，对照鱼粉含量为</w:t>
      </w:r>
      <w:r>
        <w:rPr>
          <w:sz w:val="24"/>
        </w:rPr>
        <w:t>4%</w:t>
      </w:r>
      <w:r>
        <w:rPr>
          <w:sz w:val="24"/>
        </w:rPr>
        <w:t>的鲤饲料，鸡肠粉能够部分或全部替代鱼粉，不会对鲤生长、消化和免疫等指标造成负面影响，但当鸡肠粉替代鱼粉比例</w:t>
      </w:r>
      <w:r>
        <w:rPr>
          <w:sz w:val="24"/>
        </w:rPr>
        <w:t>≥75%</w:t>
      </w:r>
      <w:r>
        <w:rPr>
          <w:sz w:val="24"/>
        </w:rPr>
        <w:t>时可能会引起</w:t>
      </w:r>
      <w:proofErr w:type="gramStart"/>
      <w:r>
        <w:rPr>
          <w:sz w:val="24"/>
        </w:rPr>
        <w:t>鲤</w:t>
      </w:r>
      <w:proofErr w:type="gramEnd"/>
      <w:r>
        <w:rPr>
          <w:sz w:val="24"/>
        </w:rPr>
        <w:t>肝脏代谢异常。</w:t>
      </w:r>
    </w:p>
    <w:p w14:paraId="46AD39AF" w14:textId="77777777" w:rsidR="008F75C3" w:rsidRDefault="006614AC">
      <w:pPr>
        <w:spacing w:line="360" w:lineRule="auto"/>
        <w:rPr>
          <w:sz w:val="24"/>
        </w:rPr>
      </w:pPr>
      <w:r>
        <w:rPr>
          <w:sz w:val="24"/>
        </w:rPr>
        <w:t>参考文献：略</w:t>
      </w:r>
    </w:p>
    <w:p w14:paraId="7E8AC7F6" w14:textId="77777777" w:rsidR="008F75C3" w:rsidRDefault="006614AC">
      <w:pPr>
        <w:spacing w:line="360" w:lineRule="auto"/>
        <w:ind w:firstLineChars="700" w:firstLine="1470"/>
        <w:jc w:val="right"/>
        <w:rPr>
          <w:sz w:val="24"/>
        </w:rPr>
      </w:pPr>
      <w:r>
        <w:rPr>
          <w:szCs w:val="21"/>
        </w:rPr>
        <w:t>原文刊登在《饲料工业》，网络首发时间</w:t>
      </w:r>
      <w:r>
        <w:rPr>
          <w:szCs w:val="21"/>
        </w:rPr>
        <w:t xml:space="preserve">: </w:t>
      </w:r>
      <w:r>
        <w:rPr>
          <w:color w:val="333333"/>
          <w:szCs w:val="21"/>
          <w:shd w:val="clear" w:color="auto" w:fill="FFFFFF"/>
        </w:rPr>
        <w:t>2021-11-20 11:49:37</w:t>
      </w:r>
    </w:p>
    <w:p w14:paraId="2D261CF5" w14:textId="77777777" w:rsidR="008F75C3" w:rsidRDefault="006614AC">
      <w:pPr>
        <w:pStyle w:val="2"/>
        <w:spacing w:line="460" w:lineRule="exact"/>
        <w:jc w:val="center"/>
        <w:rPr>
          <w:rFonts w:ascii="Times New Roman" w:eastAsia="黑体" w:hAnsi="Times New Roman" w:cs="Times New Roman"/>
          <w:b w:val="0"/>
          <w:bCs w:val="0"/>
          <w:sz w:val="32"/>
          <w:szCs w:val="32"/>
        </w:rPr>
      </w:pPr>
      <w:bookmarkStart w:id="54" w:name="_Hlk89629216"/>
      <w:bookmarkStart w:id="55" w:name="_Toc90390774"/>
      <w:bookmarkEnd w:id="54"/>
      <w:r>
        <w:rPr>
          <w:rFonts w:ascii="Times New Roman" w:eastAsia="黑体" w:hAnsi="Times New Roman" w:cs="Times New Roman"/>
          <w:sz w:val="32"/>
          <w:szCs w:val="32"/>
        </w:rPr>
        <w:t>复合植物蛋白替代鱼粉对</w:t>
      </w:r>
      <w:proofErr w:type="gramStart"/>
      <w:r>
        <w:rPr>
          <w:rFonts w:ascii="Times New Roman" w:eastAsia="黑体" w:hAnsi="Times New Roman" w:cs="Times New Roman"/>
          <w:sz w:val="32"/>
          <w:szCs w:val="32"/>
        </w:rPr>
        <w:t>凡纳滨对虾</w:t>
      </w:r>
      <w:proofErr w:type="gramEnd"/>
      <w:r>
        <w:rPr>
          <w:rFonts w:ascii="Times New Roman" w:eastAsia="黑体" w:hAnsi="Times New Roman" w:cs="Times New Roman"/>
          <w:sz w:val="32"/>
          <w:szCs w:val="32"/>
        </w:rPr>
        <w:t>生长及体组成的影响</w:t>
      </w:r>
      <w:bookmarkEnd w:id="55"/>
    </w:p>
    <w:p w14:paraId="2A31AEC2" w14:textId="77777777" w:rsidR="008F75C3" w:rsidRDefault="006614AC">
      <w:pPr>
        <w:ind w:firstLineChars="200" w:firstLine="420"/>
        <w:jc w:val="center"/>
        <w:rPr>
          <w:szCs w:val="21"/>
        </w:rPr>
      </w:pPr>
      <w:r>
        <w:rPr>
          <w:szCs w:val="21"/>
        </w:rPr>
        <w:t>徐田</w:t>
      </w:r>
      <w:proofErr w:type="gramStart"/>
      <w:r>
        <w:rPr>
          <w:szCs w:val="21"/>
        </w:rPr>
        <w:t>田</w:t>
      </w:r>
      <w:proofErr w:type="gramEnd"/>
      <w:r>
        <w:rPr>
          <w:szCs w:val="21"/>
          <w:vertAlign w:val="superscript"/>
        </w:rPr>
        <w:t>1</w:t>
      </w:r>
      <w:r>
        <w:rPr>
          <w:szCs w:val="21"/>
        </w:rPr>
        <w:t xml:space="preserve"> </w:t>
      </w:r>
      <w:r>
        <w:rPr>
          <w:szCs w:val="21"/>
        </w:rPr>
        <w:t>王婧</w:t>
      </w:r>
      <w:r>
        <w:rPr>
          <w:szCs w:val="21"/>
          <w:vertAlign w:val="superscript"/>
        </w:rPr>
        <w:t>1</w:t>
      </w:r>
      <w:r>
        <w:rPr>
          <w:szCs w:val="21"/>
          <w:vertAlign w:val="superscript"/>
        </w:rPr>
        <w:t>，</w:t>
      </w:r>
      <w:r>
        <w:rPr>
          <w:szCs w:val="21"/>
          <w:vertAlign w:val="superscript"/>
        </w:rPr>
        <w:t>2</w:t>
      </w:r>
      <w:r>
        <w:rPr>
          <w:szCs w:val="21"/>
        </w:rPr>
        <w:t xml:space="preserve"> </w:t>
      </w:r>
      <w:proofErr w:type="gramStart"/>
      <w:r>
        <w:rPr>
          <w:szCs w:val="21"/>
        </w:rPr>
        <w:t>许丹</w:t>
      </w:r>
      <w:proofErr w:type="gramEnd"/>
      <w:r>
        <w:rPr>
          <w:szCs w:val="21"/>
          <w:vertAlign w:val="superscript"/>
        </w:rPr>
        <w:t>1</w:t>
      </w:r>
      <w:r>
        <w:rPr>
          <w:szCs w:val="21"/>
        </w:rPr>
        <w:t xml:space="preserve"> </w:t>
      </w:r>
      <w:r>
        <w:rPr>
          <w:szCs w:val="21"/>
        </w:rPr>
        <w:t>刘兴旺</w:t>
      </w:r>
      <w:r>
        <w:rPr>
          <w:szCs w:val="21"/>
          <w:vertAlign w:val="superscript"/>
        </w:rPr>
        <w:t>3*</w:t>
      </w:r>
      <w:r>
        <w:rPr>
          <w:szCs w:val="21"/>
        </w:rPr>
        <w:t xml:space="preserve"> </w:t>
      </w:r>
      <w:r>
        <w:rPr>
          <w:szCs w:val="21"/>
        </w:rPr>
        <w:t>李国立</w:t>
      </w:r>
      <w:r>
        <w:rPr>
          <w:szCs w:val="21"/>
          <w:vertAlign w:val="superscript"/>
        </w:rPr>
        <w:t>4</w:t>
      </w:r>
      <w:r>
        <w:rPr>
          <w:szCs w:val="21"/>
          <w:vertAlign w:val="superscript"/>
        </w:rPr>
        <w:t>，</w:t>
      </w:r>
      <w:r>
        <w:rPr>
          <w:szCs w:val="21"/>
          <w:vertAlign w:val="superscript"/>
        </w:rPr>
        <w:t xml:space="preserve">5 </w:t>
      </w:r>
      <w:r>
        <w:rPr>
          <w:szCs w:val="21"/>
        </w:rPr>
        <w:t>王国霞</w:t>
      </w:r>
      <w:r>
        <w:rPr>
          <w:szCs w:val="21"/>
          <w:vertAlign w:val="superscript"/>
        </w:rPr>
        <w:t>5</w:t>
      </w:r>
    </w:p>
    <w:p w14:paraId="4F0A1474" w14:textId="77777777" w:rsidR="008F75C3" w:rsidRDefault="006614AC">
      <w:pPr>
        <w:ind w:firstLineChars="200" w:firstLine="420"/>
        <w:jc w:val="center"/>
        <w:rPr>
          <w:szCs w:val="21"/>
        </w:rPr>
      </w:pPr>
      <w:r>
        <w:rPr>
          <w:szCs w:val="21"/>
        </w:rPr>
        <w:t>（</w:t>
      </w:r>
      <w:r>
        <w:rPr>
          <w:szCs w:val="21"/>
        </w:rPr>
        <w:t>1.</w:t>
      </w:r>
      <w:r>
        <w:rPr>
          <w:szCs w:val="21"/>
        </w:rPr>
        <w:t>上海海洋大学水产与生命学院，上海</w:t>
      </w:r>
      <w:r>
        <w:rPr>
          <w:szCs w:val="21"/>
        </w:rPr>
        <w:t xml:space="preserve"> 201306</w:t>
      </w:r>
      <w:r>
        <w:rPr>
          <w:szCs w:val="21"/>
        </w:rPr>
        <w:t>；</w:t>
      </w:r>
      <w:r>
        <w:rPr>
          <w:szCs w:val="21"/>
        </w:rPr>
        <w:t>2.</w:t>
      </w:r>
      <w:r>
        <w:rPr>
          <w:szCs w:val="21"/>
        </w:rPr>
        <w:t>盐城市刘庄镇人民政府，江苏盐城</w:t>
      </w:r>
      <w:r>
        <w:rPr>
          <w:szCs w:val="21"/>
        </w:rPr>
        <w:t xml:space="preserve"> 224111</w:t>
      </w:r>
      <w:r>
        <w:rPr>
          <w:szCs w:val="21"/>
        </w:rPr>
        <w:t>；</w:t>
      </w:r>
      <w:r>
        <w:rPr>
          <w:szCs w:val="21"/>
        </w:rPr>
        <w:t>3.</w:t>
      </w:r>
      <w:r>
        <w:rPr>
          <w:szCs w:val="21"/>
        </w:rPr>
        <w:t>上海牧渔科技有限公司，上海</w:t>
      </w:r>
      <w:r>
        <w:rPr>
          <w:szCs w:val="21"/>
        </w:rPr>
        <w:t xml:space="preserve"> 201306</w:t>
      </w:r>
      <w:r>
        <w:rPr>
          <w:szCs w:val="21"/>
        </w:rPr>
        <w:t>；</w:t>
      </w:r>
      <w:r>
        <w:rPr>
          <w:szCs w:val="21"/>
        </w:rPr>
        <w:t>4.</w:t>
      </w:r>
      <w:r>
        <w:rPr>
          <w:szCs w:val="21"/>
        </w:rPr>
        <w:t>广州飞</w:t>
      </w:r>
      <w:proofErr w:type="gramStart"/>
      <w:r>
        <w:rPr>
          <w:szCs w:val="21"/>
        </w:rPr>
        <w:t>禧特</w:t>
      </w:r>
      <w:proofErr w:type="gramEnd"/>
      <w:r>
        <w:rPr>
          <w:szCs w:val="21"/>
        </w:rPr>
        <w:t>生物科技有限公司，广东广州</w:t>
      </w:r>
      <w:r>
        <w:rPr>
          <w:szCs w:val="21"/>
        </w:rPr>
        <w:t xml:space="preserve"> 510640</w:t>
      </w:r>
      <w:r>
        <w:rPr>
          <w:szCs w:val="21"/>
        </w:rPr>
        <w:t>；</w:t>
      </w:r>
      <w:r>
        <w:rPr>
          <w:szCs w:val="21"/>
        </w:rPr>
        <w:t>5.</w:t>
      </w:r>
      <w:r>
        <w:rPr>
          <w:szCs w:val="21"/>
        </w:rPr>
        <w:t>广东省农业科学</w:t>
      </w:r>
      <w:proofErr w:type="gramStart"/>
      <w:r>
        <w:rPr>
          <w:szCs w:val="21"/>
        </w:rPr>
        <w:t>院动物</w:t>
      </w:r>
      <w:proofErr w:type="gramEnd"/>
      <w:r>
        <w:rPr>
          <w:szCs w:val="21"/>
        </w:rPr>
        <w:t>科学研究所，广东广州</w:t>
      </w:r>
      <w:r>
        <w:rPr>
          <w:szCs w:val="21"/>
        </w:rPr>
        <w:t xml:space="preserve"> 510640</w:t>
      </w:r>
      <w:r>
        <w:rPr>
          <w:szCs w:val="21"/>
        </w:rPr>
        <w:t>）</w:t>
      </w:r>
    </w:p>
    <w:p w14:paraId="50BF8706" w14:textId="77777777" w:rsidR="008F75C3" w:rsidRDefault="006614AC">
      <w:r>
        <w:rPr>
          <w:b/>
          <w:bCs/>
        </w:rPr>
        <w:t>摘要：</w:t>
      </w:r>
      <w:r>
        <w:t>为研究复合植物蛋白替代鱼粉对</w:t>
      </w:r>
      <w:proofErr w:type="gramStart"/>
      <w:r>
        <w:t>凡纳滨对虾</w:t>
      </w:r>
      <w:proofErr w:type="gramEnd"/>
      <w:r>
        <w:t>生长及体组成的影响，用复合植物蛋白（豆</w:t>
      </w:r>
      <w:proofErr w:type="gramStart"/>
      <w:r>
        <w:t>粕</w:t>
      </w:r>
      <w:proofErr w:type="gramEnd"/>
      <w:r>
        <w:t>、花生饼、玉米蛋白粉和菜</w:t>
      </w:r>
      <w:proofErr w:type="gramStart"/>
      <w:r>
        <w:t>粕</w:t>
      </w:r>
      <w:proofErr w:type="gramEnd"/>
      <w:r>
        <w:t>按照</w:t>
      </w:r>
      <w:r>
        <w:t>4</w:t>
      </w:r>
      <w:r>
        <w:t>：</w:t>
      </w:r>
      <w:r>
        <w:t>3</w:t>
      </w:r>
      <w:r>
        <w:t>：</w:t>
      </w:r>
      <w:r>
        <w:t>1</w:t>
      </w:r>
      <w:r>
        <w:t>：</w:t>
      </w:r>
      <w:r>
        <w:t>1</w:t>
      </w:r>
      <w:r>
        <w:t>比例组成）分别替代饲料中</w:t>
      </w:r>
      <w:r>
        <w:t>0</w:t>
      </w:r>
      <w:r>
        <w:t>、</w:t>
      </w:r>
      <w:r>
        <w:t>14 %</w:t>
      </w:r>
      <w:r>
        <w:t>、</w:t>
      </w:r>
      <w:r>
        <w:t>28 %</w:t>
      </w:r>
      <w:r>
        <w:t>、</w:t>
      </w:r>
      <w:r>
        <w:t>42 %</w:t>
      </w:r>
      <w:r>
        <w:t>、</w:t>
      </w:r>
      <w:r>
        <w:t>56 %</w:t>
      </w:r>
      <w:r>
        <w:t>和</w:t>
      </w:r>
      <w:r>
        <w:t>70 %</w:t>
      </w:r>
      <w:r>
        <w:t>的鱼粉，配制成</w:t>
      </w:r>
      <w:r>
        <w:t>6</w:t>
      </w:r>
      <w:r>
        <w:t>种等氮等能的饲料，在室内海</w:t>
      </w:r>
      <w:r>
        <w:t>水流水系统饲喂</w:t>
      </w:r>
      <w:proofErr w:type="gramStart"/>
      <w:r>
        <w:t>凡纳滨对虾</w:t>
      </w:r>
      <w:proofErr w:type="gramEnd"/>
      <w:r>
        <w:t>[</w:t>
      </w:r>
      <w:r>
        <w:t>初始体重为（</w:t>
      </w:r>
      <w:r>
        <w:t>1.18± 0.011</w:t>
      </w:r>
      <w:r>
        <w:t>）</w:t>
      </w:r>
      <w:r>
        <w:t xml:space="preserve">g]10 </w:t>
      </w:r>
      <w:r>
        <w:t>周。结果显示：随着饲料中复合植物蛋白替代鱼粉水平的提高，</w:t>
      </w:r>
      <w:proofErr w:type="gramStart"/>
      <w:r>
        <w:t>凡纳滨对虾</w:t>
      </w:r>
      <w:proofErr w:type="gramEnd"/>
      <w:r>
        <w:t>增重率（</w:t>
      </w:r>
      <w:r>
        <w:t>WGR</w:t>
      </w:r>
      <w:r>
        <w:t>）、特定生长率（</w:t>
      </w:r>
      <w:r>
        <w:t>SGR</w:t>
      </w:r>
      <w:r>
        <w:t>）和蛋白质效率（</w:t>
      </w:r>
      <w:r>
        <w:t>PER</w:t>
      </w:r>
      <w:r>
        <w:t>）均呈下降趋势，饲料系数（</w:t>
      </w:r>
      <w:r>
        <w:t>FCR</w:t>
      </w:r>
      <w:r>
        <w:t>）则呈升高趋势。实验组中，</w:t>
      </w:r>
      <w:r>
        <w:t>14 %</w:t>
      </w:r>
      <w:proofErr w:type="gramStart"/>
      <w:r>
        <w:t>替代组</w:t>
      </w:r>
      <w:proofErr w:type="gramEnd"/>
      <w:r>
        <w:t>获得最高的</w:t>
      </w:r>
      <w:r>
        <w:t>SGR</w:t>
      </w:r>
      <w:r>
        <w:t>、</w:t>
      </w:r>
      <w:r>
        <w:t>PER</w:t>
      </w:r>
      <w:r>
        <w:t>和最低的</w:t>
      </w:r>
      <w:r>
        <w:t>FCR</w:t>
      </w:r>
      <w:r>
        <w:t>，与对照组差异不显著，</w:t>
      </w:r>
      <w:r>
        <w:t>28 %</w:t>
      </w:r>
      <w:proofErr w:type="gramStart"/>
      <w:r>
        <w:t>替代组</w:t>
      </w:r>
      <w:proofErr w:type="gramEnd"/>
      <w:r>
        <w:t>的</w:t>
      </w:r>
      <w:r>
        <w:t>PER</w:t>
      </w:r>
      <w:r>
        <w:t>和</w:t>
      </w:r>
      <w:r>
        <w:t>FCR</w:t>
      </w:r>
      <w:r>
        <w:t>与</w:t>
      </w:r>
      <w:r>
        <w:t>14 %</w:t>
      </w:r>
      <w:proofErr w:type="gramStart"/>
      <w:r>
        <w:t>替代组</w:t>
      </w:r>
      <w:proofErr w:type="gramEnd"/>
      <w:r>
        <w:t>差异不显著（</w:t>
      </w:r>
      <w:r>
        <w:rPr>
          <w:i/>
          <w:iCs/>
        </w:rPr>
        <w:t>P</w:t>
      </w:r>
      <w:r>
        <w:t>&gt;0.05</w:t>
      </w:r>
      <w:r>
        <w:t>）。各饲料组间对虾肌肉常规成分没有显著差异，但随着复合植物蛋白比例的升高粗蛋白含量有下降的趋势，粗灰分有升高的趋势</w:t>
      </w:r>
      <w:r>
        <w:t>（</w:t>
      </w:r>
      <w:r>
        <w:rPr>
          <w:i/>
          <w:iCs/>
        </w:rPr>
        <w:t>P</w:t>
      </w:r>
      <w:r>
        <w:t>&gt;0.05</w:t>
      </w:r>
      <w:r>
        <w:t>）。各饲料组间对虾氨基酸组成没有显著差异（</w:t>
      </w:r>
      <w:r>
        <w:rPr>
          <w:i/>
          <w:iCs/>
        </w:rPr>
        <w:t>P</w:t>
      </w:r>
      <w:r>
        <w:t>&gt;0.05</w:t>
      </w:r>
      <w:r>
        <w:t>）。因此，以生长和饲料效率为评价指标，</w:t>
      </w:r>
      <w:proofErr w:type="gramStart"/>
      <w:r>
        <w:t>凡纳滨对虾</w:t>
      </w:r>
      <w:proofErr w:type="gramEnd"/>
      <w:r>
        <w:t>配合饲料中复合植物蛋白替代鱼粉的最适比例为</w:t>
      </w:r>
      <w:r>
        <w:t>14 %</w:t>
      </w:r>
      <w:r>
        <w:t>。</w:t>
      </w:r>
    </w:p>
    <w:p w14:paraId="5EABC5B2" w14:textId="77777777" w:rsidR="008F75C3" w:rsidRDefault="006614AC">
      <w:r>
        <w:rPr>
          <w:b/>
          <w:bCs/>
        </w:rPr>
        <w:t>关键词：</w:t>
      </w:r>
      <w:proofErr w:type="gramStart"/>
      <w:r>
        <w:t>凡纳滨对虾</w:t>
      </w:r>
      <w:proofErr w:type="gramEnd"/>
      <w:r>
        <w:t>；复合植物蛋白；鱼粉；替代；生长性能</w:t>
      </w:r>
    </w:p>
    <w:p w14:paraId="7ECC39AB" w14:textId="77777777" w:rsidR="008F75C3" w:rsidRDefault="006614AC">
      <w:pPr>
        <w:jc w:val="center"/>
        <w:rPr>
          <w:b/>
          <w:bCs/>
          <w:i/>
          <w:iCs/>
          <w:sz w:val="24"/>
        </w:rPr>
      </w:pPr>
      <w:r>
        <w:rPr>
          <w:b/>
          <w:bCs/>
          <w:sz w:val="24"/>
        </w:rPr>
        <w:t xml:space="preserve">Effects of Replacing Fish Meal with Compound Vegetable Proteins on Growth </w:t>
      </w:r>
      <w:proofErr w:type="spellStart"/>
      <w:r>
        <w:rPr>
          <w:b/>
          <w:bCs/>
          <w:sz w:val="24"/>
        </w:rPr>
        <w:t>Performanceand</w:t>
      </w:r>
      <w:proofErr w:type="spellEnd"/>
      <w:r>
        <w:rPr>
          <w:b/>
          <w:bCs/>
          <w:sz w:val="24"/>
        </w:rPr>
        <w:t xml:space="preserve"> Body Composition of </w:t>
      </w:r>
      <w:proofErr w:type="spellStart"/>
      <w:r>
        <w:rPr>
          <w:b/>
          <w:bCs/>
          <w:i/>
          <w:iCs/>
          <w:sz w:val="24"/>
        </w:rPr>
        <w:t>Litopenaeus</w:t>
      </w:r>
      <w:proofErr w:type="spellEnd"/>
      <w:r>
        <w:rPr>
          <w:b/>
          <w:bCs/>
          <w:i/>
          <w:iCs/>
          <w:sz w:val="24"/>
        </w:rPr>
        <w:t xml:space="preserve"> </w:t>
      </w:r>
      <w:proofErr w:type="spellStart"/>
      <w:r>
        <w:rPr>
          <w:b/>
          <w:bCs/>
          <w:i/>
          <w:iCs/>
          <w:sz w:val="24"/>
        </w:rPr>
        <w:t>vannamei</w:t>
      </w:r>
      <w:proofErr w:type="spellEnd"/>
    </w:p>
    <w:p w14:paraId="7BCD468F" w14:textId="77777777" w:rsidR="008F75C3" w:rsidRDefault="006614AC">
      <w:pPr>
        <w:jc w:val="center"/>
        <w:rPr>
          <w:szCs w:val="21"/>
        </w:rPr>
      </w:pPr>
      <w:r>
        <w:rPr>
          <w:szCs w:val="21"/>
        </w:rPr>
        <w:t xml:space="preserve">XU </w:t>
      </w:r>
      <w:r>
        <w:rPr>
          <w:szCs w:val="21"/>
        </w:rPr>
        <w:t>Tiantian</w:t>
      </w:r>
      <w:r>
        <w:rPr>
          <w:szCs w:val="21"/>
          <w:vertAlign w:val="superscript"/>
        </w:rPr>
        <w:t xml:space="preserve">1 </w:t>
      </w:r>
      <w:r>
        <w:rPr>
          <w:szCs w:val="21"/>
        </w:rPr>
        <w:t>WANG Jing</w:t>
      </w:r>
      <w:r>
        <w:rPr>
          <w:szCs w:val="21"/>
          <w:vertAlign w:val="superscript"/>
        </w:rPr>
        <w:t xml:space="preserve">1,2 </w:t>
      </w:r>
      <w:r>
        <w:rPr>
          <w:szCs w:val="21"/>
        </w:rPr>
        <w:t>XU Dan</w:t>
      </w:r>
      <w:r>
        <w:rPr>
          <w:szCs w:val="21"/>
          <w:vertAlign w:val="superscript"/>
        </w:rPr>
        <w:t>1</w:t>
      </w:r>
      <w:r>
        <w:rPr>
          <w:szCs w:val="21"/>
        </w:rPr>
        <w:t xml:space="preserve"> LIU Xingwang</w:t>
      </w:r>
      <w:r>
        <w:rPr>
          <w:szCs w:val="21"/>
          <w:vertAlign w:val="superscript"/>
        </w:rPr>
        <w:t>3*</w:t>
      </w:r>
      <w:r>
        <w:rPr>
          <w:szCs w:val="21"/>
        </w:rPr>
        <w:t xml:space="preserve"> LI Guoli</w:t>
      </w:r>
      <w:r>
        <w:rPr>
          <w:szCs w:val="21"/>
          <w:vertAlign w:val="superscript"/>
        </w:rPr>
        <w:t xml:space="preserve">4,5 </w:t>
      </w:r>
      <w:r>
        <w:rPr>
          <w:szCs w:val="21"/>
        </w:rPr>
        <w:t>WANG Guoxia</w:t>
      </w:r>
      <w:r>
        <w:rPr>
          <w:szCs w:val="21"/>
          <w:vertAlign w:val="superscript"/>
        </w:rPr>
        <w:t>5</w:t>
      </w:r>
    </w:p>
    <w:p w14:paraId="0D18DC74" w14:textId="77777777" w:rsidR="008F75C3" w:rsidRDefault="006614AC">
      <w:pPr>
        <w:jc w:val="center"/>
        <w:rPr>
          <w:i/>
          <w:iCs/>
          <w:szCs w:val="21"/>
        </w:rPr>
      </w:pPr>
      <w:r>
        <w:rPr>
          <w:i/>
          <w:iCs/>
          <w:szCs w:val="21"/>
        </w:rPr>
        <w:t>(</w:t>
      </w:r>
      <w:r>
        <w:rPr>
          <w:szCs w:val="21"/>
        </w:rPr>
        <w:t>1.</w:t>
      </w:r>
      <w:r>
        <w:rPr>
          <w:i/>
          <w:iCs/>
          <w:szCs w:val="21"/>
        </w:rPr>
        <w:t xml:space="preserve"> College of Fisheries and Life Science</w:t>
      </w:r>
      <w:r>
        <w:rPr>
          <w:szCs w:val="21"/>
        </w:rPr>
        <w:t xml:space="preserve">, </w:t>
      </w:r>
      <w:r>
        <w:rPr>
          <w:i/>
          <w:iCs/>
          <w:szCs w:val="21"/>
        </w:rPr>
        <w:t>Shanghai Ocean University, Shanghai</w:t>
      </w:r>
      <w:r>
        <w:rPr>
          <w:szCs w:val="21"/>
        </w:rPr>
        <w:t xml:space="preserve"> 201306,</w:t>
      </w:r>
      <w:r>
        <w:rPr>
          <w:i/>
          <w:iCs/>
          <w:szCs w:val="21"/>
        </w:rPr>
        <w:t xml:space="preserve"> China</w:t>
      </w:r>
      <w:r>
        <w:rPr>
          <w:szCs w:val="21"/>
        </w:rPr>
        <w:t>; 2.</w:t>
      </w:r>
      <w:r>
        <w:rPr>
          <w:i/>
          <w:iCs/>
          <w:szCs w:val="21"/>
        </w:rPr>
        <w:t xml:space="preserve"> People's Government of </w:t>
      </w:r>
      <w:proofErr w:type="spellStart"/>
      <w:r>
        <w:rPr>
          <w:i/>
          <w:iCs/>
          <w:szCs w:val="21"/>
        </w:rPr>
        <w:t>Liuzhuang</w:t>
      </w:r>
      <w:proofErr w:type="spellEnd"/>
      <w:r>
        <w:rPr>
          <w:i/>
          <w:iCs/>
          <w:szCs w:val="21"/>
        </w:rPr>
        <w:t xml:space="preserve"> Town, Yancheng City</w:t>
      </w:r>
      <w:r>
        <w:rPr>
          <w:szCs w:val="21"/>
        </w:rPr>
        <w:t>,</w:t>
      </w:r>
      <w:r>
        <w:rPr>
          <w:i/>
          <w:iCs/>
          <w:szCs w:val="21"/>
        </w:rPr>
        <w:t xml:space="preserve"> Jiangsu Yancheng</w:t>
      </w:r>
      <w:r>
        <w:rPr>
          <w:szCs w:val="21"/>
        </w:rPr>
        <w:t xml:space="preserve"> 224111,</w:t>
      </w:r>
      <w:r>
        <w:rPr>
          <w:i/>
          <w:iCs/>
          <w:szCs w:val="21"/>
        </w:rPr>
        <w:t xml:space="preserve"> China</w:t>
      </w:r>
      <w:r>
        <w:rPr>
          <w:szCs w:val="21"/>
        </w:rPr>
        <w:t>;</w:t>
      </w:r>
      <w:r>
        <w:rPr>
          <w:i/>
          <w:iCs/>
          <w:szCs w:val="21"/>
        </w:rPr>
        <w:t xml:space="preserve"> </w:t>
      </w:r>
      <w:r>
        <w:rPr>
          <w:szCs w:val="21"/>
        </w:rPr>
        <w:t>3.</w:t>
      </w:r>
      <w:r>
        <w:rPr>
          <w:i/>
          <w:iCs/>
          <w:szCs w:val="21"/>
        </w:rPr>
        <w:t xml:space="preserve"> Shanghai </w:t>
      </w:r>
      <w:proofErr w:type="spellStart"/>
      <w:r>
        <w:rPr>
          <w:i/>
          <w:iCs/>
          <w:szCs w:val="21"/>
        </w:rPr>
        <w:t>Moryo</w:t>
      </w:r>
      <w:proofErr w:type="spellEnd"/>
      <w:r>
        <w:rPr>
          <w:i/>
          <w:iCs/>
          <w:szCs w:val="21"/>
        </w:rPr>
        <w:t xml:space="preserve"> Technology Co</w:t>
      </w:r>
      <w:r>
        <w:rPr>
          <w:szCs w:val="21"/>
        </w:rPr>
        <w:t>.,</w:t>
      </w:r>
      <w:r>
        <w:rPr>
          <w:i/>
          <w:iCs/>
          <w:szCs w:val="21"/>
        </w:rPr>
        <w:t xml:space="preserve"> Ltd</w:t>
      </w:r>
      <w:r>
        <w:rPr>
          <w:szCs w:val="21"/>
        </w:rPr>
        <w:t xml:space="preserve">., </w:t>
      </w:r>
      <w:r>
        <w:rPr>
          <w:i/>
          <w:iCs/>
          <w:szCs w:val="21"/>
        </w:rPr>
        <w:t xml:space="preserve">Shanghai </w:t>
      </w:r>
      <w:r>
        <w:rPr>
          <w:szCs w:val="21"/>
        </w:rPr>
        <w:t>201306</w:t>
      </w:r>
      <w:r>
        <w:rPr>
          <w:i/>
          <w:iCs/>
          <w:szCs w:val="21"/>
        </w:rPr>
        <w:t>, China</w:t>
      </w:r>
      <w:r>
        <w:rPr>
          <w:szCs w:val="21"/>
        </w:rPr>
        <w:t>;</w:t>
      </w:r>
      <w:r>
        <w:rPr>
          <w:i/>
          <w:iCs/>
          <w:szCs w:val="21"/>
        </w:rPr>
        <w:t xml:space="preserve"> </w:t>
      </w:r>
      <w:r>
        <w:rPr>
          <w:szCs w:val="21"/>
        </w:rPr>
        <w:t>4.</w:t>
      </w:r>
      <w:r>
        <w:rPr>
          <w:i/>
          <w:iCs/>
          <w:szCs w:val="21"/>
        </w:rPr>
        <w:t xml:space="preserve"> Guangzhou </w:t>
      </w:r>
      <w:proofErr w:type="spellStart"/>
      <w:r>
        <w:rPr>
          <w:i/>
          <w:iCs/>
          <w:szCs w:val="21"/>
        </w:rPr>
        <w:t>Fishtech</w:t>
      </w:r>
      <w:proofErr w:type="spellEnd"/>
      <w:r>
        <w:rPr>
          <w:i/>
          <w:iCs/>
          <w:szCs w:val="21"/>
        </w:rPr>
        <w:t xml:space="preserve"> Biotechnology Co</w:t>
      </w:r>
      <w:r>
        <w:rPr>
          <w:szCs w:val="21"/>
        </w:rPr>
        <w:t>.,</w:t>
      </w:r>
      <w:r>
        <w:rPr>
          <w:i/>
          <w:iCs/>
          <w:szCs w:val="21"/>
        </w:rPr>
        <w:t xml:space="preserve"> Ltd</w:t>
      </w:r>
      <w:r>
        <w:rPr>
          <w:szCs w:val="21"/>
        </w:rPr>
        <w:t>.,</w:t>
      </w:r>
      <w:r>
        <w:rPr>
          <w:i/>
          <w:iCs/>
          <w:szCs w:val="21"/>
        </w:rPr>
        <w:t xml:space="preserve"> Guangdong Guangzhou 510640, China</w:t>
      </w:r>
      <w:r>
        <w:rPr>
          <w:szCs w:val="21"/>
        </w:rPr>
        <w:t>;</w:t>
      </w:r>
      <w:r>
        <w:rPr>
          <w:i/>
          <w:iCs/>
          <w:szCs w:val="21"/>
        </w:rPr>
        <w:t xml:space="preserve"> </w:t>
      </w:r>
      <w:r>
        <w:rPr>
          <w:szCs w:val="21"/>
        </w:rPr>
        <w:t>5</w:t>
      </w:r>
      <w:r>
        <w:rPr>
          <w:i/>
          <w:iCs/>
          <w:szCs w:val="21"/>
        </w:rPr>
        <w:t>. Institute of Animal Science, Guangdong Academy of Agricultural Sciences</w:t>
      </w:r>
      <w:r>
        <w:rPr>
          <w:szCs w:val="21"/>
        </w:rPr>
        <w:t>,</w:t>
      </w:r>
      <w:r>
        <w:rPr>
          <w:i/>
          <w:iCs/>
          <w:szCs w:val="21"/>
        </w:rPr>
        <w:t xml:space="preserve"> Guangdong Guangzhou </w:t>
      </w:r>
      <w:r>
        <w:rPr>
          <w:szCs w:val="21"/>
        </w:rPr>
        <w:t>510640,</w:t>
      </w:r>
      <w:r>
        <w:rPr>
          <w:i/>
          <w:iCs/>
          <w:szCs w:val="21"/>
        </w:rPr>
        <w:t xml:space="preserve"> China)</w:t>
      </w:r>
    </w:p>
    <w:p w14:paraId="0DCE1567" w14:textId="77777777" w:rsidR="008F75C3" w:rsidRDefault="006614AC">
      <w:pPr>
        <w:rPr>
          <w:szCs w:val="21"/>
        </w:rPr>
      </w:pPr>
      <w:r>
        <w:rPr>
          <w:b/>
          <w:bCs/>
          <w:szCs w:val="21"/>
        </w:rPr>
        <w:t>A</w:t>
      </w:r>
      <w:r>
        <w:rPr>
          <w:b/>
          <w:bCs/>
          <w:szCs w:val="21"/>
        </w:rPr>
        <w:t>bstract</w:t>
      </w:r>
      <w:r>
        <w:rPr>
          <w:b/>
          <w:bCs/>
          <w:szCs w:val="21"/>
        </w:rPr>
        <w:t>：</w:t>
      </w:r>
      <w:r>
        <w:rPr>
          <w:szCs w:val="21"/>
        </w:rPr>
        <w:t>This experiment was conducted to evaluate the growth, survival and body composition of Pacific white shrimp (</w:t>
      </w:r>
      <w:proofErr w:type="spellStart"/>
      <w:r>
        <w:rPr>
          <w:i/>
          <w:iCs/>
          <w:szCs w:val="21"/>
        </w:rPr>
        <w:t>Litopenaeus</w:t>
      </w:r>
      <w:proofErr w:type="spellEnd"/>
      <w:r>
        <w:rPr>
          <w:i/>
          <w:iCs/>
          <w:szCs w:val="21"/>
        </w:rPr>
        <w:t xml:space="preserve"> </w:t>
      </w:r>
      <w:proofErr w:type="spellStart"/>
      <w:r>
        <w:rPr>
          <w:i/>
          <w:iCs/>
          <w:szCs w:val="21"/>
        </w:rPr>
        <w:t>vannamei</w:t>
      </w:r>
      <w:proofErr w:type="spellEnd"/>
      <w:r>
        <w:rPr>
          <w:szCs w:val="21"/>
        </w:rPr>
        <w:t>) in response to the replacement of fish meal with compound vegetable proteins (MVP). MVP included soybean meal, peanut</w:t>
      </w:r>
      <w:r>
        <w:rPr>
          <w:szCs w:val="21"/>
        </w:rPr>
        <w:t xml:space="preserve"> cake, corn gluten meal and rapeseed meal with a ratio of 4</w:t>
      </w:r>
      <w:r>
        <w:rPr>
          <w:szCs w:val="21"/>
        </w:rPr>
        <w:t>：</w:t>
      </w:r>
      <w:r>
        <w:rPr>
          <w:szCs w:val="21"/>
        </w:rPr>
        <w:t>3</w:t>
      </w:r>
      <w:r>
        <w:rPr>
          <w:szCs w:val="21"/>
        </w:rPr>
        <w:t>：</w:t>
      </w:r>
      <w:r>
        <w:rPr>
          <w:szCs w:val="21"/>
        </w:rPr>
        <w:t>1</w:t>
      </w:r>
      <w:r>
        <w:rPr>
          <w:szCs w:val="21"/>
        </w:rPr>
        <w:t>：</w:t>
      </w:r>
      <w:r>
        <w:rPr>
          <w:szCs w:val="21"/>
        </w:rPr>
        <w:t xml:space="preserve">1. Six isonitrogenous and </w:t>
      </w:r>
      <w:proofErr w:type="spellStart"/>
      <w:r>
        <w:rPr>
          <w:szCs w:val="21"/>
        </w:rPr>
        <w:t>isolipdic</w:t>
      </w:r>
      <w:proofErr w:type="spellEnd"/>
      <w:r>
        <w:rPr>
          <w:szCs w:val="21"/>
        </w:rPr>
        <w:t xml:space="preserve"> experimental diets were formulated by replacing 0 (control), 14 %, 28 %, 42 %, 56 % and 70 % fish meal with MVP. Shrimp with initial weight of (1.18±0.011) </w:t>
      </w:r>
      <w:r>
        <w:rPr>
          <w:szCs w:val="21"/>
        </w:rPr>
        <w:t xml:space="preserve">g were fed these </w:t>
      </w:r>
      <w:r>
        <w:rPr>
          <w:szCs w:val="21"/>
        </w:rPr>
        <w:lastRenderedPageBreak/>
        <w:t xml:space="preserve">experimental diets for 10 weeks in an indoor flow-through water system. The results showed that the weight gain rate (WGR), specific growth rate (SGR) and protein efficiency ratio (PER) of shrimp decreased in different degrees. Meanwhiles </w:t>
      </w:r>
      <w:r>
        <w:rPr>
          <w:szCs w:val="21"/>
        </w:rPr>
        <w:t xml:space="preserve">the feed conversion ratio (FCR) increased in different degrees as the replacement level of compound vegetable proteins. The 14 % </w:t>
      </w:r>
      <w:proofErr w:type="spellStart"/>
      <w:r>
        <w:rPr>
          <w:szCs w:val="21"/>
        </w:rPr>
        <w:t>repleacement</w:t>
      </w:r>
      <w:proofErr w:type="spellEnd"/>
      <w:r>
        <w:rPr>
          <w:szCs w:val="21"/>
        </w:rPr>
        <w:t xml:space="preserve"> group achieved the highest SGR, PER and lowest FCR among the experiment groups. There was no significant differenc</w:t>
      </w:r>
      <w:r>
        <w:rPr>
          <w:szCs w:val="21"/>
        </w:rPr>
        <w:t xml:space="preserve">e between 28 % </w:t>
      </w:r>
      <w:proofErr w:type="spellStart"/>
      <w:r>
        <w:rPr>
          <w:szCs w:val="21"/>
        </w:rPr>
        <w:t>repleacement</w:t>
      </w:r>
      <w:proofErr w:type="spellEnd"/>
      <w:r>
        <w:rPr>
          <w:szCs w:val="21"/>
        </w:rPr>
        <w:t xml:space="preserve"> group and the 14 % </w:t>
      </w:r>
      <w:proofErr w:type="spellStart"/>
      <w:r>
        <w:rPr>
          <w:szCs w:val="21"/>
        </w:rPr>
        <w:t>repleacement</w:t>
      </w:r>
      <w:proofErr w:type="spellEnd"/>
      <w:r>
        <w:rPr>
          <w:szCs w:val="21"/>
        </w:rPr>
        <w:t xml:space="preserve"> group on PER and FCR (</w:t>
      </w:r>
      <w:r>
        <w:rPr>
          <w:i/>
          <w:iCs/>
          <w:szCs w:val="21"/>
        </w:rPr>
        <w:t>P</w:t>
      </w:r>
      <w:r>
        <w:rPr>
          <w:szCs w:val="21"/>
        </w:rPr>
        <w:t>&gt;0.05). There was no significant difference in the composition of muscle among different groups (</w:t>
      </w:r>
      <w:r>
        <w:rPr>
          <w:i/>
          <w:iCs/>
          <w:szCs w:val="21"/>
        </w:rPr>
        <w:t>P</w:t>
      </w:r>
      <w:r>
        <w:rPr>
          <w:szCs w:val="21"/>
        </w:rPr>
        <w:t xml:space="preserve">&gt;0.05). However, with the increase of the ratio of compound </w:t>
      </w:r>
      <w:r>
        <w:rPr>
          <w:szCs w:val="21"/>
        </w:rPr>
        <w:t>protein, the crude protein content was gradually decreased, while the crude ash content was gradually increased (</w:t>
      </w:r>
      <w:r>
        <w:rPr>
          <w:i/>
          <w:iCs/>
          <w:szCs w:val="21"/>
        </w:rPr>
        <w:t>P</w:t>
      </w:r>
      <w:r>
        <w:rPr>
          <w:szCs w:val="21"/>
        </w:rPr>
        <w:t>&gt;0.05). There was no significant difference in amino acid composition between feed groups (</w:t>
      </w:r>
      <w:r>
        <w:rPr>
          <w:i/>
          <w:iCs/>
          <w:szCs w:val="21"/>
        </w:rPr>
        <w:t>P</w:t>
      </w:r>
      <w:r>
        <w:rPr>
          <w:szCs w:val="21"/>
        </w:rPr>
        <w:t>&gt;0.05). Therefore, based on the growth performance</w:t>
      </w:r>
      <w:r>
        <w:rPr>
          <w:szCs w:val="21"/>
        </w:rPr>
        <w:t xml:space="preserve"> and feed efficiency ratios of the Pacific white shrimp </w:t>
      </w:r>
      <w:r>
        <w:rPr>
          <w:i/>
          <w:iCs/>
          <w:szCs w:val="21"/>
        </w:rPr>
        <w:t>(</w:t>
      </w:r>
      <w:proofErr w:type="spellStart"/>
      <w:r>
        <w:rPr>
          <w:i/>
          <w:iCs/>
          <w:szCs w:val="21"/>
        </w:rPr>
        <w:t>Litopenaeus</w:t>
      </w:r>
      <w:proofErr w:type="spellEnd"/>
      <w:r>
        <w:rPr>
          <w:i/>
          <w:iCs/>
          <w:szCs w:val="21"/>
        </w:rPr>
        <w:t xml:space="preserve"> </w:t>
      </w:r>
      <w:proofErr w:type="spellStart"/>
      <w:r>
        <w:rPr>
          <w:i/>
          <w:iCs/>
          <w:szCs w:val="21"/>
        </w:rPr>
        <w:t>vannamei</w:t>
      </w:r>
      <w:proofErr w:type="spellEnd"/>
      <w:r>
        <w:rPr>
          <w:i/>
          <w:iCs/>
          <w:szCs w:val="21"/>
        </w:rPr>
        <w:t>)</w:t>
      </w:r>
      <w:r>
        <w:rPr>
          <w:szCs w:val="21"/>
        </w:rPr>
        <w:t xml:space="preserve"> as evaluation indexes, the optimal replacement level of MVP to fish meal in the diet should be 14 %.</w:t>
      </w:r>
    </w:p>
    <w:p w14:paraId="3617B9EE" w14:textId="77777777" w:rsidR="008F75C3" w:rsidRDefault="006614AC">
      <w:pPr>
        <w:rPr>
          <w:szCs w:val="21"/>
        </w:rPr>
      </w:pPr>
      <w:r>
        <w:rPr>
          <w:b/>
          <w:bCs/>
          <w:szCs w:val="21"/>
        </w:rPr>
        <w:t>Key words</w:t>
      </w:r>
      <w:r>
        <w:rPr>
          <w:b/>
          <w:bCs/>
          <w:szCs w:val="21"/>
        </w:rPr>
        <w:t>：</w:t>
      </w:r>
      <w:proofErr w:type="spellStart"/>
      <w:r>
        <w:rPr>
          <w:i/>
          <w:iCs/>
          <w:szCs w:val="21"/>
        </w:rPr>
        <w:t>Litopenaeus</w:t>
      </w:r>
      <w:proofErr w:type="spellEnd"/>
      <w:r>
        <w:rPr>
          <w:i/>
          <w:iCs/>
          <w:szCs w:val="21"/>
        </w:rPr>
        <w:t xml:space="preserve"> </w:t>
      </w:r>
      <w:proofErr w:type="spellStart"/>
      <w:r>
        <w:rPr>
          <w:i/>
          <w:iCs/>
          <w:szCs w:val="21"/>
        </w:rPr>
        <w:t>vannamei</w:t>
      </w:r>
      <w:proofErr w:type="spellEnd"/>
      <w:r>
        <w:rPr>
          <w:szCs w:val="21"/>
        </w:rPr>
        <w:t>; compound vegetable proteins; fish meal; repl</w:t>
      </w:r>
      <w:r>
        <w:rPr>
          <w:szCs w:val="21"/>
        </w:rPr>
        <w:t>acement; growth performance</w:t>
      </w:r>
    </w:p>
    <w:p w14:paraId="4744AB10" w14:textId="77777777" w:rsidR="008F75C3" w:rsidRDefault="008F75C3">
      <w:pPr>
        <w:jc w:val="center"/>
        <w:rPr>
          <w:szCs w:val="21"/>
        </w:rPr>
      </w:pPr>
    </w:p>
    <w:p w14:paraId="30636938" w14:textId="77777777" w:rsidR="008F75C3" w:rsidRDefault="006614AC">
      <w:pPr>
        <w:spacing w:line="360" w:lineRule="auto"/>
        <w:ind w:firstLineChars="200" w:firstLine="480"/>
        <w:rPr>
          <w:sz w:val="24"/>
        </w:rPr>
      </w:pPr>
      <w:proofErr w:type="gramStart"/>
      <w:r>
        <w:rPr>
          <w:sz w:val="24"/>
        </w:rPr>
        <w:t>凡纳滨对虾</w:t>
      </w:r>
      <w:proofErr w:type="gramEnd"/>
      <w:r>
        <w:rPr>
          <w:sz w:val="24"/>
        </w:rPr>
        <w:t>（</w:t>
      </w:r>
      <w:proofErr w:type="spellStart"/>
      <w:r>
        <w:rPr>
          <w:i/>
          <w:iCs/>
          <w:sz w:val="24"/>
        </w:rPr>
        <w:t>Litopenaeus</w:t>
      </w:r>
      <w:proofErr w:type="spellEnd"/>
      <w:r>
        <w:rPr>
          <w:i/>
          <w:iCs/>
          <w:sz w:val="24"/>
        </w:rPr>
        <w:t xml:space="preserve"> </w:t>
      </w:r>
      <w:proofErr w:type="spellStart"/>
      <w:r>
        <w:rPr>
          <w:i/>
          <w:iCs/>
          <w:sz w:val="24"/>
        </w:rPr>
        <w:t>vannamei</w:t>
      </w:r>
      <w:proofErr w:type="spellEnd"/>
      <w:r>
        <w:rPr>
          <w:sz w:val="24"/>
        </w:rPr>
        <w:t>）俗称南美白对虾，具有个体大、生长快、营养需求低、抗病力强等优点，是一种优良的养殖品种</w:t>
      </w:r>
      <w:r>
        <w:rPr>
          <w:sz w:val="24"/>
          <w:vertAlign w:val="superscript"/>
        </w:rPr>
        <w:t>[1]</w:t>
      </w:r>
      <w:r>
        <w:rPr>
          <w:sz w:val="24"/>
        </w:rPr>
        <w:t>。据统计，我国南美白对虾年产量已超过</w:t>
      </w:r>
      <w:r>
        <w:rPr>
          <w:sz w:val="24"/>
        </w:rPr>
        <w:t>100</w:t>
      </w:r>
      <w:r>
        <w:rPr>
          <w:sz w:val="24"/>
        </w:rPr>
        <w:t>万吨，成为我国最重要的甲壳类养殖动物</w:t>
      </w:r>
      <w:r>
        <w:rPr>
          <w:sz w:val="24"/>
          <w:vertAlign w:val="superscript"/>
        </w:rPr>
        <w:t>[2]</w:t>
      </w:r>
      <w:r>
        <w:rPr>
          <w:sz w:val="24"/>
        </w:rPr>
        <w:t>。随着对虾养殖业的快速发展，对虾饲料需求量也逐年增加。其中，鱼粉因其营养全面、适口性强的优势被广泛使用</w:t>
      </w:r>
      <w:r>
        <w:rPr>
          <w:sz w:val="24"/>
          <w:vertAlign w:val="superscript"/>
        </w:rPr>
        <w:t>[3]</w:t>
      </w:r>
      <w:r>
        <w:rPr>
          <w:sz w:val="24"/>
        </w:rPr>
        <w:t>。但随着全球渔业资源的匮乏和鱼粉需求量不断增大，鱼粉价格不断上涨，供需矛盾日渐突出。因此，开发可再生的替代蛋白源是影响</w:t>
      </w:r>
      <w:r>
        <w:rPr>
          <w:sz w:val="24"/>
        </w:rPr>
        <w:t>对虾养殖业盈利的关键因素</w:t>
      </w:r>
      <w:r>
        <w:rPr>
          <w:sz w:val="24"/>
          <w:vertAlign w:val="superscript"/>
        </w:rPr>
        <w:t>[4]</w:t>
      </w:r>
      <w:r>
        <w:rPr>
          <w:sz w:val="24"/>
        </w:rPr>
        <w:t>。</w:t>
      </w:r>
    </w:p>
    <w:p w14:paraId="70C84C1A" w14:textId="77777777" w:rsidR="008F75C3" w:rsidRDefault="006614AC">
      <w:pPr>
        <w:spacing w:line="360" w:lineRule="auto"/>
        <w:ind w:firstLineChars="200" w:firstLine="480"/>
        <w:rPr>
          <w:sz w:val="24"/>
        </w:rPr>
      </w:pPr>
      <w:r>
        <w:rPr>
          <w:sz w:val="24"/>
        </w:rPr>
        <w:t>在各种替代蛋白源中，植物蛋白因其来源广泛、产量大、可再生等优势成为研究的热点</w:t>
      </w:r>
      <w:r>
        <w:rPr>
          <w:sz w:val="24"/>
          <w:vertAlign w:val="superscript"/>
        </w:rPr>
        <w:t>[5]</w:t>
      </w:r>
      <w:r>
        <w:rPr>
          <w:sz w:val="24"/>
        </w:rPr>
        <w:t>。其中，使用量较大的是豆</w:t>
      </w:r>
      <w:proofErr w:type="gramStart"/>
      <w:r>
        <w:rPr>
          <w:sz w:val="24"/>
        </w:rPr>
        <w:t>粕</w:t>
      </w:r>
      <w:proofErr w:type="gramEnd"/>
      <w:r>
        <w:rPr>
          <w:sz w:val="24"/>
        </w:rPr>
        <w:t>。前人研究发现饲料中使用</w:t>
      </w:r>
      <w:r>
        <w:rPr>
          <w:sz w:val="24"/>
        </w:rPr>
        <w:t>56 %</w:t>
      </w:r>
      <w:r>
        <w:rPr>
          <w:sz w:val="24"/>
        </w:rPr>
        <w:t>的豆</w:t>
      </w:r>
      <w:proofErr w:type="gramStart"/>
      <w:r>
        <w:rPr>
          <w:sz w:val="24"/>
        </w:rPr>
        <w:t>粕</w:t>
      </w:r>
      <w:proofErr w:type="gramEnd"/>
      <w:r>
        <w:rPr>
          <w:sz w:val="24"/>
        </w:rPr>
        <w:t>对</w:t>
      </w:r>
      <w:proofErr w:type="gramStart"/>
      <w:r>
        <w:rPr>
          <w:sz w:val="24"/>
        </w:rPr>
        <w:t>凡纳滨对虾</w:t>
      </w:r>
      <w:proofErr w:type="gramEnd"/>
      <w:r>
        <w:rPr>
          <w:sz w:val="24"/>
        </w:rPr>
        <w:t>生长及饲料转化没有产生显著影响</w:t>
      </w:r>
      <w:r>
        <w:rPr>
          <w:sz w:val="24"/>
          <w:vertAlign w:val="superscript"/>
        </w:rPr>
        <w:t>[6]</w:t>
      </w:r>
      <w:r>
        <w:rPr>
          <w:sz w:val="24"/>
        </w:rPr>
        <w:t>。此外，针对花生饼、菜</w:t>
      </w:r>
      <w:proofErr w:type="gramStart"/>
      <w:r>
        <w:rPr>
          <w:sz w:val="24"/>
        </w:rPr>
        <w:t>粕</w:t>
      </w:r>
      <w:proofErr w:type="gramEnd"/>
      <w:r>
        <w:rPr>
          <w:sz w:val="24"/>
        </w:rPr>
        <w:t>、玉米蛋白粉等在</w:t>
      </w:r>
      <w:proofErr w:type="gramStart"/>
      <w:r>
        <w:rPr>
          <w:sz w:val="24"/>
        </w:rPr>
        <w:t>凡纳滨对虾</w:t>
      </w:r>
      <w:proofErr w:type="gramEnd"/>
      <w:r>
        <w:rPr>
          <w:sz w:val="24"/>
        </w:rPr>
        <w:t>饲料中的应用也有一些相关研究</w:t>
      </w:r>
      <w:r>
        <w:rPr>
          <w:sz w:val="24"/>
          <w:vertAlign w:val="superscript"/>
        </w:rPr>
        <w:t>[7-8]</w:t>
      </w:r>
      <w:r>
        <w:rPr>
          <w:sz w:val="24"/>
        </w:rPr>
        <w:t>。这些研究均发现，单一植物蛋白替代鱼粉可能因原料中的氨基酸不平衡，抗营养因子难以去除以及霉菌毒素普遍存在等因素造成替代水平受限。因此，探讨使用不同植物蛋白源组合，提高其在对虾配合饲料中的利用率可能</w:t>
      </w:r>
      <w:r>
        <w:rPr>
          <w:sz w:val="24"/>
        </w:rPr>
        <w:t>是提高植物蛋白在水产动物中使用量的有效手段</w:t>
      </w:r>
      <w:r>
        <w:rPr>
          <w:sz w:val="24"/>
          <w:vertAlign w:val="superscript"/>
        </w:rPr>
        <w:t>[3]</w:t>
      </w:r>
      <w:r>
        <w:rPr>
          <w:sz w:val="24"/>
        </w:rPr>
        <w:t>。本实验以目前对虾饲料中常用的植物蛋白源豆</w:t>
      </w:r>
      <w:proofErr w:type="gramStart"/>
      <w:r>
        <w:rPr>
          <w:sz w:val="24"/>
        </w:rPr>
        <w:t>粕</w:t>
      </w:r>
      <w:proofErr w:type="gramEnd"/>
      <w:r>
        <w:rPr>
          <w:sz w:val="24"/>
        </w:rPr>
        <w:t>、花生饼、玉米蛋白粉和菜籽</w:t>
      </w:r>
      <w:proofErr w:type="gramStart"/>
      <w:r>
        <w:rPr>
          <w:sz w:val="24"/>
        </w:rPr>
        <w:t>粕</w:t>
      </w:r>
      <w:proofErr w:type="gramEnd"/>
      <w:r>
        <w:rPr>
          <w:sz w:val="24"/>
        </w:rPr>
        <w:t>相互复合搭配（</w:t>
      </w:r>
      <w:r>
        <w:rPr>
          <w:sz w:val="24"/>
        </w:rPr>
        <w:t>4</w:t>
      </w:r>
      <w:r>
        <w:rPr>
          <w:sz w:val="24"/>
        </w:rPr>
        <w:t>：</w:t>
      </w:r>
      <w:r>
        <w:rPr>
          <w:sz w:val="24"/>
        </w:rPr>
        <w:t>3</w:t>
      </w:r>
      <w:r>
        <w:rPr>
          <w:sz w:val="24"/>
        </w:rPr>
        <w:t>：</w:t>
      </w:r>
      <w:r>
        <w:rPr>
          <w:sz w:val="24"/>
        </w:rPr>
        <w:t>1</w:t>
      </w:r>
      <w:r>
        <w:rPr>
          <w:sz w:val="24"/>
        </w:rPr>
        <w:t>：</w:t>
      </w:r>
      <w:r>
        <w:rPr>
          <w:sz w:val="24"/>
        </w:rPr>
        <w:t>1</w:t>
      </w:r>
      <w:r>
        <w:rPr>
          <w:sz w:val="24"/>
        </w:rPr>
        <w:t>）替代不同梯度的鱼粉，配制成等氮等能的饲料。旨在研究饲料中复合植物蛋白替代鱼粉的水平对</w:t>
      </w:r>
      <w:proofErr w:type="gramStart"/>
      <w:r>
        <w:rPr>
          <w:sz w:val="24"/>
        </w:rPr>
        <w:t>凡纳滨对虾</w:t>
      </w:r>
      <w:proofErr w:type="gramEnd"/>
      <w:r>
        <w:rPr>
          <w:sz w:val="24"/>
        </w:rPr>
        <w:t>生长及体组成的影响，以期为对虾配合饲料开发提供更多数据参考。</w:t>
      </w:r>
    </w:p>
    <w:p w14:paraId="4F1C7B94" w14:textId="77777777" w:rsidR="008F75C3" w:rsidRDefault="006614AC">
      <w:pPr>
        <w:spacing w:line="360" w:lineRule="auto"/>
        <w:rPr>
          <w:sz w:val="24"/>
        </w:rPr>
      </w:pPr>
      <w:r>
        <w:rPr>
          <w:sz w:val="24"/>
        </w:rPr>
        <w:t xml:space="preserve">1  </w:t>
      </w:r>
      <w:r>
        <w:rPr>
          <w:sz w:val="24"/>
        </w:rPr>
        <w:t>材料与方法</w:t>
      </w:r>
    </w:p>
    <w:p w14:paraId="12BDB99B" w14:textId="77777777" w:rsidR="008F75C3" w:rsidRDefault="006614AC">
      <w:pPr>
        <w:spacing w:line="360" w:lineRule="auto"/>
        <w:rPr>
          <w:sz w:val="24"/>
        </w:rPr>
      </w:pPr>
      <w:r>
        <w:rPr>
          <w:sz w:val="24"/>
        </w:rPr>
        <w:t xml:space="preserve">1.1  </w:t>
      </w:r>
      <w:r>
        <w:rPr>
          <w:sz w:val="24"/>
        </w:rPr>
        <w:t>实验饲料</w:t>
      </w:r>
    </w:p>
    <w:p w14:paraId="138624CF" w14:textId="77777777" w:rsidR="008F75C3" w:rsidRDefault="006614AC">
      <w:pPr>
        <w:spacing w:line="360" w:lineRule="auto"/>
        <w:ind w:firstLineChars="200" w:firstLine="480"/>
      </w:pPr>
      <w:r>
        <w:rPr>
          <w:sz w:val="24"/>
        </w:rPr>
        <w:t>本实验以豆</w:t>
      </w:r>
      <w:proofErr w:type="gramStart"/>
      <w:r>
        <w:rPr>
          <w:sz w:val="24"/>
        </w:rPr>
        <w:t>粕</w:t>
      </w:r>
      <w:proofErr w:type="gramEnd"/>
      <w:r>
        <w:rPr>
          <w:sz w:val="24"/>
        </w:rPr>
        <w:t>、花生饼、玉米蛋白粉和菜</w:t>
      </w:r>
      <w:proofErr w:type="gramStart"/>
      <w:r>
        <w:rPr>
          <w:sz w:val="24"/>
        </w:rPr>
        <w:t>粕</w:t>
      </w:r>
      <w:proofErr w:type="gramEnd"/>
      <w:r>
        <w:rPr>
          <w:sz w:val="24"/>
        </w:rPr>
        <w:t>按照</w:t>
      </w:r>
      <w:r>
        <w:rPr>
          <w:sz w:val="24"/>
        </w:rPr>
        <w:t>4</w:t>
      </w:r>
      <w:r>
        <w:rPr>
          <w:sz w:val="24"/>
        </w:rPr>
        <w:t>：</w:t>
      </w:r>
      <w:r>
        <w:rPr>
          <w:sz w:val="24"/>
        </w:rPr>
        <w:t>3</w:t>
      </w:r>
      <w:r>
        <w:rPr>
          <w:sz w:val="24"/>
        </w:rPr>
        <w:t>：</w:t>
      </w:r>
      <w:r>
        <w:rPr>
          <w:sz w:val="24"/>
        </w:rPr>
        <w:t>1</w:t>
      </w:r>
      <w:r>
        <w:rPr>
          <w:sz w:val="24"/>
        </w:rPr>
        <w:t>：</w:t>
      </w:r>
      <w:r>
        <w:rPr>
          <w:sz w:val="24"/>
        </w:rPr>
        <w:t>1</w:t>
      </w:r>
      <w:r>
        <w:rPr>
          <w:sz w:val="24"/>
        </w:rPr>
        <w:t>比例组成复合植物蛋白源，分别替代饲料中</w:t>
      </w:r>
      <w:r>
        <w:rPr>
          <w:sz w:val="24"/>
        </w:rPr>
        <w:t>0</w:t>
      </w:r>
      <w:r>
        <w:rPr>
          <w:sz w:val="24"/>
        </w:rPr>
        <w:t>、</w:t>
      </w:r>
      <w:r>
        <w:rPr>
          <w:sz w:val="24"/>
        </w:rPr>
        <w:t>14 %</w:t>
      </w:r>
      <w:r>
        <w:rPr>
          <w:sz w:val="24"/>
        </w:rPr>
        <w:t>、</w:t>
      </w:r>
      <w:r>
        <w:rPr>
          <w:sz w:val="24"/>
        </w:rPr>
        <w:t>28 %</w:t>
      </w:r>
      <w:r>
        <w:rPr>
          <w:sz w:val="24"/>
        </w:rPr>
        <w:t>、</w:t>
      </w:r>
      <w:r>
        <w:rPr>
          <w:sz w:val="24"/>
        </w:rPr>
        <w:t>42 %</w:t>
      </w:r>
      <w:r>
        <w:rPr>
          <w:sz w:val="24"/>
        </w:rPr>
        <w:t>、</w:t>
      </w:r>
      <w:r>
        <w:rPr>
          <w:sz w:val="24"/>
        </w:rPr>
        <w:t>56 %</w:t>
      </w:r>
      <w:r>
        <w:rPr>
          <w:sz w:val="24"/>
        </w:rPr>
        <w:t>和</w:t>
      </w:r>
      <w:r>
        <w:rPr>
          <w:sz w:val="24"/>
        </w:rPr>
        <w:t>70 %</w:t>
      </w:r>
      <w:r>
        <w:rPr>
          <w:sz w:val="24"/>
        </w:rPr>
        <w:t>的鱼粉，使饲料中鱼粉含</w:t>
      </w:r>
      <w:r>
        <w:rPr>
          <w:sz w:val="24"/>
        </w:rPr>
        <w:t>量分别为</w:t>
      </w:r>
      <w:r>
        <w:rPr>
          <w:sz w:val="24"/>
        </w:rPr>
        <w:t>53 %</w:t>
      </w:r>
      <w:r>
        <w:rPr>
          <w:sz w:val="24"/>
        </w:rPr>
        <w:t>、</w:t>
      </w:r>
      <w:r>
        <w:rPr>
          <w:sz w:val="24"/>
        </w:rPr>
        <w:t>46 %</w:t>
      </w:r>
      <w:r>
        <w:rPr>
          <w:sz w:val="24"/>
        </w:rPr>
        <w:t>、</w:t>
      </w:r>
      <w:r>
        <w:rPr>
          <w:sz w:val="24"/>
        </w:rPr>
        <w:t>38 %</w:t>
      </w:r>
      <w:r>
        <w:rPr>
          <w:sz w:val="24"/>
        </w:rPr>
        <w:t>、</w:t>
      </w:r>
      <w:r>
        <w:rPr>
          <w:sz w:val="24"/>
        </w:rPr>
        <w:t>31 %</w:t>
      </w:r>
      <w:r>
        <w:rPr>
          <w:sz w:val="24"/>
        </w:rPr>
        <w:t>、</w:t>
      </w:r>
      <w:r>
        <w:rPr>
          <w:sz w:val="24"/>
        </w:rPr>
        <w:t>23 %</w:t>
      </w:r>
      <w:r>
        <w:rPr>
          <w:sz w:val="24"/>
        </w:rPr>
        <w:t>和</w:t>
      </w:r>
      <w:r>
        <w:rPr>
          <w:sz w:val="24"/>
        </w:rPr>
        <w:t>16 %</w:t>
      </w:r>
      <w:r>
        <w:rPr>
          <w:sz w:val="24"/>
        </w:rPr>
        <w:t>。同时以鱼油及磷脂油为脂肪源，乌贼膏、虾壳粉</w:t>
      </w:r>
      <w:r>
        <w:rPr>
          <w:sz w:val="24"/>
        </w:rPr>
        <w:lastRenderedPageBreak/>
        <w:t>和啤酒酵母作为</w:t>
      </w:r>
      <w:proofErr w:type="gramStart"/>
      <w:r>
        <w:rPr>
          <w:sz w:val="24"/>
        </w:rPr>
        <w:t>诱</w:t>
      </w:r>
      <w:proofErr w:type="gramEnd"/>
      <w:r>
        <w:rPr>
          <w:sz w:val="24"/>
        </w:rPr>
        <w:t>食剂，高筋面粉为糖源，配制成</w:t>
      </w:r>
      <w:r>
        <w:rPr>
          <w:sz w:val="24"/>
        </w:rPr>
        <w:t>6</w:t>
      </w:r>
      <w:r>
        <w:rPr>
          <w:sz w:val="24"/>
        </w:rPr>
        <w:t>种等氮等能的饲料。饲料配方及营养水平见表</w:t>
      </w:r>
      <w:r>
        <w:rPr>
          <w:sz w:val="24"/>
        </w:rPr>
        <w:t>1</w:t>
      </w:r>
      <w:r>
        <w:rPr>
          <w:sz w:val="24"/>
        </w:rPr>
        <w:t>，其氨基酸组成见表</w:t>
      </w:r>
      <w:r>
        <w:rPr>
          <w:sz w:val="24"/>
        </w:rPr>
        <w:t>2</w:t>
      </w:r>
      <w:r>
        <w:rPr>
          <w:sz w:val="24"/>
        </w:rPr>
        <w:t>。所有饲料原料经粉碎后过</w:t>
      </w:r>
      <w:r>
        <w:rPr>
          <w:sz w:val="24"/>
        </w:rPr>
        <w:t>80</w:t>
      </w:r>
      <w:r>
        <w:rPr>
          <w:sz w:val="24"/>
        </w:rPr>
        <w:t>目筛，使用</w:t>
      </w:r>
      <w:r>
        <w:rPr>
          <w:sz w:val="24"/>
        </w:rPr>
        <w:t>V</w:t>
      </w:r>
      <w:r>
        <w:rPr>
          <w:sz w:val="24"/>
        </w:rPr>
        <w:t>型混合机混合均匀后用挤压机（华南理工大学生产</w:t>
      </w:r>
      <w:r>
        <w:rPr>
          <w:sz w:val="24"/>
        </w:rPr>
        <w:t>SLX-80</w:t>
      </w:r>
      <w:r>
        <w:rPr>
          <w:sz w:val="24"/>
        </w:rPr>
        <w:t>型）制成粒径为</w:t>
      </w:r>
      <w:r>
        <w:rPr>
          <w:sz w:val="24"/>
        </w:rPr>
        <w:t>1.0 mm</w:t>
      </w:r>
      <w:r>
        <w:rPr>
          <w:sz w:val="24"/>
        </w:rPr>
        <w:t>的颗粒，在</w:t>
      </w:r>
      <w:r>
        <w:rPr>
          <w:sz w:val="24"/>
        </w:rPr>
        <w:t>60 ℃</w:t>
      </w:r>
      <w:r>
        <w:rPr>
          <w:sz w:val="24"/>
        </w:rPr>
        <w:t>烘箱中烘干后置于</w:t>
      </w:r>
      <w:r>
        <w:rPr>
          <w:sz w:val="24"/>
        </w:rPr>
        <w:t>-20 ℃</w:t>
      </w:r>
      <w:r>
        <w:rPr>
          <w:sz w:val="24"/>
        </w:rPr>
        <w:t>冰箱备用。</w:t>
      </w:r>
    </w:p>
    <w:p w14:paraId="1C3EE734" w14:textId="77777777" w:rsidR="008F75C3" w:rsidRDefault="006614AC">
      <w:pPr>
        <w:ind w:firstLineChars="200" w:firstLine="420"/>
        <w:jc w:val="center"/>
      </w:pPr>
      <w:r>
        <w:rPr>
          <w:noProof/>
        </w:rPr>
        <w:drawing>
          <wp:inline distT="0" distB="0" distL="114300" distR="114300" wp14:anchorId="7A2C010A" wp14:editId="0530CADB">
            <wp:extent cx="2110105" cy="3085465"/>
            <wp:effectExtent l="0" t="0" r="4445" b="635"/>
            <wp:docPr id="45" name="图片 45" descr="163879318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图片 45" descr="1638793181(1)"/>
                    <pic:cNvPicPr>
                      <a:picLocks noChangeAspect="1"/>
                    </pic:cNvPicPr>
                  </pic:nvPicPr>
                  <pic:blipFill>
                    <a:blip r:embed="rId51"/>
                    <a:stretch>
                      <a:fillRect/>
                    </a:stretch>
                  </pic:blipFill>
                  <pic:spPr>
                    <a:xfrm>
                      <a:off x="0" y="0"/>
                      <a:ext cx="2110105" cy="3085465"/>
                    </a:xfrm>
                    <a:prstGeom prst="rect">
                      <a:avLst/>
                    </a:prstGeom>
                  </pic:spPr>
                </pic:pic>
              </a:graphicData>
            </a:graphic>
          </wp:inline>
        </w:drawing>
      </w:r>
    </w:p>
    <w:p w14:paraId="34386CBD" w14:textId="77777777" w:rsidR="008F75C3" w:rsidRDefault="006614AC">
      <w:pPr>
        <w:ind w:firstLineChars="200" w:firstLine="420"/>
        <w:jc w:val="center"/>
        <w:rPr>
          <w:sz w:val="24"/>
        </w:rPr>
      </w:pPr>
      <w:r>
        <w:rPr>
          <w:noProof/>
        </w:rPr>
        <w:drawing>
          <wp:inline distT="0" distB="0" distL="0" distR="0" wp14:anchorId="3BE2EE87" wp14:editId="0BE58903">
            <wp:extent cx="2630170" cy="2579370"/>
            <wp:effectExtent l="0" t="0" r="17780" b="11430"/>
            <wp:docPr id="46" name="图片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图片 46"/>
                    <pic:cNvPicPr>
                      <a:picLocks noChangeAspect="1"/>
                    </pic:cNvPicPr>
                  </pic:nvPicPr>
                  <pic:blipFill>
                    <a:blip r:embed="rId52"/>
                    <a:stretch>
                      <a:fillRect/>
                    </a:stretch>
                  </pic:blipFill>
                  <pic:spPr>
                    <a:xfrm>
                      <a:off x="0" y="0"/>
                      <a:ext cx="2630170" cy="2579370"/>
                    </a:xfrm>
                    <a:prstGeom prst="rect">
                      <a:avLst/>
                    </a:prstGeom>
                  </pic:spPr>
                </pic:pic>
              </a:graphicData>
            </a:graphic>
          </wp:inline>
        </w:drawing>
      </w:r>
    </w:p>
    <w:p w14:paraId="73B066FF" w14:textId="77777777" w:rsidR="008F75C3" w:rsidRDefault="006614AC">
      <w:pPr>
        <w:spacing w:line="360" w:lineRule="auto"/>
        <w:rPr>
          <w:sz w:val="24"/>
        </w:rPr>
      </w:pPr>
      <w:r>
        <w:rPr>
          <w:sz w:val="24"/>
        </w:rPr>
        <w:t xml:space="preserve">1.2  </w:t>
      </w:r>
      <w:r>
        <w:rPr>
          <w:sz w:val="24"/>
        </w:rPr>
        <w:t>养殖管理</w:t>
      </w:r>
    </w:p>
    <w:p w14:paraId="516C4AC2" w14:textId="77777777" w:rsidR="008F75C3" w:rsidRDefault="006614AC">
      <w:pPr>
        <w:spacing w:line="360" w:lineRule="auto"/>
        <w:ind w:firstLineChars="200" w:firstLine="480"/>
      </w:pPr>
      <w:r>
        <w:rPr>
          <w:sz w:val="24"/>
        </w:rPr>
        <w:t>所用</w:t>
      </w:r>
      <w:proofErr w:type="gramStart"/>
      <w:r>
        <w:rPr>
          <w:sz w:val="24"/>
        </w:rPr>
        <w:t>凡纳滨对虾</w:t>
      </w:r>
      <w:proofErr w:type="gramEnd"/>
      <w:r>
        <w:rPr>
          <w:sz w:val="24"/>
        </w:rPr>
        <w:t>来自广东恒兴饲料实业股份有限公司</w:t>
      </w:r>
      <w:r>
        <w:rPr>
          <w:sz w:val="24"/>
        </w:rPr>
        <w:t>“</w:t>
      </w:r>
      <w:r>
        <w:rPr>
          <w:sz w:val="24"/>
        </w:rPr>
        <w:t>国家</w:t>
      </w:r>
      <w:r>
        <w:rPr>
          <w:sz w:val="24"/>
        </w:rPr>
        <w:t>863”</w:t>
      </w:r>
      <w:r>
        <w:rPr>
          <w:sz w:val="24"/>
        </w:rPr>
        <w:t>实验基地，为当年人工孵化的同</w:t>
      </w:r>
      <w:r>
        <w:rPr>
          <w:sz w:val="24"/>
        </w:rPr>
        <w:t>一批虾苗，挑选体质健康且规格整齐的</w:t>
      </w:r>
      <w:proofErr w:type="gramStart"/>
      <w:r>
        <w:rPr>
          <w:sz w:val="24"/>
        </w:rPr>
        <w:t>凡纳滨对虾</w:t>
      </w:r>
      <w:proofErr w:type="gramEnd"/>
      <w:r>
        <w:rPr>
          <w:sz w:val="24"/>
        </w:rPr>
        <w:t>。先在流水系统中暂养</w:t>
      </w:r>
      <w:r>
        <w:rPr>
          <w:sz w:val="24"/>
        </w:rPr>
        <w:t>10 d</w:t>
      </w:r>
      <w:r>
        <w:rPr>
          <w:sz w:val="24"/>
        </w:rPr>
        <w:t>，然后随机分配到室内海水流水系统中的</w:t>
      </w:r>
      <w:r>
        <w:rPr>
          <w:sz w:val="24"/>
        </w:rPr>
        <w:t>18</w:t>
      </w:r>
      <w:r>
        <w:rPr>
          <w:sz w:val="24"/>
        </w:rPr>
        <w:t>个</w:t>
      </w:r>
      <w:r>
        <w:rPr>
          <w:sz w:val="24"/>
        </w:rPr>
        <w:t>300 L</w:t>
      </w:r>
      <w:r>
        <w:rPr>
          <w:sz w:val="24"/>
        </w:rPr>
        <w:t>的玻璃钢桶中。每个处理设</w:t>
      </w:r>
      <w:r>
        <w:rPr>
          <w:sz w:val="24"/>
        </w:rPr>
        <w:t>3</w:t>
      </w:r>
      <w:r>
        <w:rPr>
          <w:sz w:val="24"/>
        </w:rPr>
        <w:t>重复，每个重复</w:t>
      </w:r>
      <w:r>
        <w:rPr>
          <w:sz w:val="24"/>
        </w:rPr>
        <w:t>35</w:t>
      </w:r>
      <w:r>
        <w:rPr>
          <w:sz w:val="24"/>
        </w:rPr>
        <w:t>尾虾</w:t>
      </w:r>
      <w:r>
        <w:rPr>
          <w:sz w:val="24"/>
        </w:rPr>
        <w:t>[</w:t>
      </w:r>
      <w:r>
        <w:rPr>
          <w:sz w:val="24"/>
        </w:rPr>
        <w:t>初始体重（</w:t>
      </w:r>
      <w:r>
        <w:rPr>
          <w:sz w:val="24"/>
        </w:rPr>
        <w:t>1.18±0.011</w:t>
      </w:r>
      <w:r>
        <w:rPr>
          <w:sz w:val="24"/>
        </w:rPr>
        <w:t>）</w:t>
      </w:r>
      <w:r>
        <w:rPr>
          <w:sz w:val="24"/>
        </w:rPr>
        <w:t>g]</w:t>
      </w:r>
      <w:r>
        <w:rPr>
          <w:sz w:val="24"/>
        </w:rPr>
        <w:t>。饲养期间连续充气，水温（</w:t>
      </w:r>
      <w:r>
        <w:rPr>
          <w:sz w:val="24"/>
        </w:rPr>
        <w:t>28±1</w:t>
      </w:r>
      <w:r>
        <w:rPr>
          <w:sz w:val="24"/>
        </w:rPr>
        <w:t>）</w:t>
      </w:r>
      <w:r>
        <w:rPr>
          <w:sz w:val="24"/>
        </w:rPr>
        <w:t xml:space="preserve"> ℃</w:t>
      </w:r>
      <w:r>
        <w:rPr>
          <w:sz w:val="24"/>
        </w:rPr>
        <w:t>，盐度</w:t>
      </w:r>
      <w:r>
        <w:rPr>
          <w:sz w:val="24"/>
        </w:rPr>
        <w:lastRenderedPageBreak/>
        <w:t>26.5 ‰~28 ‰</w:t>
      </w:r>
      <w:r>
        <w:rPr>
          <w:sz w:val="24"/>
        </w:rPr>
        <w:t>，溶解氧不低于</w:t>
      </w:r>
      <w:r>
        <w:rPr>
          <w:sz w:val="24"/>
        </w:rPr>
        <w:t>7.0 mg/L</w:t>
      </w:r>
      <w:r>
        <w:rPr>
          <w:sz w:val="24"/>
        </w:rPr>
        <w:t>。每天投喂</w:t>
      </w:r>
      <w:r>
        <w:rPr>
          <w:sz w:val="24"/>
        </w:rPr>
        <w:t>4</w:t>
      </w:r>
      <w:r>
        <w:rPr>
          <w:sz w:val="24"/>
        </w:rPr>
        <w:t>次，投喂时间为：</w:t>
      </w:r>
      <w:r>
        <w:rPr>
          <w:sz w:val="24"/>
        </w:rPr>
        <w:t>6</w:t>
      </w:r>
      <w:r>
        <w:rPr>
          <w:sz w:val="24"/>
        </w:rPr>
        <w:t>：</w:t>
      </w:r>
      <w:r>
        <w:rPr>
          <w:sz w:val="24"/>
        </w:rPr>
        <w:t>00</w:t>
      </w:r>
      <w:r>
        <w:rPr>
          <w:sz w:val="24"/>
        </w:rPr>
        <w:t>、</w:t>
      </w:r>
      <w:r>
        <w:rPr>
          <w:sz w:val="24"/>
        </w:rPr>
        <w:t>10</w:t>
      </w:r>
      <w:r>
        <w:rPr>
          <w:sz w:val="24"/>
        </w:rPr>
        <w:t>：</w:t>
      </w:r>
      <w:r>
        <w:rPr>
          <w:sz w:val="24"/>
        </w:rPr>
        <w:t>30</w:t>
      </w:r>
      <w:r>
        <w:rPr>
          <w:sz w:val="24"/>
        </w:rPr>
        <w:t>、</w:t>
      </w:r>
      <w:r>
        <w:rPr>
          <w:sz w:val="24"/>
        </w:rPr>
        <w:t>18</w:t>
      </w:r>
      <w:r>
        <w:rPr>
          <w:sz w:val="24"/>
        </w:rPr>
        <w:t>：</w:t>
      </w:r>
      <w:r>
        <w:rPr>
          <w:sz w:val="24"/>
        </w:rPr>
        <w:t>00</w:t>
      </w:r>
      <w:r>
        <w:rPr>
          <w:sz w:val="24"/>
        </w:rPr>
        <w:t>、</w:t>
      </w:r>
      <w:r>
        <w:rPr>
          <w:sz w:val="24"/>
        </w:rPr>
        <w:t>22</w:t>
      </w:r>
      <w:r>
        <w:rPr>
          <w:sz w:val="24"/>
        </w:rPr>
        <w:t>：</w:t>
      </w:r>
      <w:r>
        <w:rPr>
          <w:sz w:val="24"/>
        </w:rPr>
        <w:t>00</w:t>
      </w:r>
      <w:r>
        <w:rPr>
          <w:sz w:val="24"/>
        </w:rPr>
        <w:t>，日投喂量为对虾体重的</w:t>
      </w:r>
      <w:r>
        <w:rPr>
          <w:sz w:val="24"/>
        </w:rPr>
        <w:t>6 %</w:t>
      </w:r>
      <w:r>
        <w:rPr>
          <w:sz w:val="24"/>
        </w:rPr>
        <w:t>左右，根据摄食情况调整投喂量。整个饲养实验持续</w:t>
      </w:r>
      <w:r>
        <w:rPr>
          <w:sz w:val="24"/>
        </w:rPr>
        <w:t>10</w:t>
      </w:r>
      <w:r>
        <w:rPr>
          <w:sz w:val="24"/>
        </w:rPr>
        <w:t>周。</w:t>
      </w:r>
    </w:p>
    <w:p w14:paraId="427CD3B6" w14:textId="77777777" w:rsidR="008F75C3" w:rsidRDefault="006614AC">
      <w:pPr>
        <w:spacing w:line="360" w:lineRule="auto"/>
        <w:rPr>
          <w:sz w:val="24"/>
        </w:rPr>
      </w:pPr>
      <w:r>
        <w:rPr>
          <w:sz w:val="24"/>
        </w:rPr>
        <w:t xml:space="preserve">1.3  </w:t>
      </w:r>
      <w:r>
        <w:rPr>
          <w:sz w:val="24"/>
        </w:rPr>
        <w:t>样品收集及化学分析</w:t>
      </w:r>
    </w:p>
    <w:p w14:paraId="49D2C1C9" w14:textId="77777777" w:rsidR="008F75C3" w:rsidRDefault="006614AC">
      <w:pPr>
        <w:spacing w:line="360" w:lineRule="auto"/>
        <w:ind w:firstLineChars="200" w:firstLine="480"/>
        <w:rPr>
          <w:sz w:val="24"/>
        </w:rPr>
      </w:pPr>
      <w:r>
        <w:rPr>
          <w:sz w:val="24"/>
        </w:rPr>
        <w:t>10</w:t>
      </w:r>
      <w:r>
        <w:rPr>
          <w:sz w:val="24"/>
        </w:rPr>
        <w:t>周生长实验结束</w:t>
      </w:r>
      <w:r>
        <w:rPr>
          <w:sz w:val="24"/>
        </w:rPr>
        <w:t>后，停止喂食</w:t>
      </w:r>
      <w:r>
        <w:rPr>
          <w:sz w:val="24"/>
        </w:rPr>
        <w:t>12 h</w:t>
      </w:r>
      <w:r>
        <w:rPr>
          <w:sz w:val="24"/>
        </w:rPr>
        <w:t>，开始收集</w:t>
      </w:r>
      <w:proofErr w:type="gramStart"/>
      <w:r>
        <w:rPr>
          <w:sz w:val="24"/>
        </w:rPr>
        <w:t>凡纳滨对虾</w:t>
      </w:r>
      <w:proofErr w:type="gramEnd"/>
      <w:r>
        <w:rPr>
          <w:sz w:val="24"/>
        </w:rPr>
        <w:t>。分别称量每桶对虾总重，记录对虾个数，计算每桶</w:t>
      </w:r>
      <w:proofErr w:type="gramStart"/>
      <w:r>
        <w:rPr>
          <w:sz w:val="24"/>
        </w:rPr>
        <w:t>凡纳滨对虾</w:t>
      </w:r>
      <w:proofErr w:type="gramEnd"/>
      <w:r>
        <w:rPr>
          <w:sz w:val="24"/>
        </w:rPr>
        <w:t>平均体重。每个重复任意挑选出</w:t>
      </w:r>
      <w:r>
        <w:rPr>
          <w:sz w:val="24"/>
        </w:rPr>
        <w:t>7~10</w:t>
      </w:r>
      <w:r>
        <w:rPr>
          <w:sz w:val="24"/>
        </w:rPr>
        <w:t>尾对虾擦干虾体水分储存，用于</w:t>
      </w:r>
      <w:proofErr w:type="gramStart"/>
      <w:r>
        <w:rPr>
          <w:sz w:val="24"/>
        </w:rPr>
        <w:t>测定全</w:t>
      </w:r>
      <w:proofErr w:type="gramEnd"/>
      <w:r>
        <w:rPr>
          <w:sz w:val="24"/>
        </w:rPr>
        <w:t>虾体组成和体氨基酸含量。</w:t>
      </w:r>
    </w:p>
    <w:p w14:paraId="35611F9A" w14:textId="77777777" w:rsidR="008F75C3" w:rsidRDefault="006614AC">
      <w:pPr>
        <w:spacing w:line="360" w:lineRule="auto"/>
        <w:ind w:firstLineChars="200" w:firstLine="480"/>
        <w:rPr>
          <w:sz w:val="24"/>
        </w:rPr>
      </w:pPr>
      <w:r>
        <w:rPr>
          <w:sz w:val="24"/>
        </w:rPr>
        <w:t>体常规和饲料常规成分分析均采用</w:t>
      </w:r>
      <w:r>
        <w:rPr>
          <w:sz w:val="24"/>
        </w:rPr>
        <w:t>AOAC</w:t>
      </w:r>
      <w:r>
        <w:rPr>
          <w:sz w:val="24"/>
        </w:rPr>
        <w:t>（</w:t>
      </w:r>
      <w:r>
        <w:rPr>
          <w:sz w:val="24"/>
        </w:rPr>
        <w:t>2000</w:t>
      </w:r>
      <w:r>
        <w:rPr>
          <w:sz w:val="24"/>
        </w:rPr>
        <w:t>）</w:t>
      </w:r>
      <w:r>
        <w:rPr>
          <w:sz w:val="24"/>
          <w:vertAlign w:val="superscript"/>
        </w:rPr>
        <w:t xml:space="preserve">[9] </w:t>
      </w:r>
      <w:r>
        <w:rPr>
          <w:sz w:val="24"/>
        </w:rPr>
        <w:t>的方法。其中，水分的测定为</w:t>
      </w:r>
      <w:r>
        <w:rPr>
          <w:sz w:val="24"/>
        </w:rPr>
        <w:t xml:space="preserve"> 105 ℃</w:t>
      </w:r>
      <w:r>
        <w:rPr>
          <w:sz w:val="24"/>
        </w:rPr>
        <w:t>烘干恒重法（</w:t>
      </w:r>
      <w:r>
        <w:rPr>
          <w:sz w:val="24"/>
        </w:rPr>
        <w:t>24 h</w:t>
      </w:r>
      <w:r>
        <w:rPr>
          <w:sz w:val="24"/>
        </w:rPr>
        <w:t>）；粗蛋白的测定为凯氏定氮法，采用瑞典</w:t>
      </w:r>
      <w:r>
        <w:rPr>
          <w:sz w:val="24"/>
        </w:rPr>
        <w:t>TECATOR</w:t>
      </w:r>
      <w:r>
        <w:rPr>
          <w:sz w:val="24"/>
        </w:rPr>
        <w:t>公司</w:t>
      </w:r>
      <w:r>
        <w:rPr>
          <w:sz w:val="24"/>
        </w:rPr>
        <w:t xml:space="preserve"> 1030 </w:t>
      </w:r>
      <w:r>
        <w:rPr>
          <w:sz w:val="24"/>
        </w:rPr>
        <w:t>型蛋白质自动分析仪；粗脂肪的测定为索氏抽提法；粗灰分的测定为箱式电阻炉</w:t>
      </w:r>
      <w:r>
        <w:rPr>
          <w:sz w:val="24"/>
        </w:rPr>
        <w:t>550 ℃</w:t>
      </w:r>
      <w:r>
        <w:rPr>
          <w:sz w:val="24"/>
        </w:rPr>
        <w:t>灼烧法（</w:t>
      </w:r>
      <w:r>
        <w:rPr>
          <w:sz w:val="24"/>
        </w:rPr>
        <w:t>16 h</w:t>
      </w:r>
      <w:r>
        <w:rPr>
          <w:sz w:val="24"/>
        </w:rPr>
        <w:t>）。总氨基酸的测定为</w:t>
      </w:r>
      <w:r>
        <w:rPr>
          <w:sz w:val="24"/>
        </w:rPr>
        <w:t>6 N HCl</w:t>
      </w:r>
      <w:r>
        <w:rPr>
          <w:sz w:val="24"/>
        </w:rPr>
        <w:t>水解法</w:t>
      </w:r>
      <w:r>
        <w:rPr>
          <w:sz w:val="24"/>
        </w:rPr>
        <w:t>（</w:t>
      </w:r>
      <w:r>
        <w:rPr>
          <w:sz w:val="24"/>
        </w:rPr>
        <w:t>24 h</w:t>
      </w:r>
      <w:r>
        <w:rPr>
          <w:sz w:val="24"/>
        </w:rPr>
        <w:t>），采用日立</w:t>
      </w:r>
      <w:r>
        <w:rPr>
          <w:sz w:val="24"/>
        </w:rPr>
        <w:t>L-8800</w:t>
      </w:r>
      <w:r>
        <w:rPr>
          <w:sz w:val="24"/>
        </w:rPr>
        <w:t>型氨基酸自动分析仪分析。</w:t>
      </w:r>
    </w:p>
    <w:p w14:paraId="6A0619C7" w14:textId="77777777" w:rsidR="008F75C3" w:rsidRDefault="006614AC">
      <w:pPr>
        <w:spacing w:line="360" w:lineRule="auto"/>
        <w:rPr>
          <w:sz w:val="24"/>
        </w:rPr>
      </w:pPr>
      <w:r>
        <w:rPr>
          <w:sz w:val="24"/>
        </w:rPr>
        <w:t xml:space="preserve">1.4  </w:t>
      </w:r>
      <w:r>
        <w:rPr>
          <w:sz w:val="24"/>
        </w:rPr>
        <w:t>计算与统计分析</w:t>
      </w:r>
    </w:p>
    <w:p w14:paraId="0717E866" w14:textId="77777777" w:rsidR="008F75C3" w:rsidRDefault="006614AC">
      <w:pPr>
        <w:spacing w:line="360" w:lineRule="auto"/>
        <w:ind w:firstLineChars="200" w:firstLine="480"/>
        <w:rPr>
          <w:sz w:val="24"/>
        </w:rPr>
      </w:pPr>
      <w:r>
        <w:rPr>
          <w:sz w:val="24"/>
        </w:rPr>
        <w:t>增重率（</w:t>
      </w:r>
      <w:r>
        <w:rPr>
          <w:sz w:val="24"/>
        </w:rPr>
        <w:t>WGR</w:t>
      </w:r>
      <w:r>
        <w:rPr>
          <w:sz w:val="24"/>
        </w:rPr>
        <w:t>，</w:t>
      </w:r>
      <w:r>
        <w:rPr>
          <w:sz w:val="24"/>
        </w:rPr>
        <w:t>%</w:t>
      </w:r>
      <w:r>
        <w:rPr>
          <w:sz w:val="24"/>
        </w:rPr>
        <w:t>）</w:t>
      </w:r>
      <w:r>
        <w:rPr>
          <w:sz w:val="24"/>
        </w:rPr>
        <w:t>=</w:t>
      </w:r>
      <w:r>
        <w:rPr>
          <w:sz w:val="24"/>
        </w:rPr>
        <w:t>（</w:t>
      </w:r>
      <w:r>
        <w:rPr>
          <w:i/>
          <w:iCs/>
          <w:sz w:val="24"/>
        </w:rPr>
        <w:t>W</w:t>
      </w:r>
      <w:r>
        <w:rPr>
          <w:sz w:val="24"/>
          <w:vertAlign w:val="subscript"/>
        </w:rPr>
        <w:t>t</w:t>
      </w:r>
      <w:r>
        <w:rPr>
          <w:sz w:val="24"/>
        </w:rPr>
        <w:t>-</w:t>
      </w:r>
      <w:r>
        <w:rPr>
          <w:i/>
          <w:iCs/>
          <w:sz w:val="24"/>
        </w:rPr>
        <w:t>W</w:t>
      </w:r>
      <w:r>
        <w:rPr>
          <w:sz w:val="24"/>
          <w:vertAlign w:val="subscript"/>
        </w:rPr>
        <w:t>0</w:t>
      </w:r>
      <w:r>
        <w:rPr>
          <w:sz w:val="24"/>
        </w:rPr>
        <w:t>）</w:t>
      </w:r>
      <w:r>
        <w:rPr>
          <w:sz w:val="24"/>
        </w:rPr>
        <w:t>/</w:t>
      </w:r>
      <w:r>
        <w:rPr>
          <w:i/>
          <w:iCs/>
          <w:sz w:val="24"/>
        </w:rPr>
        <w:t>W</w:t>
      </w:r>
      <w:r>
        <w:rPr>
          <w:sz w:val="24"/>
          <w:vertAlign w:val="subscript"/>
        </w:rPr>
        <w:t>0</w:t>
      </w:r>
      <w:r>
        <w:rPr>
          <w:sz w:val="24"/>
        </w:rPr>
        <w:t>×100</w:t>
      </w:r>
    </w:p>
    <w:p w14:paraId="3B3B4342" w14:textId="77777777" w:rsidR="008F75C3" w:rsidRDefault="006614AC">
      <w:pPr>
        <w:spacing w:line="360" w:lineRule="auto"/>
        <w:ind w:firstLineChars="200" w:firstLine="480"/>
        <w:rPr>
          <w:sz w:val="24"/>
        </w:rPr>
      </w:pPr>
      <w:r>
        <w:rPr>
          <w:sz w:val="24"/>
        </w:rPr>
        <w:t>特定生长率（</w:t>
      </w:r>
      <w:r>
        <w:rPr>
          <w:sz w:val="24"/>
        </w:rPr>
        <w:t>SGR</w:t>
      </w:r>
      <w:r>
        <w:rPr>
          <w:sz w:val="24"/>
        </w:rPr>
        <w:t>，</w:t>
      </w:r>
      <w:r>
        <w:rPr>
          <w:sz w:val="24"/>
        </w:rPr>
        <w:t>%/d</w:t>
      </w:r>
      <w:r>
        <w:rPr>
          <w:sz w:val="24"/>
        </w:rPr>
        <w:t>）</w:t>
      </w:r>
      <w:r>
        <w:rPr>
          <w:sz w:val="24"/>
        </w:rPr>
        <w:t>=(ln</w:t>
      </w:r>
      <w:r>
        <w:rPr>
          <w:i/>
          <w:iCs/>
          <w:sz w:val="24"/>
        </w:rPr>
        <w:t>W</w:t>
      </w:r>
      <w:r>
        <w:rPr>
          <w:sz w:val="24"/>
          <w:vertAlign w:val="subscript"/>
        </w:rPr>
        <w:t>t</w:t>
      </w:r>
      <w:r>
        <w:rPr>
          <w:sz w:val="24"/>
        </w:rPr>
        <w:t>-ln</w:t>
      </w:r>
      <w:r>
        <w:rPr>
          <w:i/>
          <w:iCs/>
          <w:sz w:val="24"/>
        </w:rPr>
        <w:t>W</w:t>
      </w:r>
      <w:r>
        <w:rPr>
          <w:sz w:val="24"/>
          <w:vertAlign w:val="subscript"/>
        </w:rPr>
        <w:t>0</w:t>
      </w:r>
      <w:r>
        <w:rPr>
          <w:sz w:val="24"/>
        </w:rPr>
        <w:t>)/t×100</w:t>
      </w:r>
    </w:p>
    <w:p w14:paraId="6B900946" w14:textId="77777777" w:rsidR="008F75C3" w:rsidRDefault="006614AC">
      <w:pPr>
        <w:spacing w:line="360" w:lineRule="auto"/>
        <w:ind w:firstLineChars="200" w:firstLine="480"/>
        <w:rPr>
          <w:sz w:val="24"/>
        </w:rPr>
      </w:pPr>
      <w:r>
        <w:rPr>
          <w:sz w:val="24"/>
        </w:rPr>
        <w:t>饲料转化率（</w:t>
      </w:r>
      <w:r>
        <w:rPr>
          <w:sz w:val="24"/>
        </w:rPr>
        <w:t>FCR</w:t>
      </w:r>
      <w:r>
        <w:rPr>
          <w:sz w:val="24"/>
        </w:rPr>
        <w:t>）</w:t>
      </w:r>
      <w:r>
        <w:rPr>
          <w:sz w:val="24"/>
        </w:rPr>
        <w:t>=I</w:t>
      </w:r>
      <w:r>
        <w:rPr>
          <w:sz w:val="24"/>
        </w:rPr>
        <w:t>（</w:t>
      </w:r>
      <w:r>
        <w:rPr>
          <w:sz w:val="24"/>
        </w:rPr>
        <w:t xml:space="preserve">/ </w:t>
      </w:r>
      <w:r>
        <w:rPr>
          <w:i/>
          <w:iCs/>
          <w:sz w:val="24"/>
        </w:rPr>
        <w:t>W</w:t>
      </w:r>
      <w:r>
        <w:rPr>
          <w:sz w:val="24"/>
          <w:vertAlign w:val="subscript"/>
        </w:rPr>
        <w:t>t</w:t>
      </w:r>
      <w:r>
        <w:rPr>
          <w:sz w:val="24"/>
        </w:rPr>
        <w:t>-</w:t>
      </w:r>
      <w:r>
        <w:rPr>
          <w:i/>
          <w:iCs/>
          <w:sz w:val="24"/>
        </w:rPr>
        <w:t>W</w:t>
      </w:r>
      <w:r>
        <w:rPr>
          <w:sz w:val="24"/>
          <w:vertAlign w:val="subscript"/>
        </w:rPr>
        <w:t>0</w:t>
      </w:r>
      <w:r>
        <w:rPr>
          <w:sz w:val="24"/>
        </w:rPr>
        <w:t>）</w:t>
      </w:r>
    </w:p>
    <w:p w14:paraId="0FC0BB84" w14:textId="77777777" w:rsidR="008F75C3" w:rsidRDefault="006614AC">
      <w:pPr>
        <w:spacing w:line="360" w:lineRule="auto"/>
        <w:ind w:firstLineChars="200" w:firstLine="480"/>
        <w:rPr>
          <w:sz w:val="24"/>
        </w:rPr>
      </w:pPr>
      <w:r>
        <w:rPr>
          <w:sz w:val="24"/>
        </w:rPr>
        <w:t>蛋白质效率（</w:t>
      </w:r>
      <w:r>
        <w:rPr>
          <w:sz w:val="24"/>
        </w:rPr>
        <w:t>PER</w:t>
      </w:r>
      <w:r>
        <w:rPr>
          <w:sz w:val="24"/>
        </w:rPr>
        <w:t>，</w:t>
      </w:r>
      <w:r>
        <w:rPr>
          <w:sz w:val="24"/>
        </w:rPr>
        <w:t>%</w:t>
      </w:r>
      <w:r>
        <w:rPr>
          <w:sz w:val="24"/>
        </w:rPr>
        <w:t>）</w:t>
      </w:r>
      <w:r>
        <w:rPr>
          <w:sz w:val="24"/>
        </w:rPr>
        <w:t>=</w:t>
      </w:r>
      <w:r>
        <w:rPr>
          <w:sz w:val="24"/>
        </w:rPr>
        <w:t>（</w:t>
      </w:r>
      <w:r>
        <w:rPr>
          <w:i/>
          <w:iCs/>
          <w:sz w:val="24"/>
        </w:rPr>
        <w:t>W</w:t>
      </w:r>
      <w:r>
        <w:rPr>
          <w:sz w:val="24"/>
          <w:vertAlign w:val="subscript"/>
        </w:rPr>
        <w:t>t</w:t>
      </w:r>
      <w:r>
        <w:rPr>
          <w:sz w:val="24"/>
        </w:rPr>
        <w:t>-</w:t>
      </w:r>
      <w:r>
        <w:rPr>
          <w:i/>
          <w:iCs/>
          <w:sz w:val="24"/>
        </w:rPr>
        <w:t>W</w:t>
      </w:r>
      <w:r>
        <w:rPr>
          <w:sz w:val="24"/>
          <w:vertAlign w:val="subscript"/>
        </w:rPr>
        <w:t>0</w:t>
      </w:r>
      <w:r>
        <w:rPr>
          <w:sz w:val="24"/>
        </w:rPr>
        <w:t>）</w:t>
      </w:r>
      <w:r>
        <w:rPr>
          <w:sz w:val="24"/>
        </w:rPr>
        <w:t>×100/I×</w:t>
      </w:r>
      <w:r>
        <w:rPr>
          <w:i/>
          <w:iCs/>
          <w:sz w:val="24"/>
        </w:rPr>
        <w:t>P</w:t>
      </w:r>
      <w:r>
        <w:rPr>
          <w:sz w:val="24"/>
        </w:rPr>
        <w:t>×100</w:t>
      </w:r>
    </w:p>
    <w:p w14:paraId="6FE67ECF" w14:textId="77777777" w:rsidR="008F75C3" w:rsidRDefault="006614AC">
      <w:pPr>
        <w:spacing w:line="360" w:lineRule="auto"/>
        <w:rPr>
          <w:sz w:val="24"/>
        </w:rPr>
      </w:pPr>
      <w:r>
        <w:rPr>
          <w:sz w:val="24"/>
        </w:rPr>
        <w:t>式中：</w:t>
      </w:r>
      <w:proofErr w:type="spellStart"/>
      <w:r>
        <w:rPr>
          <w:i/>
          <w:iCs/>
          <w:sz w:val="24"/>
        </w:rPr>
        <w:t>W</w:t>
      </w:r>
      <w:r>
        <w:rPr>
          <w:sz w:val="24"/>
          <w:vertAlign w:val="subscript"/>
        </w:rPr>
        <w:t>t</w:t>
      </w:r>
      <w:proofErr w:type="spellEnd"/>
      <w:r>
        <w:rPr>
          <w:sz w:val="24"/>
        </w:rPr>
        <w:t>、</w:t>
      </w:r>
      <w:r>
        <w:rPr>
          <w:i/>
          <w:iCs/>
          <w:sz w:val="24"/>
        </w:rPr>
        <w:t>W</w:t>
      </w:r>
      <w:r>
        <w:rPr>
          <w:sz w:val="24"/>
          <w:vertAlign w:val="subscript"/>
        </w:rPr>
        <w:t>0</w:t>
      </w:r>
      <w:r>
        <w:rPr>
          <w:sz w:val="24"/>
        </w:rPr>
        <w:t>——</w:t>
      </w:r>
      <w:r>
        <w:rPr>
          <w:sz w:val="24"/>
        </w:rPr>
        <w:t>终末和</w:t>
      </w:r>
      <w:proofErr w:type="gramStart"/>
      <w:r>
        <w:rPr>
          <w:sz w:val="24"/>
        </w:rPr>
        <w:t>初始均</w:t>
      </w:r>
      <w:proofErr w:type="gramEnd"/>
      <w:r>
        <w:rPr>
          <w:sz w:val="24"/>
        </w:rPr>
        <w:t>重（</w:t>
      </w:r>
      <w:r>
        <w:rPr>
          <w:sz w:val="24"/>
        </w:rPr>
        <w:t>g</w:t>
      </w:r>
      <w:r>
        <w:rPr>
          <w:sz w:val="24"/>
        </w:rPr>
        <w:t>）；</w:t>
      </w:r>
    </w:p>
    <w:p w14:paraId="789BAC74" w14:textId="77777777" w:rsidR="008F75C3" w:rsidRDefault="006614AC">
      <w:pPr>
        <w:spacing w:line="360" w:lineRule="auto"/>
        <w:ind w:firstLineChars="200" w:firstLine="480"/>
        <w:rPr>
          <w:sz w:val="24"/>
        </w:rPr>
      </w:pPr>
      <w:r>
        <w:rPr>
          <w:sz w:val="24"/>
        </w:rPr>
        <w:t>t——</w:t>
      </w:r>
      <w:r>
        <w:rPr>
          <w:sz w:val="24"/>
        </w:rPr>
        <w:t>实验时间</w:t>
      </w:r>
      <w:r>
        <w:rPr>
          <w:sz w:val="24"/>
        </w:rPr>
        <w:t>(d)</w:t>
      </w:r>
      <w:r>
        <w:rPr>
          <w:sz w:val="24"/>
        </w:rPr>
        <w:t>；</w:t>
      </w:r>
    </w:p>
    <w:p w14:paraId="0733D5A8" w14:textId="77777777" w:rsidR="008F75C3" w:rsidRDefault="006614AC">
      <w:pPr>
        <w:spacing w:line="360" w:lineRule="auto"/>
        <w:ind w:firstLineChars="200" w:firstLine="480"/>
        <w:rPr>
          <w:sz w:val="24"/>
        </w:rPr>
      </w:pPr>
      <w:r>
        <w:rPr>
          <w:sz w:val="24"/>
        </w:rPr>
        <w:t>I——</w:t>
      </w:r>
      <w:r>
        <w:rPr>
          <w:sz w:val="24"/>
        </w:rPr>
        <w:t>摄入的干物质含量</w:t>
      </w:r>
      <w:r>
        <w:rPr>
          <w:sz w:val="24"/>
        </w:rPr>
        <w:t>(g)</w:t>
      </w:r>
      <w:r>
        <w:rPr>
          <w:sz w:val="24"/>
        </w:rPr>
        <w:t>；</w:t>
      </w:r>
    </w:p>
    <w:p w14:paraId="6A9836B7" w14:textId="77777777" w:rsidR="008F75C3" w:rsidRDefault="006614AC">
      <w:pPr>
        <w:spacing w:line="360" w:lineRule="auto"/>
        <w:ind w:firstLineChars="200" w:firstLine="480"/>
        <w:rPr>
          <w:sz w:val="24"/>
        </w:rPr>
      </w:pPr>
      <w:r>
        <w:rPr>
          <w:sz w:val="24"/>
        </w:rPr>
        <w:t>P——</w:t>
      </w:r>
      <w:r>
        <w:rPr>
          <w:sz w:val="24"/>
        </w:rPr>
        <w:t>饲料中蛋白质含量</w:t>
      </w:r>
      <w:r>
        <w:rPr>
          <w:sz w:val="24"/>
        </w:rPr>
        <w:t>(%)</w:t>
      </w:r>
      <w:r>
        <w:rPr>
          <w:sz w:val="24"/>
        </w:rPr>
        <w:t>。</w:t>
      </w:r>
    </w:p>
    <w:p w14:paraId="6C77FC85" w14:textId="77777777" w:rsidR="008F75C3" w:rsidRDefault="006614AC">
      <w:pPr>
        <w:spacing w:line="360" w:lineRule="auto"/>
        <w:ind w:firstLineChars="200" w:firstLine="480"/>
        <w:rPr>
          <w:sz w:val="24"/>
        </w:rPr>
      </w:pPr>
      <w:r>
        <w:rPr>
          <w:sz w:val="24"/>
        </w:rPr>
        <w:t>采用单因素方差分析（</w:t>
      </w:r>
      <w:r>
        <w:rPr>
          <w:sz w:val="24"/>
        </w:rPr>
        <w:t>one-way-ANOVA</w:t>
      </w:r>
      <w:r>
        <w:rPr>
          <w:sz w:val="24"/>
        </w:rPr>
        <w:t>），当不同处理之间差异显著（</w:t>
      </w:r>
      <w:r>
        <w:rPr>
          <w:i/>
          <w:iCs/>
          <w:sz w:val="24"/>
        </w:rPr>
        <w:t>P</w:t>
      </w:r>
      <w:r>
        <w:rPr>
          <w:sz w:val="24"/>
        </w:rPr>
        <w:t>&lt;0.05</w:t>
      </w:r>
      <w:r>
        <w:rPr>
          <w:sz w:val="24"/>
        </w:rPr>
        <w:t>）时，用</w:t>
      </w:r>
      <w:r>
        <w:rPr>
          <w:sz w:val="24"/>
        </w:rPr>
        <w:t>Tukey</w:t>
      </w:r>
      <w:proofErr w:type="gramStart"/>
      <w:r>
        <w:rPr>
          <w:sz w:val="24"/>
        </w:rPr>
        <w:t>’</w:t>
      </w:r>
      <w:proofErr w:type="gramEnd"/>
      <w:r>
        <w:rPr>
          <w:sz w:val="24"/>
        </w:rPr>
        <w:t>s</w:t>
      </w:r>
      <w:r>
        <w:rPr>
          <w:sz w:val="24"/>
        </w:rPr>
        <w:t>检验进行多重比较分析。结果以</w:t>
      </w:r>
      <w:r>
        <w:rPr>
          <w:sz w:val="24"/>
        </w:rPr>
        <w:t>“</w:t>
      </w:r>
      <w:r>
        <w:rPr>
          <w:sz w:val="24"/>
        </w:rPr>
        <w:t>平均值</w:t>
      </w:r>
      <w:r>
        <w:rPr>
          <w:sz w:val="24"/>
        </w:rPr>
        <w:t>±</w:t>
      </w:r>
      <w:r>
        <w:rPr>
          <w:sz w:val="24"/>
        </w:rPr>
        <w:t>标准误</w:t>
      </w:r>
      <w:r>
        <w:rPr>
          <w:sz w:val="24"/>
        </w:rPr>
        <w:t>”</w:t>
      </w:r>
      <w:r>
        <w:rPr>
          <w:sz w:val="24"/>
        </w:rPr>
        <w:t>表示，所有统计分析均在</w:t>
      </w:r>
      <w:r>
        <w:rPr>
          <w:sz w:val="24"/>
        </w:rPr>
        <w:t>SPSS 11.0</w:t>
      </w:r>
      <w:r>
        <w:rPr>
          <w:sz w:val="24"/>
        </w:rPr>
        <w:t>软件中进行。</w:t>
      </w:r>
    </w:p>
    <w:p w14:paraId="521F65B0" w14:textId="77777777" w:rsidR="008F75C3" w:rsidRDefault="006614AC">
      <w:pPr>
        <w:spacing w:line="360" w:lineRule="auto"/>
        <w:rPr>
          <w:sz w:val="24"/>
        </w:rPr>
      </w:pPr>
      <w:r>
        <w:rPr>
          <w:sz w:val="24"/>
        </w:rPr>
        <w:t xml:space="preserve">2  </w:t>
      </w:r>
      <w:r>
        <w:rPr>
          <w:sz w:val="24"/>
        </w:rPr>
        <w:t>结果与分析</w:t>
      </w:r>
    </w:p>
    <w:p w14:paraId="198CF605" w14:textId="77777777" w:rsidR="008F75C3" w:rsidRDefault="006614AC">
      <w:pPr>
        <w:spacing w:line="360" w:lineRule="auto"/>
        <w:rPr>
          <w:sz w:val="24"/>
        </w:rPr>
      </w:pPr>
      <w:r>
        <w:rPr>
          <w:sz w:val="24"/>
        </w:rPr>
        <w:t xml:space="preserve">2.1  </w:t>
      </w:r>
      <w:r>
        <w:rPr>
          <w:sz w:val="24"/>
        </w:rPr>
        <w:t>复合植物蛋白替代鱼粉对</w:t>
      </w:r>
      <w:proofErr w:type="gramStart"/>
      <w:r>
        <w:rPr>
          <w:sz w:val="24"/>
        </w:rPr>
        <w:t>凡纳滨对虾</w:t>
      </w:r>
      <w:proofErr w:type="gramEnd"/>
      <w:r>
        <w:rPr>
          <w:sz w:val="24"/>
        </w:rPr>
        <w:t>生长性能的影响（见表</w:t>
      </w:r>
      <w:r>
        <w:rPr>
          <w:sz w:val="24"/>
        </w:rPr>
        <w:t>3</w:t>
      </w:r>
      <w:r>
        <w:rPr>
          <w:sz w:val="24"/>
        </w:rPr>
        <w:t>）</w:t>
      </w:r>
    </w:p>
    <w:p w14:paraId="4FC6D291" w14:textId="77777777" w:rsidR="008F75C3" w:rsidRDefault="006614AC">
      <w:pPr>
        <w:spacing w:line="360" w:lineRule="auto"/>
        <w:ind w:firstLineChars="200" w:firstLine="480"/>
        <w:rPr>
          <w:sz w:val="24"/>
        </w:rPr>
      </w:pPr>
      <w:r>
        <w:rPr>
          <w:sz w:val="24"/>
        </w:rPr>
        <w:t>如表</w:t>
      </w:r>
      <w:r>
        <w:rPr>
          <w:sz w:val="24"/>
        </w:rPr>
        <w:t>3</w:t>
      </w:r>
      <w:r>
        <w:rPr>
          <w:sz w:val="24"/>
        </w:rPr>
        <w:t>所示。经过</w:t>
      </w:r>
      <w:r>
        <w:rPr>
          <w:sz w:val="24"/>
        </w:rPr>
        <w:t>10</w:t>
      </w:r>
      <w:r>
        <w:rPr>
          <w:sz w:val="24"/>
        </w:rPr>
        <w:t>周的摄食生长实验，不同饲料</w:t>
      </w:r>
      <w:proofErr w:type="gramStart"/>
      <w:r>
        <w:rPr>
          <w:sz w:val="24"/>
        </w:rPr>
        <w:t>组凡纳滨</w:t>
      </w:r>
      <w:proofErr w:type="gramEnd"/>
      <w:r>
        <w:rPr>
          <w:sz w:val="24"/>
        </w:rPr>
        <w:t>对虾成活率均在</w:t>
      </w:r>
      <w:r>
        <w:rPr>
          <w:sz w:val="24"/>
        </w:rPr>
        <w:t>90 %</w:t>
      </w:r>
      <w:r>
        <w:rPr>
          <w:sz w:val="24"/>
        </w:rPr>
        <w:t>以上，不同梯度复合蛋白对</w:t>
      </w:r>
      <w:proofErr w:type="gramStart"/>
      <w:r>
        <w:rPr>
          <w:sz w:val="24"/>
        </w:rPr>
        <w:t>凡纳滨对虾</w:t>
      </w:r>
      <w:proofErr w:type="gramEnd"/>
      <w:r>
        <w:rPr>
          <w:sz w:val="24"/>
        </w:rPr>
        <w:t>成活率未产生显著影响（</w:t>
      </w:r>
      <w:r>
        <w:rPr>
          <w:i/>
          <w:iCs/>
          <w:sz w:val="24"/>
        </w:rPr>
        <w:t>P</w:t>
      </w:r>
      <w:r>
        <w:rPr>
          <w:sz w:val="24"/>
        </w:rPr>
        <w:t>&gt;0.05</w:t>
      </w:r>
      <w:r>
        <w:rPr>
          <w:sz w:val="24"/>
        </w:rPr>
        <w:t>）。但是，随着复合蛋白替代水平提高，</w:t>
      </w:r>
      <w:proofErr w:type="gramStart"/>
      <w:r>
        <w:rPr>
          <w:sz w:val="24"/>
        </w:rPr>
        <w:t>凡纳滨对虾</w:t>
      </w:r>
      <w:proofErr w:type="gramEnd"/>
      <w:r>
        <w:rPr>
          <w:sz w:val="24"/>
        </w:rPr>
        <w:t>增重率、特定生长率（</w:t>
      </w:r>
      <w:r>
        <w:rPr>
          <w:sz w:val="24"/>
        </w:rPr>
        <w:t>SGR</w:t>
      </w:r>
      <w:r>
        <w:rPr>
          <w:sz w:val="24"/>
        </w:rPr>
        <w:t>）、蛋白质效率（</w:t>
      </w:r>
      <w:r>
        <w:rPr>
          <w:sz w:val="24"/>
        </w:rPr>
        <w:t>PER</w:t>
      </w:r>
      <w:r>
        <w:rPr>
          <w:sz w:val="24"/>
        </w:rPr>
        <w:t>）均产生不</w:t>
      </w:r>
      <w:r>
        <w:rPr>
          <w:sz w:val="24"/>
        </w:rPr>
        <w:lastRenderedPageBreak/>
        <w:t>同程度下降，饲料系数（</w:t>
      </w:r>
      <w:r>
        <w:rPr>
          <w:sz w:val="24"/>
        </w:rPr>
        <w:t>FCR</w:t>
      </w:r>
      <w:r>
        <w:rPr>
          <w:sz w:val="24"/>
        </w:rPr>
        <w:t>）不同程度升高。所以实验组中，</w:t>
      </w:r>
      <w:r>
        <w:rPr>
          <w:sz w:val="24"/>
        </w:rPr>
        <w:t>14 %</w:t>
      </w:r>
      <w:proofErr w:type="gramStart"/>
      <w:r>
        <w:rPr>
          <w:sz w:val="24"/>
        </w:rPr>
        <w:t>替代组</w:t>
      </w:r>
      <w:proofErr w:type="gramEnd"/>
      <w:r>
        <w:rPr>
          <w:sz w:val="24"/>
        </w:rPr>
        <w:t>获得最高的</w:t>
      </w:r>
      <w:r>
        <w:rPr>
          <w:sz w:val="24"/>
        </w:rPr>
        <w:t>SGR</w:t>
      </w:r>
      <w:r>
        <w:rPr>
          <w:sz w:val="24"/>
        </w:rPr>
        <w:t>、</w:t>
      </w:r>
      <w:r>
        <w:rPr>
          <w:sz w:val="24"/>
        </w:rPr>
        <w:t>PER</w:t>
      </w:r>
      <w:r>
        <w:rPr>
          <w:sz w:val="24"/>
        </w:rPr>
        <w:t>和最低的</w:t>
      </w:r>
      <w:r>
        <w:rPr>
          <w:sz w:val="24"/>
        </w:rPr>
        <w:t>FCR</w:t>
      </w:r>
      <w:r>
        <w:rPr>
          <w:sz w:val="24"/>
        </w:rPr>
        <w:t>，与对照组差异不显著（</w:t>
      </w:r>
      <w:r>
        <w:rPr>
          <w:i/>
          <w:iCs/>
          <w:sz w:val="24"/>
        </w:rPr>
        <w:t>P</w:t>
      </w:r>
      <w:r>
        <w:rPr>
          <w:sz w:val="24"/>
        </w:rPr>
        <w:t>&gt;0.05</w:t>
      </w:r>
      <w:r>
        <w:rPr>
          <w:sz w:val="24"/>
        </w:rPr>
        <w:t>）。</w:t>
      </w:r>
      <w:r>
        <w:rPr>
          <w:sz w:val="24"/>
        </w:rPr>
        <w:t>28 %</w:t>
      </w:r>
      <w:proofErr w:type="gramStart"/>
      <w:r>
        <w:rPr>
          <w:sz w:val="24"/>
        </w:rPr>
        <w:t>替代组</w:t>
      </w:r>
      <w:proofErr w:type="gramEnd"/>
      <w:r>
        <w:rPr>
          <w:sz w:val="24"/>
        </w:rPr>
        <w:t>PER</w:t>
      </w:r>
      <w:r>
        <w:rPr>
          <w:sz w:val="24"/>
        </w:rPr>
        <w:t>和</w:t>
      </w:r>
      <w:r>
        <w:rPr>
          <w:sz w:val="24"/>
        </w:rPr>
        <w:t>FCR</w:t>
      </w:r>
      <w:r>
        <w:rPr>
          <w:sz w:val="24"/>
        </w:rPr>
        <w:t>组与</w:t>
      </w:r>
      <w:r>
        <w:rPr>
          <w:sz w:val="24"/>
        </w:rPr>
        <w:t>14 %</w:t>
      </w:r>
      <w:proofErr w:type="gramStart"/>
      <w:r>
        <w:rPr>
          <w:sz w:val="24"/>
        </w:rPr>
        <w:t>替代组</w:t>
      </w:r>
      <w:proofErr w:type="gramEnd"/>
      <w:r>
        <w:rPr>
          <w:sz w:val="24"/>
        </w:rPr>
        <w:t>差异不显著（</w:t>
      </w:r>
      <w:r>
        <w:rPr>
          <w:i/>
          <w:iCs/>
          <w:sz w:val="24"/>
        </w:rPr>
        <w:t>P</w:t>
      </w:r>
      <w:r>
        <w:rPr>
          <w:sz w:val="24"/>
        </w:rPr>
        <w:t>&gt;0.05</w:t>
      </w:r>
      <w:r>
        <w:rPr>
          <w:sz w:val="24"/>
        </w:rPr>
        <w:t>）。</w:t>
      </w:r>
    </w:p>
    <w:p w14:paraId="1988D9B9" w14:textId="77777777" w:rsidR="008F75C3" w:rsidRDefault="006614AC">
      <w:pPr>
        <w:spacing w:line="360" w:lineRule="auto"/>
        <w:jc w:val="center"/>
        <w:rPr>
          <w:sz w:val="24"/>
        </w:rPr>
      </w:pPr>
      <w:r>
        <w:rPr>
          <w:noProof/>
        </w:rPr>
        <w:drawing>
          <wp:inline distT="0" distB="0" distL="0" distR="0" wp14:anchorId="7FC5F501" wp14:editId="68551B0D">
            <wp:extent cx="4652010" cy="1413510"/>
            <wp:effectExtent l="0" t="0" r="0" b="0"/>
            <wp:docPr id="47" name="图片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 name="图片 47"/>
                    <pic:cNvPicPr>
                      <a:picLocks noChangeAspect="1"/>
                    </pic:cNvPicPr>
                  </pic:nvPicPr>
                  <pic:blipFill>
                    <a:blip r:embed="rId53"/>
                    <a:stretch>
                      <a:fillRect/>
                    </a:stretch>
                  </pic:blipFill>
                  <pic:spPr>
                    <a:xfrm>
                      <a:off x="0" y="0"/>
                      <a:ext cx="4670763" cy="1419336"/>
                    </a:xfrm>
                    <a:prstGeom prst="rect">
                      <a:avLst/>
                    </a:prstGeom>
                  </pic:spPr>
                </pic:pic>
              </a:graphicData>
            </a:graphic>
          </wp:inline>
        </w:drawing>
      </w:r>
    </w:p>
    <w:p w14:paraId="321547E7" w14:textId="77777777" w:rsidR="008F75C3" w:rsidRDefault="006614AC">
      <w:pPr>
        <w:spacing w:line="360" w:lineRule="auto"/>
        <w:rPr>
          <w:sz w:val="24"/>
        </w:rPr>
      </w:pPr>
      <w:r>
        <w:rPr>
          <w:sz w:val="24"/>
        </w:rPr>
        <w:t xml:space="preserve">2.2  </w:t>
      </w:r>
      <w:r>
        <w:rPr>
          <w:sz w:val="24"/>
        </w:rPr>
        <w:t>复合植物蛋白替代鱼粉对</w:t>
      </w:r>
      <w:proofErr w:type="gramStart"/>
      <w:r>
        <w:rPr>
          <w:sz w:val="24"/>
        </w:rPr>
        <w:t>凡纳滨对虾</w:t>
      </w:r>
      <w:proofErr w:type="gramEnd"/>
      <w:r>
        <w:rPr>
          <w:sz w:val="24"/>
        </w:rPr>
        <w:t>体组成及氨基酸组成的影响（见表</w:t>
      </w:r>
      <w:r>
        <w:rPr>
          <w:sz w:val="24"/>
        </w:rPr>
        <w:t>4</w:t>
      </w:r>
      <w:r>
        <w:rPr>
          <w:sz w:val="24"/>
        </w:rPr>
        <w:t>、表</w:t>
      </w:r>
      <w:r>
        <w:rPr>
          <w:sz w:val="24"/>
        </w:rPr>
        <w:t>5</w:t>
      </w:r>
      <w:r>
        <w:rPr>
          <w:sz w:val="24"/>
        </w:rPr>
        <w:t>）</w:t>
      </w:r>
    </w:p>
    <w:p w14:paraId="75743D82" w14:textId="77777777" w:rsidR="008F75C3" w:rsidRDefault="006614AC">
      <w:pPr>
        <w:spacing w:line="360" w:lineRule="auto"/>
        <w:ind w:firstLineChars="200" w:firstLine="480"/>
      </w:pPr>
      <w:r>
        <w:rPr>
          <w:sz w:val="24"/>
        </w:rPr>
        <w:t>由见表</w:t>
      </w:r>
      <w:r>
        <w:rPr>
          <w:sz w:val="24"/>
        </w:rPr>
        <w:t>4</w:t>
      </w:r>
      <w:r>
        <w:rPr>
          <w:sz w:val="24"/>
        </w:rPr>
        <w:t>可知，对虾水分含量范围在</w:t>
      </w:r>
      <w:r>
        <w:rPr>
          <w:sz w:val="24"/>
        </w:rPr>
        <w:t>75.1 % ~76.2 %</w:t>
      </w:r>
      <w:r>
        <w:rPr>
          <w:sz w:val="24"/>
        </w:rPr>
        <w:t>，粗蛋白含量范围在</w:t>
      </w:r>
      <w:r>
        <w:rPr>
          <w:sz w:val="24"/>
        </w:rPr>
        <w:t>17.50 %~18.40 %</w:t>
      </w:r>
      <w:r>
        <w:rPr>
          <w:sz w:val="24"/>
        </w:rPr>
        <w:t>，粗脂肪含量范围在</w:t>
      </w:r>
      <w:r>
        <w:rPr>
          <w:sz w:val="24"/>
        </w:rPr>
        <w:t>2.12 %~2.89 %</w:t>
      </w:r>
      <w:r>
        <w:rPr>
          <w:sz w:val="24"/>
        </w:rPr>
        <w:t>，粗灰分含量范围在</w:t>
      </w:r>
      <w:r>
        <w:rPr>
          <w:sz w:val="24"/>
        </w:rPr>
        <w:t xml:space="preserve"> 3.27 %~3.</w:t>
      </w:r>
      <w:r>
        <w:rPr>
          <w:sz w:val="24"/>
        </w:rPr>
        <w:t>45 %</w:t>
      </w:r>
      <w:r>
        <w:rPr>
          <w:sz w:val="24"/>
        </w:rPr>
        <w:t>，各饲料组间没有出现显著差异，但随着复合植物蛋白比例的升高粗蛋白含量有下降的趋势，粗灰分有升高的趋势（</w:t>
      </w:r>
      <w:r>
        <w:rPr>
          <w:i/>
          <w:iCs/>
          <w:sz w:val="24"/>
        </w:rPr>
        <w:t>P</w:t>
      </w:r>
      <w:r>
        <w:rPr>
          <w:sz w:val="24"/>
        </w:rPr>
        <w:t>&gt;0.05</w:t>
      </w:r>
      <w:r>
        <w:rPr>
          <w:sz w:val="24"/>
        </w:rPr>
        <w:t>）。</w:t>
      </w:r>
    </w:p>
    <w:p w14:paraId="0768A734" w14:textId="77777777" w:rsidR="008F75C3" w:rsidRDefault="006614AC">
      <w:pPr>
        <w:jc w:val="center"/>
      </w:pPr>
      <w:r>
        <w:rPr>
          <w:noProof/>
        </w:rPr>
        <w:drawing>
          <wp:inline distT="0" distB="0" distL="0" distR="0" wp14:anchorId="23FBACF2" wp14:editId="092696FC">
            <wp:extent cx="4601845" cy="917575"/>
            <wp:effectExtent l="0" t="0" r="0" b="0"/>
            <wp:docPr id="48" name="图片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图片 48"/>
                    <pic:cNvPicPr>
                      <a:picLocks noChangeAspect="1"/>
                    </pic:cNvPicPr>
                  </pic:nvPicPr>
                  <pic:blipFill>
                    <a:blip r:embed="rId54"/>
                    <a:stretch>
                      <a:fillRect/>
                    </a:stretch>
                  </pic:blipFill>
                  <pic:spPr>
                    <a:xfrm>
                      <a:off x="0" y="0"/>
                      <a:ext cx="4614960" cy="920658"/>
                    </a:xfrm>
                    <a:prstGeom prst="rect">
                      <a:avLst/>
                    </a:prstGeom>
                  </pic:spPr>
                </pic:pic>
              </a:graphicData>
            </a:graphic>
          </wp:inline>
        </w:drawing>
      </w:r>
    </w:p>
    <w:p w14:paraId="54E33CD9" w14:textId="77777777" w:rsidR="008F75C3" w:rsidRDefault="006614AC">
      <w:pPr>
        <w:jc w:val="center"/>
      </w:pPr>
      <w:r>
        <w:rPr>
          <w:noProof/>
        </w:rPr>
        <w:drawing>
          <wp:inline distT="0" distB="0" distL="0" distR="0" wp14:anchorId="287AF792" wp14:editId="10787475">
            <wp:extent cx="4601845" cy="2494915"/>
            <wp:effectExtent l="0" t="0" r="8255" b="635"/>
            <wp:docPr id="49" name="图片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 name="图片 49"/>
                    <pic:cNvPicPr>
                      <a:picLocks noChangeAspect="1"/>
                    </pic:cNvPicPr>
                  </pic:nvPicPr>
                  <pic:blipFill>
                    <a:blip r:embed="rId55"/>
                    <a:stretch>
                      <a:fillRect/>
                    </a:stretch>
                  </pic:blipFill>
                  <pic:spPr>
                    <a:xfrm>
                      <a:off x="0" y="0"/>
                      <a:ext cx="4619992" cy="2504675"/>
                    </a:xfrm>
                    <a:prstGeom prst="rect">
                      <a:avLst/>
                    </a:prstGeom>
                  </pic:spPr>
                </pic:pic>
              </a:graphicData>
            </a:graphic>
          </wp:inline>
        </w:drawing>
      </w:r>
    </w:p>
    <w:p w14:paraId="2CA22B32" w14:textId="77777777" w:rsidR="008F75C3" w:rsidRDefault="006614AC">
      <w:pPr>
        <w:spacing w:line="360" w:lineRule="auto"/>
        <w:ind w:firstLineChars="200" w:firstLine="480"/>
        <w:rPr>
          <w:sz w:val="24"/>
        </w:rPr>
      </w:pPr>
      <w:r>
        <w:rPr>
          <w:sz w:val="24"/>
        </w:rPr>
        <w:t>同时，实验结束后，不同饲料</w:t>
      </w:r>
      <w:proofErr w:type="gramStart"/>
      <w:r>
        <w:rPr>
          <w:sz w:val="24"/>
        </w:rPr>
        <w:t>组凡纳滨</w:t>
      </w:r>
      <w:proofErr w:type="gramEnd"/>
      <w:r>
        <w:rPr>
          <w:sz w:val="24"/>
        </w:rPr>
        <w:t>对虾体组织氨基酸组成见表</w:t>
      </w:r>
      <w:r>
        <w:rPr>
          <w:sz w:val="24"/>
        </w:rPr>
        <w:t>5</w:t>
      </w:r>
      <w:r>
        <w:rPr>
          <w:sz w:val="24"/>
        </w:rPr>
        <w:t>。各饲料组间对虾氨基酸组成没有出现显著差异（</w:t>
      </w:r>
      <w:r>
        <w:rPr>
          <w:i/>
          <w:iCs/>
          <w:sz w:val="24"/>
        </w:rPr>
        <w:t>P</w:t>
      </w:r>
      <w:r>
        <w:rPr>
          <w:sz w:val="24"/>
        </w:rPr>
        <w:t>&gt;0.05</w:t>
      </w:r>
      <w:r>
        <w:rPr>
          <w:sz w:val="24"/>
        </w:rPr>
        <w:t>）。</w:t>
      </w:r>
    </w:p>
    <w:p w14:paraId="645FF940" w14:textId="77777777" w:rsidR="008F75C3" w:rsidRDefault="006614AC">
      <w:pPr>
        <w:spacing w:line="360" w:lineRule="auto"/>
        <w:rPr>
          <w:sz w:val="24"/>
        </w:rPr>
      </w:pPr>
      <w:r>
        <w:rPr>
          <w:sz w:val="24"/>
        </w:rPr>
        <w:t xml:space="preserve">3  </w:t>
      </w:r>
      <w:r>
        <w:rPr>
          <w:sz w:val="24"/>
        </w:rPr>
        <w:t>讨论</w:t>
      </w:r>
    </w:p>
    <w:p w14:paraId="50E9EF28" w14:textId="77777777" w:rsidR="008F75C3" w:rsidRDefault="006614AC">
      <w:pPr>
        <w:spacing w:line="360" w:lineRule="auto"/>
      </w:pPr>
      <w:r>
        <w:rPr>
          <w:sz w:val="24"/>
        </w:rPr>
        <w:t xml:space="preserve">3.1  </w:t>
      </w:r>
      <w:r>
        <w:rPr>
          <w:sz w:val="24"/>
        </w:rPr>
        <w:t>复合植物蛋白替代鱼粉对</w:t>
      </w:r>
      <w:proofErr w:type="gramStart"/>
      <w:r>
        <w:rPr>
          <w:sz w:val="24"/>
        </w:rPr>
        <w:t>凡纳滨对虾</w:t>
      </w:r>
      <w:proofErr w:type="gramEnd"/>
      <w:r>
        <w:rPr>
          <w:sz w:val="24"/>
        </w:rPr>
        <w:t>生长性能和饲料利用的影响</w:t>
      </w:r>
    </w:p>
    <w:p w14:paraId="3988A261" w14:textId="77777777" w:rsidR="008F75C3" w:rsidRDefault="006614AC">
      <w:pPr>
        <w:spacing w:line="360" w:lineRule="auto"/>
        <w:ind w:firstLineChars="200" w:firstLine="480"/>
        <w:rPr>
          <w:sz w:val="24"/>
        </w:rPr>
      </w:pPr>
      <w:r>
        <w:rPr>
          <w:sz w:val="24"/>
        </w:rPr>
        <w:lastRenderedPageBreak/>
        <w:t>本实验条件下，复合植物蛋白替代</w:t>
      </w:r>
      <w:r>
        <w:rPr>
          <w:sz w:val="24"/>
        </w:rPr>
        <w:t xml:space="preserve">14 </w:t>
      </w:r>
      <w:r>
        <w:rPr>
          <w:sz w:val="24"/>
        </w:rPr>
        <w:t>%</w:t>
      </w:r>
      <w:r>
        <w:rPr>
          <w:sz w:val="24"/>
        </w:rPr>
        <w:t>鱼粉时，</w:t>
      </w:r>
      <w:proofErr w:type="gramStart"/>
      <w:r>
        <w:rPr>
          <w:sz w:val="24"/>
        </w:rPr>
        <w:t>凡纳滨对虾</w:t>
      </w:r>
      <w:proofErr w:type="gramEnd"/>
      <w:r>
        <w:rPr>
          <w:sz w:val="24"/>
        </w:rPr>
        <w:t>的生长或蛋白质效率无显著变化，但随着替代水平的提高，</w:t>
      </w:r>
      <w:proofErr w:type="gramStart"/>
      <w:r>
        <w:rPr>
          <w:sz w:val="24"/>
        </w:rPr>
        <w:t>凡纳滨对虾</w:t>
      </w:r>
      <w:proofErr w:type="gramEnd"/>
      <w:r>
        <w:rPr>
          <w:sz w:val="24"/>
        </w:rPr>
        <w:t>生长指标</w:t>
      </w:r>
      <w:r>
        <w:rPr>
          <w:sz w:val="24"/>
        </w:rPr>
        <w:t xml:space="preserve"> SGR </w:t>
      </w:r>
      <w:r>
        <w:rPr>
          <w:sz w:val="24"/>
        </w:rPr>
        <w:t>及蛋白质利用指标</w:t>
      </w:r>
      <w:r>
        <w:rPr>
          <w:sz w:val="24"/>
        </w:rPr>
        <w:t>PER</w:t>
      </w:r>
      <w:r>
        <w:rPr>
          <w:sz w:val="24"/>
        </w:rPr>
        <w:t>呈不同程度下降。很多研究结果证实</w:t>
      </w:r>
      <w:proofErr w:type="gramStart"/>
      <w:r>
        <w:rPr>
          <w:sz w:val="24"/>
        </w:rPr>
        <w:t>凡纳滨对虾</w:t>
      </w:r>
      <w:proofErr w:type="gramEnd"/>
      <w:r>
        <w:rPr>
          <w:sz w:val="24"/>
        </w:rPr>
        <w:t>或水产养殖动物可以有效利用植物蛋白源。例如，在</w:t>
      </w:r>
      <w:proofErr w:type="gramStart"/>
      <w:r>
        <w:rPr>
          <w:sz w:val="24"/>
        </w:rPr>
        <w:t>凡纳滨对虾</w:t>
      </w:r>
      <w:proofErr w:type="gramEnd"/>
      <w:r>
        <w:rPr>
          <w:sz w:val="24"/>
        </w:rPr>
        <w:t>养殖过程中可以用豆</w:t>
      </w:r>
      <w:proofErr w:type="gramStart"/>
      <w:r>
        <w:rPr>
          <w:sz w:val="24"/>
        </w:rPr>
        <w:t>粕</w:t>
      </w:r>
      <w:proofErr w:type="gramEnd"/>
      <w:r>
        <w:rPr>
          <w:sz w:val="24"/>
        </w:rPr>
        <w:t>和菜</w:t>
      </w:r>
      <w:proofErr w:type="gramStart"/>
      <w:r>
        <w:rPr>
          <w:sz w:val="24"/>
        </w:rPr>
        <w:t>粕</w:t>
      </w:r>
      <w:proofErr w:type="gramEnd"/>
      <w:r>
        <w:rPr>
          <w:sz w:val="24"/>
        </w:rPr>
        <w:t>来替代鱼粉</w:t>
      </w:r>
      <w:r>
        <w:rPr>
          <w:sz w:val="24"/>
          <w:vertAlign w:val="superscript"/>
        </w:rPr>
        <w:t>[10]</w:t>
      </w:r>
      <w:r>
        <w:rPr>
          <w:sz w:val="24"/>
        </w:rPr>
        <w:t>。然而，过高的植物蛋白替代鱼粉可能会抑制水产动物的生长和饲料利用。</w:t>
      </w:r>
      <w:r>
        <w:rPr>
          <w:sz w:val="24"/>
        </w:rPr>
        <w:t xml:space="preserve">Lim </w:t>
      </w:r>
      <w:r>
        <w:rPr>
          <w:sz w:val="24"/>
        </w:rPr>
        <w:t>等</w:t>
      </w:r>
      <w:r>
        <w:rPr>
          <w:sz w:val="24"/>
          <w:vertAlign w:val="superscript"/>
        </w:rPr>
        <w:t>[7]</w:t>
      </w:r>
      <w:r>
        <w:rPr>
          <w:sz w:val="24"/>
        </w:rPr>
        <w:t>发现使用双低菜</w:t>
      </w:r>
      <w:proofErr w:type="gramStart"/>
      <w:r>
        <w:rPr>
          <w:sz w:val="24"/>
        </w:rPr>
        <w:t>粕</w:t>
      </w:r>
      <w:proofErr w:type="gramEnd"/>
      <w:r>
        <w:rPr>
          <w:sz w:val="24"/>
        </w:rPr>
        <w:t>替代</w:t>
      </w:r>
      <w:r>
        <w:rPr>
          <w:sz w:val="24"/>
        </w:rPr>
        <w:t>60 %</w:t>
      </w:r>
      <w:r>
        <w:rPr>
          <w:sz w:val="24"/>
        </w:rPr>
        <w:t>鱼粉蛋白，</w:t>
      </w:r>
      <w:proofErr w:type="gramStart"/>
      <w:r>
        <w:rPr>
          <w:sz w:val="24"/>
        </w:rPr>
        <w:t>凡纳滨对虾</w:t>
      </w:r>
      <w:proofErr w:type="gramEnd"/>
      <w:r>
        <w:rPr>
          <w:sz w:val="24"/>
        </w:rPr>
        <w:t>成活率和特定生长率显著低于对照组。在鱼类的研究也得到类似的结果。当复合蛋白替代</w:t>
      </w:r>
      <w:r>
        <w:rPr>
          <w:sz w:val="24"/>
        </w:rPr>
        <w:t>20 %</w:t>
      </w:r>
      <w:r>
        <w:rPr>
          <w:sz w:val="24"/>
        </w:rPr>
        <w:t>鱼粉时，对花鲈生长无显著影响，但</w:t>
      </w:r>
      <w:r>
        <w:rPr>
          <w:sz w:val="24"/>
        </w:rPr>
        <w:t>当替代比例达到</w:t>
      </w:r>
      <w:r>
        <w:rPr>
          <w:sz w:val="24"/>
        </w:rPr>
        <w:t>40 %</w:t>
      </w:r>
      <w:r>
        <w:rPr>
          <w:sz w:val="24"/>
        </w:rPr>
        <w:t>时复合蛋白则会显著降低</w:t>
      </w:r>
      <w:proofErr w:type="gramStart"/>
      <w:r>
        <w:rPr>
          <w:sz w:val="24"/>
        </w:rPr>
        <w:t>花鲈的生长</w:t>
      </w:r>
      <w:proofErr w:type="gramEnd"/>
      <w:r>
        <w:rPr>
          <w:sz w:val="24"/>
        </w:rPr>
        <w:t>性能</w:t>
      </w:r>
      <w:r>
        <w:rPr>
          <w:sz w:val="24"/>
          <w:vertAlign w:val="superscript"/>
        </w:rPr>
        <w:t>[11]</w:t>
      </w:r>
      <w:r>
        <w:rPr>
          <w:sz w:val="24"/>
        </w:rPr>
        <w:t>。林仕梅等</w:t>
      </w:r>
      <w:r>
        <w:rPr>
          <w:sz w:val="24"/>
          <w:vertAlign w:val="superscript"/>
        </w:rPr>
        <w:t>[12]</w:t>
      </w:r>
      <w:r>
        <w:rPr>
          <w:sz w:val="24"/>
        </w:rPr>
        <w:t>在杂交</w:t>
      </w:r>
      <w:proofErr w:type="gramStart"/>
      <w:r>
        <w:rPr>
          <w:sz w:val="24"/>
        </w:rPr>
        <w:t>鳢</w:t>
      </w:r>
      <w:proofErr w:type="gramEnd"/>
      <w:r>
        <w:rPr>
          <w:sz w:val="24"/>
        </w:rPr>
        <w:t>上的研究也显示复合蛋白源替代</w:t>
      </w:r>
      <w:r>
        <w:rPr>
          <w:sz w:val="24"/>
        </w:rPr>
        <w:t>24 %</w:t>
      </w:r>
      <w:r>
        <w:rPr>
          <w:sz w:val="24"/>
        </w:rPr>
        <w:t>以上的鱼粉会显著降低杂交</w:t>
      </w:r>
      <w:proofErr w:type="gramStart"/>
      <w:r>
        <w:rPr>
          <w:sz w:val="24"/>
        </w:rPr>
        <w:t>鳢</w:t>
      </w:r>
      <w:proofErr w:type="gramEnd"/>
      <w:r>
        <w:rPr>
          <w:sz w:val="24"/>
        </w:rPr>
        <w:t>的特定生长率和饲料效率。这种生长效应的抑制，主要可能是由于植物蛋白中促摄食物质含量较低导致的摄食率降低</w:t>
      </w:r>
      <w:r>
        <w:rPr>
          <w:sz w:val="24"/>
          <w:vertAlign w:val="superscript"/>
        </w:rPr>
        <w:t>[13]</w:t>
      </w:r>
      <w:r>
        <w:rPr>
          <w:sz w:val="24"/>
        </w:rPr>
        <w:t>。也可能与植物蛋白的消化利用率偏低有关。本实验结果表明当饲料复合蛋白含量超过</w:t>
      </w:r>
      <w:r>
        <w:rPr>
          <w:sz w:val="24"/>
        </w:rPr>
        <w:t>28 %</w:t>
      </w:r>
      <w:r>
        <w:rPr>
          <w:sz w:val="24"/>
        </w:rPr>
        <w:t>时，</w:t>
      </w:r>
      <w:proofErr w:type="gramStart"/>
      <w:r>
        <w:rPr>
          <w:sz w:val="24"/>
        </w:rPr>
        <w:t>凡纳滨对虾</w:t>
      </w:r>
      <w:proofErr w:type="gramEnd"/>
      <w:r>
        <w:rPr>
          <w:sz w:val="24"/>
        </w:rPr>
        <w:t>特定生长率显著低于对照组（</w:t>
      </w:r>
      <w:r>
        <w:rPr>
          <w:i/>
          <w:iCs/>
          <w:sz w:val="24"/>
        </w:rPr>
        <w:t>P</w:t>
      </w:r>
      <w:r>
        <w:rPr>
          <w:sz w:val="24"/>
        </w:rPr>
        <w:t>&lt;0.05</w:t>
      </w:r>
      <w:r>
        <w:rPr>
          <w:sz w:val="24"/>
        </w:rPr>
        <w:t>）。说明复合蛋白能够替代饲料中</w:t>
      </w:r>
      <w:r>
        <w:rPr>
          <w:sz w:val="24"/>
        </w:rPr>
        <w:t>14 %</w:t>
      </w:r>
      <w:r>
        <w:rPr>
          <w:sz w:val="24"/>
        </w:rPr>
        <w:t>的鱼粉蛋白而不影响对虾的生长，替代比例不要超过</w:t>
      </w:r>
      <w:r>
        <w:rPr>
          <w:sz w:val="24"/>
        </w:rPr>
        <w:t>28 %</w:t>
      </w:r>
      <w:r>
        <w:rPr>
          <w:sz w:val="24"/>
        </w:rPr>
        <w:t>。</w:t>
      </w:r>
    </w:p>
    <w:p w14:paraId="49CA3CB4" w14:textId="77777777" w:rsidR="008F75C3" w:rsidRDefault="006614AC">
      <w:pPr>
        <w:spacing w:line="360" w:lineRule="auto"/>
        <w:rPr>
          <w:sz w:val="24"/>
        </w:rPr>
      </w:pPr>
      <w:r>
        <w:rPr>
          <w:sz w:val="24"/>
        </w:rPr>
        <w:t xml:space="preserve">3.2  </w:t>
      </w:r>
      <w:r>
        <w:rPr>
          <w:sz w:val="24"/>
        </w:rPr>
        <w:t>复合植</w:t>
      </w:r>
      <w:r>
        <w:rPr>
          <w:sz w:val="24"/>
        </w:rPr>
        <w:t>物蛋白替代鱼粉对</w:t>
      </w:r>
      <w:proofErr w:type="gramStart"/>
      <w:r>
        <w:rPr>
          <w:sz w:val="24"/>
        </w:rPr>
        <w:t>凡纳滨对虾</w:t>
      </w:r>
      <w:proofErr w:type="gramEnd"/>
      <w:r>
        <w:rPr>
          <w:sz w:val="24"/>
        </w:rPr>
        <w:t>肌肉常规成分和体组织氨基酸的影响</w:t>
      </w:r>
    </w:p>
    <w:p w14:paraId="6E879A95" w14:textId="77777777" w:rsidR="008F75C3" w:rsidRDefault="006614AC">
      <w:pPr>
        <w:spacing w:line="360" w:lineRule="auto"/>
        <w:ind w:firstLineChars="200" w:firstLine="480"/>
        <w:rPr>
          <w:sz w:val="24"/>
        </w:rPr>
      </w:pPr>
      <w:r>
        <w:rPr>
          <w:sz w:val="24"/>
        </w:rPr>
        <w:t>本实验结果表明不同复合植物蛋白替代鱼粉对</w:t>
      </w:r>
      <w:proofErr w:type="gramStart"/>
      <w:r>
        <w:rPr>
          <w:sz w:val="24"/>
        </w:rPr>
        <w:t>凡纳滨对虾</w:t>
      </w:r>
      <w:proofErr w:type="gramEnd"/>
      <w:r>
        <w:rPr>
          <w:sz w:val="24"/>
        </w:rPr>
        <w:t>水分、粗蛋白、粗脂肪、粗灰分含量没有显著影响（</w:t>
      </w:r>
      <w:r>
        <w:rPr>
          <w:i/>
          <w:iCs/>
          <w:sz w:val="24"/>
        </w:rPr>
        <w:t>P</w:t>
      </w:r>
      <w:r>
        <w:rPr>
          <w:sz w:val="24"/>
        </w:rPr>
        <w:t>&gt;0.05</w:t>
      </w:r>
      <w:r>
        <w:rPr>
          <w:sz w:val="24"/>
        </w:rPr>
        <w:t>）。在大口黑鲈、大菱</w:t>
      </w:r>
      <w:proofErr w:type="gramStart"/>
      <w:r>
        <w:rPr>
          <w:sz w:val="24"/>
        </w:rPr>
        <w:t>鲆</w:t>
      </w:r>
      <w:proofErr w:type="gramEnd"/>
      <w:r>
        <w:rPr>
          <w:sz w:val="24"/>
        </w:rPr>
        <w:t>、黄</w:t>
      </w:r>
      <w:proofErr w:type="gramStart"/>
      <w:r>
        <w:rPr>
          <w:sz w:val="24"/>
        </w:rPr>
        <w:t>颡</w:t>
      </w:r>
      <w:proofErr w:type="gramEnd"/>
      <w:r>
        <w:rPr>
          <w:sz w:val="24"/>
        </w:rPr>
        <w:t>鱼的蛋白替代实验中也得到了类似的研究结果</w:t>
      </w:r>
      <w:r>
        <w:rPr>
          <w:sz w:val="24"/>
          <w:vertAlign w:val="superscript"/>
        </w:rPr>
        <w:t>[14-16]</w:t>
      </w:r>
      <w:r>
        <w:rPr>
          <w:sz w:val="24"/>
        </w:rPr>
        <w:t>。在本研究中虽然统计上无显著差异，</w:t>
      </w:r>
      <w:proofErr w:type="gramStart"/>
      <w:r>
        <w:rPr>
          <w:sz w:val="24"/>
        </w:rPr>
        <w:t>但凡纳滨对虾</w:t>
      </w:r>
      <w:proofErr w:type="gramEnd"/>
      <w:r>
        <w:rPr>
          <w:sz w:val="24"/>
        </w:rPr>
        <w:t>脂肪含量却有随着复合蛋白替代量升高呈下降的趋势。有研究认为，肠道脂肪酶活性可能受复合蛋白替代鱼粉比例升高而降低</w:t>
      </w:r>
      <w:r>
        <w:rPr>
          <w:sz w:val="24"/>
          <w:vertAlign w:val="superscript"/>
        </w:rPr>
        <w:t>[11]</w:t>
      </w:r>
      <w:r>
        <w:rPr>
          <w:sz w:val="24"/>
        </w:rPr>
        <w:t>。此外，由于植物蛋白源中非淀粉性多糖和低聚糖含量较高，可能导致动物对脂肪的消化吸收率下降</w:t>
      </w:r>
      <w:r>
        <w:rPr>
          <w:sz w:val="24"/>
          <w:vertAlign w:val="superscript"/>
        </w:rPr>
        <w:t>[14</w:t>
      </w:r>
      <w:r>
        <w:rPr>
          <w:sz w:val="24"/>
          <w:vertAlign w:val="superscript"/>
        </w:rPr>
        <w:t>，</w:t>
      </w:r>
      <w:r>
        <w:rPr>
          <w:sz w:val="24"/>
          <w:vertAlign w:val="superscript"/>
        </w:rPr>
        <w:t>1</w:t>
      </w:r>
      <w:r>
        <w:rPr>
          <w:sz w:val="24"/>
          <w:vertAlign w:val="superscript"/>
        </w:rPr>
        <w:t>7]</w:t>
      </w:r>
      <w:r>
        <w:rPr>
          <w:sz w:val="24"/>
        </w:rPr>
        <w:t>。本实验结果表明不同复合植物蛋白替代鱼粉对</w:t>
      </w:r>
      <w:proofErr w:type="gramStart"/>
      <w:r>
        <w:rPr>
          <w:sz w:val="24"/>
        </w:rPr>
        <w:t>凡纳滨对虾</w:t>
      </w:r>
      <w:proofErr w:type="gramEnd"/>
      <w:r>
        <w:rPr>
          <w:sz w:val="24"/>
        </w:rPr>
        <w:t>体组织氨基酸没有显著影响。这与陈晓瑛等</w:t>
      </w:r>
      <w:r>
        <w:rPr>
          <w:sz w:val="24"/>
          <w:vertAlign w:val="superscript"/>
        </w:rPr>
        <w:t>[18]</w:t>
      </w:r>
      <w:r>
        <w:rPr>
          <w:sz w:val="24"/>
        </w:rPr>
        <w:t>在黄</w:t>
      </w:r>
      <w:proofErr w:type="gramStart"/>
      <w:r>
        <w:rPr>
          <w:sz w:val="24"/>
        </w:rPr>
        <w:t>颡</w:t>
      </w:r>
      <w:proofErr w:type="gramEnd"/>
      <w:r>
        <w:rPr>
          <w:sz w:val="24"/>
        </w:rPr>
        <w:t>鱼、朱旺明等</w:t>
      </w:r>
      <w:r>
        <w:rPr>
          <w:sz w:val="24"/>
          <w:vertAlign w:val="superscript"/>
        </w:rPr>
        <w:t>[14]</w:t>
      </w:r>
      <w:r>
        <w:rPr>
          <w:sz w:val="24"/>
        </w:rPr>
        <w:t>在大口</w:t>
      </w:r>
      <w:proofErr w:type="gramStart"/>
      <w:r>
        <w:rPr>
          <w:sz w:val="24"/>
        </w:rPr>
        <w:t>黑鲈上添加</w:t>
      </w:r>
      <w:proofErr w:type="gramEnd"/>
      <w:r>
        <w:rPr>
          <w:sz w:val="24"/>
        </w:rPr>
        <w:t>复合蛋白源，肌肉中的氨基酸、必需氨基酸以及非必需氨基酸的含量与鱼粉组没有显著差异的研究结果保持一致。本实验中不同复合植物蛋白替代鱼粉组氨基酸含量没有显著差异，说明适当比例的复合植物蛋白替代鱼粉可以维持</w:t>
      </w:r>
      <w:proofErr w:type="gramStart"/>
      <w:r>
        <w:rPr>
          <w:sz w:val="24"/>
        </w:rPr>
        <w:t>凡纳滨对虾</w:t>
      </w:r>
      <w:proofErr w:type="gramEnd"/>
      <w:r>
        <w:rPr>
          <w:sz w:val="24"/>
        </w:rPr>
        <w:t>的营养及肌肉品质。</w:t>
      </w:r>
    </w:p>
    <w:p w14:paraId="6342341F" w14:textId="77777777" w:rsidR="008F75C3" w:rsidRDefault="006614AC">
      <w:pPr>
        <w:spacing w:line="360" w:lineRule="auto"/>
        <w:rPr>
          <w:sz w:val="24"/>
        </w:rPr>
      </w:pPr>
      <w:r>
        <w:rPr>
          <w:sz w:val="24"/>
        </w:rPr>
        <w:t xml:space="preserve">4  </w:t>
      </w:r>
      <w:r>
        <w:rPr>
          <w:sz w:val="24"/>
        </w:rPr>
        <w:t>结论</w:t>
      </w:r>
    </w:p>
    <w:p w14:paraId="7DD67BF9" w14:textId="77777777" w:rsidR="008F75C3" w:rsidRDefault="006614AC">
      <w:pPr>
        <w:spacing w:line="360" w:lineRule="auto"/>
        <w:ind w:firstLineChars="200" w:firstLine="480"/>
        <w:rPr>
          <w:sz w:val="24"/>
        </w:rPr>
      </w:pPr>
      <w:r>
        <w:rPr>
          <w:sz w:val="24"/>
        </w:rPr>
        <w:t>综上所述，以生长和饲料效率为评价指标，</w:t>
      </w:r>
      <w:proofErr w:type="gramStart"/>
      <w:r>
        <w:rPr>
          <w:sz w:val="24"/>
        </w:rPr>
        <w:t>凡纳滨对虾</w:t>
      </w:r>
      <w:proofErr w:type="gramEnd"/>
      <w:r>
        <w:rPr>
          <w:sz w:val="24"/>
        </w:rPr>
        <w:t>配合饲料中复合植物蛋白替代鱼粉的最适比例为</w:t>
      </w:r>
      <w:r>
        <w:rPr>
          <w:sz w:val="24"/>
        </w:rPr>
        <w:t>14 %</w:t>
      </w:r>
      <w:r>
        <w:rPr>
          <w:sz w:val="24"/>
        </w:rPr>
        <w:t>。</w:t>
      </w:r>
    </w:p>
    <w:p w14:paraId="285F032F" w14:textId="77777777" w:rsidR="008F75C3" w:rsidRDefault="006614AC">
      <w:pPr>
        <w:spacing w:line="360" w:lineRule="auto"/>
        <w:rPr>
          <w:sz w:val="24"/>
        </w:rPr>
      </w:pPr>
      <w:r>
        <w:rPr>
          <w:sz w:val="24"/>
        </w:rPr>
        <w:t>参考文献：略</w:t>
      </w:r>
    </w:p>
    <w:p w14:paraId="6009E223" w14:textId="77777777" w:rsidR="008F75C3" w:rsidRDefault="006614AC">
      <w:pPr>
        <w:spacing w:line="360" w:lineRule="auto"/>
        <w:ind w:firstLineChars="700" w:firstLine="1470"/>
        <w:jc w:val="right"/>
        <w:rPr>
          <w:sz w:val="24"/>
        </w:rPr>
      </w:pPr>
      <w:r>
        <w:rPr>
          <w:szCs w:val="21"/>
        </w:rPr>
        <w:t>原</w:t>
      </w:r>
      <w:r>
        <w:rPr>
          <w:szCs w:val="21"/>
        </w:rPr>
        <w:t>文刊登在《饲料工业》，</w:t>
      </w:r>
      <w:r>
        <w:rPr>
          <w:color w:val="333333"/>
          <w:szCs w:val="21"/>
          <w:shd w:val="clear" w:color="auto" w:fill="FFFFFF"/>
        </w:rPr>
        <w:t>2021,42(22):</w:t>
      </w:r>
      <w:r>
        <w:t xml:space="preserve"> </w:t>
      </w:r>
      <w:r>
        <w:rPr>
          <w:color w:val="333333"/>
          <w:szCs w:val="21"/>
          <w:shd w:val="clear" w:color="auto" w:fill="FFFFFF"/>
        </w:rPr>
        <w:t>47-51</w:t>
      </w:r>
    </w:p>
    <w:sectPr w:rsidR="008F75C3">
      <w:footerReference w:type="default" r:id="rId56"/>
      <w:pgSz w:w="11906" w:h="16838"/>
      <w:pgMar w:top="1440" w:right="1247" w:bottom="1440" w:left="1247" w:header="851" w:footer="992" w:gutter="0"/>
      <w:pgNumType w:start="1"/>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D678968" w14:textId="77777777" w:rsidR="006614AC" w:rsidRDefault="006614AC">
      <w:r>
        <w:separator/>
      </w:r>
    </w:p>
  </w:endnote>
  <w:endnote w:type="continuationSeparator" w:id="0">
    <w:p w14:paraId="76F2F101" w14:textId="77777777" w:rsidR="006614AC" w:rsidRDefault="006614A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黑体">
    <w:altName w:val="SimHei"/>
    <w:panose1 w:val="02010609060101010101"/>
    <w:charset w:val="86"/>
    <w:family w:val="modern"/>
    <w:pitch w:val="fixed"/>
    <w:sig w:usb0="800002BF" w:usb1="38CF7CFA" w:usb2="00000016" w:usb3="00000000" w:csb0="00040001" w:csb1="00000000"/>
  </w:font>
  <w:font w:name="Courier New">
    <w:panose1 w:val="02070309020205020404"/>
    <w:charset w:val="00"/>
    <w:family w:val="modern"/>
    <w:pitch w:val="fixed"/>
    <w:sig w:usb0="E0002EFF" w:usb1="C0007843" w:usb2="00000009" w:usb3="00000000" w:csb0="000001FF" w:csb1="00000000"/>
  </w:font>
  <w:font w:name="仿宋_GB2312">
    <w:altName w:val="仿宋"/>
    <w:charset w:val="86"/>
    <w:family w:val="modern"/>
    <w:pitch w:val="default"/>
    <w:sig w:usb0="00000000" w:usb1="00000000" w:usb2="00000010" w:usb3="00000000" w:csb0="00040000" w:csb1="00000000"/>
  </w:font>
  <w:font w:name="Arial">
    <w:panose1 w:val="020B0604020202020204"/>
    <w:charset w:val="00"/>
    <w:family w:val="swiss"/>
    <w:pitch w:val="variable"/>
    <w:sig w:usb0="E0002EFF" w:usb1="C000785B" w:usb2="00000009" w:usb3="00000000" w:csb0="000001FF" w:csb1="00000000"/>
  </w:font>
  <w:font w:name="TimesNewRomanPSMT">
    <w:altName w:val="Times New Roman"/>
    <w:charset w:val="00"/>
    <w:family w:val="roman"/>
    <w:pitch w:val="default"/>
  </w:font>
  <w:font w:name="TimesNewRomanPS-ItalicMT">
    <w:altName w:val="Times New Roman"/>
    <w:charset w:val="00"/>
    <w:family w:val="roman"/>
    <w:pitch w:val="default"/>
    <w:sig w:usb0="00000000" w:usb1="00000000" w:usb2="00000000" w:usb3="00000000" w:csb0="0000002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115792186"/>
      <w:docPartObj>
        <w:docPartGallery w:val="AutoText"/>
      </w:docPartObj>
    </w:sdtPr>
    <w:sdtEndPr/>
    <w:sdtContent>
      <w:p w14:paraId="1E31CED1" w14:textId="77777777" w:rsidR="008F75C3" w:rsidRDefault="006614AC">
        <w:pPr>
          <w:pStyle w:val="a9"/>
          <w:jc w:val="center"/>
        </w:pPr>
        <w:r>
          <w:fldChar w:fldCharType="begin"/>
        </w:r>
        <w:r>
          <w:instrText>PAGE   \* MERGEFORMAT</w:instrText>
        </w:r>
        <w:r>
          <w:fldChar w:fldCharType="separate"/>
        </w:r>
        <w:r>
          <w:rPr>
            <w:lang w:val="zh-CN"/>
          </w:rPr>
          <w:t>2</w:t>
        </w:r>
        <w:r>
          <w:fldChar w:fldCharType="end"/>
        </w:r>
      </w:p>
    </w:sdtContent>
  </w:sdt>
  <w:p w14:paraId="77D7F5D9" w14:textId="77777777" w:rsidR="008F75C3" w:rsidRDefault="008F75C3">
    <w:pPr>
      <w:pStyle w:val="a9"/>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2A338F5" w14:textId="77777777" w:rsidR="006614AC" w:rsidRDefault="006614AC">
      <w:r>
        <w:separator/>
      </w:r>
    </w:p>
  </w:footnote>
  <w:footnote w:type="continuationSeparator" w:id="0">
    <w:p w14:paraId="605E4B8A" w14:textId="77777777" w:rsidR="006614AC" w:rsidRDefault="006614A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62D33FF"/>
    <w:multiLevelType w:val="multilevel"/>
    <w:tmpl w:val="562D33FF"/>
    <w:lvl w:ilvl="0">
      <w:start w:val="1"/>
      <w:numFmt w:val="decimal"/>
      <w:lvlText w:val="%1"/>
      <w:lvlJc w:val="left"/>
      <w:pPr>
        <w:ind w:left="360" w:hanging="36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 w15:restartNumberingAfterBreak="0">
    <w:nsid w:val="6ABE4CE2"/>
    <w:multiLevelType w:val="multilevel"/>
    <w:tmpl w:val="6ABE4CE2"/>
    <w:lvl w:ilvl="0">
      <w:start w:val="1"/>
      <w:numFmt w:val="decimal"/>
      <w:lvlText w:val="%1"/>
      <w:lvlJc w:val="left"/>
      <w:pPr>
        <w:ind w:left="360" w:hanging="360"/>
      </w:pPr>
      <w:rPr>
        <w:rFonts w:hint="default"/>
        <w:sz w:val="28"/>
        <w:szCs w:val="28"/>
      </w:rPr>
    </w:lvl>
    <w:lvl w:ilvl="1">
      <w:start w:val="1"/>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mirrorMargins/>
  <w:hideSpellingErrors/>
  <w:proofState w:spelling="clean" w:grammar="clean"/>
  <w:defaultTabStop w:val="420"/>
  <w:drawingGridHorizontalSpacing w:val="105"/>
  <w:drawingGridVerticalSpacing w:val="156"/>
  <w:noPunctuationKerning/>
  <w:characterSpacingControl w:val="compressPunctuation"/>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01CB3"/>
    <w:rsid w:val="00002115"/>
    <w:rsid w:val="00002BFE"/>
    <w:rsid w:val="00002E4A"/>
    <w:rsid w:val="0000389A"/>
    <w:rsid w:val="00006E4D"/>
    <w:rsid w:val="000078F8"/>
    <w:rsid w:val="000140DD"/>
    <w:rsid w:val="000162CE"/>
    <w:rsid w:val="00022032"/>
    <w:rsid w:val="0002235E"/>
    <w:rsid w:val="00023879"/>
    <w:rsid w:val="00024780"/>
    <w:rsid w:val="00026CC6"/>
    <w:rsid w:val="00032EB0"/>
    <w:rsid w:val="00035281"/>
    <w:rsid w:val="00036EAA"/>
    <w:rsid w:val="00037F8A"/>
    <w:rsid w:val="00041E32"/>
    <w:rsid w:val="00043457"/>
    <w:rsid w:val="00045296"/>
    <w:rsid w:val="00046232"/>
    <w:rsid w:val="00046763"/>
    <w:rsid w:val="000507D7"/>
    <w:rsid w:val="00051224"/>
    <w:rsid w:val="000546FE"/>
    <w:rsid w:val="00054B42"/>
    <w:rsid w:val="00056AC4"/>
    <w:rsid w:val="00057A43"/>
    <w:rsid w:val="000601F4"/>
    <w:rsid w:val="00060368"/>
    <w:rsid w:val="00060549"/>
    <w:rsid w:val="00067060"/>
    <w:rsid w:val="000674B3"/>
    <w:rsid w:val="00082714"/>
    <w:rsid w:val="0008527C"/>
    <w:rsid w:val="00086B20"/>
    <w:rsid w:val="00086BED"/>
    <w:rsid w:val="00087D57"/>
    <w:rsid w:val="00091B87"/>
    <w:rsid w:val="00092844"/>
    <w:rsid w:val="000A1544"/>
    <w:rsid w:val="000A36DE"/>
    <w:rsid w:val="000A383F"/>
    <w:rsid w:val="000A3E04"/>
    <w:rsid w:val="000A45CC"/>
    <w:rsid w:val="000A615C"/>
    <w:rsid w:val="000A75D7"/>
    <w:rsid w:val="000B362C"/>
    <w:rsid w:val="000B3A02"/>
    <w:rsid w:val="000B3B35"/>
    <w:rsid w:val="000B4EA4"/>
    <w:rsid w:val="000B4F43"/>
    <w:rsid w:val="000B7C99"/>
    <w:rsid w:val="000C000C"/>
    <w:rsid w:val="000C1E70"/>
    <w:rsid w:val="000C1F1B"/>
    <w:rsid w:val="000C2535"/>
    <w:rsid w:val="000C38D1"/>
    <w:rsid w:val="000C4DD7"/>
    <w:rsid w:val="000C5A7E"/>
    <w:rsid w:val="000C6194"/>
    <w:rsid w:val="000C6B67"/>
    <w:rsid w:val="000D0869"/>
    <w:rsid w:val="000D0B84"/>
    <w:rsid w:val="000D10F7"/>
    <w:rsid w:val="000D17DD"/>
    <w:rsid w:val="000D1B49"/>
    <w:rsid w:val="000D64CA"/>
    <w:rsid w:val="000D6ACA"/>
    <w:rsid w:val="000E2BBA"/>
    <w:rsid w:val="000E4383"/>
    <w:rsid w:val="000E6948"/>
    <w:rsid w:val="000E6DAE"/>
    <w:rsid w:val="000F0055"/>
    <w:rsid w:val="000F0FCE"/>
    <w:rsid w:val="000F2DCC"/>
    <w:rsid w:val="000F30A4"/>
    <w:rsid w:val="000F3844"/>
    <w:rsid w:val="000F425B"/>
    <w:rsid w:val="000F6254"/>
    <w:rsid w:val="000F6417"/>
    <w:rsid w:val="000F642F"/>
    <w:rsid w:val="000F6E36"/>
    <w:rsid w:val="001000FA"/>
    <w:rsid w:val="001028F0"/>
    <w:rsid w:val="00102DB7"/>
    <w:rsid w:val="0010350D"/>
    <w:rsid w:val="00104062"/>
    <w:rsid w:val="00104F42"/>
    <w:rsid w:val="00105674"/>
    <w:rsid w:val="00105C63"/>
    <w:rsid w:val="00107626"/>
    <w:rsid w:val="00107696"/>
    <w:rsid w:val="00107F13"/>
    <w:rsid w:val="00107F29"/>
    <w:rsid w:val="001109D0"/>
    <w:rsid w:val="00112132"/>
    <w:rsid w:val="00113EBF"/>
    <w:rsid w:val="001142B8"/>
    <w:rsid w:val="00114ABC"/>
    <w:rsid w:val="00114AF2"/>
    <w:rsid w:val="00114AF4"/>
    <w:rsid w:val="00115440"/>
    <w:rsid w:val="001164E0"/>
    <w:rsid w:val="001172CF"/>
    <w:rsid w:val="00121953"/>
    <w:rsid w:val="001226B3"/>
    <w:rsid w:val="0012398F"/>
    <w:rsid w:val="001255FE"/>
    <w:rsid w:val="00125783"/>
    <w:rsid w:val="001264F7"/>
    <w:rsid w:val="00130955"/>
    <w:rsid w:val="001323EA"/>
    <w:rsid w:val="00133D64"/>
    <w:rsid w:val="001410FA"/>
    <w:rsid w:val="00141929"/>
    <w:rsid w:val="0014286D"/>
    <w:rsid w:val="00142DB1"/>
    <w:rsid w:val="00143A57"/>
    <w:rsid w:val="00144A33"/>
    <w:rsid w:val="00144A8E"/>
    <w:rsid w:val="00147A4B"/>
    <w:rsid w:val="00147D9B"/>
    <w:rsid w:val="00147FE6"/>
    <w:rsid w:val="0015008E"/>
    <w:rsid w:val="00151DBA"/>
    <w:rsid w:val="00151DDB"/>
    <w:rsid w:val="0015316B"/>
    <w:rsid w:val="00155FA9"/>
    <w:rsid w:val="00156460"/>
    <w:rsid w:val="001571FA"/>
    <w:rsid w:val="00160661"/>
    <w:rsid w:val="00161685"/>
    <w:rsid w:val="0016314A"/>
    <w:rsid w:val="00165B8B"/>
    <w:rsid w:val="00171CD2"/>
    <w:rsid w:val="00172E0D"/>
    <w:rsid w:val="00177FBF"/>
    <w:rsid w:val="00181DD6"/>
    <w:rsid w:val="00183729"/>
    <w:rsid w:val="00185F05"/>
    <w:rsid w:val="00186AEA"/>
    <w:rsid w:val="001901B0"/>
    <w:rsid w:val="001918A0"/>
    <w:rsid w:val="001920E0"/>
    <w:rsid w:val="0019272A"/>
    <w:rsid w:val="00193590"/>
    <w:rsid w:val="00193B81"/>
    <w:rsid w:val="001947D3"/>
    <w:rsid w:val="00195B86"/>
    <w:rsid w:val="001B036A"/>
    <w:rsid w:val="001B1379"/>
    <w:rsid w:val="001B2750"/>
    <w:rsid w:val="001B34BE"/>
    <w:rsid w:val="001B70C5"/>
    <w:rsid w:val="001C07B8"/>
    <w:rsid w:val="001C136B"/>
    <w:rsid w:val="001C1FB2"/>
    <w:rsid w:val="001C3405"/>
    <w:rsid w:val="001C3A5B"/>
    <w:rsid w:val="001C3F5B"/>
    <w:rsid w:val="001C4E29"/>
    <w:rsid w:val="001C5FD7"/>
    <w:rsid w:val="001C7EC0"/>
    <w:rsid w:val="001D61B6"/>
    <w:rsid w:val="001E01CB"/>
    <w:rsid w:val="001E3265"/>
    <w:rsid w:val="001E60D4"/>
    <w:rsid w:val="001E6BB5"/>
    <w:rsid w:val="001E7BCF"/>
    <w:rsid w:val="001F502E"/>
    <w:rsid w:val="001F61F5"/>
    <w:rsid w:val="001F65FA"/>
    <w:rsid w:val="001F7857"/>
    <w:rsid w:val="00200A87"/>
    <w:rsid w:val="00202D44"/>
    <w:rsid w:val="00202E7A"/>
    <w:rsid w:val="00205034"/>
    <w:rsid w:val="00205060"/>
    <w:rsid w:val="00206202"/>
    <w:rsid w:val="002079E0"/>
    <w:rsid w:val="002101F2"/>
    <w:rsid w:val="00210903"/>
    <w:rsid w:val="00210C08"/>
    <w:rsid w:val="00211E4F"/>
    <w:rsid w:val="002134B2"/>
    <w:rsid w:val="00213B07"/>
    <w:rsid w:val="002154D2"/>
    <w:rsid w:val="00215661"/>
    <w:rsid w:val="002156F9"/>
    <w:rsid w:val="00215CD7"/>
    <w:rsid w:val="002177A1"/>
    <w:rsid w:val="00217AD4"/>
    <w:rsid w:val="002200C7"/>
    <w:rsid w:val="00221185"/>
    <w:rsid w:val="002219EF"/>
    <w:rsid w:val="0022243A"/>
    <w:rsid w:val="00222C72"/>
    <w:rsid w:val="00224A4B"/>
    <w:rsid w:val="002252BC"/>
    <w:rsid w:val="00226309"/>
    <w:rsid w:val="00226D0A"/>
    <w:rsid w:val="00226EFE"/>
    <w:rsid w:val="002302A1"/>
    <w:rsid w:val="00230958"/>
    <w:rsid w:val="00231324"/>
    <w:rsid w:val="00231625"/>
    <w:rsid w:val="0023213D"/>
    <w:rsid w:val="00232B41"/>
    <w:rsid w:val="00233A57"/>
    <w:rsid w:val="00235A3C"/>
    <w:rsid w:val="00236078"/>
    <w:rsid w:val="00236AE3"/>
    <w:rsid w:val="00236ED9"/>
    <w:rsid w:val="00240D6D"/>
    <w:rsid w:val="0024125E"/>
    <w:rsid w:val="00242686"/>
    <w:rsid w:val="002428B3"/>
    <w:rsid w:val="00246ED3"/>
    <w:rsid w:val="00252BD2"/>
    <w:rsid w:val="00253683"/>
    <w:rsid w:val="00253761"/>
    <w:rsid w:val="00253F7D"/>
    <w:rsid w:val="002541A3"/>
    <w:rsid w:val="002546DC"/>
    <w:rsid w:val="0026078F"/>
    <w:rsid w:val="002613DB"/>
    <w:rsid w:val="00261A0C"/>
    <w:rsid w:val="00263ECA"/>
    <w:rsid w:val="0027180E"/>
    <w:rsid w:val="002739B1"/>
    <w:rsid w:val="002744E5"/>
    <w:rsid w:val="0027618B"/>
    <w:rsid w:val="00276648"/>
    <w:rsid w:val="00277A84"/>
    <w:rsid w:val="002811F2"/>
    <w:rsid w:val="002818C3"/>
    <w:rsid w:val="00282030"/>
    <w:rsid w:val="0028211E"/>
    <w:rsid w:val="0028488A"/>
    <w:rsid w:val="00285D4B"/>
    <w:rsid w:val="00286DFF"/>
    <w:rsid w:val="00292870"/>
    <w:rsid w:val="00292FC4"/>
    <w:rsid w:val="00293983"/>
    <w:rsid w:val="00293A08"/>
    <w:rsid w:val="00295B4C"/>
    <w:rsid w:val="00295B85"/>
    <w:rsid w:val="002966E9"/>
    <w:rsid w:val="00296760"/>
    <w:rsid w:val="0029710F"/>
    <w:rsid w:val="002A0BD2"/>
    <w:rsid w:val="002A0E86"/>
    <w:rsid w:val="002A1C62"/>
    <w:rsid w:val="002A2269"/>
    <w:rsid w:val="002A2850"/>
    <w:rsid w:val="002A451D"/>
    <w:rsid w:val="002B3AD5"/>
    <w:rsid w:val="002B4030"/>
    <w:rsid w:val="002B445F"/>
    <w:rsid w:val="002B455D"/>
    <w:rsid w:val="002B56F6"/>
    <w:rsid w:val="002B6A0A"/>
    <w:rsid w:val="002C31BB"/>
    <w:rsid w:val="002C6917"/>
    <w:rsid w:val="002C6BC0"/>
    <w:rsid w:val="002C70E6"/>
    <w:rsid w:val="002C77A1"/>
    <w:rsid w:val="002D06A5"/>
    <w:rsid w:val="002D1F0C"/>
    <w:rsid w:val="002D2E29"/>
    <w:rsid w:val="002D302C"/>
    <w:rsid w:val="002D5C3F"/>
    <w:rsid w:val="002D6938"/>
    <w:rsid w:val="002E0157"/>
    <w:rsid w:val="002E104E"/>
    <w:rsid w:val="002E3AB3"/>
    <w:rsid w:val="002E492F"/>
    <w:rsid w:val="002E5994"/>
    <w:rsid w:val="002E6505"/>
    <w:rsid w:val="002E773C"/>
    <w:rsid w:val="002F19EF"/>
    <w:rsid w:val="002F3797"/>
    <w:rsid w:val="002F3D8B"/>
    <w:rsid w:val="002F4B8E"/>
    <w:rsid w:val="002F53F8"/>
    <w:rsid w:val="002F587F"/>
    <w:rsid w:val="002F642E"/>
    <w:rsid w:val="0030036F"/>
    <w:rsid w:val="00300469"/>
    <w:rsid w:val="0030176B"/>
    <w:rsid w:val="00301E3D"/>
    <w:rsid w:val="00303F9C"/>
    <w:rsid w:val="003047CB"/>
    <w:rsid w:val="003047E1"/>
    <w:rsid w:val="00304B2C"/>
    <w:rsid w:val="00305D81"/>
    <w:rsid w:val="00311521"/>
    <w:rsid w:val="0031195C"/>
    <w:rsid w:val="003121CC"/>
    <w:rsid w:val="00312355"/>
    <w:rsid w:val="003133FA"/>
    <w:rsid w:val="0031414D"/>
    <w:rsid w:val="003150E5"/>
    <w:rsid w:val="00315176"/>
    <w:rsid w:val="003151F8"/>
    <w:rsid w:val="00315E65"/>
    <w:rsid w:val="003209C6"/>
    <w:rsid w:val="003213D2"/>
    <w:rsid w:val="00321753"/>
    <w:rsid w:val="0032346B"/>
    <w:rsid w:val="00324714"/>
    <w:rsid w:val="00325FA3"/>
    <w:rsid w:val="00330A01"/>
    <w:rsid w:val="00331A39"/>
    <w:rsid w:val="003340F9"/>
    <w:rsid w:val="00335A51"/>
    <w:rsid w:val="00341AB4"/>
    <w:rsid w:val="0034293A"/>
    <w:rsid w:val="003438F4"/>
    <w:rsid w:val="003461C6"/>
    <w:rsid w:val="00346521"/>
    <w:rsid w:val="0034702D"/>
    <w:rsid w:val="0034773C"/>
    <w:rsid w:val="00353FC8"/>
    <w:rsid w:val="003540E2"/>
    <w:rsid w:val="0035430E"/>
    <w:rsid w:val="003552DE"/>
    <w:rsid w:val="003556F1"/>
    <w:rsid w:val="0035671B"/>
    <w:rsid w:val="003619C5"/>
    <w:rsid w:val="00362017"/>
    <w:rsid w:val="003717E5"/>
    <w:rsid w:val="003723C4"/>
    <w:rsid w:val="003731B4"/>
    <w:rsid w:val="003742F0"/>
    <w:rsid w:val="003760B7"/>
    <w:rsid w:val="0037710B"/>
    <w:rsid w:val="0037746A"/>
    <w:rsid w:val="003777A9"/>
    <w:rsid w:val="00377896"/>
    <w:rsid w:val="00382D82"/>
    <w:rsid w:val="00383085"/>
    <w:rsid w:val="00384D19"/>
    <w:rsid w:val="0039220D"/>
    <w:rsid w:val="00392211"/>
    <w:rsid w:val="003928A0"/>
    <w:rsid w:val="00395691"/>
    <w:rsid w:val="00396194"/>
    <w:rsid w:val="003967CE"/>
    <w:rsid w:val="003978E0"/>
    <w:rsid w:val="003A1756"/>
    <w:rsid w:val="003A3951"/>
    <w:rsid w:val="003B2EA9"/>
    <w:rsid w:val="003B319C"/>
    <w:rsid w:val="003B53A9"/>
    <w:rsid w:val="003B5CE4"/>
    <w:rsid w:val="003B7223"/>
    <w:rsid w:val="003B7EDB"/>
    <w:rsid w:val="003C20D7"/>
    <w:rsid w:val="003C28AE"/>
    <w:rsid w:val="003C3330"/>
    <w:rsid w:val="003C4573"/>
    <w:rsid w:val="003C72D8"/>
    <w:rsid w:val="003D3AFA"/>
    <w:rsid w:val="003D3D82"/>
    <w:rsid w:val="003D6A6E"/>
    <w:rsid w:val="003D6ACB"/>
    <w:rsid w:val="003D6F23"/>
    <w:rsid w:val="003E0E5E"/>
    <w:rsid w:val="003E1429"/>
    <w:rsid w:val="003E191F"/>
    <w:rsid w:val="003E1F7F"/>
    <w:rsid w:val="003E2185"/>
    <w:rsid w:val="003E21BF"/>
    <w:rsid w:val="003E3581"/>
    <w:rsid w:val="003E470D"/>
    <w:rsid w:val="003E513B"/>
    <w:rsid w:val="003E6E28"/>
    <w:rsid w:val="003E74D0"/>
    <w:rsid w:val="003F0F3E"/>
    <w:rsid w:val="003F366D"/>
    <w:rsid w:val="003F3D62"/>
    <w:rsid w:val="003F5232"/>
    <w:rsid w:val="0040134C"/>
    <w:rsid w:val="00402029"/>
    <w:rsid w:val="00402577"/>
    <w:rsid w:val="00402C8B"/>
    <w:rsid w:val="004034A8"/>
    <w:rsid w:val="00403775"/>
    <w:rsid w:val="00403AFA"/>
    <w:rsid w:val="00405824"/>
    <w:rsid w:val="00405844"/>
    <w:rsid w:val="00406215"/>
    <w:rsid w:val="00410441"/>
    <w:rsid w:val="00411276"/>
    <w:rsid w:val="00413245"/>
    <w:rsid w:val="004148FF"/>
    <w:rsid w:val="00414E6F"/>
    <w:rsid w:val="00414EF5"/>
    <w:rsid w:val="00414F24"/>
    <w:rsid w:val="004151C2"/>
    <w:rsid w:val="00415FC5"/>
    <w:rsid w:val="00416E34"/>
    <w:rsid w:val="00421268"/>
    <w:rsid w:val="00421302"/>
    <w:rsid w:val="00421EEE"/>
    <w:rsid w:val="004227EA"/>
    <w:rsid w:val="00422CC3"/>
    <w:rsid w:val="00424857"/>
    <w:rsid w:val="00424FF0"/>
    <w:rsid w:val="004259A9"/>
    <w:rsid w:val="00425C14"/>
    <w:rsid w:val="00425E59"/>
    <w:rsid w:val="00426191"/>
    <w:rsid w:val="00431953"/>
    <w:rsid w:val="0043219C"/>
    <w:rsid w:val="00432641"/>
    <w:rsid w:val="0043351C"/>
    <w:rsid w:val="0043465C"/>
    <w:rsid w:val="00435617"/>
    <w:rsid w:val="00442A99"/>
    <w:rsid w:val="00442F16"/>
    <w:rsid w:val="004514C8"/>
    <w:rsid w:val="00451E16"/>
    <w:rsid w:val="00453ED7"/>
    <w:rsid w:val="0045601B"/>
    <w:rsid w:val="00456CD5"/>
    <w:rsid w:val="004601A5"/>
    <w:rsid w:val="00460822"/>
    <w:rsid w:val="00462E48"/>
    <w:rsid w:val="00463A84"/>
    <w:rsid w:val="00464C28"/>
    <w:rsid w:val="00464F17"/>
    <w:rsid w:val="00465A03"/>
    <w:rsid w:val="0046749D"/>
    <w:rsid w:val="00470E14"/>
    <w:rsid w:val="00474BF2"/>
    <w:rsid w:val="00476D47"/>
    <w:rsid w:val="0047799E"/>
    <w:rsid w:val="00481145"/>
    <w:rsid w:val="00481513"/>
    <w:rsid w:val="00481A98"/>
    <w:rsid w:val="00481E6A"/>
    <w:rsid w:val="00484450"/>
    <w:rsid w:val="00484A62"/>
    <w:rsid w:val="00486A5F"/>
    <w:rsid w:val="00487553"/>
    <w:rsid w:val="00491B2A"/>
    <w:rsid w:val="00491CA4"/>
    <w:rsid w:val="00492AF7"/>
    <w:rsid w:val="00494E6E"/>
    <w:rsid w:val="00495F48"/>
    <w:rsid w:val="004960F0"/>
    <w:rsid w:val="004973A6"/>
    <w:rsid w:val="004A036E"/>
    <w:rsid w:val="004A6092"/>
    <w:rsid w:val="004A768E"/>
    <w:rsid w:val="004A7FE3"/>
    <w:rsid w:val="004B0073"/>
    <w:rsid w:val="004B0815"/>
    <w:rsid w:val="004B169B"/>
    <w:rsid w:val="004B1ACF"/>
    <w:rsid w:val="004B2803"/>
    <w:rsid w:val="004B3D85"/>
    <w:rsid w:val="004B511D"/>
    <w:rsid w:val="004B7227"/>
    <w:rsid w:val="004C1E9A"/>
    <w:rsid w:val="004C49EB"/>
    <w:rsid w:val="004C58A0"/>
    <w:rsid w:val="004D0AA6"/>
    <w:rsid w:val="004D21F0"/>
    <w:rsid w:val="004D2C00"/>
    <w:rsid w:val="004D3041"/>
    <w:rsid w:val="004D40C2"/>
    <w:rsid w:val="004D483C"/>
    <w:rsid w:val="004D4AF0"/>
    <w:rsid w:val="004D55AC"/>
    <w:rsid w:val="004D5A59"/>
    <w:rsid w:val="004E129B"/>
    <w:rsid w:val="004E1B39"/>
    <w:rsid w:val="004E71FA"/>
    <w:rsid w:val="004F22BC"/>
    <w:rsid w:val="004F3C8A"/>
    <w:rsid w:val="004F42D4"/>
    <w:rsid w:val="004F4727"/>
    <w:rsid w:val="0050023E"/>
    <w:rsid w:val="00500E1E"/>
    <w:rsid w:val="00501554"/>
    <w:rsid w:val="00501892"/>
    <w:rsid w:val="00501B42"/>
    <w:rsid w:val="00502B7F"/>
    <w:rsid w:val="00503BAE"/>
    <w:rsid w:val="00504503"/>
    <w:rsid w:val="00504554"/>
    <w:rsid w:val="00507A20"/>
    <w:rsid w:val="00507C4E"/>
    <w:rsid w:val="00513F5B"/>
    <w:rsid w:val="00514BE6"/>
    <w:rsid w:val="0051501E"/>
    <w:rsid w:val="00515776"/>
    <w:rsid w:val="0051680E"/>
    <w:rsid w:val="00517662"/>
    <w:rsid w:val="00520095"/>
    <w:rsid w:val="00520FFE"/>
    <w:rsid w:val="00521B5F"/>
    <w:rsid w:val="00523607"/>
    <w:rsid w:val="005236DE"/>
    <w:rsid w:val="00524DAC"/>
    <w:rsid w:val="00525950"/>
    <w:rsid w:val="00525EC5"/>
    <w:rsid w:val="005266BB"/>
    <w:rsid w:val="00530C26"/>
    <w:rsid w:val="00531EC3"/>
    <w:rsid w:val="0053360B"/>
    <w:rsid w:val="00533794"/>
    <w:rsid w:val="00533BA7"/>
    <w:rsid w:val="00533D55"/>
    <w:rsid w:val="00534159"/>
    <w:rsid w:val="005344A1"/>
    <w:rsid w:val="00535062"/>
    <w:rsid w:val="00540833"/>
    <w:rsid w:val="005422F4"/>
    <w:rsid w:val="00542F72"/>
    <w:rsid w:val="00544DB8"/>
    <w:rsid w:val="00546F0C"/>
    <w:rsid w:val="0054789A"/>
    <w:rsid w:val="005523E2"/>
    <w:rsid w:val="00554DE6"/>
    <w:rsid w:val="0055568F"/>
    <w:rsid w:val="005605BD"/>
    <w:rsid w:val="00562AB6"/>
    <w:rsid w:val="00564FBF"/>
    <w:rsid w:val="005653B4"/>
    <w:rsid w:val="005654B1"/>
    <w:rsid w:val="00566182"/>
    <w:rsid w:val="005664AE"/>
    <w:rsid w:val="0056688C"/>
    <w:rsid w:val="0056729B"/>
    <w:rsid w:val="005730AF"/>
    <w:rsid w:val="00574CD9"/>
    <w:rsid w:val="00575903"/>
    <w:rsid w:val="00576E2D"/>
    <w:rsid w:val="00582B6B"/>
    <w:rsid w:val="00585AAC"/>
    <w:rsid w:val="005864C4"/>
    <w:rsid w:val="00587DA3"/>
    <w:rsid w:val="00590C39"/>
    <w:rsid w:val="00590C6B"/>
    <w:rsid w:val="00591478"/>
    <w:rsid w:val="00591EAD"/>
    <w:rsid w:val="005927A6"/>
    <w:rsid w:val="00594F65"/>
    <w:rsid w:val="00595356"/>
    <w:rsid w:val="00596379"/>
    <w:rsid w:val="005968DB"/>
    <w:rsid w:val="005A00FC"/>
    <w:rsid w:val="005A19A7"/>
    <w:rsid w:val="005A6DDC"/>
    <w:rsid w:val="005A6E64"/>
    <w:rsid w:val="005A7DCB"/>
    <w:rsid w:val="005B1798"/>
    <w:rsid w:val="005B1D33"/>
    <w:rsid w:val="005B5FA3"/>
    <w:rsid w:val="005C136B"/>
    <w:rsid w:val="005C2A23"/>
    <w:rsid w:val="005C3E78"/>
    <w:rsid w:val="005D1AA2"/>
    <w:rsid w:val="005D52B6"/>
    <w:rsid w:val="005E1DD2"/>
    <w:rsid w:val="005E2E18"/>
    <w:rsid w:val="005E369F"/>
    <w:rsid w:val="005E493E"/>
    <w:rsid w:val="005E5084"/>
    <w:rsid w:val="005E5D3B"/>
    <w:rsid w:val="005E7629"/>
    <w:rsid w:val="005F329B"/>
    <w:rsid w:val="005F35FF"/>
    <w:rsid w:val="005F5768"/>
    <w:rsid w:val="005F5F44"/>
    <w:rsid w:val="005F62E7"/>
    <w:rsid w:val="005F6E17"/>
    <w:rsid w:val="005F6E3C"/>
    <w:rsid w:val="00600212"/>
    <w:rsid w:val="00603115"/>
    <w:rsid w:val="00603184"/>
    <w:rsid w:val="00605107"/>
    <w:rsid w:val="0060515F"/>
    <w:rsid w:val="00605878"/>
    <w:rsid w:val="00605CE0"/>
    <w:rsid w:val="00613EB0"/>
    <w:rsid w:val="006142E7"/>
    <w:rsid w:val="00620BC2"/>
    <w:rsid w:val="00621093"/>
    <w:rsid w:val="00623F8C"/>
    <w:rsid w:val="00624F4B"/>
    <w:rsid w:val="006261A1"/>
    <w:rsid w:val="00627A37"/>
    <w:rsid w:val="00632922"/>
    <w:rsid w:val="00633E72"/>
    <w:rsid w:val="00635067"/>
    <w:rsid w:val="00635D0C"/>
    <w:rsid w:val="006364D6"/>
    <w:rsid w:val="00637FAC"/>
    <w:rsid w:val="00640463"/>
    <w:rsid w:val="00646F55"/>
    <w:rsid w:val="006474D3"/>
    <w:rsid w:val="006501A1"/>
    <w:rsid w:val="00651A2E"/>
    <w:rsid w:val="00653F07"/>
    <w:rsid w:val="0065478F"/>
    <w:rsid w:val="00656708"/>
    <w:rsid w:val="006568E7"/>
    <w:rsid w:val="006614AC"/>
    <w:rsid w:val="00661DED"/>
    <w:rsid w:val="00662E42"/>
    <w:rsid w:val="0066326D"/>
    <w:rsid w:val="0066461A"/>
    <w:rsid w:val="006647B0"/>
    <w:rsid w:val="006708F7"/>
    <w:rsid w:val="0067140C"/>
    <w:rsid w:val="006723E4"/>
    <w:rsid w:val="006727BA"/>
    <w:rsid w:val="0067380D"/>
    <w:rsid w:val="00673985"/>
    <w:rsid w:val="00675070"/>
    <w:rsid w:val="00677B2C"/>
    <w:rsid w:val="0068099D"/>
    <w:rsid w:val="00680B7C"/>
    <w:rsid w:val="00681408"/>
    <w:rsid w:val="006828A6"/>
    <w:rsid w:val="00683A27"/>
    <w:rsid w:val="00686A7D"/>
    <w:rsid w:val="00686A8B"/>
    <w:rsid w:val="00687670"/>
    <w:rsid w:val="0069033F"/>
    <w:rsid w:val="006912A9"/>
    <w:rsid w:val="006913D8"/>
    <w:rsid w:val="006932D4"/>
    <w:rsid w:val="00693CEC"/>
    <w:rsid w:val="0069658E"/>
    <w:rsid w:val="00696977"/>
    <w:rsid w:val="006975E2"/>
    <w:rsid w:val="006A1B56"/>
    <w:rsid w:val="006A24BD"/>
    <w:rsid w:val="006A2947"/>
    <w:rsid w:val="006A2B98"/>
    <w:rsid w:val="006A39A6"/>
    <w:rsid w:val="006A68E7"/>
    <w:rsid w:val="006B0CD0"/>
    <w:rsid w:val="006B315A"/>
    <w:rsid w:val="006B327C"/>
    <w:rsid w:val="006B3346"/>
    <w:rsid w:val="006B3E6D"/>
    <w:rsid w:val="006B408A"/>
    <w:rsid w:val="006C30E6"/>
    <w:rsid w:val="006C363F"/>
    <w:rsid w:val="006C465F"/>
    <w:rsid w:val="006C513F"/>
    <w:rsid w:val="006C5231"/>
    <w:rsid w:val="006C5B90"/>
    <w:rsid w:val="006D04D4"/>
    <w:rsid w:val="006D1755"/>
    <w:rsid w:val="006D36D3"/>
    <w:rsid w:val="006D3C31"/>
    <w:rsid w:val="006D5192"/>
    <w:rsid w:val="006D6EEC"/>
    <w:rsid w:val="006E1274"/>
    <w:rsid w:val="006E19F1"/>
    <w:rsid w:val="006E255F"/>
    <w:rsid w:val="006F2CE5"/>
    <w:rsid w:val="006F4D05"/>
    <w:rsid w:val="006F5B5C"/>
    <w:rsid w:val="006F5FFC"/>
    <w:rsid w:val="006F71E2"/>
    <w:rsid w:val="00700862"/>
    <w:rsid w:val="00700AF5"/>
    <w:rsid w:val="007026BB"/>
    <w:rsid w:val="007037C7"/>
    <w:rsid w:val="00703DB7"/>
    <w:rsid w:val="00705602"/>
    <w:rsid w:val="007112FC"/>
    <w:rsid w:val="007114DE"/>
    <w:rsid w:val="00712722"/>
    <w:rsid w:val="007130EC"/>
    <w:rsid w:val="00720CC2"/>
    <w:rsid w:val="00720F8E"/>
    <w:rsid w:val="00722755"/>
    <w:rsid w:val="00724454"/>
    <w:rsid w:val="007255C5"/>
    <w:rsid w:val="00726461"/>
    <w:rsid w:val="007266C2"/>
    <w:rsid w:val="00731196"/>
    <w:rsid w:val="00731392"/>
    <w:rsid w:val="0073322E"/>
    <w:rsid w:val="00734F3D"/>
    <w:rsid w:val="007365CD"/>
    <w:rsid w:val="007405A4"/>
    <w:rsid w:val="00740F25"/>
    <w:rsid w:val="00743435"/>
    <w:rsid w:val="00743A11"/>
    <w:rsid w:val="0074495F"/>
    <w:rsid w:val="0074719A"/>
    <w:rsid w:val="0075165E"/>
    <w:rsid w:val="00752213"/>
    <w:rsid w:val="0075556B"/>
    <w:rsid w:val="007560EE"/>
    <w:rsid w:val="00761341"/>
    <w:rsid w:val="00761C8B"/>
    <w:rsid w:val="00764E99"/>
    <w:rsid w:val="00765FC1"/>
    <w:rsid w:val="00766D7E"/>
    <w:rsid w:val="00770C04"/>
    <w:rsid w:val="0077349D"/>
    <w:rsid w:val="00776B71"/>
    <w:rsid w:val="00776C62"/>
    <w:rsid w:val="00777D21"/>
    <w:rsid w:val="00777D6B"/>
    <w:rsid w:val="00783458"/>
    <w:rsid w:val="00783E4C"/>
    <w:rsid w:val="007870EE"/>
    <w:rsid w:val="007929DA"/>
    <w:rsid w:val="00797296"/>
    <w:rsid w:val="007A360B"/>
    <w:rsid w:val="007A50FB"/>
    <w:rsid w:val="007A59FF"/>
    <w:rsid w:val="007A6730"/>
    <w:rsid w:val="007A6C37"/>
    <w:rsid w:val="007A7EF8"/>
    <w:rsid w:val="007B2014"/>
    <w:rsid w:val="007B4AF0"/>
    <w:rsid w:val="007B67FE"/>
    <w:rsid w:val="007B7521"/>
    <w:rsid w:val="007B7E6E"/>
    <w:rsid w:val="007C1142"/>
    <w:rsid w:val="007C232B"/>
    <w:rsid w:val="007C3C59"/>
    <w:rsid w:val="007D448C"/>
    <w:rsid w:val="007D64DF"/>
    <w:rsid w:val="007D6E48"/>
    <w:rsid w:val="007E059B"/>
    <w:rsid w:val="007E22E9"/>
    <w:rsid w:val="007E2B7B"/>
    <w:rsid w:val="007E2F10"/>
    <w:rsid w:val="007E30A0"/>
    <w:rsid w:val="007E3B11"/>
    <w:rsid w:val="007E78F9"/>
    <w:rsid w:val="007F10C7"/>
    <w:rsid w:val="007F14BE"/>
    <w:rsid w:val="007F3C4C"/>
    <w:rsid w:val="007F4C42"/>
    <w:rsid w:val="007F5FAF"/>
    <w:rsid w:val="007F704A"/>
    <w:rsid w:val="00800DB3"/>
    <w:rsid w:val="0080156E"/>
    <w:rsid w:val="00802B6E"/>
    <w:rsid w:val="00804165"/>
    <w:rsid w:val="008042A0"/>
    <w:rsid w:val="008048C0"/>
    <w:rsid w:val="0080661C"/>
    <w:rsid w:val="00807F74"/>
    <w:rsid w:val="00810A4D"/>
    <w:rsid w:val="00812AB0"/>
    <w:rsid w:val="00812F1D"/>
    <w:rsid w:val="008132FE"/>
    <w:rsid w:val="00814DEB"/>
    <w:rsid w:val="0081545F"/>
    <w:rsid w:val="00816544"/>
    <w:rsid w:val="00817EDC"/>
    <w:rsid w:val="00821541"/>
    <w:rsid w:val="00823280"/>
    <w:rsid w:val="00823832"/>
    <w:rsid w:val="00825494"/>
    <w:rsid w:val="00825C20"/>
    <w:rsid w:val="00826C95"/>
    <w:rsid w:val="008279AE"/>
    <w:rsid w:val="00832870"/>
    <w:rsid w:val="00833C43"/>
    <w:rsid w:val="00833ECF"/>
    <w:rsid w:val="008342F4"/>
    <w:rsid w:val="00835FB9"/>
    <w:rsid w:val="00841C73"/>
    <w:rsid w:val="00841E4F"/>
    <w:rsid w:val="00842754"/>
    <w:rsid w:val="008432A0"/>
    <w:rsid w:val="00845BDD"/>
    <w:rsid w:val="00845C52"/>
    <w:rsid w:val="00845E7B"/>
    <w:rsid w:val="008463C3"/>
    <w:rsid w:val="00847AD5"/>
    <w:rsid w:val="00856A85"/>
    <w:rsid w:val="008575F6"/>
    <w:rsid w:val="0086000A"/>
    <w:rsid w:val="008608A5"/>
    <w:rsid w:val="00867760"/>
    <w:rsid w:val="00870F69"/>
    <w:rsid w:val="008740D0"/>
    <w:rsid w:val="008746D6"/>
    <w:rsid w:val="008759D4"/>
    <w:rsid w:val="0088115C"/>
    <w:rsid w:val="00882CB6"/>
    <w:rsid w:val="0088515D"/>
    <w:rsid w:val="00885A24"/>
    <w:rsid w:val="008873E7"/>
    <w:rsid w:val="008900C3"/>
    <w:rsid w:val="0089025B"/>
    <w:rsid w:val="008916C0"/>
    <w:rsid w:val="00891CD5"/>
    <w:rsid w:val="008924A9"/>
    <w:rsid w:val="0089303E"/>
    <w:rsid w:val="00894047"/>
    <w:rsid w:val="0089504E"/>
    <w:rsid w:val="00897ADD"/>
    <w:rsid w:val="008A0B7F"/>
    <w:rsid w:val="008A0F25"/>
    <w:rsid w:val="008A2C10"/>
    <w:rsid w:val="008A2FEF"/>
    <w:rsid w:val="008A3E6D"/>
    <w:rsid w:val="008A6A67"/>
    <w:rsid w:val="008A7014"/>
    <w:rsid w:val="008B051F"/>
    <w:rsid w:val="008B1FFB"/>
    <w:rsid w:val="008B20D4"/>
    <w:rsid w:val="008B35B0"/>
    <w:rsid w:val="008B4DD4"/>
    <w:rsid w:val="008B5A8C"/>
    <w:rsid w:val="008B65F0"/>
    <w:rsid w:val="008C1408"/>
    <w:rsid w:val="008C32BF"/>
    <w:rsid w:val="008C41BD"/>
    <w:rsid w:val="008C51CF"/>
    <w:rsid w:val="008C569B"/>
    <w:rsid w:val="008C6061"/>
    <w:rsid w:val="008D1852"/>
    <w:rsid w:val="008D2482"/>
    <w:rsid w:val="008D4253"/>
    <w:rsid w:val="008D641D"/>
    <w:rsid w:val="008D6B07"/>
    <w:rsid w:val="008D771D"/>
    <w:rsid w:val="008E35A1"/>
    <w:rsid w:val="008E3B44"/>
    <w:rsid w:val="008E548B"/>
    <w:rsid w:val="008E64CA"/>
    <w:rsid w:val="008E668E"/>
    <w:rsid w:val="008E698B"/>
    <w:rsid w:val="008F0A99"/>
    <w:rsid w:val="008F1DFC"/>
    <w:rsid w:val="008F2828"/>
    <w:rsid w:val="008F4A2E"/>
    <w:rsid w:val="008F75C3"/>
    <w:rsid w:val="008F7F3E"/>
    <w:rsid w:val="00901138"/>
    <w:rsid w:val="00901CB3"/>
    <w:rsid w:val="009025BE"/>
    <w:rsid w:val="00902955"/>
    <w:rsid w:val="009034AC"/>
    <w:rsid w:val="00903935"/>
    <w:rsid w:val="00903B62"/>
    <w:rsid w:val="009040B4"/>
    <w:rsid w:val="00906F2E"/>
    <w:rsid w:val="00907EBE"/>
    <w:rsid w:val="00910604"/>
    <w:rsid w:val="00912236"/>
    <w:rsid w:val="009124F3"/>
    <w:rsid w:val="0091344E"/>
    <w:rsid w:val="009153BA"/>
    <w:rsid w:val="009154BD"/>
    <w:rsid w:val="00915CEB"/>
    <w:rsid w:val="0092030A"/>
    <w:rsid w:val="0092069E"/>
    <w:rsid w:val="0092357C"/>
    <w:rsid w:val="00924749"/>
    <w:rsid w:val="00924F81"/>
    <w:rsid w:val="009256A0"/>
    <w:rsid w:val="00925C53"/>
    <w:rsid w:val="00925DEE"/>
    <w:rsid w:val="00926890"/>
    <w:rsid w:val="009273AA"/>
    <w:rsid w:val="0093204E"/>
    <w:rsid w:val="00932889"/>
    <w:rsid w:val="00934D7A"/>
    <w:rsid w:val="009357DD"/>
    <w:rsid w:val="0093757C"/>
    <w:rsid w:val="0094144E"/>
    <w:rsid w:val="00941F9D"/>
    <w:rsid w:val="0094546D"/>
    <w:rsid w:val="00951413"/>
    <w:rsid w:val="00952198"/>
    <w:rsid w:val="009562E6"/>
    <w:rsid w:val="00956304"/>
    <w:rsid w:val="00956F54"/>
    <w:rsid w:val="00957370"/>
    <w:rsid w:val="009632EF"/>
    <w:rsid w:val="00967A5B"/>
    <w:rsid w:val="0097250B"/>
    <w:rsid w:val="009734FD"/>
    <w:rsid w:val="0097385A"/>
    <w:rsid w:val="00973959"/>
    <w:rsid w:val="00973D48"/>
    <w:rsid w:val="00974083"/>
    <w:rsid w:val="009747D0"/>
    <w:rsid w:val="0097511E"/>
    <w:rsid w:val="009777F2"/>
    <w:rsid w:val="00980E29"/>
    <w:rsid w:val="00984BE4"/>
    <w:rsid w:val="00984D70"/>
    <w:rsid w:val="00985168"/>
    <w:rsid w:val="00985AC7"/>
    <w:rsid w:val="00987960"/>
    <w:rsid w:val="009921DB"/>
    <w:rsid w:val="00992F39"/>
    <w:rsid w:val="00993162"/>
    <w:rsid w:val="00994451"/>
    <w:rsid w:val="00994EDD"/>
    <w:rsid w:val="00995AC8"/>
    <w:rsid w:val="00995B12"/>
    <w:rsid w:val="009A04CD"/>
    <w:rsid w:val="009A0601"/>
    <w:rsid w:val="009A1B3D"/>
    <w:rsid w:val="009A2511"/>
    <w:rsid w:val="009A34A6"/>
    <w:rsid w:val="009A3956"/>
    <w:rsid w:val="009A4B86"/>
    <w:rsid w:val="009A795D"/>
    <w:rsid w:val="009B1B86"/>
    <w:rsid w:val="009B2B39"/>
    <w:rsid w:val="009B48AF"/>
    <w:rsid w:val="009B638D"/>
    <w:rsid w:val="009B6C30"/>
    <w:rsid w:val="009B6E43"/>
    <w:rsid w:val="009B79BA"/>
    <w:rsid w:val="009B7F36"/>
    <w:rsid w:val="009C077F"/>
    <w:rsid w:val="009C120D"/>
    <w:rsid w:val="009C1437"/>
    <w:rsid w:val="009C29D8"/>
    <w:rsid w:val="009C3E71"/>
    <w:rsid w:val="009C4D24"/>
    <w:rsid w:val="009C6364"/>
    <w:rsid w:val="009D57C9"/>
    <w:rsid w:val="009D78E5"/>
    <w:rsid w:val="009D7E8A"/>
    <w:rsid w:val="009E422B"/>
    <w:rsid w:val="009E4DD5"/>
    <w:rsid w:val="009E4F03"/>
    <w:rsid w:val="009E541A"/>
    <w:rsid w:val="009E55A7"/>
    <w:rsid w:val="009E64DD"/>
    <w:rsid w:val="009E671D"/>
    <w:rsid w:val="009F0909"/>
    <w:rsid w:val="009F0E94"/>
    <w:rsid w:val="009F4DE2"/>
    <w:rsid w:val="009F64D0"/>
    <w:rsid w:val="009F66A3"/>
    <w:rsid w:val="009F76CE"/>
    <w:rsid w:val="009F78EB"/>
    <w:rsid w:val="00A02EBE"/>
    <w:rsid w:val="00A04DE3"/>
    <w:rsid w:val="00A0758B"/>
    <w:rsid w:val="00A12FB4"/>
    <w:rsid w:val="00A1434E"/>
    <w:rsid w:val="00A17C6D"/>
    <w:rsid w:val="00A23442"/>
    <w:rsid w:val="00A24B8B"/>
    <w:rsid w:val="00A26237"/>
    <w:rsid w:val="00A26DB3"/>
    <w:rsid w:val="00A27A51"/>
    <w:rsid w:val="00A27EDA"/>
    <w:rsid w:val="00A30B10"/>
    <w:rsid w:val="00A31DA6"/>
    <w:rsid w:val="00A32BE5"/>
    <w:rsid w:val="00A33DCB"/>
    <w:rsid w:val="00A343A0"/>
    <w:rsid w:val="00A343B8"/>
    <w:rsid w:val="00A36025"/>
    <w:rsid w:val="00A36D4B"/>
    <w:rsid w:val="00A4235A"/>
    <w:rsid w:val="00A43398"/>
    <w:rsid w:val="00A4510B"/>
    <w:rsid w:val="00A46A0D"/>
    <w:rsid w:val="00A47CAA"/>
    <w:rsid w:val="00A53608"/>
    <w:rsid w:val="00A54172"/>
    <w:rsid w:val="00A55041"/>
    <w:rsid w:val="00A55909"/>
    <w:rsid w:val="00A56278"/>
    <w:rsid w:val="00A6126A"/>
    <w:rsid w:val="00A62BF5"/>
    <w:rsid w:val="00A66481"/>
    <w:rsid w:val="00A67C7B"/>
    <w:rsid w:val="00A70A79"/>
    <w:rsid w:val="00A70C13"/>
    <w:rsid w:val="00A70C81"/>
    <w:rsid w:val="00A7307A"/>
    <w:rsid w:val="00A7650F"/>
    <w:rsid w:val="00A80EC7"/>
    <w:rsid w:val="00A823AF"/>
    <w:rsid w:val="00A8282D"/>
    <w:rsid w:val="00A832C0"/>
    <w:rsid w:val="00A8371D"/>
    <w:rsid w:val="00A83FB1"/>
    <w:rsid w:val="00A849A4"/>
    <w:rsid w:val="00A8762C"/>
    <w:rsid w:val="00A903D2"/>
    <w:rsid w:val="00A9071E"/>
    <w:rsid w:val="00A909F4"/>
    <w:rsid w:val="00A941BC"/>
    <w:rsid w:val="00A962EF"/>
    <w:rsid w:val="00A967E3"/>
    <w:rsid w:val="00AA0E2A"/>
    <w:rsid w:val="00AA16B6"/>
    <w:rsid w:val="00AA1D71"/>
    <w:rsid w:val="00AA324F"/>
    <w:rsid w:val="00AA334E"/>
    <w:rsid w:val="00AA3BF6"/>
    <w:rsid w:val="00AA465C"/>
    <w:rsid w:val="00AA6AA7"/>
    <w:rsid w:val="00AB3617"/>
    <w:rsid w:val="00AB3E14"/>
    <w:rsid w:val="00AB590F"/>
    <w:rsid w:val="00AC0DBB"/>
    <w:rsid w:val="00AC1A1F"/>
    <w:rsid w:val="00AC1F6C"/>
    <w:rsid w:val="00AC2E24"/>
    <w:rsid w:val="00AC4C72"/>
    <w:rsid w:val="00AC53A7"/>
    <w:rsid w:val="00AC6489"/>
    <w:rsid w:val="00AC697B"/>
    <w:rsid w:val="00AD0E86"/>
    <w:rsid w:val="00AD1928"/>
    <w:rsid w:val="00AD2116"/>
    <w:rsid w:val="00AD44E7"/>
    <w:rsid w:val="00AD5634"/>
    <w:rsid w:val="00AE07CA"/>
    <w:rsid w:val="00AE0C85"/>
    <w:rsid w:val="00AE2F94"/>
    <w:rsid w:val="00AE3983"/>
    <w:rsid w:val="00AE3ECF"/>
    <w:rsid w:val="00AE5DCF"/>
    <w:rsid w:val="00AE75EB"/>
    <w:rsid w:val="00AF37E1"/>
    <w:rsid w:val="00AF3A22"/>
    <w:rsid w:val="00AF42C9"/>
    <w:rsid w:val="00AF546D"/>
    <w:rsid w:val="00AF6162"/>
    <w:rsid w:val="00B02222"/>
    <w:rsid w:val="00B0534F"/>
    <w:rsid w:val="00B06636"/>
    <w:rsid w:val="00B06FF8"/>
    <w:rsid w:val="00B07124"/>
    <w:rsid w:val="00B07294"/>
    <w:rsid w:val="00B07C46"/>
    <w:rsid w:val="00B1141D"/>
    <w:rsid w:val="00B11968"/>
    <w:rsid w:val="00B12FA6"/>
    <w:rsid w:val="00B13AF5"/>
    <w:rsid w:val="00B17F02"/>
    <w:rsid w:val="00B22CF0"/>
    <w:rsid w:val="00B22D4C"/>
    <w:rsid w:val="00B2514D"/>
    <w:rsid w:val="00B268BF"/>
    <w:rsid w:val="00B26A3D"/>
    <w:rsid w:val="00B30650"/>
    <w:rsid w:val="00B3205C"/>
    <w:rsid w:val="00B32074"/>
    <w:rsid w:val="00B33A2A"/>
    <w:rsid w:val="00B33ACB"/>
    <w:rsid w:val="00B35956"/>
    <w:rsid w:val="00B4014B"/>
    <w:rsid w:val="00B40734"/>
    <w:rsid w:val="00B434D4"/>
    <w:rsid w:val="00B46A42"/>
    <w:rsid w:val="00B4710D"/>
    <w:rsid w:val="00B4755C"/>
    <w:rsid w:val="00B5186E"/>
    <w:rsid w:val="00B52307"/>
    <w:rsid w:val="00B53781"/>
    <w:rsid w:val="00B55346"/>
    <w:rsid w:val="00B558A3"/>
    <w:rsid w:val="00B60F9C"/>
    <w:rsid w:val="00B625A1"/>
    <w:rsid w:val="00B6412B"/>
    <w:rsid w:val="00B64209"/>
    <w:rsid w:val="00B65194"/>
    <w:rsid w:val="00B662C0"/>
    <w:rsid w:val="00B71018"/>
    <w:rsid w:val="00B7311B"/>
    <w:rsid w:val="00B744CD"/>
    <w:rsid w:val="00B8006E"/>
    <w:rsid w:val="00B806DC"/>
    <w:rsid w:val="00B8200A"/>
    <w:rsid w:val="00B83DCD"/>
    <w:rsid w:val="00B85A30"/>
    <w:rsid w:val="00B85C94"/>
    <w:rsid w:val="00B861ED"/>
    <w:rsid w:val="00B867B1"/>
    <w:rsid w:val="00B86C45"/>
    <w:rsid w:val="00B87B5D"/>
    <w:rsid w:val="00B87D3E"/>
    <w:rsid w:val="00B90277"/>
    <w:rsid w:val="00B90885"/>
    <w:rsid w:val="00B93EFB"/>
    <w:rsid w:val="00BA13FD"/>
    <w:rsid w:val="00BA379F"/>
    <w:rsid w:val="00BA4025"/>
    <w:rsid w:val="00BA63E4"/>
    <w:rsid w:val="00BA6BA0"/>
    <w:rsid w:val="00BA7E3E"/>
    <w:rsid w:val="00BB02AA"/>
    <w:rsid w:val="00BB0E5C"/>
    <w:rsid w:val="00BB1B09"/>
    <w:rsid w:val="00BB30A1"/>
    <w:rsid w:val="00BB5576"/>
    <w:rsid w:val="00BB5B60"/>
    <w:rsid w:val="00BB6C0B"/>
    <w:rsid w:val="00BB75E4"/>
    <w:rsid w:val="00BC2BE9"/>
    <w:rsid w:val="00BC717C"/>
    <w:rsid w:val="00BC72FA"/>
    <w:rsid w:val="00BC7C31"/>
    <w:rsid w:val="00BD18E7"/>
    <w:rsid w:val="00BD4A7D"/>
    <w:rsid w:val="00BD4D7D"/>
    <w:rsid w:val="00BD4FB9"/>
    <w:rsid w:val="00BD5393"/>
    <w:rsid w:val="00BE2B0D"/>
    <w:rsid w:val="00BE58DC"/>
    <w:rsid w:val="00BF0BE8"/>
    <w:rsid w:val="00BF0D33"/>
    <w:rsid w:val="00BF1093"/>
    <w:rsid w:val="00BF1B98"/>
    <w:rsid w:val="00BF1C48"/>
    <w:rsid w:val="00BF2CA0"/>
    <w:rsid w:val="00BF590E"/>
    <w:rsid w:val="00BF5BC0"/>
    <w:rsid w:val="00BF6A3F"/>
    <w:rsid w:val="00BF6F09"/>
    <w:rsid w:val="00BF7C4D"/>
    <w:rsid w:val="00C01857"/>
    <w:rsid w:val="00C04E96"/>
    <w:rsid w:val="00C1199A"/>
    <w:rsid w:val="00C11E77"/>
    <w:rsid w:val="00C128C8"/>
    <w:rsid w:val="00C138F5"/>
    <w:rsid w:val="00C13E5D"/>
    <w:rsid w:val="00C14837"/>
    <w:rsid w:val="00C17FA4"/>
    <w:rsid w:val="00C2328E"/>
    <w:rsid w:val="00C26915"/>
    <w:rsid w:val="00C27B1A"/>
    <w:rsid w:val="00C35AC8"/>
    <w:rsid w:val="00C36D85"/>
    <w:rsid w:val="00C36DFA"/>
    <w:rsid w:val="00C3706C"/>
    <w:rsid w:val="00C37337"/>
    <w:rsid w:val="00C4068C"/>
    <w:rsid w:val="00C41020"/>
    <w:rsid w:val="00C41D05"/>
    <w:rsid w:val="00C442B2"/>
    <w:rsid w:val="00C447E6"/>
    <w:rsid w:val="00C44B58"/>
    <w:rsid w:val="00C50CFC"/>
    <w:rsid w:val="00C51F1E"/>
    <w:rsid w:val="00C5236D"/>
    <w:rsid w:val="00C536FE"/>
    <w:rsid w:val="00C5457A"/>
    <w:rsid w:val="00C5686C"/>
    <w:rsid w:val="00C56AE7"/>
    <w:rsid w:val="00C61DF5"/>
    <w:rsid w:val="00C61EF4"/>
    <w:rsid w:val="00C6425F"/>
    <w:rsid w:val="00C64619"/>
    <w:rsid w:val="00C64875"/>
    <w:rsid w:val="00C64ADD"/>
    <w:rsid w:val="00C6708C"/>
    <w:rsid w:val="00C67A7D"/>
    <w:rsid w:val="00C7160D"/>
    <w:rsid w:val="00C72C7B"/>
    <w:rsid w:val="00C73250"/>
    <w:rsid w:val="00C7357E"/>
    <w:rsid w:val="00C73CF2"/>
    <w:rsid w:val="00C73EE8"/>
    <w:rsid w:val="00C7509E"/>
    <w:rsid w:val="00C75B2A"/>
    <w:rsid w:val="00C76306"/>
    <w:rsid w:val="00C77DE3"/>
    <w:rsid w:val="00C80260"/>
    <w:rsid w:val="00C82090"/>
    <w:rsid w:val="00C850BA"/>
    <w:rsid w:val="00C859B4"/>
    <w:rsid w:val="00C91208"/>
    <w:rsid w:val="00C91617"/>
    <w:rsid w:val="00C91E48"/>
    <w:rsid w:val="00C9683B"/>
    <w:rsid w:val="00C9697C"/>
    <w:rsid w:val="00CA097C"/>
    <w:rsid w:val="00CA1956"/>
    <w:rsid w:val="00CA4909"/>
    <w:rsid w:val="00CA5920"/>
    <w:rsid w:val="00CA650C"/>
    <w:rsid w:val="00CB0A34"/>
    <w:rsid w:val="00CB1936"/>
    <w:rsid w:val="00CB2E45"/>
    <w:rsid w:val="00CB2EE8"/>
    <w:rsid w:val="00CB47A3"/>
    <w:rsid w:val="00CB4B78"/>
    <w:rsid w:val="00CB57A0"/>
    <w:rsid w:val="00CC1502"/>
    <w:rsid w:val="00CC1B37"/>
    <w:rsid w:val="00CC773A"/>
    <w:rsid w:val="00CC7882"/>
    <w:rsid w:val="00CD0E86"/>
    <w:rsid w:val="00CD1A11"/>
    <w:rsid w:val="00CD2019"/>
    <w:rsid w:val="00CD2A3F"/>
    <w:rsid w:val="00CD3028"/>
    <w:rsid w:val="00CD52C5"/>
    <w:rsid w:val="00CD7CFC"/>
    <w:rsid w:val="00CE3609"/>
    <w:rsid w:val="00CE3648"/>
    <w:rsid w:val="00CE42BB"/>
    <w:rsid w:val="00CE5E55"/>
    <w:rsid w:val="00CE5E66"/>
    <w:rsid w:val="00CE6BE1"/>
    <w:rsid w:val="00CE6D94"/>
    <w:rsid w:val="00CE6F5B"/>
    <w:rsid w:val="00CF01D6"/>
    <w:rsid w:val="00CF03B0"/>
    <w:rsid w:val="00CF044D"/>
    <w:rsid w:val="00CF2BC2"/>
    <w:rsid w:val="00CF5257"/>
    <w:rsid w:val="00CF617C"/>
    <w:rsid w:val="00CF74E2"/>
    <w:rsid w:val="00CF7FBE"/>
    <w:rsid w:val="00D03913"/>
    <w:rsid w:val="00D04281"/>
    <w:rsid w:val="00D05E3F"/>
    <w:rsid w:val="00D0696A"/>
    <w:rsid w:val="00D126B8"/>
    <w:rsid w:val="00D134B7"/>
    <w:rsid w:val="00D13EB7"/>
    <w:rsid w:val="00D145F9"/>
    <w:rsid w:val="00D1647D"/>
    <w:rsid w:val="00D20E64"/>
    <w:rsid w:val="00D20F45"/>
    <w:rsid w:val="00D21BD9"/>
    <w:rsid w:val="00D257C3"/>
    <w:rsid w:val="00D2599C"/>
    <w:rsid w:val="00D25DAA"/>
    <w:rsid w:val="00D30579"/>
    <w:rsid w:val="00D30B08"/>
    <w:rsid w:val="00D31511"/>
    <w:rsid w:val="00D40760"/>
    <w:rsid w:val="00D41CA1"/>
    <w:rsid w:val="00D45ACD"/>
    <w:rsid w:val="00D508DA"/>
    <w:rsid w:val="00D50A94"/>
    <w:rsid w:val="00D51D39"/>
    <w:rsid w:val="00D51D61"/>
    <w:rsid w:val="00D52F1B"/>
    <w:rsid w:val="00D5379C"/>
    <w:rsid w:val="00D6198E"/>
    <w:rsid w:val="00D64BE0"/>
    <w:rsid w:val="00D64D32"/>
    <w:rsid w:val="00D650C8"/>
    <w:rsid w:val="00D660D5"/>
    <w:rsid w:val="00D71469"/>
    <w:rsid w:val="00D71E3E"/>
    <w:rsid w:val="00D76160"/>
    <w:rsid w:val="00D76E36"/>
    <w:rsid w:val="00D807C3"/>
    <w:rsid w:val="00D81A8F"/>
    <w:rsid w:val="00D81FC6"/>
    <w:rsid w:val="00D82640"/>
    <w:rsid w:val="00D84C89"/>
    <w:rsid w:val="00D856B2"/>
    <w:rsid w:val="00D85980"/>
    <w:rsid w:val="00D940CB"/>
    <w:rsid w:val="00D96669"/>
    <w:rsid w:val="00DA3297"/>
    <w:rsid w:val="00DA36DF"/>
    <w:rsid w:val="00DB0898"/>
    <w:rsid w:val="00DB1439"/>
    <w:rsid w:val="00DB1DB0"/>
    <w:rsid w:val="00DB24B6"/>
    <w:rsid w:val="00DB3CEB"/>
    <w:rsid w:val="00DB4044"/>
    <w:rsid w:val="00DB4E19"/>
    <w:rsid w:val="00DB4FD6"/>
    <w:rsid w:val="00DB5552"/>
    <w:rsid w:val="00DB7020"/>
    <w:rsid w:val="00DB70BF"/>
    <w:rsid w:val="00DC0C49"/>
    <w:rsid w:val="00DC261A"/>
    <w:rsid w:val="00DC3DC5"/>
    <w:rsid w:val="00DC4328"/>
    <w:rsid w:val="00DC5893"/>
    <w:rsid w:val="00DD095E"/>
    <w:rsid w:val="00DD29FF"/>
    <w:rsid w:val="00DD3B3F"/>
    <w:rsid w:val="00DD5A5F"/>
    <w:rsid w:val="00DD5E8E"/>
    <w:rsid w:val="00DE0BCD"/>
    <w:rsid w:val="00DE15C2"/>
    <w:rsid w:val="00DE1D2D"/>
    <w:rsid w:val="00DE1FC2"/>
    <w:rsid w:val="00DE2DF3"/>
    <w:rsid w:val="00DE4C92"/>
    <w:rsid w:val="00DE747C"/>
    <w:rsid w:val="00DE7BE9"/>
    <w:rsid w:val="00DE7C42"/>
    <w:rsid w:val="00DF2091"/>
    <w:rsid w:val="00DF2B8B"/>
    <w:rsid w:val="00DF3CD6"/>
    <w:rsid w:val="00DF6324"/>
    <w:rsid w:val="00DF6B72"/>
    <w:rsid w:val="00E00C0D"/>
    <w:rsid w:val="00E02982"/>
    <w:rsid w:val="00E04EF6"/>
    <w:rsid w:val="00E053E0"/>
    <w:rsid w:val="00E05AC4"/>
    <w:rsid w:val="00E067A4"/>
    <w:rsid w:val="00E06B9E"/>
    <w:rsid w:val="00E07E09"/>
    <w:rsid w:val="00E07E44"/>
    <w:rsid w:val="00E10CF2"/>
    <w:rsid w:val="00E14FE1"/>
    <w:rsid w:val="00E151E8"/>
    <w:rsid w:val="00E15BC7"/>
    <w:rsid w:val="00E163A1"/>
    <w:rsid w:val="00E1651C"/>
    <w:rsid w:val="00E2260B"/>
    <w:rsid w:val="00E232C4"/>
    <w:rsid w:val="00E243D1"/>
    <w:rsid w:val="00E24875"/>
    <w:rsid w:val="00E27942"/>
    <w:rsid w:val="00E31117"/>
    <w:rsid w:val="00E32CF1"/>
    <w:rsid w:val="00E3458E"/>
    <w:rsid w:val="00E35BB9"/>
    <w:rsid w:val="00E44122"/>
    <w:rsid w:val="00E44E2C"/>
    <w:rsid w:val="00E45837"/>
    <w:rsid w:val="00E45C3D"/>
    <w:rsid w:val="00E46738"/>
    <w:rsid w:val="00E50587"/>
    <w:rsid w:val="00E50A95"/>
    <w:rsid w:val="00E51071"/>
    <w:rsid w:val="00E510A4"/>
    <w:rsid w:val="00E53DA8"/>
    <w:rsid w:val="00E5437E"/>
    <w:rsid w:val="00E54AD2"/>
    <w:rsid w:val="00E55648"/>
    <w:rsid w:val="00E578D4"/>
    <w:rsid w:val="00E62B1D"/>
    <w:rsid w:val="00E63287"/>
    <w:rsid w:val="00E63634"/>
    <w:rsid w:val="00E64613"/>
    <w:rsid w:val="00E675AD"/>
    <w:rsid w:val="00E70270"/>
    <w:rsid w:val="00E70513"/>
    <w:rsid w:val="00E70DEB"/>
    <w:rsid w:val="00E75E99"/>
    <w:rsid w:val="00E76540"/>
    <w:rsid w:val="00E77FCD"/>
    <w:rsid w:val="00E80092"/>
    <w:rsid w:val="00E8141C"/>
    <w:rsid w:val="00E85642"/>
    <w:rsid w:val="00E85A5B"/>
    <w:rsid w:val="00E86445"/>
    <w:rsid w:val="00E8691D"/>
    <w:rsid w:val="00E90B65"/>
    <w:rsid w:val="00E926E0"/>
    <w:rsid w:val="00E9384B"/>
    <w:rsid w:val="00E9447E"/>
    <w:rsid w:val="00E94B0A"/>
    <w:rsid w:val="00E97C19"/>
    <w:rsid w:val="00EA1365"/>
    <w:rsid w:val="00EA1F60"/>
    <w:rsid w:val="00EA1F94"/>
    <w:rsid w:val="00EA3529"/>
    <w:rsid w:val="00EA4061"/>
    <w:rsid w:val="00EA44D3"/>
    <w:rsid w:val="00EA4863"/>
    <w:rsid w:val="00EA4A15"/>
    <w:rsid w:val="00EA6F5A"/>
    <w:rsid w:val="00EA7784"/>
    <w:rsid w:val="00EB0409"/>
    <w:rsid w:val="00EB430C"/>
    <w:rsid w:val="00EB4DC3"/>
    <w:rsid w:val="00EB5156"/>
    <w:rsid w:val="00EC223B"/>
    <w:rsid w:val="00EC339F"/>
    <w:rsid w:val="00EC33BF"/>
    <w:rsid w:val="00EC4E51"/>
    <w:rsid w:val="00ED5895"/>
    <w:rsid w:val="00EE2F5D"/>
    <w:rsid w:val="00EE4031"/>
    <w:rsid w:val="00EE6315"/>
    <w:rsid w:val="00EF31A0"/>
    <w:rsid w:val="00EF68F4"/>
    <w:rsid w:val="00F036BD"/>
    <w:rsid w:val="00F03D95"/>
    <w:rsid w:val="00F04C96"/>
    <w:rsid w:val="00F056B9"/>
    <w:rsid w:val="00F05C02"/>
    <w:rsid w:val="00F113AA"/>
    <w:rsid w:val="00F13770"/>
    <w:rsid w:val="00F15B07"/>
    <w:rsid w:val="00F1693C"/>
    <w:rsid w:val="00F17242"/>
    <w:rsid w:val="00F2179C"/>
    <w:rsid w:val="00F235A4"/>
    <w:rsid w:val="00F2528D"/>
    <w:rsid w:val="00F26716"/>
    <w:rsid w:val="00F31475"/>
    <w:rsid w:val="00F32C98"/>
    <w:rsid w:val="00F3359D"/>
    <w:rsid w:val="00F336B2"/>
    <w:rsid w:val="00F33B4F"/>
    <w:rsid w:val="00F36556"/>
    <w:rsid w:val="00F36E22"/>
    <w:rsid w:val="00F37DF2"/>
    <w:rsid w:val="00F42B8B"/>
    <w:rsid w:val="00F44AE3"/>
    <w:rsid w:val="00F46022"/>
    <w:rsid w:val="00F530C1"/>
    <w:rsid w:val="00F5527C"/>
    <w:rsid w:val="00F56372"/>
    <w:rsid w:val="00F57033"/>
    <w:rsid w:val="00F60E66"/>
    <w:rsid w:val="00F63AD0"/>
    <w:rsid w:val="00F659CE"/>
    <w:rsid w:val="00F70775"/>
    <w:rsid w:val="00F71234"/>
    <w:rsid w:val="00F71588"/>
    <w:rsid w:val="00F7352A"/>
    <w:rsid w:val="00F8209F"/>
    <w:rsid w:val="00F82F41"/>
    <w:rsid w:val="00F83440"/>
    <w:rsid w:val="00F8402E"/>
    <w:rsid w:val="00F84CF0"/>
    <w:rsid w:val="00F84F89"/>
    <w:rsid w:val="00F85FD1"/>
    <w:rsid w:val="00F86718"/>
    <w:rsid w:val="00F87E22"/>
    <w:rsid w:val="00F90398"/>
    <w:rsid w:val="00F91771"/>
    <w:rsid w:val="00F91DAE"/>
    <w:rsid w:val="00F946B1"/>
    <w:rsid w:val="00F965AC"/>
    <w:rsid w:val="00F97DDC"/>
    <w:rsid w:val="00FA5427"/>
    <w:rsid w:val="00FA684C"/>
    <w:rsid w:val="00FA6BA3"/>
    <w:rsid w:val="00FB00BF"/>
    <w:rsid w:val="00FB0AD1"/>
    <w:rsid w:val="00FB2F99"/>
    <w:rsid w:val="00FB66E6"/>
    <w:rsid w:val="00FC12D7"/>
    <w:rsid w:val="00FC17A9"/>
    <w:rsid w:val="00FC1C6D"/>
    <w:rsid w:val="00FC1D1F"/>
    <w:rsid w:val="00FC5325"/>
    <w:rsid w:val="00FC5E64"/>
    <w:rsid w:val="00FD00C9"/>
    <w:rsid w:val="00FD0387"/>
    <w:rsid w:val="00FD0D42"/>
    <w:rsid w:val="00FD113C"/>
    <w:rsid w:val="00FD147B"/>
    <w:rsid w:val="00FD17A6"/>
    <w:rsid w:val="00FD3155"/>
    <w:rsid w:val="00FD3B27"/>
    <w:rsid w:val="00FD3D69"/>
    <w:rsid w:val="00FD43F8"/>
    <w:rsid w:val="00FD5EDD"/>
    <w:rsid w:val="00FD68C6"/>
    <w:rsid w:val="00FD7C60"/>
    <w:rsid w:val="00FD7DD6"/>
    <w:rsid w:val="00FE0EFA"/>
    <w:rsid w:val="00FE15C0"/>
    <w:rsid w:val="00FE3BEB"/>
    <w:rsid w:val="00FE3DBD"/>
    <w:rsid w:val="00FE6662"/>
    <w:rsid w:val="00FE73E6"/>
    <w:rsid w:val="00FF08F6"/>
    <w:rsid w:val="00FF1197"/>
    <w:rsid w:val="00FF1495"/>
    <w:rsid w:val="00FF178F"/>
    <w:rsid w:val="00FF263F"/>
    <w:rsid w:val="00FF2D2B"/>
    <w:rsid w:val="00FF3C3E"/>
    <w:rsid w:val="00FF5704"/>
    <w:rsid w:val="06C80966"/>
    <w:rsid w:val="2EA23361"/>
    <w:rsid w:val="411512B3"/>
    <w:rsid w:val="452A2CE6"/>
    <w:rsid w:val="5F68269D"/>
    <w:rsid w:val="68874E6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fillcolor="white">
      <v:fill color="white"/>
    </o:shapedefaults>
    <o:shapelayout v:ext="edit">
      <o:idmap v:ext="edit" data="1"/>
    </o:shapelayout>
  </w:shapeDefaults>
  <w:decimalSymbol w:val="."/>
  <w:listSeparator w:val=","/>
  <w14:docId w14:val="2B4441EF"/>
  <w15:docId w15:val="{85302DFF-BDC9-47AF-9F58-2D722A601D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unhideWhenUsed="1" w:qFormat="1"/>
    <w:lsdException w:name="heading 4"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unhideWhenUsed="1"/>
    <w:lsdException w:name="toc 2"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nhideWhenUsed="1" w:qFormat="1"/>
    <w:lsdException w:name="footer"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uiPriority="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qFormat="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unhideWhenUsed="1" w:qFormat="1"/>
    <w:lsdException w:name="Body Text Indent 3" w:semiHidden="1" w:unhideWhenUsed="1"/>
    <w:lsdException w:name="Block Text" w:semiHidden="1" w:unhideWhenUsed="1"/>
    <w:lsdException w:name="Hyperlink" w:unhideWhenUsed="1" w:qFormat="1"/>
    <w:lsdException w:name="FollowedHyperlink" w:semiHidden="1" w:unhideWhenUsed="1" w:qFormat="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uiPriority="0" w:qFormat="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5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rPr>
      <w:kern w:val="2"/>
      <w:sz w:val="21"/>
      <w:szCs w:val="24"/>
    </w:rPr>
  </w:style>
  <w:style w:type="paragraph" w:styleId="1">
    <w:name w:val="heading 1"/>
    <w:basedOn w:val="a"/>
    <w:next w:val="a"/>
    <w:link w:val="10"/>
    <w:uiPriority w:val="9"/>
    <w:qFormat/>
    <w:pPr>
      <w:keepNext/>
      <w:keepLines/>
      <w:spacing w:before="340" w:after="330" w:line="578" w:lineRule="auto"/>
      <w:outlineLvl w:val="0"/>
    </w:pPr>
    <w:rPr>
      <w:b/>
      <w:bCs/>
      <w:kern w:val="44"/>
      <w:sz w:val="44"/>
      <w:szCs w:val="44"/>
    </w:rPr>
  </w:style>
  <w:style w:type="paragraph" w:styleId="2">
    <w:name w:val="heading 2"/>
    <w:basedOn w:val="a"/>
    <w:next w:val="a"/>
    <w:link w:val="20"/>
    <w:uiPriority w:val="9"/>
    <w:qFormat/>
    <w:pPr>
      <w:widowControl/>
      <w:spacing w:before="100" w:beforeAutospacing="1" w:after="100" w:afterAutospacing="1"/>
      <w:jc w:val="left"/>
      <w:outlineLvl w:val="1"/>
    </w:pPr>
    <w:rPr>
      <w:rFonts w:ascii="宋体" w:hAnsi="宋体" w:cs="宋体"/>
      <w:b/>
      <w:bCs/>
      <w:kern w:val="0"/>
      <w:sz w:val="36"/>
      <w:szCs w:val="36"/>
    </w:rPr>
  </w:style>
  <w:style w:type="paragraph" w:styleId="3">
    <w:name w:val="heading 3"/>
    <w:basedOn w:val="a"/>
    <w:next w:val="a"/>
    <w:link w:val="30"/>
    <w:uiPriority w:val="9"/>
    <w:unhideWhenUsed/>
    <w:qFormat/>
    <w:pPr>
      <w:keepNext/>
      <w:keepLines/>
      <w:spacing w:before="260" w:after="260" w:line="416" w:lineRule="auto"/>
      <w:outlineLvl w:val="2"/>
    </w:pPr>
    <w:rPr>
      <w:rFonts w:asciiTheme="minorHAnsi" w:eastAsiaTheme="minorEastAsia" w:hAnsiTheme="minorHAnsi" w:cstheme="minorBidi"/>
      <w:b/>
      <w:bCs/>
      <w:sz w:val="32"/>
      <w:szCs w:val="32"/>
    </w:rPr>
  </w:style>
  <w:style w:type="paragraph" w:styleId="4">
    <w:name w:val="heading 4"/>
    <w:basedOn w:val="a"/>
    <w:next w:val="a"/>
    <w:link w:val="40"/>
    <w:uiPriority w:val="9"/>
    <w:unhideWhenUsed/>
    <w:qFormat/>
    <w:pPr>
      <w:keepNext/>
      <w:keepLines/>
      <w:spacing w:before="280" w:after="290" w:line="376" w:lineRule="auto"/>
      <w:outlineLvl w:val="3"/>
    </w:pPr>
    <w:rPr>
      <w:rFonts w:asciiTheme="majorHAnsi" w:eastAsiaTheme="majorEastAsia" w:hAnsiTheme="majorHAnsi" w:cstheme="majorBidi"/>
      <w:b/>
      <w:bCs/>
      <w:sz w:val="28"/>
      <w:szCs w:val="28"/>
    </w:rPr>
  </w:style>
  <w:style w:type="paragraph" w:styleId="5">
    <w:name w:val="heading 5"/>
    <w:basedOn w:val="a"/>
    <w:next w:val="a"/>
    <w:link w:val="50"/>
    <w:uiPriority w:val="9"/>
    <w:semiHidden/>
    <w:unhideWhenUsed/>
    <w:qFormat/>
    <w:pPr>
      <w:keepNext/>
      <w:keepLines/>
      <w:spacing w:before="280" w:after="290" w:line="376" w:lineRule="auto"/>
      <w:outlineLvl w:val="4"/>
    </w:pPr>
    <w:rPr>
      <w:rFonts w:asciiTheme="minorHAnsi" w:eastAsiaTheme="minorEastAsia" w:hAnsiTheme="minorHAnsi" w:cstheme="minorBidi"/>
      <w:b/>
      <w:bCs/>
      <w:sz w:val="28"/>
      <w:szCs w:val="28"/>
    </w:rPr>
  </w:style>
  <w:style w:type="paragraph" w:styleId="6">
    <w:name w:val="heading 6"/>
    <w:basedOn w:val="a"/>
    <w:next w:val="a"/>
    <w:link w:val="60"/>
    <w:uiPriority w:val="9"/>
    <w:semiHidden/>
    <w:unhideWhenUsed/>
    <w:qFormat/>
    <w:pPr>
      <w:keepNext/>
      <w:keepLines/>
      <w:spacing w:before="240" w:after="64" w:line="320" w:lineRule="auto"/>
      <w:outlineLvl w:val="5"/>
    </w:pPr>
    <w:rPr>
      <w:rFonts w:asciiTheme="majorHAnsi" w:eastAsiaTheme="majorEastAsia" w:hAnsiTheme="majorHAnsi" w:cstheme="majorBidi"/>
      <w:b/>
      <w:bCs/>
      <w:sz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link w:val="a4"/>
    <w:uiPriority w:val="1"/>
    <w:qFormat/>
    <w:pPr>
      <w:autoSpaceDE w:val="0"/>
      <w:autoSpaceDN w:val="0"/>
      <w:jc w:val="left"/>
    </w:pPr>
    <w:rPr>
      <w:rFonts w:eastAsia="Times New Roman"/>
      <w:kern w:val="0"/>
      <w:sz w:val="17"/>
      <w:szCs w:val="17"/>
      <w:lang w:eastAsia="en-US" w:bidi="en-US"/>
    </w:rPr>
  </w:style>
  <w:style w:type="paragraph" w:styleId="a5">
    <w:name w:val="Date"/>
    <w:basedOn w:val="a"/>
    <w:next w:val="a"/>
    <w:link w:val="a6"/>
    <w:uiPriority w:val="99"/>
    <w:semiHidden/>
    <w:unhideWhenUsed/>
    <w:qFormat/>
    <w:pPr>
      <w:ind w:leftChars="2500" w:left="100"/>
    </w:pPr>
  </w:style>
  <w:style w:type="paragraph" w:styleId="21">
    <w:name w:val="Body Text Indent 2"/>
    <w:basedOn w:val="a"/>
    <w:link w:val="22"/>
    <w:uiPriority w:val="99"/>
    <w:unhideWhenUsed/>
    <w:qFormat/>
    <w:pPr>
      <w:spacing w:after="120" w:line="480" w:lineRule="auto"/>
      <w:ind w:leftChars="200" w:left="420"/>
    </w:pPr>
  </w:style>
  <w:style w:type="paragraph" w:styleId="a7">
    <w:name w:val="Balloon Text"/>
    <w:basedOn w:val="a"/>
    <w:link w:val="a8"/>
    <w:uiPriority w:val="99"/>
    <w:semiHidden/>
    <w:unhideWhenUsed/>
    <w:qFormat/>
    <w:rPr>
      <w:sz w:val="18"/>
      <w:szCs w:val="18"/>
    </w:rPr>
  </w:style>
  <w:style w:type="paragraph" w:styleId="a9">
    <w:name w:val="footer"/>
    <w:basedOn w:val="a"/>
    <w:link w:val="aa"/>
    <w:uiPriority w:val="99"/>
    <w:unhideWhenUsed/>
    <w:qFormat/>
    <w:pPr>
      <w:tabs>
        <w:tab w:val="center" w:pos="4153"/>
        <w:tab w:val="right" w:pos="8306"/>
      </w:tabs>
      <w:snapToGrid w:val="0"/>
      <w:jc w:val="left"/>
    </w:pPr>
    <w:rPr>
      <w:rFonts w:asciiTheme="minorHAnsi" w:eastAsiaTheme="minorEastAsia" w:hAnsiTheme="minorHAnsi" w:cstheme="minorBidi"/>
      <w:sz w:val="18"/>
      <w:szCs w:val="18"/>
    </w:rPr>
  </w:style>
  <w:style w:type="paragraph" w:styleId="ab">
    <w:name w:val="header"/>
    <w:basedOn w:val="a"/>
    <w:link w:val="ac"/>
    <w:uiPriority w:val="99"/>
    <w:unhideWhenUsed/>
    <w:qFormat/>
    <w:pPr>
      <w:pBdr>
        <w:bottom w:val="single" w:sz="6" w:space="1" w:color="auto"/>
      </w:pBdr>
      <w:tabs>
        <w:tab w:val="center" w:pos="4153"/>
        <w:tab w:val="right" w:pos="8306"/>
      </w:tabs>
      <w:snapToGrid w:val="0"/>
      <w:jc w:val="center"/>
    </w:pPr>
    <w:rPr>
      <w:rFonts w:asciiTheme="minorHAnsi" w:eastAsiaTheme="minorEastAsia" w:hAnsiTheme="minorHAnsi" w:cstheme="minorBidi"/>
      <w:sz w:val="18"/>
      <w:szCs w:val="18"/>
    </w:rPr>
  </w:style>
  <w:style w:type="paragraph" w:styleId="TOC1">
    <w:name w:val="toc 1"/>
    <w:basedOn w:val="a"/>
    <w:next w:val="a"/>
    <w:uiPriority w:val="39"/>
    <w:unhideWhenUsed/>
    <w:pPr>
      <w:tabs>
        <w:tab w:val="right" w:leader="dot" w:pos="9402"/>
      </w:tabs>
    </w:pPr>
    <w:rPr>
      <w:rFonts w:eastAsia="黑体"/>
      <w:b/>
      <w:bCs/>
    </w:rPr>
  </w:style>
  <w:style w:type="paragraph" w:styleId="TOC2">
    <w:name w:val="toc 2"/>
    <w:basedOn w:val="a"/>
    <w:next w:val="a"/>
    <w:uiPriority w:val="39"/>
    <w:unhideWhenUsed/>
    <w:pPr>
      <w:ind w:leftChars="200" w:left="420"/>
    </w:pPr>
  </w:style>
  <w:style w:type="paragraph" w:styleId="HTML">
    <w:name w:val="HTML Preformatted"/>
    <w:basedOn w:val="a"/>
    <w:link w:val="HTML0"/>
    <w:qFormat/>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黑体" w:eastAsia="黑体" w:hAnsi="Courier New" w:cs="Courier New"/>
      <w:color w:val="000000"/>
      <w:kern w:val="0"/>
      <w:sz w:val="20"/>
      <w:szCs w:val="20"/>
    </w:rPr>
  </w:style>
  <w:style w:type="paragraph" w:styleId="ad">
    <w:name w:val="Normal (Web)"/>
    <w:basedOn w:val="a"/>
    <w:uiPriority w:val="99"/>
    <w:unhideWhenUsed/>
    <w:qFormat/>
    <w:pPr>
      <w:widowControl/>
      <w:spacing w:before="100" w:beforeAutospacing="1" w:after="100" w:afterAutospacing="1"/>
      <w:jc w:val="left"/>
    </w:pPr>
    <w:rPr>
      <w:rFonts w:ascii="宋体" w:hAnsi="宋体" w:cs="宋体"/>
      <w:kern w:val="0"/>
      <w:sz w:val="24"/>
    </w:rPr>
  </w:style>
  <w:style w:type="table" w:styleId="ae">
    <w:name w:val="Table Grid"/>
    <w:basedOn w:val="a1"/>
    <w:uiPriority w:val="5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Strong"/>
    <w:basedOn w:val="a0"/>
    <w:uiPriority w:val="22"/>
    <w:qFormat/>
    <w:rPr>
      <w:b/>
      <w:bCs/>
    </w:rPr>
  </w:style>
  <w:style w:type="character" w:styleId="af0">
    <w:name w:val="FollowedHyperlink"/>
    <w:basedOn w:val="a0"/>
    <w:uiPriority w:val="99"/>
    <w:semiHidden/>
    <w:unhideWhenUsed/>
    <w:qFormat/>
    <w:rPr>
      <w:color w:val="800080"/>
      <w:u w:val="single"/>
    </w:rPr>
  </w:style>
  <w:style w:type="character" w:styleId="af1">
    <w:name w:val="Emphasis"/>
    <w:basedOn w:val="a0"/>
    <w:uiPriority w:val="20"/>
    <w:qFormat/>
    <w:rPr>
      <w:i/>
      <w:iCs/>
    </w:rPr>
  </w:style>
  <w:style w:type="character" w:styleId="af2">
    <w:name w:val="Hyperlink"/>
    <w:basedOn w:val="a0"/>
    <w:uiPriority w:val="99"/>
    <w:unhideWhenUsed/>
    <w:qFormat/>
    <w:rPr>
      <w:color w:val="0000FF"/>
      <w:u w:val="single"/>
    </w:rPr>
  </w:style>
  <w:style w:type="character" w:customStyle="1" w:styleId="10">
    <w:name w:val="标题 1 字符"/>
    <w:basedOn w:val="a0"/>
    <w:link w:val="1"/>
    <w:uiPriority w:val="9"/>
    <w:qFormat/>
    <w:rPr>
      <w:rFonts w:ascii="Times New Roman" w:eastAsia="宋体" w:hAnsi="Times New Roman" w:cs="Times New Roman"/>
      <w:b/>
      <w:bCs/>
      <w:kern w:val="44"/>
      <w:sz w:val="44"/>
      <w:szCs w:val="44"/>
    </w:rPr>
  </w:style>
  <w:style w:type="character" w:customStyle="1" w:styleId="20">
    <w:name w:val="标题 2 字符"/>
    <w:basedOn w:val="a0"/>
    <w:link w:val="2"/>
    <w:uiPriority w:val="9"/>
    <w:qFormat/>
    <w:rPr>
      <w:rFonts w:ascii="宋体" w:eastAsia="宋体" w:hAnsi="宋体" w:cs="宋体"/>
      <w:b/>
      <w:bCs/>
      <w:kern w:val="0"/>
      <w:sz w:val="36"/>
      <w:szCs w:val="36"/>
    </w:rPr>
  </w:style>
  <w:style w:type="character" w:customStyle="1" w:styleId="30">
    <w:name w:val="标题 3 字符"/>
    <w:basedOn w:val="a0"/>
    <w:link w:val="3"/>
    <w:uiPriority w:val="9"/>
    <w:qFormat/>
    <w:rPr>
      <w:b/>
      <w:bCs/>
      <w:sz w:val="32"/>
      <w:szCs w:val="32"/>
    </w:rPr>
  </w:style>
  <w:style w:type="character" w:customStyle="1" w:styleId="40">
    <w:name w:val="标题 4 字符"/>
    <w:basedOn w:val="a0"/>
    <w:link w:val="4"/>
    <w:uiPriority w:val="9"/>
    <w:qFormat/>
    <w:rPr>
      <w:rFonts w:asciiTheme="majorHAnsi" w:eastAsiaTheme="majorEastAsia" w:hAnsiTheme="majorHAnsi" w:cstheme="majorBidi"/>
      <w:b/>
      <w:bCs/>
      <w:sz w:val="28"/>
      <w:szCs w:val="28"/>
    </w:rPr>
  </w:style>
  <w:style w:type="character" w:customStyle="1" w:styleId="50">
    <w:name w:val="标题 5 字符"/>
    <w:basedOn w:val="a0"/>
    <w:link w:val="5"/>
    <w:uiPriority w:val="9"/>
    <w:semiHidden/>
    <w:qFormat/>
    <w:rPr>
      <w:b/>
      <w:bCs/>
      <w:sz w:val="28"/>
      <w:szCs w:val="28"/>
    </w:rPr>
  </w:style>
  <w:style w:type="character" w:customStyle="1" w:styleId="60">
    <w:name w:val="标题 6 字符"/>
    <w:basedOn w:val="a0"/>
    <w:link w:val="6"/>
    <w:uiPriority w:val="9"/>
    <w:semiHidden/>
    <w:qFormat/>
    <w:rPr>
      <w:rFonts w:asciiTheme="majorHAnsi" w:eastAsiaTheme="majorEastAsia" w:hAnsiTheme="majorHAnsi" w:cstheme="majorBidi"/>
      <w:b/>
      <w:bCs/>
      <w:sz w:val="24"/>
      <w:szCs w:val="24"/>
    </w:rPr>
  </w:style>
  <w:style w:type="character" w:customStyle="1" w:styleId="ac">
    <w:name w:val="页眉 字符"/>
    <w:basedOn w:val="a0"/>
    <w:link w:val="ab"/>
    <w:uiPriority w:val="99"/>
    <w:qFormat/>
    <w:rPr>
      <w:sz w:val="18"/>
      <w:szCs w:val="18"/>
    </w:rPr>
  </w:style>
  <w:style w:type="character" w:customStyle="1" w:styleId="aa">
    <w:name w:val="页脚 字符"/>
    <w:basedOn w:val="a0"/>
    <w:link w:val="a9"/>
    <w:uiPriority w:val="99"/>
    <w:qFormat/>
    <w:rPr>
      <w:sz w:val="18"/>
      <w:szCs w:val="18"/>
    </w:rPr>
  </w:style>
  <w:style w:type="character" w:customStyle="1" w:styleId="a8">
    <w:name w:val="批注框文本 字符"/>
    <w:basedOn w:val="a0"/>
    <w:link w:val="a7"/>
    <w:uiPriority w:val="99"/>
    <w:semiHidden/>
    <w:rPr>
      <w:rFonts w:ascii="Times New Roman" w:eastAsia="宋体" w:hAnsi="Times New Roman" w:cs="Times New Roman"/>
      <w:sz w:val="18"/>
      <w:szCs w:val="18"/>
    </w:rPr>
  </w:style>
  <w:style w:type="character" w:customStyle="1" w:styleId="apple-converted-space">
    <w:name w:val="apple-converted-space"/>
    <w:basedOn w:val="a0"/>
    <w:qFormat/>
  </w:style>
  <w:style w:type="paragraph" w:styleId="af3">
    <w:name w:val="List Paragraph"/>
    <w:basedOn w:val="a"/>
    <w:uiPriority w:val="34"/>
    <w:qFormat/>
    <w:pPr>
      <w:ind w:firstLineChars="200" w:firstLine="420"/>
    </w:pPr>
    <w:rPr>
      <w:rFonts w:asciiTheme="minorHAnsi" w:eastAsiaTheme="minorEastAsia" w:hAnsiTheme="minorHAnsi" w:cstheme="minorBidi"/>
      <w:szCs w:val="22"/>
    </w:rPr>
  </w:style>
  <w:style w:type="paragraph" w:customStyle="1" w:styleId="article-author">
    <w:name w:val="article-author"/>
    <w:basedOn w:val="a"/>
    <w:qFormat/>
    <w:pPr>
      <w:widowControl/>
      <w:spacing w:before="100" w:beforeAutospacing="1" w:after="100" w:afterAutospacing="1"/>
      <w:jc w:val="left"/>
    </w:pPr>
    <w:rPr>
      <w:rFonts w:ascii="宋体" w:hAnsi="宋体" w:cs="宋体"/>
      <w:kern w:val="0"/>
      <w:sz w:val="24"/>
    </w:rPr>
  </w:style>
  <w:style w:type="paragraph" w:customStyle="1" w:styleId="article-info-en">
    <w:name w:val="article-info-en"/>
    <w:basedOn w:val="a"/>
    <w:pPr>
      <w:widowControl/>
      <w:spacing w:before="100" w:beforeAutospacing="1" w:after="100" w:afterAutospacing="1"/>
      <w:jc w:val="left"/>
    </w:pPr>
    <w:rPr>
      <w:rFonts w:ascii="宋体" w:hAnsi="宋体" w:cs="宋体"/>
      <w:kern w:val="0"/>
      <w:sz w:val="24"/>
    </w:rPr>
  </w:style>
  <w:style w:type="character" w:customStyle="1" w:styleId="xref">
    <w:name w:val="xref"/>
    <w:basedOn w:val="a0"/>
  </w:style>
  <w:style w:type="character" w:customStyle="1" w:styleId="sec-title">
    <w:name w:val="sec-title"/>
    <w:basedOn w:val="a0"/>
  </w:style>
  <w:style w:type="character" w:customStyle="1" w:styleId="tabletext">
    <w:name w:val="tabletext"/>
    <w:basedOn w:val="a0"/>
  </w:style>
  <w:style w:type="character" w:customStyle="1" w:styleId="figtext">
    <w:name w:val="figtext"/>
    <w:basedOn w:val="a0"/>
  </w:style>
  <w:style w:type="paragraph" w:customStyle="1" w:styleId="imgtit">
    <w:name w:val="img_tit"/>
    <w:basedOn w:val="a"/>
    <w:pPr>
      <w:widowControl/>
      <w:spacing w:before="100" w:beforeAutospacing="1" w:after="100" w:afterAutospacing="1"/>
      <w:jc w:val="left"/>
    </w:pPr>
    <w:rPr>
      <w:rFonts w:ascii="宋体" w:hAnsi="宋体" w:cs="宋体"/>
      <w:kern w:val="0"/>
      <w:sz w:val="24"/>
    </w:rPr>
  </w:style>
  <w:style w:type="paragraph" w:customStyle="1" w:styleId="imgnote">
    <w:name w:val="img_note"/>
    <w:basedOn w:val="a"/>
    <w:pPr>
      <w:widowControl/>
      <w:spacing w:before="100" w:beforeAutospacing="1" w:after="100" w:afterAutospacing="1"/>
      <w:jc w:val="left"/>
    </w:pPr>
    <w:rPr>
      <w:rFonts w:ascii="宋体" w:hAnsi="宋体" w:cs="宋体"/>
      <w:kern w:val="0"/>
      <w:sz w:val="24"/>
    </w:rPr>
  </w:style>
  <w:style w:type="character" w:customStyle="1" w:styleId="richmediameta">
    <w:name w:val="rich_media_meta"/>
    <w:basedOn w:val="a0"/>
  </w:style>
  <w:style w:type="character" w:customStyle="1" w:styleId="keys">
    <w:name w:val="keys"/>
    <w:basedOn w:val="a0"/>
  </w:style>
  <w:style w:type="character" w:customStyle="1" w:styleId="Char">
    <w:name w:val="续段落 Char"/>
    <w:link w:val="af4"/>
    <w:rPr>
      <w:rFonts w:eastAsia="仿宋_GB2312"/>
      <w:color w:val="000000"/>
      <w:sz w:val="28"/>
      <w:szCs w:val="28"/>
    </w:rPr>
  </w:style>
  <w:style w:type="paragraph" w:customStyle="1" w:styleId="af4">
    <w:name w:val="续段落"/>
    <w:basedOn w:val="a"/>
    <w:link w:val="Char"/>
    <w:qFormat/>
    <w:pPr>
      <w:spacing w:line="500" w:lineRule="exact"/>
      <w:ind w:firstLine="561"/>
    </w:pPr>
    <w:rPr>
      <w:rFonts w:asciiTheme="minorHAnsi" w:eastAsia="仿宋_GB2312" w:hAnsiTheme="minorHAnsi" w:cstheme="minorBidi"/>
      <w:color w:val="000000"/>
      <w:sz w:val="28"/>
      <w:szCs w:val="28"/>
    </w:rPr>
  </w:style>
  <w:style w:type="character" w:customStyle="1" w:styleId="keytitle">
    <w:name w:val="key_title"/>
    <w:basedOn w:val="a0"/>
  </w:style>
  <w:style w:type="character" w:customStyle="1" w:styleId="keyword">
    <w:name w:val="keyword"/>
    <w:basedOn w:val="a0"/>
  </w:style>
  <w:style w:type="character" w:customStyle="1" w:styleId="paragraphtitle">
    <w:name w:val="paragraph_title"/>
    <w:basedOn w:val="a0"/>
  </w:style>
  <w:style w:type="character" w:customStyle="1" w:styleId="11">
    <w:name w:val="题注1"/>
    <w:basedOn w:val="a0"/>
  </w:style>
  <w:style w:type="character" w:customStyle="1" w:styleId="outlineanchor">
    <w:name w:val="outline_anchor"/>
    <w:basedOn w:val="a0"/>
  </w:style>
  <w:style w:type="character" w:customStyle="1" w:styleId="z-">
    <w:name w:val="z-窗体顶端 字符"/>
    <w:basedOn w:val="a0"/>
    <w:link w:val="z-1"/>
    <w:uiPriority w:val="99"/>
    <w:semiHidden/>
    <w:rPr>
      <w:rFonts w:ascii="Arial" w:eastAsia="宋体" w:hAnsi="Arial" w:cs="Arial"/>
      <w:vanish/>
      <w:kern w:val="0"/>
      <w:sz w:val="16"/>
      <w:szCs w:val="16"/>
    </w:rPr>
  </w:style>
  <w:style w:type="paragraph" w:customStyle="1" w:styleId="z-1">
    <w:name w:val="z-窗体顶端1"/>
    <w:basedOn w:val="a"/>
    <w:next w:val="a"/>
    <w:link w:val="z-"/>
    <w:uiPriority w:val="99"/>
    <w:semiHidden/>
    <w:unhideWhenUsed/>
    <w:pPr>
      <w:widowControl/>
      <w:pBdr>
        <w:bottom w:val="single" w:sz="6" w:space="1" w:color="auto"/>
      </w:pBdr>
      <w:jc w:val="center"/>
    </w:pPr>
    <w:rPr>
      <w:rFonts w:ascii="Arial" w:hAnsi="Arial" w:cs="Arial"/>
      <w:vanish/>
      <w:kern w:val="0"/>
      <w:sz w:val="16"/>
      <w:szCs w:val="16"/>
    </w:rPr>
  </w:style>
  <w:style w:type="character" w:customStyle="1" w:styleId="z-Char1">
    <w:name w:val="z-窗体顶端 Char1"/>
    <w:basedOn w:val="a0"/>
    <w:uiPriority w:val="99"/>
    <w:semiHidden/>
    <w:rPr>
      <w:rFonts w:ascii="Arial" w:eastAsia="宋体" w:hAnsi="Arial" w:cs="Arial"/>
      <w:vanish/>
      <w:sz w:val="16"/>
      <w:szCs w:val="16"/>
    </w:rPr>
  </w:style>
  <w:style w:type="character" w:customStyle="1" w:styleId="z-0">
    <w:name w:val="z-窗体底端 字符"/>
    <w:basedOn w:val="a0"/>
    <w:link w:val="z-10"/>
    <w:uiPriority w:val="99"/>
    <w:semiHidden/>
    <w:rPr>
      <w:rFonts w:ascii="Arial" w:eastAsia="宋体" w:hAnsi="Arial" w:cs="Arial"/>
      <w:vanish/>
      <w:kern w:val="0"/>
      <w:sz w:val="16"/>
      <w:szCs w:val="16"/>
    </w:rPr>
  </w:style>
  <w:style w:type="paragraph" w:customStyle="1" w:styleId="z-10">
    <w:name w:val="z-窗体底端1"/>
    <w:basedOn w:val="a"/>
    <w:next w:val="a"/>
    <w:link w:val="z-0"/>
    <w:uiPriority w:val="99"/>
    <w:semiHidden/>
    <w:unhideWhenUsed/>
    <w:pPr>
      <w:widowControl/>
      <w:pBdr>
        <w:top w:val="single" w:sz="6" w:space="1" w:color="auto"/>
      </w:pBdr>
      <w:jc w:val="center"/>
    </w:pPr>
    <w:rPr>
      <w:rFonts w:ascii="Arial" w:hAnsi="Arial" w:cs="Arial"/>
      <w:vanish/>
      <w:kern w:val="0"/>
      <w:sz w:val="16"/>
      <w:szCs w:val="16"/>
    </w:rPr>
  </w:style>
  <w:style w:type="character" w:customStyle="1" w:styleId="z-Char10">
    <w:name w:val="z-窗体底端 Char1"/>
    <w:basedOn w:val="a0"/>
    <w:uiPriority w:val="99"/>
    <w:semiHidden/>
    <w:rPr>
      <w:rFonts w:ascii="Arial" w:eastAsia="宋体" w:hAnsi="Arial" w:cs="Arial"/>
      <w:vanish/>
      <w:sz w:val="16"/>
      <w:szCs w:val="16"/>
    </w:rPr>
  </w:style>
  <w:style w:type="paragraph" w:customStyle="1" w:styleId="reader-word-layerreader-word-s2-16">
    <w:name w:val="reader-word-layer reader-word-s2-16"/>
    <w:basedOn w:val="a"/>
    <w:pPr>
      <w:widowControl/>
      <w:spacing w:before="100" w:beforeAutospacing="1" w:after="100" w:afterAutospacing="1"/>
      <w:jc w:val="left"/>
    </w:pPr>
    <w:rPr>
      <w:rFonts w:ascii="宋体" w:hAnsi="宋体" w:cs="宋体"/>
      <w:kern w:val="0"/>
      <w:sz w:val="24"/>
    </w:rPr>
  </w:style>
  <w:style w:type="character" w:customStyle="1" w:styleId="bjh-p">
    <w:name w:val="bjh-p"/>
    <w:basedOn w:val="a0"/>
  </w:style>
  <w:style w:type="character" w:customStyle="1" w:styleId="bjh-strong">
    <w:name w:val="bjh-strong"/>
    <w:basedOn w:val="a0"/>
  </w:style>
  <w:style w:type="character" w:customStyle="1" w:styleId="authorcn">
    <w:name w:val="author_cn"/>
    <w:basedOn w:val="a0"/>
  </w:style>
  <w:style w:type="character" w:customStyle="1" w:styleId="authoren">
    <w:name w:val="author_en"/>
    <w:basedOn w:val="a0"/>
  </w:style>
  <w:style w:type="character" w:customStyle="1" w:styleId="23">
    <w:name w:val="题注2"/>
    <w:basedOn w:val="a0"/>
  </w:style>
  <w:style w:type="character" w:customStyle="1" w:styleId="tabtext">
    <w:name w:val="tabtext"/>
    <w:basedOn w:val="a0"/>
  </w:style>
  <w:style w:type="character" w:customStyle="1" w:styleId="mathjaxpreview">
    <w:name w:val="mathjax_preview"/>
    <w:basedOn w:val="a0"/>
  </w:style>
  <w:style w:type="character" w:customStyle="1" w:styleId="mathjax">
    <w:name w:val="mathjax"/>
    <w:basedOn w:val="a0"/>
  </w:style>
  <w:style w:type="character" w:customStyle="1" w:styleId="math">
    <w:name w:val="math"/>
    <w:basedOn w:val="a0"/>
  </w:style>
  <w:style w:type="character" w:customStyle="1" w:styleId="mrow">
    <w:name w:val="mrow"/>
    <w:basedOn w:val="a0"/>
  </w:style>
  <w:style w:type="character" w:customStyle="1" w:styleId="mtable">
    <w:name w:val="mtable"/>
    <w:basedOn w:val="a0"/>
  </w:style>
  <w:style w:type="character" w:customStyle="1" w:styleId="mtd">
    <w:name w:val="mtd"/>
    <w:basedOn w:val="a0"/>
  </w:style>
  <w:style w:type="character" w:customStyle="1" w:styleId="texatom">
    <w:name w:val="texatom"/>
    <w:basedOn w:val="a0"/>
  </w:style>
  <w:style w:type="character" w:customStyle="1" w:styleId="mi">
    <w:name w:val="mi"/>
    <w:basedOn w:val="a0"/>
  </w:style>
  <w:style w:type="character" w:customStyle="1" w:styleId="mo">
    <w:name w:val="mo"/>
    <w:basedOn w:val="a0"/>
  </w:style>
  <w:style w:type="character" w:customStyle="1" w:styleId="msubsup">
    <w:name w:val="msubsup"/>
    <w:basedOn w:val="a0"/>
  </w:style>
  <w:style w:type="character" w:customStyle="1" w:styleId="mn">
    <w:name w:val="mn"/>
    <w:basedOn w:val="a0"/>
  </w:style>
  <w:style w:type="character" w:customStyle="1" w:styleId="mjxassistivemathml">
    <w:name w:val="mjx_assistive_mathml"/>
    <w:basedOn w:val="a0"/>
  </w:style>
  <w:style w:type="character" w:customStyle="1" w:styleId="a6">
    <w:name w:val="日期 字符"/>
    <w:basedOn w:val="a0"/>
    <w:link w:val="a5"/>
    <w:uiPriority w:val="99"/>
    <w:semiHidden/>
    <w:rPr>
      <w:rFonts w:ascii="Times New Roman" w:eastAsia="宋体" w:hAnsi="Times New Roman" w:cs="Times New Roman"/>
      <w:szCs w:val="24"/>
    </w:rPr>
  </w:style>
  <w:style w:type="paragraph" w:customStyle="1" w:styleId="msonormal0">
    <w:name w:val="msonormal"/>
    <w:basedOn w:val="a"/>
    <w:pPr>
      <w:widowControl/>
      <w:spacing w:before="100" w:beforeAutospacing="1" w:after="100" w:afterAutospacing="1"/>
      <w:jc w:val="left"/>
    </w:pPr>
    <w:rPr>
      <w:rFonts w:ascii="宋体" w:hAnsi="宋体" w:cs="宋体"/>
      <w:kern w:val="0"/>
      <w:sz w:val="24"/>
    </w:rPr>
  </w:style>
  <w:style w:type="paragraph" w:customStyle="1" w:styleId="customunionstyle">
    <w:name w:val="custom_unionstyle"/>
    <w:basedOn w:val="a"/>
    <w:pPr>
      <w:widowControl/>
      <w:spacing w:before="100" w:beforeAutospacing="1" w:after="100" w:afterAutospacing="1"/>
      <w:jc w:val="left"/>
    </w:pPr>
    <w:rPr>
      <w:rFonts w:ascii="宋体" w:hAnsi="宋体" w:cs="宋体"/>
      <w:kern w:val="0"/>
      <w:sz w:val="24"/>
    </w:rPr>
  </w:style>
  <w:style w:type="paragraph" w:customStyle="1" w:styleId="li-pdf">
    <w:name w:val="li-pdf"/>
    <w:basedOn w:val="a"/>
    <w:pPr>
      <w:widowControl/>
      <w:spacing w:before="100" w:beforeAutospacing="1" w:after="100" w:afterAutospacing="1"/>
      <w:jc w:val="left"/>
    </w:pPr>
    <w:rPr>
      <w:rFonts w:ascii="宋体" w:hAnsi="宋体" w:cs="宋体"/>
      <w:kern w:val="0"/>
      <w:sz w:val="24"/>
    </w:rPr>
  </w:style>
  <w:style w:type="paragraph" w:customStyle="1" w:styleId="li-excel">
    <w:name w:val="li-excel"/>
    <w:basedOn w:val="a"/>
    <w:pPr>
      <w:widowControl/>
      <w:spacing w:before="100" w:beforeAutospacing="1" w:after="100" w:afterAutospacing="1"/>
      <w:jc w:val="left"/>
    </w:pPr>
    <w:rPr>
      <w:rFonts w:ascii="宋体" w:hAnsi="宋体" w:cs="宋体"/>
      <w:kern w:val="0"/>
      <w:sz w:val="24"/>
    </w:rPr>
  </w:style>
  <w:style w:type="paragraph" w:customStyle="1" w:styleId="li-xml">
    <w:name w:val="li-xml"/>
    <w:basedOn w:val="a"/>
    <w:pPr>
      <w:widowControl/>
      <w:spacing w:before="100" w:beforeAutospacing="1" w:after="100" w:afterAutospacing="1"/>
      <w:jc w:val="left"/>
    </w:pPr>
    <w:rPr>
      <w:rFonts w:ascii="宋体" w:hAnsi="宋体" w:cs="宋体"/>
      <w:kern w:val="0"/>
      <w:sz w:val="24"/>
    </w:rPr>
  </w:style>
  <w:style w:type="character" w:customStyle="1" w:styleId="maincolor">
    <w:name w:val="maincolor"/>
    <w:basedOn w:val="a0"/>
  </w:style>
  <w:style w:type="paragraph" w:customStyle="1" w:styleId="articleceiltitle">
    <w:name w:val="article_ceil_title"/>
    <w:basedOn w:val="a"/>
    <w:pPr>
      <w:widowControl/>
      <w:spacing w:before="100" w:beforeAutospacing="1" w:after="100" w:afterAutospacing="1"/>
      <w:jc w:val="left"/>
    </w:pPr>
    <w:rPr>
      <w:rFonts w:ascii="宋体" w:hAnsi="宋体" w:cs="宋体"/>
      <w:kern w:val="0"/>
      <w:sz w:val="24"/>
    </w:rPr>
  </w:style>
  <w:style w:type="paragraph" w:customStyle="1" w:styleId="articleceilauthor">
    <w:name w:val="article_ceil_author"/>
    <w:basedOn w:val="a"/>
    <w:pPr>
      <w:widowControl/>
      <w:spacing w:before="100" w:beforeAutospacing="1" w:after="100" w:afterAutospacing="1"/>
      <w:jc w:val="left"/>
    </w:pPr>
    <w:rPr>
      <w:rFonts w:ascii="宋体" w:hAnsi="宋体" w:cs="宋体"/>
      <w:kern w:val="0"/>
      <w:sz w:val="24"/>
    </w:rPr>
  </w:style>
  <w:style w:type="paragraph" w:customStyle="1" w:styleId="articletoolli1">
    <w:name w:val="articletool_li1"/>
    <w:basedOn w:val="a"/>
    <w:pPr>
      <w:widowControl/>
      <w:spacing w:before="100" w:beforeAutospacing="1" w:after="100" w:afterAutospacing="1"/>
      <w:jc w:val="left"/>
    </w:pPr>
    <w:rPr>
      <w:rFonts w:ascii="宋体" w:hAnsi="宋体" w:cs="宋体"/>
      <w:kern w:val="0"/>
      <w:sz w:val="24"/>
    </w:rPr>
  </w:style>
  <w:style w:type="paragraph" w:customStyle="1" w:styleId="articletoolli2">
    <w:name w:val="articletool_li2"/>
    <w:basedOn w:val="a"/>
    <w:pPr>
      <w:widowControl/>
      <w:spacing w:before="100" w:beforeAutospacing="1" w:after="100" w:afterAutospacing="1"/>
      <w:jc w:val="left"/>
    </w:pPr>
    <w:rPr>
      <w:rFonts w:ascii="宋体" w:hAnsi="宋体" w:cs="宋体"/>
      <w:kern w:val="0"/>
      <w:sz w:val="24"/>
    </w:rPr>
  </w:style>
  <w:style w:type="paragraph" w:customStyle="1" w:styleId="articletoolli3">
    <w:name w:val="articletool_li3"/>
    <w:basedOn w:val="a"/>
    <w:pPr>
      <w:widowControl/>
      <w:spacing w:before="100" w:beforeAutospacing="1" w:after="100" w:afterAutospacing="1"/>
      <w:jc w:val="left"/>
    </w:pPr>
    <w:rPr>
      <w:rFonts w:ascii="宋体" w:hAnsi="宋体" w:cs="宋体"/>
      <w:kern w:val="0"/>
      <w:sz w:val="24"/>
    </w:rPr>
  </w:style>
  <w:style w:type="paragraph" w:customStyle="1" w:styleId="figtabspan">
    <w:name w:val="figtabspan"/>
    <w:basedOn w:val="a"/>
    <w:pPr>
      <w:widowControl/>
      <w:spacing w:before="100" w:beforeAutospacing="1" w:after="100" w:afterAutospacing="1"/>
      <w:jc w:val="left"/>
    </w:pPr>
    <w:rPr>
      <w:rFonts w:ascii="宋体" w:hAnsi="宋体" w:cs="宋体"/>
      <w:kern w:val="0"/>
      <w:sz w:val="24"/>
    </w:rPr>
  </w:style>
  <w:style w:type="character" w:customStyle="1" w:styleId="info">
    <w:name w:val="info"/>
    <w:basedOn w:val="a0"/>
  </w:style>
  <w:style w:type="character" w:customStyle="1" w:styleId="infoen">
    <w:name w:val="infoen"/>
    <w:basedOn w:val="a0"/>
  </w:style>
  <w:style w:type="character" w:customStyle="1" w:styleId="richmediametalink">
    <w:name w:val="rich_media_meta_link"/>
    <w:basedOn w:val="a0"/>
  </w:style>
  <w:style w:type="character" w:customStyle="1" w:styleId="source">
    <w:name w:val="source"/>
    <w:basedOn w:val="a0"/>
  </w:style>
  <w:style w:type="paragraph" w:customStyle="1" w:styleId="one-p">
    <w:name w:val="one-p"/>
    <w:basedOn w:val="a"/>
    <w:pPr>
      <w:widowControl/>
      <w:spacing w:before="100" w:beforeAutospacing="1" w:after="100" w:afterAutospacing="1"/>
      <w:jc w:val="left"/>
    </w:pPr>
    <w:rPr>
      <w:rFonts w:ascii="宋体" w:hAnsi="宋体" w:cs="宋体"/>
      <w:kern w:val="0"/>
      <w:sz w:val="24"/>
    </w:rPr>
  </w:style>
  <w:style w:type="character" w:customStyle="1" w:styleId="vm">
    <w:name w:val="vm"/>
    <w:basedOn w:val="a0"/>
  </w:style>
  <w:style w:type="character" w:customStyle="1" w:styleId="articletitle3">
    <w:name w:val="article_title3"/>
    <w:basedOn w:val="a0"/>
  </w:style>
  <w:style w:type="character" w:customStyle="1" w:styleId="a4">
    <w:name w:val="正文文本 字符"/>
    <w:basedOn w:val="a0"/>
    <w:link w:val="a3"/>
    <w:uiPriority w:val="1"/>
    <w:rPr>
      <w:rFonts w:ascii="Times New Roman" w:eastAsia="Times New Roman" w:hAnsi="Times New Roman" w:cs="Times New Roman"/>
      <w:kern w:val="0"/>
      <w:sz w:val="17"/>
      <w:szCs w:val="17"/>
      <w:lang w:eastAsia="en-US" w:bidi="en-US"/>
    </w:rPr>
  </w:style>
  <w:style w:type="paragraph" w:customStyle="1" w:styleId="TableParagraph">
    <w:name w:val="Table Paragraph"/>
    <w:basedOn w:val="a"/>
    <w:uiPriority w:val="1"/>
    <w:qFormat/>
    <w:pPr>
      <w:autoSpaceDE w:val="0"/>
      <w:autoSpaceDN w:val="0"/>
      <w:spacing w:before="46"/>
      <w:jc w:val="center"/>
    </w:pPr>
    <w:rPr>
      <w:rFonts w:eastAsia="Times New Roman"/>
      <w:kern w:val="0"/>
      <w:sz w:val="22"/>
      <w:szCs w:val="22"/>
      <w:lang w:eastAsia="en-US" w:bidi="en-US"/>
    </w:rPr>
  </w:style>
  <w:style w:type="paragraph" w:customStyle="1" w:styleId="piccenter">
    <w:name w:val="pic_center"/>
    <w:basedOn w:val="a"/>
    <w:pPr>
      <w:widowControl/>
      <w:spacing w:before="100" w:beforeAutospacing="1" w:after="100" w:afterAutospacing="1"/>
      <w:jc w:val="left"/>
    </w:pPr>
    <w:rPr>
      <w:rFonts w:ascii="宋体" w:hAnsi="宋体" w:cs="宋体"/>
      <w:kern w:val="0"/>
      <w:sz w:val="24"/>
    </w:rPr>
  </w:style>
  <w:style w:type="character" w:customStyle="1" w:styleId="anchor-a">
    <w:name w:val="anchor-a"/>
    <w:basedOn w:val="a0"/>
  </w:style>
  <w:style w:type="character" w:customStyle="1" w:styleId="12">
    <w:name w:val="未处理的提及1"/>
    <w:basedOn w:val="a0"/>
    <w:uiPriority w:val="99"/>
    <w:semiHidden/>
    <w:unhideWhenUsed/>
    <w:rPr>
      <w:color w:val="605E5C"/>
      <w:shd w:val="clear" w:color="auto" w:fill="E1DFDD"/>
    </w:rPr>
  </w:style>
  <w:style w:type="paragraph" w:styleId="af5">
    <w:name w:val="No Spacing"/>
    <w:uiPriority w:val="1"/>
    <w:qFormat/>
    <w:pPr>
      <w:widowControl w:val="0"/>
      <w:jc w:val="both"/>
    </w:pPr>
    <w:rPr>
      <w:rFonts w:asciiTheme="minorHAnsi" w:eastAsiaTheme="minorEastAsia" w:hAnsiTheme="minorHAnsi" w:cstheme="minorBidi"/>
      <w:kern w:val="2"/>
      <w:sz w:val="21"/>
      <w:szCs w:val="22"/>
    </w:rPr>
  </w:style>
  <w:style w:type="paragraph" w:customStyle="1" w:styleId="s1">
    <w:name w:val="s1"/>
    <w:basedOn w:val="a"/>
    <w:pPr>
      <w:widowControl/>
      <w:spacing w:before="100" w:beforeAutospacing="1" w:after="100" w:afterAutospacing="1"/>
      <w:jc w:val="left"/>
    </w:pPr>
    <w:rPr>
      <w:rFonts w:ascii="宋体" w:hAnsi="宋体" w:cs="宋体"/>
      <w:kern w:val="0"/>
      <w:sz w:val="24"/>
    </w:rPr>
  </w:style>
  <w:style w:type="character" w:customStyle="1" w:styleId="s2">
    <w:name w:val="s2"/>
    <w:basedOn w:val="a0"/>
  </w:style>
  <w:style w:type="character" w:customStyle="1" w:styleId="s3">
    <w:name w:val="s3"/>
    <w:basedOn w:val="a0"/>
  </w:style>
  <w:style w:type="paragraph" w:customStyle="1" w:styleId="s4">
    <w:name w:val="s4"/>
    <w:basedOn w:val="a"/>
    <w:pPr>
      <w:widowControl/>
      <w:spacing w:before="100" w:beforeAutospacing="1" w:after="100" w:afterAutospacing="1"/>
      <w:jc w:val="left"/>
    </w:pPr>
    <w:rPr>
      <w:rFonts w:ascii="宋体" w:hAnsi="宋体" w:cs="宋体"/>
      <w:kern w:val="0"/>
      <w:sz w:val="24"/>
    </w:rPr>
  </w:style>
  <w:style w:type="character" w:customStyle="1" w:styleId="s5">
    <w:name w:val="s5"/>
    <w:basedOn w:val="a0"/>
  </w:style>
  <w:style w:type="character" w:customStyle="1" w:styleId="s6">
    <w:name w:val="s6"/>
    <w:basedOn w:val="a0"/>
  </w:style>
  <w:style w:type="character" w:customStyle="1" w:styleId="p">
    <w:name w:val="p"/>
    <w:basedOn w:val="a0"/>
  </w:style>
  <w:style w:type="paragraph" w:customStyle="1" w:styleId="s7">
    <w:name w:val="s7"/>
    <w:basedOn w:val="a"/>
    <w:pPr>
      <w:widowControl/>
      <w:spacing w:before="100" w:beforeAutospacing="1" w:after="100" w:afterAutospacing="1"/>
      <w:jc w:val="left"/>
    </w:pPr>
    <w:rPr>
      <w:rFonts w:ascii="宋体" w:hAnsi="宋体" w:cs="宋体"/>
      <w:kern w:val="0"/>
      <w:sz w:val="24"/>
    </w:rPr>
  </w:style>
  <w:style w:type="character" w:customStyle="1" w:styleId="s41">
    <w:name w:val="s41"/>
    <w:basedOn w:val="a0"/>
  </w:style>
  <w:style w:type="character" w:customStyle="1" w:styleId="h2">
    <w:name w:val="h2"/>
    <w:basedOn w:val="a0"/>
  </w:style>
  <w:style w:type="paragraph" w:customStyle="1" w:styleId="s10">
    <w:name w:val="s10"/>
    <w:basedOn w:val="a"/>
    <w:pPr>
      <w:widowControl/>
      <w:spacing w:before="100" w:beforeAutospacing="1" w:after="100" w:afterAutospacing="1"/>
      <w:jc w:val="left"/>
    </w:pPr>
    <w:rPr>
      <w:rFonts w:ascii="宋体" w:hAnsi="宋体" w:cs="宋体"/>
      <w:kern w:val="0"/>
      <w:sz w:val="24"/>
    </w:rPr>
  </w:style>
  <w:style w:type="paragraph" w:customStyle="1" w:styleId="s9">
    <w:name w:val="s9"/>
    <w:basedOn w:val="a"/>
    <w:pPr>
      <w:widowControl/>
      <w:spacing w:before="100" w:beforeAutospacing="1" w:after="100" w:afterAutospacing="1"/>
      <w:jc w:val="left"/>
    </w:pPr>
    <w:rPr>
      <w:rFonts w:ascii="宋体" w:hAnsi="宋体" w:cs="宋体"/>
      <w:kern w:val="0"/>
      <w:sz w:val="24"/>
    </w:rPr>
  </w:style>
  <w:style w:type="character" w:customStyle="1" w:styleId="s11">
    <w:name w:val="s11"/>
    <w:basedOn w:val="a0"/>
  </w:style>
  <w:style w:type="paragraph" w:customStyle="1" w:styleId="s14">
    <w:name w:val="s14"/>
    <w:basedOn w:val="a"/>
    <w:pPr>
      <w:widowControl/>
      <w:spacing w:before="100" w:beforeAutospacing="1" w:after="100" w:afterAutospacing="1"/>
      <w:jc w:val="left"/>
    </w:pPr>
    <w:rPr>
      <w:rFonts w:ascii="宋体" w:hAnsi="宋体" w:cs="宋体"/>
      <w:kern w:val="0"/>
      <w:sz w:val="24"/>
    </w:rPr>
  </w:style>
  <w:style w:type="character" w:customStyle="1" w:styleId="s12">
    <w:name w:val="s12"/>
    <w:basedOn w:val="a0"/>
  </w:style>
  <w:style w:type="character" w:customStyle="1" w:styleId="s13">
    <w:name w:val="s13"/>
    <w:basedOn w:val="a0"/>
  </w:style>
  <w:style w:type="paragraph" w:customStyle="1" w:styleId="s131">
    <w:name w:val="s131"/>
    <w:basedOn w:val="a"/>
    <w:pPr>
      <w:widowControl/>
      <w:spacing w:before="100" w:beforeAutospacing="1" w:after="100" w:afterAutospacing="1"/>
      <w:jc w:val="left"/>
    </w:pPr>
    <w:rPr>
      <w:rFonts w:ascii="宋体" w:hAnsi="宋体" w:cs="宋体"/>
      <w:kern w:val="0"/>
      <w:sz w:val="24"/>
    </w:rPr>
  </w:style>
  <w:style w:type="character" w:customStyle="1" w:styleId="h4">
    <w:name w:val="h4"/>
    <w:basedOn w:val="a0"/>
  </w:style>
  <w:style w:type="character" w:customStyle="1" w:styleId="s141">
    <w:name w:val="s141"/>
    <w:basedOn w:val="a0"/>
  </w:style>
  <w:style w:type="paragraph" w:customStyle="1" w:styleId="s121">
    <w:name w:val="s121"/>
    <w:basedOn w:val="a"/>
    <w:pPr>
      <w:widowControl/>
      <w:spacing w:before="100" w:beforeAutospacing="1" w:after="100" w:afterAutospacing="1"/>
      <w:jc w:val="left"/>
    </w:pPr>
    <w:rPr>
      <w:rFonts w:ascii="宋体" w:hAnsi="宋体" w:cs="宋体"/>
      <w:kern w:val="0"/>
      <w:sz w:val="24"/>
    </w:rPr>
  </w:style>
  <w:style w:type="paragraph" w:customStyle="1" w:styleId="s16">
    <w:name w:val="s16"/>
    <w:basedOn w:val="a"/>
    <w:pPr>
      <w:widowControl/>
      <w:spacing w:before="100" w:beforeAutospacing="1" w:after="100" w:afterAutospacing="1"/>
      <w:jc w:val="left"/>
    </w:pPr>
    <w:rPr>
      <w:rFonts w:ascii="宋体" w:hAnsi="宋体" w:cs="宋体"/>
      <w:kern w:val="0"/>
      <w:sz w:val="24"/>
    </w:rPr>
  </w:style>
  <w:style w:type="character" w:customStyle="1" w:styleId="s17">
    <w:name w:val="s17"/>
    <w:basedOn w:val="a0"/>
  </w:style>
  <w:style w:type="character" w:customStyle="1" w:styleId="s18">
    <w:name w:val="s18"/>
    <w:basedOn w:val="a0"/>
  </w:style>
  <w:style w:type="character" w:customStyle="1" w:styleId="s19">
    <w:name w:val="s19"/>
    <w:basedOn w:val="a0"/>
    <w:qFormat/>
  </w:style>
  <w:style w:type="character" w:customStyle="1" w:styleId="s20">
    <w:name w:val="s20"/>
    <w:basedOn w:val="a0"/>
  </w:style>
  <w:style w:type="character" w:customStyle="1" w:styleId="s21">
    <w:name w:val="s21"/>
    <w:basedOn w:val="a0"/>
  </w:style>
  <w:style w:type="paragraph" w:customStyle="1" w:styleId="s22">
    <w:name w:val="s22"/>
    <w:basedOn w:val="a"/>
    <w:pPr>
      <w:widowControl/>
      <w:spacing w:before="100" w:beforeAutospacing="1" w:after="100" w:afterAutospacing="1"/>
      <w:jc w:val="left"/>
    </w:pPr>
    <w:rPr>
      <w:rFonts w:ascii="宋体" w:hAnsi="宋体" w:cs="宋体"/>
      <w:kern w:val="0"/>
      <w:sz w:val="24"/>
    </w:rPr>
  </w:style>
  <w:style w:type="character" w:customStyle="1" w:styleId="s23">
    <w:name w:val="s23"/>
    <w:basedOn w:val="a0"/>
  </w:style>
  <w:style w:type="character" w:customStyle="1" w:styleId="s24">
    <w:name w:val="s24"/>
    <w:basedOn w:val="a0"/>
  </w:style>
  <w:style w:type="paragraph" w:customStyle="1" w:styleId="s25">
    <w:name w:val="s25"/>
    <w:basedOn w:val="a"/>
    <w:pPr>
      <w:widowControl/>
      <w:spacing w:before="100" w:beforeAutospacing="1" w:after="100" w:afterAutospacing="1"/>
      <w:jc w:val="left"/>
    </w:pPr>
    <w:rPr>
      <w:rFonts w:ascii="宋体" w:hAnsi="宋体" w:cs="宋体"/>
      <w:kern w:val="0"/>
      <w:sz w:val="24"/>
    </w:rPr>
  </w:style>
  <w:style w:type="character" w:customStyle="1" w:styleId="s221">
    <w:name w:val="s221"/>
    <w:basedOn w:val="a0"/>
  </w:style>
  <w:style w:type="paragraph" w:customStyle="1" w:styleId="s27">
    <w:name w:val="s27"/>
    <w:basedOn w:val="a"/>
    <w:pPr>
      <w:widowControl/>
      <w:spacing w:before="100" w:beforeAutospacing="1" w:after="100" w:afterAutospacing="1"/>
      <w:jc w:val="left"/>
    </w:pPr>
    <w:rPr>
      <w:rFonts w:ascii="宋体" w:hAnsi="宋体" w:cs="宋体"/>
      <w:kern w:val="0"/>
      <w:sz w:val="24"/>
    </w:rPr>
  </w:style>
  <w:style w:type="paragraph" w:customStyle="1" w:styleId="s28">
    <w:name w:val="s28"/>
    <w:basedOn w:val="a"/>
    <w:pPr>
      <w:widowControl/>
      <w:spacing w:before="100" w:beforeAutospacing="1" w:after="100" w:afterAutospacing="1"/>
      <w:jc w:val="left"/>
    </w:pPr>
    <w:rPr>
      <w:rFonts w:ascii="宋体" w:hAnsi="宋体" w:cs="宋体"/>
      <w:kern w:val="0"/>
      <w:sz w:val="24"/>
    </w:rPr>
  </w:style>
  <w:style w:type="character" w:customStyle="1" w:styleId="s30">
    <w:name w:val="s30"/>
    <w:basedOn w:val="a0"/>
  </w:style>
  <w:style w:type="paragraph" w:customStyle="1" w:styleId="s171">
    <w:name w:val="s171"/>
    <w:basedOn w:val="a"/>
    <w:pPr>
      <w:widowControl/>
      <w:spacing w:before="100" w:beforeAutospacing="1" w:after="100" w:afterAutospacing="1"/>
      <w:jc w:val="left"/>
    </w:pPr>
    <w:rPr>
      <w:rFonts w:ascii="宋体" w:hAnsi="宋体" w:cs="宋体"/>
      <w:kern w:val="0"/>
      <w:sz w:val="24"/>
    </w:rPr>
  </w:style>
  <w:style w:type="character" w:customStyle="1" w:styleId="s161">
    <w:name w:val="s161"/>
    <w:basedOn w:val="a0"/>
  </w:style>
  <w:style w:type="paragraph" w:customStyle="1" w:styleId="s31">
    <w:name w:val="s31"/>
    <w:basedOn w:val="a"/>
    <w:pPr>
      <w:widowControl/>
      <w:spacing w:before="100" w:beforeAutospacing="1" w:after="100" w:afterAutospacing="1"/>
      <w:jc w:val="left"/>
    </w:pPr>
    <w:rPr>
      <w:rFonts w:ascii="宋体" w:hAnsi="宋体" w:cs="宋体"/>
      <w:kern w:val="0"/>
      <w:sz w:val="24"/>
    </w:rPr>
  </w:style>
  <w:style w:type="character" w:customStyle="1" w:styleId="s32">
    <w:name w:val="s32"/>
    <w:basedOn w:val="a0"/>
  </w:style>
  <w:style w:type="paragraph" w:customStyle="1" w:styleId="s33">
    <w:name w:val="s33"/>
    <w:basedOn w:val="a"/>
    <w:pPr>
      <w:widowControl/>
      <w:spacing w:before="100" w:beforeAutospacing="1" w:after="100" w:afterAutospacing="1"/>
      <w:jc w:val="left"/>
    </w:pPr>
    <w:rPr>
      <w:rFonts w:ascii="宋体" w:hAnsi="宋体" w:cs="宋体"/>
      <w:kern w:val="0"/>
      <w:sz w:val="24"/>
    </w:rPr>
  </w:style>
  <w:style w:type="paragraph" w:customStyle="1" w:styleId="s34">
    <w:name w:val="s34"/>
    <w:basedOn w:val="a"/>
    <w:pPr>
      <w:widowControl/>
      <w:spacing w:before="100" w:beforeAutospacing="1" w:after="100" w:afterAutospacing="1"/>
      <w:jc w:val="left"/>
    </w:pPr>
    <w:rPr>
      <w:rFonts w:ascii="宋体" w:hAnsi="宋体" w:cs="宋体"/>
      <w:kern w:val="0"/>
      <w:sz w:val="24"/>
    </w:rPr>
  </w:style>
  <w:style w:type="character" w:customStyle="1" w:styleId="s331">
    <w:name w:val="s331"/>
    <w:basedOn w:val="a0"/>
  </w:style>
  <w:style w:type="character" w:customStyle="1" w:styleId="s35">
    <w:name w:val="s35"/>
    <w:basedOn w:val="a0"/>
  </w:style>
  <w:style w:type="character" w:customStyle="1" w:styleId="s36">
    <w:name w:val="s36"/>
    <w:basedOn w:val="a0"/>
  </w:style>
  <w:style w:type="character" w:customStyle="1" w:styleId="s37">
    <w:name w:val="s37"/>
    <w:basedOn w:val="a0"/>
  </w:style>
  <w:style w:type="character" w:customStyle="1" w:styleId="s38">
    <w:name w:val="s38"/>
    <w:basedOn w:val="a0"/>
  </w:style>
  <w:style w:type="character" w:customStyle="1" w:styleId="s39">
    <w:name w:val="s39"/>
    <w:basedOn w:val="a0"/>
  </w:style>
  <w:style w:type="character" w:customStyle="1" w:styleId="s40">
    <w:name w:val="s40"/>
    <w:basedOn w:val="a0"/>
  </w:style>
  <w:style w:type="paragraph" w:customStyle="1" w:styleId="s42">
    <w:name w:val="s42"/>
    <w:basedOn w:val="a"/>
    <w:pPr>
      <w:widowControl/>
      <w:spacing w:before="100" w:beforeAutospacing="1" w:after="100" w:afterAutospacing="1"/>
      <w:jc w:val="left"/>
    </w:pPr>
    <w:rPr>
      <w:rFonts w:ascii="宋体" w:hAnsi="宋体" w:cs="宋体"/>
      <w:kern w:val="0"/>
      <w:sz w:val="24"/>
    </w:rPr>
  </w:style>
  <w:style w:type="character" w:customStyle="1" w:styleId="s43">
    <w:name w:val="s43"/>
    <w:basedOn w:val="a0"/>
  </w:style>
  <w:style w:type="character" w:customStyle="1" w:styleId="s341">
    <w:name w:val="s341"/>
    <w:basedOn w:val="a0"/>
  </w:style>
  <w:style w:type="paragraph" w:customStyle="1" w:styleId="s44">
    <w:name w:val="s44"/>
    <w:basedOn w:val="a"/>
    <w:pPr>
      <w:widowControl/>
      <w:spacing w:before="100" w:beforeAutospacing="1" w:after="100" w:afterAutospacing="1"/>
      <w:jc w:val="left"/>
    </w:pPr>
    <w:rPr>
      <w:rFonts w:ascii="宋体" w:hAnsi="宋体" w:cs="宋体"/>
      <w:kern w:val="0"/>
      <w:sz w:val="24"/>
    </w:rPr>
  </w:style>
  <w:style w:type="character" w:customStyle="1" w:styleId="s45">
    <w:name w:val="s45"/>
    <w:basedOn w:val="a0"/>
  </w:style>
  <w:style w:type="character" w:customStyle="1" w:styleId="s46">
    <w:name w:val="s46"/>
    <w:basedOn w:val="a0"/>
  </w:style>
  <w:style w:type="character" w:customStyle="1" w:styleId="s47">
    <w:name w:val="s47"/>
    <w:basedOn w:val="a0"/>
  </w:style>
  <w:style w:type="character" w:customStyle="1" w:styleId="s48">
    <w:name w:val="s48"/>
    <w:basedOn w:val="a0"/>
  </w:style>
  <w:style w:type="character" w:customStyle="1" w:styleId="s29">
    <w:name w:val="s29"/>
    <w:basedOn w:val="a0"/>
  </w:style>
  <w:style w:type="character" w:customStyle="1" w:styleId="s50">
    <w:name w:val="s50"/>
    <w:basedOn w:val="a0"/>
  </w:style>
  <w:style w:type="paragraph" w:customStyle="1" w:styleId="s241">
    <w:name w:val="s241"/>
    <w:basedOn w:val="a"/>
    <w:pPr>
      <w:widowControl/>
      <w:spacing w:before="100" w:beforeAutospacing="1" w:after="100" w:afterAutospacing="1"/>
      <w:jc w:val="left"/>
    </w:pPr>
    <w:rPr>
      <w:rFonts w:ascii="宋体" w:hAnsi="宋体" w:cs="宋体"/>
      <w:kern w:val="0"/>
      <w:sz w:val="24"/>
    </w:rPr>
  </w:style>
  <w:style w:type="character" w:customStyle="1" w:styleId="s51">
    <w:name w:val="s51"/>
    <w:basedOn w:val="a0"/>
  </w:style>
  <w:style w:type="paragraph" w:customStyle="1" w:styleId="s511">
    <w:name w:val="s511"/>
    <w:basedOn w:val="a"/>
    <w:pPr>
      <w:widowControl/>
      <w:spacing w:before="100" w:beforeAutospacing="1" w:after="100" w:afterAutospacing="1"/>
      <w:jc w:val="left"/>
    </w:pPr>
    <w:rPr>
      <w:rFonts w:ascii="宋体" w:hAnsi="宋体" w:cs="宋体"/>
      <w:kern w:val="0"/>
      <w:sz w:val="24"/>
    </w:rPr>
  </w:style>
  <w:style w:type="paragraph" w:customStyle="1" w:styleId="s52">
    <w:name w:val="s52"/>
    <w:basedOn w:val="a"/>
    <w:qFormat/>
    <w:pPr>
      <w:widowControl/>
      <w:spacing w:before="100" w:beforeAutospacing="1" w:after="100" w:afterAutospacing="1"/>
      <w:jc w:val="left"/>
    </w:pPr>
    <w:rPr>
      <w:rFonts w:ascii="宋体" w:hAnsi="宋体" w:cs="宋体"/>
      <w:kern w:val="0"/>
      <w:sz w:val="24"/>
    </w:rPr>
  </w:style>
  <w:style w:type="character" w:customStyle="1" w:styleId="s53">
    <w:name w:val="s53"/>
    <w:basedOn w:val="a0"/>
  </w:style>
  <w:style w:type="paragraph" w:customStyle="1" w:styleId="s531">
    <w:name w:val="s531"/>
    <w:basedOn w:val="a"/>
    <w:pPr>
      <w:widowControl/>
      <w:spacing w:before="100" w:beforeAutospacing="1" w:after="100" w:afterAutospacing="1"/>
      <w:jc w:val="left"/>
    </w:pPr>
    <w:rPr>
      <w:rFonts w:ascii="宋体" w:hAnsi="宋体" w:cs="宋体"/>
      <w:kern w:val="0"/>
      <w:sz w:val="24"/>
    </w:rPr>
  </w:style>
  <w:style w:type="character" w:customStyle="1" w:styleId="s521">
    <w:name w:val="s521"/>
    <w:basedOn w:val="a0"/>
  </w:style>
  <w:style w:type="paragraph" w:customStyle="1" w:styleId="s501">
    <w:name w:val="s501"/>
    <w:basedOn w:val="a"/>
    <w:pPr>
      <w:widowControl/>
      <w:spacing w:before="100" w:beforeAutospacing="1" w:after="100" w:afterAutospacing="1"/>
      <w:jc w:val="left"/>
    </w:pPr>
    <w:rPr>
      <w:rFonts w:ascii="宋体" w:hAnsi="宋体" w:cs="宋体"/>
      <w:kern w:val="0"/>
      <w:sz w:val="24"/>
    </w:rPr>
  </w:style>
  <w:style w:type="paragraph" w:customStyle="1" w:styleId="s8">
    <w:name w:val="s8"/>
    <w:basedOn w:val="a"/>
    <w:pPr>
      <w:widowControl/>
      <w:spacing w:before="100" w:beforeAutospacing="1" w:after="100" w:afterAutospacing="1"/>
      <w:jc w:val="left"/>
    </w:pPr>
    <w:rPr>
      <w:rFonts w:ascii="宋体" w:hAnsi="宋体" w:cs="宋体"/>
      <w:kern w:val="0"/>
      <w:sz w:val="24"/>
    </w:rPr>
  </w:style>
  <w:style w:type="paragraph" w:customStyle="1" w:styleId="s15">
    <w:name w:val="s15"/>
    <w:basedOn w:val="a"/>
    <w:pPr>
      <w:widowControl/>
      <w:spacing w:before="100" w:beforeAutospacing="1" w:after="100" w:afterAutospacing="1"/>
      <w:jc w:val="left"/>
    </w:pPr>
    <w:rPr>
      <w:rFonts w:ascii="宋体" w:hAnsi="宋体" w:cs="宋体"/>
      <w:kern w:val="0"/>
      <w:sz w:val="24"/>
    </w:rPr>
  </w:style>
  <w:style w:type="character" w:customStyle="1" w:styleId="h3">
    <w:name w:val="h3"/>
    <w:basedOn w:val="a0"/>
  </w:style>
  <w:style w:type="paragraph" w:customStyle="1" w:styleId="s61">
    <w:name w:val="s61"/>
    <w:basedOn w:val="a"/>
    <w:pPr>
      <w:widowControl/>
      <w:spacing w:before="100" w:beforeAutospacing="1" w:after="100" w:afterAutospacing="1"/>
      <w:jc w:val="left"/>
    </w:pPr>
    <w:rPr>
      <w:rFonts w:ascii="宋体" w:hAnsi="宋体" w:cs="宋体"/>
      <w:kern w:val="0"/>
      <w:sz w:val="24"/>
    </w:rPr>
  </w:style>
  <w:style w:type="character" w:customStyle="1" w:styleId="s26">
    <w:name w:val="s26"/>
    <w:basedOn w:val="a0"/>
  </w:style>
  <w:style w:type="paragraph" w:customStyle="1" w:styleId="s261">
    <w:name w:val="s261"/>
    <w:basedOn w:val="a"/>
    <w:pPr>
      <w:widowControl/>
      <w:spacing w:before="100" w:beforeAutospacing="1" w:after="100" w:afterAutospacing="1"/>
      <w:jc w:val="left"/>
    </w:pPr>
    <w:rPr>
      <w:rFonts w:ascii="宋体" w:hAnsi="宋体" w:cs="宋体"/>
      <w:kern w:val="0"/>
      <w:sz w:val="24"/>
    </w:rPr>
  </w:style>
  <w:style w:type="paragraph" w:customStyle="1" w:styleId="s291">
    <w:name w:val="s291"/>
    <w:basedOn w:val="a"/>
    <w:pPr>
      <w:widowControl/>
      <w:spacing w:before="100" w:beforeAutospacing="1" w:after="100" w:afterAutospacing="1"/>
      <w:jc w:val="left"/>
    </w:pPr>
    <w:rPr>
      <w:rFonts w:ascii="宋体" w:hAnsi="宋体" w:cs="宋体"/>
      <w:kern w:val="0"/>
      <w:sz w:val="24"/>
    </w:rPr>
  </w:style>
  <w:style w:type="character" w:customStyle="1" w:styleId="s281">
    <w:name w:val="s281"/>
    <w:basedOn w:val="a0"/>
  </w:style>
  <w:style w:type="paragraph" w:customStyle="1" w:styleId="s211">
    <w:name w:val="s211"/>
    <w:basedOn w:val="a"/>
    <w:pPr>
      <w:widowControl/>
      <w:spacing w:before="100" w:beforeAutospacing="1" w:after="100" w:afterAutospacing="1"/>
      <w:jc w:val="left"/>
    </w:pPr>
    <w:rPr>
      <w:rFonts w:ascii="宋体" w:hAnsi="宋体" w:cs="宋体"/>
      <w:kern w:val="0"/>
      <w:sz w:val="24"/>
    </w:rPr>
  </w:style>
  <w:style w:type="paragraph" w:customStyle="1" w:styleId="s201">
    <w:name w:val="s201"/>
    <w:basedOn w:val="a"/>
    <w:pPr>
      <w:widowControl/>
      <w:spacing w:before="100" w:beforeAutospacing="1" w:after="100" w:afterAutospacing="1"/>
      <w:jc w:val="left"/>
    </w:pPr>
    <w:rPr>
      <w:rFonts w:ascii="宋体" w:hAnsi="宋体" w:cs="宋体"/>
      <w:kern w:val="0"/>
      <w:sz w:val="24"/>
    </w:rPr>
  </w:style>
  <w:style w:type="character" w:customStyle="1" w:styleId="s231">
    <w:name w:val="s231"/>
    <w:basedOn w:val="a0"/>
  </w:style>
  <w:style w:type="character" w:customStyle="1" w:styleId="s271">
    <w:name w:val="s271"/>
    <w:basedOn w:val="a0"/>
  </w:style>
  <w:style w:type="character" w:customStyle="1" w:styleId="s301">
    <w:name w:val="s301"/>
    <w:basedOn w:val="a0"/>
  </w:style>
  <w:style w:type="character" w:customStyle="1" w:styleId="s351">
    <w:name w:val="s351"/>
    <w:basedOn w:val="a0"/>
  </w:style>
  <w:style w:type="character" w:customStyle="1" w:styleId="fontstyle01">
    <w:name w:val="fontstyle01"/>
    <w:basedOn w:val="a0"/>
    <w:rPr>
      <w:rFonts w:ascii="宋体" w:eastAsia="宋体" w:hAnsi="宋体" w:hint="eastAsia"/>
      <w:color w:val="000000"/>
      <w:sz w:val="22"/>
      <w:szCs w:val="22"/>
    </w:rPr>
  </w:style>
  <w:style w:type="character" w:customStyle="1" w:styleId="fontstyle21">
    <w:name w:val="fontstyle21"/>
    <w:basedOn w:val="a0"/>
    <w:rPr>
      <w:rFonts w:ascii="TimesNewRomanPSMT" w:hAnsi="TimesNewRomanPSMT" w:hint="default"/>
      <w:color w:val="0000FF"/>
      <w:sz w:val="22"/>
      <w:szCs w:val="22"/>
    </w:rPr>
  </w:style>
  <w:style w:type="character" w:customStyle="1" w:styleId="fontstyle31">
    <w:name w:val="fontstyle31"/>
    <w:basedOn w:val="a0"/>
    <w:rPr>
      <w:rFonts w:ascii="TimesNewRomanPS-ItalicMT" w:hAnsi="TimesNewRomanPS-ItalicMT" w:hint="default"/>
      <w:i/>
      <w:iCs/>
      <w:color w:val="000000"/>
      <w:sz w:val="22"/>
      <w:szCs w:val="22"/>
    </w:rPr>
  </w:style>
  <w:style w:type="character" w:customStyle="1" w:styleId="fontstyle11">
    <w:name w:val="fontstyle11"/>
    <w:basedOn w:val="a0"/>
    <w:rPr>
      <w:rFonts w:ascii="TimesNewRomanPSMT" w:hAnsi="TimesNewRomanPSMT" w:hint="default"/>
      <w:color w:val="000000"/>
      <w:sz w:val="22"/>
      <w:szCs w:val="22"/>
    </w:rPr>
  </w:style>
  <w:style w:type="character" w:customStyle="1" w:styleId="fontstyle41">
    <w:name w:val="fontstyle41"/>
    <w:basedOn w:val="a0"/>
    <w:rPr>
      <w:rFonts w:ascii="TimesNewRomanPSMT" w:hAnsi="TimesNewRomanPSMT" w:hint="default"/>
      <w:color w:val="000000"/>
      <w:sz w:val="20"/>
      <w:szCs w:val="20"/>
    </w:rPr>
  </w:style>
  <w:style w:type="paragraph" w:customStyle="1" w:styleId="cur">
    <w:name w:val="cur"/>
    <w:basedOn w:val="a"/>
    <w:pPr>
      <w:widowControl/>
      <w:spacing w:before="100" w:beforeAutospacing="1" w:after="100" w:afterAutospacing="1"/>
      <w:jc w:val="left"/>
    </w:pPr>
    <w:rPr>
      <w:rFonts w:ascii="宋体" w:hAnsi="宋体" w:cs="宋体"/>
      <w:kern w:val="0"/>
      <w:sz w:val="24"/>
    </w:rPr>
  </w:style>
  <w:style w:type="character" w:customStyle="1" w:styleId="shareboard">
    <w:name w:val="shareboard"/>
    <w:basedOn w:val="a0"/>
  </w:style>
  <w:style w:type="character" w:customStyle="1" w:styleId="msqrt">
    <w:name w:val="msqrt"/>
    <w:basedOn w:val="a0"/>
  </w:style>
  <w:style w:type="paragraph" w:customStyle="1" w:styleId="ql-align-justify">
    <w:name w:val="ql-align-justify"/>
    <w:basedOn w:val="a"/>
    <w:pPr>
      <w:widowControl/>
      <w:spacing w:before="100" w:beforeAutospacing="1" w:after="100" w:afterAutospacing="1"/>
      <w:jc w:val="left"/>
    </w:pPr>
    <w:rPr>
      <w:rFonts w:ascii="宋体" w:hAnsi="宋体" w:cs="宋体"/>
      <w:kern w:val="0"/>
      <w:sz w:val="24"/>
    </w:rPr>
  </w:style>
  <w:style w:type="paragraph" w:customStyle="1" w:styleId="ql-align-center">
    <w:name w:val="ql-align-center"/>
    <w:basedOn w:val="a"/>
    <w:pPr>
      <w:widowControl/>
      <w:spacing w:before="100" w:beforeAutospacing="1" w:after="100" w:afterAutospacing="1"/>
      <w:jc w:val="left"/>
    </w:pPr>
    <w:rPr>
      <w:rFonts w:ascii="宋体" w:hAnsi="宋体" w:cs="宋体"/>
      <w:kern w:val="0"/>
      <w:sz w:val="24"/>
    </w:rPr>
  </w:style>
  <w:style w:type="character" w:customStyle="1" w:styleId="mtext">
    <w:name w:val="mtext"/>
    <w:basedOn w:val="a0"/>
  </w:style>
  <w:style w:type="character" w:customStyle="1" w:styleId="22">
    <w:name w:val="正文文本缩进 2 字符"/>
    <w:basedOn w:val="a0"/>
    <w:link w:val="21"/>
    <w:uiPriority w:val="99"/>
    <w:semiHidden/>
    <w:rPr>
      <w:rFonts w:ascii="Times New Roman" w:eastAsia="宋体" w:hAnsi="Times New Roman" w:cs="Times New Roman"/>
      <w:szCs w:val="24"/>
    </w:rPr>
  </w:style>
  <w:style w:type="character" w:customStyle="1" w:styleId="HTML0">
    <w:name w:val="HTML 预设格式 字符"/>
    <w:basedOn w:val="a0"/>
    <w:link w:val="HTML"/>
    <w:rPr>
      <w:rFonts w:ascii="黑体" w:eastAsia="黑体" w:hAnsi="Courier New" w:cs="Courier New"/>
      <w:color w:val="000000"/>
      <w:kern w:val="0"/>
      <w:sz w:val="20"/>
      <w:szCs w:val="20"/>
    </w:rPr>
  </w:style>
  <w:style w:type="character" w:customStyle="1" w:styleId="rowtit">
    <w:name w:val="rowtit"/>
    <w:basedOn w:val="a0"/>
  </w:style>
  <w:style w:type="character" w:customStyle="1" w:styleId="abstract-text">
    <w:name w:val="abstract-text"/>
    <w:basedOn w:val="a0"/>
  </w:style>
  <w:style w:type="paragraph" w:customStyle="1" w:styleId="keywords">
    <w:name w:val="keywords"/>
    <w:basedOn w:val="a"/>
    <w:pPr>
      <w:widowControl/>
      <w:spacing w:before="100" w:beforeAutospacing="1" w:after="100" w:afterAutospacing="1"/>
      <w:jc w:val="left"/>
    </w:pPr>
    <w:rPr>
      <w:rFonts w:ascii="宋体" w:hAnsi="宋体" w:cs="宋体"/>
      <w:kern w:val="0"/>
      <w:sz w:val="24"/>
    </w:rPr>
  </w:style>
  <w:style w:type="paragraph" w:customStyle="1" w:styleId="code-formula">
    <w:name w:val="code-formula"/>
    <w:basedOn w:val="a"/>
    <w:pPr>
      <w:widowControl/>
      <w:spacing w:before="100" w:beforeAutospacing="1" w:after="100" w:afterAutospacing="1"/>
      <w:jc w:val="left"/>
    </w:pPr>
    <w:rPr>
      <w:rFonts w:ascii="宋体" w:hAnsi="宋体" w:cs="宋体"/>
      <w:kern w:val="0"/>
      <w:sz w:val="24"/>
    </w:rPr>
  </w:style>
  <w:style w:type="character" w:customStyle="1" w:styleId="24">
    <w:name w:val="未处理的提及2"/>
    <w:basedOn w:val="a0"/>
    <w:uiPriority w:val="99"/>
    <w:semiHidden/>
    <w:unhideWhenUsed/>
    <w:rPr>
      <w:color w:val="605E5C"/>
      <w:shd w:val="clear" w:color="auto" w:fill="E1DFDD"/>
    </w:rPr>
  </w:style>
  <w:style w:type="paragraph" w:customStyle="1" w:styleId="TOC10">
    <w:name w:val="TOC 标题1"/>
    <w:basedOn w:val="1"/>
    <w:next w:val="a"/>
    <w:uiPriority w:val="39"/>
    <w:unhideWhenUsed/>
    <w:qFormat/>
    <w:pPr>
      <w:widowControl/>
      <w:spacing w:before="240" w:after="0" w:line="259" w:lineRule="auto"/>
      <w:jc w:val="left"/>
      <w:outlineLvl w:val="9"/>
    </w:pPr>
    <w:rPr>
      <w:rFonts w:asciiTheme="majorHAnsi" w:eastAsiaTheme="majorEastAsia" w:hAnsiTheme="majorHAnsi" w:cstheme="majorBidi"/>
      <w:b w:val="0"/>
      <w:bCs w:val="0"/>
      <w:color w:val="365F91" w:themeColor="accent1" w:themeShade="BF"/>
      <w:kern w:val="0"/>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13" Type="http://schemas.openxmlformats.org/officeDocument/2006/relationships/image" Target="media/image5.png"/><Relationship Id="rId18" Type="http://schemas.openxmlformats.org/officeDocument/2006/relationships/image" Target="media/image10.jpeg"/><Relationship Id="rId26" Type="http://schemas.openxmlformats.org/officeDocument/2006/relationships/image" Target="media/image18.png"/><Relationship Id="rId39" Type="http://schemas.openxmlformats.org/officeDocument/2006/relationships/image" Target="media/image31.png"/><Relationship Id="rId21" Type="http://schemas.openxmlformats.org/officeDocument/2006/relationships/image" Target="media/image13.jpeg"/><Relationship Id="rId34" Type="http://schemas.openxmlformats.org/officeDocument/2006/relationships/image" Target="media/image26.png"/><Relationship Id="rId42" Type="http://schemas.openxmlformats.org/officeDocument/2006/relationships/image" Target="media/image34.png"/><Relationship Id="rId47" Type="http://schemas.openxmlformats.org/officeDocument/2006/relationships/image" Target="media/image39.png"/><Relationship Id="rId50" Type="http://schemas.openxmlformats.org/officeDocument/2006/relationships/image" Target="media/image42.png"/><Relationship Id="rId55" Type="http://schemas.openxmlformats.org/officeDocument/2006/relationships/image" Target="media/image47.png"/><Relationship Id="rId7" Type="http://schemas.openxmlformats.org/officeDocument/2006/relationships/footnotes" Target="footnotes.xml"/><Relationship Id="rId12" Type="http://schemas.openxmlformats.org/officeDocument/2006/relationships/image" Target="media/image4.png"/><Relationship Id="rId17" Type="http://schemas.openxmlformats.org/officeDocument/2006/relationships/image" Target="media/image9.jpeg"/><Relationship Id="rId25" Type="http://schemas.openxmlformats.org/officeDocument/2006/relationships/image" Target="media/image17.png"/><Relationship Id="rId33" Type="http://schemas.openxmlformats.org/officeDocument/2006/relationships/image" Target="media/image25.png"/><Relationship Id="rId38" Type="http://schemas.openxmlformats.org/officeDocument/2006/relationships/image" Target="media/image30.png"/><Relationship Id="rId46" Type="http://schemas.openxmlformats.org/officeDocument/2006/relationships/image" Target="media/image38.png"/><Relationship Id="rId2" Type="http://schemas.openxmlformats.org/officeDocument/2006/relationships/customXml" Target="../customXml/item2.xml"/><Relationship Id="rId16" Type="http://schemas.openxmlformats.org/officeDocument/2006/relationships/image" Target="media/image8.jpeg"/><Relationship Id="rId20" Type="http://schemas.openxmlformats.org/officeDocument/2006/relationships/image" Target="media/image12.jpeg"/><Relationship Id="rId29" Type="http://schemas.openxmlformats.org/officeDocument/2006/relationships/image" Target="media/image21.png"/><Relationship Id="rId41" Type="http://schemas.openxmlformats.org/officeDocument/2006/relationships/image" Target="media/image33.png"/><Relationship Id="rId54" Type="http://schemas.openxmlformats.org/officeDocument/2006/relationships/image" Target="media/image46.pn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24" Type="http://schemas.openxmlformats.org/officeDocument/2006/relationships/image" Target="media/image16.png"/><Relationship Id="rId32" Type="http://schemas.openxmlformats.org/officeDocument/2006/relationships/image" Target="media/image24.png"/><Relationship Id="rId37" Type="http://schemas.openxmlformats.org/officeDocument/2006/relationships/image" Target="media/image29.png"/><Relationship Id="rId40" Type="http://schemas.openxmlformats.org/officeDocument/2006/relationships/image" Target="media/image32.png"/><Relationship Id="rId45" Type="http://schemas.openxmlformats.org/officeDocument/2006/relationships/image" Target="media/image37.png"/><Relationship Id="rId53" Type="http://schemas.openxmlformats.org/officeDocument/2006/relationships/image" Target="media/image45.png"/><Relationship Id="rId58"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image" Target="media/image7.jpeg"/><Relationship Id="rId23" Type="http://schemas.openxmlformats.org/officeDocument/2006/relationships/image" Target="media/image15.jpeg"/><Relationship Id="rId28" Type="http://schemas.openxmlformats.org/officeDocument/2006/relationships/image" Target="media/image20.png"/><Relationship Id="rId36" Type="http://schemas.openxmlformats.org/officeDocument/2006/relationships/image" Target="media/image28.png"/><Relationship Id="rId49" Type="http://schemas.openxmlformats.org/officeDocument/2006/relationships/image" Target="media/image41.png"/><Relationship Id="rId57" Type="http://schemas.openxmlformats.org/officeDocument/2006/relationships/fontTable" Target="fontTable.xml"/><Relationship Id="rId10" Type="http://schemas.openxmlformats.org/officeDocument/2006/relationships/image" Target="media/image2.png"/><Relationship Id="rId19" Type="http://schemas.openxmlformats.org/officeDocument/2006/relationships/image" Target="media/image11.jpeg"/><Relationship Id="rId31" Type="http://schemas.openxmlformats.org/officeDocument/2006/relationships/image" Target="media/image23.png"/><Relationship Id="rId44" Type="http://schemas.openxmlformats.org/officeDocument/2006/relationships/image" Target="media/image36.png"/><Relationship Id="rId52" Type="http://schemas.openxmlformats.org/officeDocument/2006/relationships/image" Target="media/image44.png"/><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6.jpeg"/><Relationship Id="rId22" Type="http://schemas.openxmlformats.org/officeDocument/2006/relationships/image" Target="media/image14.jpeg"/><Relationship Id="rId27" Type="http://schemas.openxmlformats.org/officeDocument/2006/relationships/image" Target="media/image19.png"/><Relationship Id="rId30" Type="http://schemas.openxmlformats.org/officeDocument/2006/relationships/image" Target="media/image22.png"/><Relationship Id="rId35" Type="http://schemas.openxmlformats.org/officeDocument/2006/relationships/image" Target="media/image27.png"/><Relationship Id="rId43" Type="http://schemas.openxmlformats.org/officeDocument/2006/relationships/image" Target="media/image35.png"/><Relationship Id="rId48" Type="http://schemas.openxmlformats.org/officeDocument/2006/relationships/image" Target="media/image40.png"/><Relationship Id="rId56" Type="http://schemas.openxmlformats.org/officeDocument/2006/relationships/footer" Target="footer1.xml"/><Relationship Id="rId8" Type="http://schemas.openxmlformats.org/officeDocument/2006/relationships/endnotes" Target="endnotes.xml"/><Relationship Id="rId51" Type="http://schemas.openxmlformats.org/officeDocument/2006/relationships/image" Target="media/image43.png"/><Relationship Id="rId3" Type="http://schemas.openxmlformats.org/officeDocument/2006/relationships/numbering" Target="numbering.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838ED040-8232-4A83-84F9-0FDC5A4AE741}">
  <ds:schemaRefs>
    <ds:schemaRef ds:uri="http://schemas.openxmlformats.org/officeDocument/2006/bibliography"/>
  </ds:schemaRefs>
</ds:datastoreItem>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14</TotalTime>
  <Pages>82</Pages>
  <Words>12541</Words>
  <Characters>71485</Characters>
  <Application>Microsoft Office Word</Application>
  <DocSecurity>0</DocSecurity>
  <Lines>595</Lines>
  <Paragraphs>167</Paragraphs>
  <ScaleCrop>false</ScaleCrop>
  <Company>Win10NeT.COM</Company>
  <LinksUpToDate>false</LinksUpToDate>
  <CharactersWithSpaces>83859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Zhang ML</cp:lastModifiedBy>
  <cp:revision>288</cp:revision>
  <cp:lastPrinted>2020-12-15T10:48:00Z</cp:lastPrinted>
  <dcterms:created xsi:type="dcterms:W3CDTF">2021-01-25T14:14:00Z</dcterms:created>
  <dcterms:modified xsi:type="dcterms:W3CDTF">2021-12-14T08:13:00Z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2052-11.1.0.11115</vt:lpwstr>
  </property>
  <property fmtid="{D5CDD505-2E9C-101B-9397-08002B2CF9AE}" pid="3" name="ICV">
    <vt:lpwstr>941FB32ACE5C463EB950F13BC4941A32</vt:lpwstr>
  </property>
</Properties>
</file>