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261980"/>
    <w:bookmarkEnd w:id="0"/>
    <w:p w14:paraId="059C268C" w14:textId="77777777" w:rsidR="004F39F6" w:rsidRDefault="00731C67">
      <w:pPr>
        <w:spacing w:line="360" w:lineRule="auto"/>
        <w:ind w:leftChars="-45" w:left="-94" w:rightChars="-159" w:right="-334"/>
        <w:jc w:val="left"/>
        <w:rPr>
          <w:b/>
          <w:bCs/>
          <w:sz w:val="32"/>
          <w:szCs w:val="32"/>
        </w:rPr>
      </w:pPr>
      <w:r>
        <w:rPr>
          <w:b/>
          <w:bCs/>
          <w:noProof/>
          <w:sz w:val="32"/>
          <w:szCs w:val="32"/>
        </w:rPr>
        <mc:AlternateContent>
          <mc:Choice Requires="wps">
            <w:drawing>
              <wp:anchor distT="0" distB="0" distL="114300" distR="114300" simplePos="0" relativeHeight="251662336" behindDoc="0" locked="0" layoutInCell="1" allowOverlap="1" wp14:anchorId="52C14FAA" wp14:editId="5D1A1163">
                <wp:simplePos x="0" y="0"/>
                <wp:positionH relativeFrom="column">
                  <wp:posOffset>-116840</wp:posOffset>
                </wp:positionH>
                <wp:positionV relativeFrom="paragraph">
                  <wp:posOffset>1884045</wp:posOffset>
                </wp:positionV>
                <wp:extent cx="6283325" cy="0"/>
                <wp:effectExtent l="0" t="19050" r="41910" b="38100"/>
                <wp:wrapNone/>
                <wp:docPr id="24"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3105" cy="0"/>
                        </a:xfrm>
                        <a:prstGeom prst="line">
                          <a:avLst/>
                        </a:prstGeom>
                        <a:noFill/>
                        <a:ln w="57150" cmpd="thickThin">
                          <a:solidFill>
                            <a:srgbClr val="000000"/>
                          </a:solidFill>
                          <a:round/>
                        </a:ln>
                      </wps:spPr>
                      <wps:bodyPr/>
                    </wps:wsp>
                  </a:graphicData>
                </a:graphic>
              </wp:anchor>
            </w:drawing>
          </mc:Choice>
          <mc:Fallback xmlns:wpsCustomData="http://www.wps.cn/officeDocument/2013/wpsCustomData">
            <w:pict>
              <v:line id="直线 5" o:spid="_x0000_s1026" o:spt="20" style="position:absolute;left:0pt;margin-left:-9.2pt;margin-top:148.35pt;height:0pt;width:494.75pt;z-index:251662336;mso-width-relative:page;mso-height-relative:page;" filled="f" stroked="t" coordsize="21600,21600" o:gfxdata="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ls7XNcAAAAL&#10;AQAADwAAAAAAAAABACAAAAAiAAAAZHJzL2Rvd25yZXYueG1sUEsBAhQAFAAAAAgAh07iQMsDdRPk&#10;AQAAtAMAAA4AAAAAAAAAAQAgAAAAJgEAAGRycy9lMm9Eb2MueG1sUEsFBgAAAAAGAAYAWQEAAHwF&#10;AAAAAA==&#10;">
                <v:fill on="f" focussize="0,0"/>
                <v:stroke weight="4.5pt" color="#000000" linestyle="thickThin" joinstyle="round"/>
                <v:imagedata o:title=""/>
                <o:lock v:ext="edit" aspectratio="f"/>
              </v:line>
            </w:pict>
          </mc:Fallback>
        </mc:AlternateContent>
      </w:r>
      <w:r>
        <w:rPr>
          <w:b/>
          <w:bCs/>
          <w:noProof/>
          <w:sz w:val="32"/>
          <w:szCs w:val="32"/>
        </w:rPr>
        <w:drawing>
          <wp:anchor distT="0" distB="0" distL="114300" distR="114300" simplePos="0" relativeHeight="251659264" behindDoc="0" locked="0" layoutInCell="1" allowOverlap="1" wp14:anchorId="4C19DAA1" wp14:editId="16E54043">
            <wp:simplePos x="0" y="0"/>
            <wp:positionH relativeFrom="column">
              <wp:posOffset>0</wp:posOffset>
            </wp:positionH>
            <wp:positionV relativeFrom="paragraph">
              <wp:posOffset>99060</wp:posOffset>
            </wp:positionV>
            <wp:extent cx="1257300" cy="1257300"/>
            <wp:effectExtent l="0" t="0" r="0" b="0"/>
            <wp:wrapTopAndBottom/>
            <wp:docPr id="2" name="图片 2" descr="徽标（白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徽标（白边）"/>
                    <pic:cNvPicPr>
                      <a:picLocks noChangeAspect="1" noChangeArrowheads="1"/>
                    </pic:cNvPicPr>
                  </pic:nvPicPr>
                  <pic:blipFill>
                    <a:blip r:embed="rId9" cstate="print"/>
                    <a:srcRect/>
                    <a:stretch>
                      <a:fillRect/>
                    </a:stretch>
                  </pic:blipFill>
                  <pic:spPr>
                    <a:xfrm>
                      <a:off x="0" y="0"/>
                      <a:ext cx="1257300" cy="125730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0288" behindDoc="0" locked="0" layoutInCell="1" allowOverlap="1" wp14:anchorId="73DF01C9" wp14:editId="4D5465BE">
            <wp:simplePos x="0" y="0"/>
            <wp:positionH relativeFrom="column">
              <wp:posOffset>1714500</wp:posOffset>
            </wp:positionH>
            <wp:positionV relativeFrom="paragraph">
              <wp:posOffset>693420</wp:posOffset>
            </wp:positionV>
            <wp:extent cx="3200400" cy="805180"/>
            <wp:effectExtent l="0" t="0" r="0" b="0"/>
            <wp:wrapTopAndBottom/>
            <wp:docPr id="3" name="图片 3" descr="信息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信息简报"/>
                    <pic:cNvPicPr>
                      <a:picLocks noChangeAspect="1" noChangeArrowheads="1"/>
                    </pic:cNvPicPr>
                  </pic:nvPicPr>
                  <pic:blipFill>
                    <a:blip r:embed="rId10" cstate="print"/>
                    <a:srcRect l="11453" t="15935" r="17537" b="12360"/>
                    <a:stretch>
                      <a:fillRect/>
                    </a:stretch>
                  </pic:blipFill>
                  <pic:spPr>
                    <a:xfrm>
                      <a:off x="0" y="0"/>
                      <a:ext cx="3200400" cy="805180"/>
                    </a:xfrm>
                    <a:prstGeom prst="rect">
                      <a:avLst/>
                    </a:prstGeom>
                    <a:noFill/>
                    <a:ln w="9525">
                      <a:noFill/>
                      <a:miter lim="800000"/>
                      <a:headEnd/>
                      <a:tailEnd/>
                    </a:ln>
                  </pic:spPr>
                </pic:pic>
              </a:graphicData>
            </a:graphic>
          </wp:anchor>
        </w:drawing>
      </w:r>
      <w:r>
        <w:rPr>
          <w:b/>
          <w:bCs/>
          <w:noProof/>
          <w:sz w:val="32"/>
          <w:szCs w:val="32"/>
        </w:rPr>
        <w:drawing>
          <wp:anchor distT="0" distB="0" distL="114300" distR="114300" simplePos="0" relativeHeight="251661312" behindDoc="0" locked="0" layoutInCell="1" allowOverlap="1" wp14:anchorId="39D00F41" wp14:editId="7DE5F34C">
            <wp:simplePos x="0" y="0"/>
            <wp:positionH relativeFrom="column">
              <wp:posOffset>914400</wp:posOffset>
            </wp:positionH>
            <wp:positionV relativeFrom="paragraph">
              <wp:posOffset>0</wp:posOffset>
            </wp:positionV>
            <wp:extent cx="5029200" cy="783590"/>
            <wp:effectExtent l="0" t="0" r="0" b="0"/>
            <wp:wrapNone/>
            <wp:docPr id="4" name="图片 4" descr="福建省水产饲料研究会 - 刘中一题—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福建省水产饲料研究会 - 刘中一题—红色"/>
                    <pic:cNvPicPr>
                      <a:picLocks noChangeAspect="1" noChangeArrowheads="1"/>
                    </pic:cNvPicPr>
                  </pic:nvPicPr>
                  <pic:blipFill>
                    <a:blip r:embed="rId11" cstate="print"/>
                    <a:srcRect/>
                    <a:stretch>
                      <a:fillRect/>
                    </a:stretch>
                  </pic:blipFill>
                  <pic:spPr>
                    <a:xfrm>
                      <a:off x="0" y="0"/>
                      <a:ext cx="5029200" cy="783590"/>
                    </a:xfrm>
                    <a:prstGeom prst="rect">
                      <a:avLst/>
                    </a:prstGeom>
                    <a:noFill/>
                    <a:ln w="9525">
                      <a:noFill/>
                      <a:miter lim="800000"/>
                      <a:headEnd/>
                      <a:tailEnd/>
                    </a:ln>
                  </pic:spPr>
                </pic:pic>
              </a:graphicData>
            </a:graphic>
          </wp:anchor>
        </w:drawing>
      </w:r>
      <w:r>
        <w:rPr>
          <w:b/>
          <w:bCs/>
          <w:sz w:val="32"/>
          <w:szCs w:val="32"/>
        </w:rPr>
        <w:t xml:space="preserve">B-2088184-5       </w:t>
      </w:r>
      <w:r>
        <w:rPr>
          <w:b/>
          <w:bCs/>
          <w:sz w:val="32"/>
          <w:szCs w:val="32"/>
        </w:rPr>
        <w:t>第</w:t>
      </w:r>
      <w:r>
        <w:rPr>
          <w:b/>
          <w:bCs/>
          <w:sz w:val="32"/>
          <w:szCs w:val="32"/>
        </w:rPr>
        <w:t>3</w:t>
      </w:r>
      <w:r>
        <w:rPr>
          <w:b/>
          <w:bCs/>
          <w:sz w:val="32"/>
          <w:szCs w:val="32"/>
        </w:rPr>
        <w:t>期</w:t>
      </w:r>
      <w:r>
        <w:rPr>
          <w:b/>
          <w:bCs/>
          <w:sz w:val="32"/>
          <w:szCs w:val="32"/>
        </w:rPr>
        <w:t xml:space="preserve">   (</w:t>
      </w:r>
      <w:r>
        <w:rPr>
          <w:b/>
          <w:bCs/>
          <w:sz w:val="32"/>
          <w:szCs w:val="32"/>
        </w:rPr>
        <w:t>总第</w:t>
      </w:r>
      <w:r>
        <w:rPr>
          <w:b/>
          <w:bCs/>
          <w:sz w:val="32"/>
          <w:szCs w:val="32"/>
        </w:rPr>
        <w:t>353</w:t>
      </w:r>
      <w:r>
        <w:rPr>
          <w:b/>
          <w:bCs/>
          <w:sz w:val="32"/>
          <w:szCs w:val="32"/>
        </w:rPr>
        <w:t>期</w:t>
      </w:r>
      <w:r>
        <w:rPr>
          <w:b/>
          <w:bCs/>
          <w:sz w:val="32"/>
          <w:szCs w:val="32"/>
        </w:rPr>
        <w:t>)     2022</w:t>
      </w:r>
      <w:r>
        <w:rPr>
          <w:b/>
          <w:bCs/>
          <w:sz w:val="32"/>
          <w:szCs w:val="32"/>
        </w:rPr>
        <w:t>年</w:t>
      </w:r>
      <w:r>
        <w:rPr>
          <w:b/>
          <w:bCs/>
          <w:sz w:val="32"/>
          <w:szCs w:val="32"/>
        </w:rPr>
        <w:t>2</w:t>
      </w:r>
      <w:r>
        <w:rPr>
          <w:b/>
          <w:bCs/>
          <w:sz w:val="32"/>
          <w:szCs w:val="32"/>
        </w:rPr>
        <w:t>月</w:t>
      </w:r>
      <w:r>
        <w:rPr>
          <w:b/>
          <w:bCs/>
          <w:sz w:val="32"/>
          <w:szCs w:val="32"/>
        </w:rPr>
        <w:t>15</w:t>
      </w:r>
      <w:r>
        <w:rPr>
          <w:b/>
          <w:bCs/>
          <w:sz w:val="32"/>
          <w:szCs w:val="32"/>
        </w:rPr>
        <w:t>日</w:t>
      </w:r>
    </w:p>
    <w:sdt>
      <w:sdtPr>
        <w:rPr>
          <w:rFonts w:ascii="Times New Roman" w:eastAsia="宋体" w:hAnsi="Times New Roman" w:cs="Times New Roman"/>
          <w:color w:val="auto"/>
          <w:kern w:val="2"/>
          <w:sz w:val="21"/>
          <w:szCs w:val="24"/>
          <w:lang w:val="zh-CN"/>
        </w:rPr>
        <w:id w:val="627355111"/>
        <w:docPartObj>
          <w:docPartGallery w:val="Table of Contents"/>
          <w:docPartUnique/>
        </w:docPartObj>
      </w:sdtPr>
      <w:sdtEndPr>
        <w:rPr>
          <w:b/>
          <w:bCs/>
        </w:rPr>
      </w:sdtEndPr>
      <w:sdtContent>
        <w:p w14:paraId="527F8CBE" w14:textId="77777777" w:rsidR="004F39F6" w:rsidRDefault="00731C67">
          <w:pPr>
            <w:pStyle w:val="TOC10"/>
            <w:jc w:val="center"/>
            <w:rPr>
              <w:rFonts w:ascii="Times New Roman" w:eastAsia="黑体" w:hAnsi="Times New Roman" w:cs="Times New Roman"/>
              <w:b/>
              <w:bCs/>
              <w:color w:val="000000" w:themeColor="text1"/>
            </w:rPr>
          </w:pPr>
          <w:r>
            <w:rPr>
              <w:rFonts w:ascii="Times New Roman" w:eastAsia="黑体" w:hAnsi="Times New Roman" w:cs="Times New Roman"/>
              <w:b/>
              <w:bCs/>
              <w:color w:val="000000" w:themeColor="text1"/>
              <w:lang w:val="zh-CN"/>
            </w:rPr>
            <w:t>目录</w:t>
          </w:r>
        </w:p>
        <w:p w14:paraId="3F0C8E56" w14:textId="059D0E91" w:rsidR="006A571F" w:rsidRPr="007D5303" w:rsidRDefault="00731C67">
          <w:pPr>
            <w:pStyle w:val="TOC1"/>
            <w:rPr>
              <w:rFonts w:asciiTheme="minorHAnsi" w:eastAsiaTheme="minorEastAsia" w:hAnsiTheme="minorHAnsi" w:cstheme="minorBidi"/>
              <w:b w:val="0"/>
              <w:bCs w:val="0"/>
              <w:noProof/>
              <w:szCs w:val="22"/>
            </w:rPr>
          </w:pPr>
          <w:r>
            <w:fldChar w:fldCharType="begin"/>
          </w:r>
          <w:r>
            <w:instrText xml:space="preserve"> TOC \o "1-3" \h \z \u </w:instrText>
          </w:r>
          <w:r>
            <w:fldChar w:fldCharType="separate"/>
          </w:r>
          <w:hyperlink w:anchor="_Toc95682075" w:history="1">
            <w:r w:rsidR="006A571F" w:rsidRPr="007D5303">
              <w:rPr>
                <w:rStyle w:val="af2"/>
                <w:noProof/>
              </w:rPr>
              <w:t>重要资讯</w:t>
            </w:r>
            <w:r w:rsidR="006A571F" w:rsidRPr="007D5303">
              <w:rPr>
                <w:noProof/>
                <w:webHidden/>
              </w:rPr>
              <w:tab/>
            </w:r>
            <w:r w:rsidR="006A571F" w:rsidRPr="007D5303">
              <w:rPr>
                <w:noProof/>
                <w:webHidden/>
              </w:rPr>
              <w:fldChar w:fldCharType="begin"/>
            </w:r>
            <w:r w:rsidR="006A571F" w:rsidRPr="007D5303">
              <w:rPr>
                <w:noProof/>
                <w:webHidden/>
              </w:rPr>
              <w:instrText xml:space="preserve"> PAGEREF _Toc95682075 \h </w:instrText>
            </w:r>
            <w:r w:rsidR="006A571F" w:rsidRPr="007D5303">
              <w:rPr>
                <w:noProof/>
                <w:webHidden/>
              </w:rPr>
            </w:r>
            <w:r w:rsidR="006A571F" w:rsidRPr="007D5303">
              <w:rPr>
                <w:noProof/>
                <w:webHidden/>
              </w:rPr>
              <w:fldChar w:fldCharType="separate"/>
            </w:r>
            <w:r w:rsidR="006A571F" w:rsidRPr="007D5303">
              <w:rPr>
                <w:noProof/>
                <w:webHidden/>
              </w:rPr>
              <w:t>1</w:t>
            </w:r>
            <w:r w:rsidR="006A571F" w:rsidRPr="007D5303">
              <w:rPr>
                <w:noProof/>
                <w:webHidden/>
              </w:rPr>
              <w:fldChar w:fldCharType="end"/>
            </w:r>
          </w:hyperlink>
        </w:p>
        <w:p w14:paraId="5FBD5567" w14:textId="0D53CF4E"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76" w:history="1">
            <w:r w:rsidRPr="007D5303">
              <w:rPr>
                <w:rStyle w:val="af2"/>
                <w:rFonts w:eastAsia="黑体"/>
                <w:noProof/>
              </w:rPr>
              <w:t>农业农村部渔业渔政管理局印发关于做好</w:t>
            </w:r>
            <w:r w:rsidRPr="007D5303">
              <w:rPr>
                <w:rStyle w:val="af2"/>
                <w:rFonts w:eastAsia="黑体"/>
                <w:noProof/>
              </w:rPr>
              <w:t>2022</w:t>
            </w:r>
            <w:r w:rsidRPr="007D5303">
              <w:rPr>
                <w:rStyle w:val="af2"/>
                <w:rFonts w:eastAsia="黑体"/>
                <w:noProof/>
              </w:rPr>
              <w:t>年水产绿色健康养殖技术推广</w:t>
            </w:r>
            <w:r w:rsidRPr="007D5303">
              <w:rPr>
                <w:rStyle w:val="af2"/>
                <w:rFonts w:eastAsia="黑体"/>
                <w:noProof/>
              </w:rPr>
              <w:t>“</w:t>
            </w:r>
            <w:r w:rsidRPr="007D5303">
              <w:rPr>
                <w:rStyle w:val="af2"/>
                <w:rFonts w:eastAsia="黑体"/>
                <w:noProof/>
              </w:rPr>
              <w:t>五大行动</w:t>
            </w:r>
            <w:r w:rsidRPr="007D5303">
              <w:rPr>
                <w:rStyle w:val="af2"/>
                <w:rFonts w:eastAsia="黑体"/>
                <w:noProof/>
              </w:rPr>
              <w:t>”</w:t>
            </w:r>
            <w:r w:rsidRPr="007D5303">
              <w:rPr>
                <w:rStyle w:val="af2"/>
                <w:rFonts w:eastAsia="黑体"/>
                <w:noProof/>
              </w:rPr>
              <w:t>的通知</w:t>
            </w:r>
            <w:r w:rsidRPr="007D5303">
              <w:rPr>
                <w:noProof/>
                <w:webHidden/>
              </w:rPr>
              <w:tab/>
            </w:r>
            <w:r w:rsidRPr="007D5303">
              <w:rPr>
                <w:noProof/>
                <w:webHidden/>
              </w:rPr>
              <w:fldChar w:fldCharType="begin"/>
            </w:r>
            <w:r w:rsidRPr="007D5303">
              <w:rPr>
                <w:noProof/>
                <w:webHidden/>
              </w:rPr>
              <w:instrText xml:space="preserve"> PAGEREF _Toc95682076 \h </w:instrText>
            </w:r>
            <w:r w:rsidRPr="007D5303">
              <w:rPr>
                <w:noProof/>
                <w:webHidden/>
              </w:rPr>
            </w:r>
            <w:r w:rsidRPr="007D5303">
              <w:rPr>
                <w:noProof/>
                <w:webHidden/>
              </w:rPr>
              <w:fldChar w:fldCharType="separate"/>
            </w:r>
            <w:r w:rsidRPr="007D5303">
              <w:rPr>
                <w:noProof/>
                <w:webHidden/>
              </w:rPr>
              <w:t>1</w:t>
            </w:r>
            <w:r w:rsidRPr="007D5303">
              <w:rPr>
                <w:noProof/>
                <w:webHidden/>
              </w:rPr>
              <w:fldChar w:fldCharType="end"/>
            </w:r>
          </w:hyperlink>
        </w:p>
        <w:p w14:paraId="7D823A4A" w14:textId="25D2F127"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77" w:history="1">
            <w:r w:rsidRPr="007D5303">
              <w:rPr>
                <w:rStyle w:val="af2"/>
                <w:rFonts w:eastAsia="黑体"/>
                <w:noProof/>
              </w:rPr>
              <w:t>全国水产技术推广总站印发关于做好</w:t>
            </w:r>
            <w:r w:rsidRPr="007D5303">
              <w:rPr>
                <w:rStyle w:val="af2"/>
                <w:rFonts w:eastAsia="黑体"/>
                <w:noProof/>
              </w:rPr>
              <w:t>2022</w:t>
            </w:r>
            <w:r w:rsidRPr="007D5303">
              <w:rPr>
                <w:rStyle w:val="af2"/>
                <w:rFonts w:eastAsia="黑体"/>
                <w:noProof/>
              </w:rPr>
              <w:t>年水产绿色健康养殖技术推广</w:t>
            </w:r>
            <w:r w:rsidRPr="007D5303">
              <w:rPr>
                <w:rStyle w:val="af2"/>
                <w:rFonts w:eastAsia="黑体"/>
                <w:noProof/>
              </w:rPr>
              <w:t>“</w:t>
            </w:r>
            <w:r w:rsidRPr="007D5303">
              <w:rPr>
                <w:rStyle w:val="af2"/>
                <w:rFonts w:eastAsia="黑体"/>
                <w:noProof/>
              </w:rPr>
              <w:t>五大行动</w:t>
            </w:r>
            <w:r w:rsidRPr="007D5303">
              <w:rPr>
                <w:rStyle w:val="af2"/>
                <w:rFonts w:eastAsia="黑体"/>
                <w:noProof/>
              </w:rPr>
              <w:t>”</w:t>
            </w:r>
            <w:r w:rsidRPr="007D5303">
              <w:rPr>
                <w:rStyle w:val="af2"/>
                <w:rFonts w:eastAsia="黑体"/>
                <w:noProof/>
              </w:rPr>
              <w:t>的通知</w:t>
            </w:r>
            <w:r w:rsidRPr="007D5303">
              <w:rPr>
                <w:noProof/>
                <w:webHidden/>
              </w:rPr>
              <w:tab/>
            </w:r>
            <w:r w:rsidRPr="007D5303">
              <w:rPr>
                <w:noProof/>
                <w:webHidden/>
              </w:rPr>
              <w:fldChar w:fldCharType="begin"/>
            </w:r>
            <w:r w:rsidRPr="007D5303">
              <w:rPr>
                <w:noProof/>
                <w:webHidden/>
              </w:rPr>
              <w:instrText xml:space="preserve"> PAGEREF _Toc95682077 \h </w:instrText>
            </w:r>
            <w:r w:rsidRPr="007D5303">
              <w:rPr>
                <w:noProof/>
                <w:webHidden/>
              </w:rPr>
            </w:r>
            <w:r w:rsidRPr="007D5303">
              <w:rPr>
                <w:noProof/>
                <w:webHidden/>
              </w:rPr>
              <w:fldChar w:fldCharType="separate"/>
            </w:r>
            <w:r w:rsidRPr="007D5303">
              <w:rPr>
                <w:noProof/>
                <w:webHidden/>
              </w:rPr>
              <w:t>3</w:t>
            </w:r>
            <w:r w:rsidRPr="007D5303">
              <w:rPr>
                <w:noProof/>
                <w:webHidden/>
              </w:rPr>
              <w:fldChar w:fldCharType="end"/>
            </w:r>
          </w:hyperlink>
        </w:p>
        <w:p w14:paraId="08031BFA" w14:textId="1B005BC4"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78" w:history="1">
            <w:r w:rsidRPr="007D5303">
              <w:rPr>
                <w:rStyle w:val="af2"/>
                <w:rFonts w:eastAsia="黑体"/>
                <w:noProof/>
              </w:rPr>
              <w:t>2021</w:t>
            </w:r>
            <w:r w:rsidRPr="007D5303">
              <w:rPr>
                <w:rStyle w:val="af2"/>
                <w:rFonts w:eastAsia="黑体"/>
                <w:noProof/>
              </w:rPr>
              <w:t>年配合饲料替代幼杂鱼工作取得显著成效</w:t>
            </w:r>
            <w:r w:rsidRPr="007D5303">
              <w:rPr>
                <w:noProof/>
                <w:webHidden/>
              </w:rPr>
              <w:tab/>
            </w:r>
            <w:r w:rsidRPr="007D5303">
              <w:rPr>
                <w:noProof/>
                <w:webHidden/>
              </w:rPr>
              <w:fldChar w:fldCharType="begin"/>
            </w:r>
            <w:r w:rsidRPr="007D5303">
              <w:rPr>
                <w:noProof/>
                <w:webHidden/>
              </w:rPr>
              <w:instrText xml:space="preserve"> PAGEREF _Toc95682078 \h </w:instrText>
            </w:r>
            <w:r w:rsidRPr="007D5303">
              <w:rPr>
                <w:noProof/>
                <w:webHidden/>
              </w:rPr>
            </w:r>
            <w:r w:rsidRPr="007D5303">
              <w:rPr>
                <w:noProof/>
                <w:webHidden/>
              </w:rPr>
              <w:fldChar w:fldCharType="separate"/>
            </w:r>
            <w:r w:rsidRPr="007D5303">
              <w:rPr>
                <w:noProof/>
                <w:webHidden/>
              </w:rPr>
              <w:t>5</w:t>
            </w:r>
            <w:r w:rsidRPr="007D5303">
              <w:rPr>
                <w:noProof/>
                <w:webHidden/>
              </w:rPr>
              <w:fldChar w:fldCharType="end"/>
            </w:r>
          </w:hyperlink>
        </w:p>
        <w:p w14:paraId="7A54F94B" w14:textId="1D97D13C"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79" w:history="1">
            <w:r w:rsidRPr="007D5303">
              <w:rPr>
                <w:rStyle w:val="af2"/>
                <w:rFonts w:eastAsia="黑体"/>
                <w:noProof/>
              </w:rPr>
              <w:t>2021</w:t>
            </w:r>
            <w:r w:rsidRPr="007D5303">
              <w:rPr>
                <w:rStyle w:val="af2"/>
                <w:rFonts w:eastAsia="黑体"/>
                <w:noProof/>
              </w:rPr>
              <w:t>年我国水生生物增殖放流成效显著</w:t>
            </w:r>
            <w:r w:rsidRPr="007D5303">
              <w:rPr>
                <w:noProof/>
                <w:webHidden/>
              </w:rPr>
              <w:tab/>
            </w:r>
            <w:r w:rsidRPr="007D5303">
              <w:rPr>
                <w:noProof/>
                <w:webHidden/>
              </w:rPr>
              <w:fldChar w:fldCharType="begin"/>
            </w:r>
            <w:r w:rsidRPr="007D5303">
              <w:rPr>
                <w:noProof/>
                <w:webHidden/>
              </w:rPr>
              <w:instrText xml:space="preserve"> PAGEREF _Toc95682079 \h </w:instrText>
            </w:r>
            <w:r w:rsidRPr="007D5303">
              <w:rPr>
                <w:noProof/>
                <w:webHidden/>
              </w:rPr>
            </w:r>
            <w:r w:rsidRPr="007D5303">
              <w:rPr>
                <w:noProof/>
                <w:webHidden/>
              </w:rPr>
              <w:fldChar w:fldCharType="separate"/>
            </w:r>
            <w:r w:rsidRPr="007D5303">
              <w:rPr>
                <w:noProof/>
                <w:webHidden/>
              </w:rPr>
              <w:t>5</w:t>
            </w:r>
            <w:r w:rsidRPr="007D5303">
              <w:rPr>
                <w:noProof/>
                <w:webHidden/>
              </w:rPr>
              <w:fldChar w:fldCharType="end"/>
            </w:r>
          </w:hyperlink>
        </w:p>
        <w:p w14:paraId="28ECAA48" w14:textId="5ED2C215"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0" w:history="1">
            <w:r w:rsidRPr="007D5303">
              <w:rPr>
                <w:rStyle w:val="af2"/>
                <w:rFonts w:eastAsia="黑体"/>
                <w:noProof/>
              </w:rPr>
              <w:t>农业农村部长江办开展</w:t>
            </w:r>
            <w:r w:rsidRPr="007D5303">
              <w:rPr>
                <w:rStyle w:val="af2"/>
                <w:rFonts w:eastAsia="黑体"/>
                <w:noProof/>
              </w:rPr>
              <w:t>2022</w:t>
            </w:r>
            <w:r w:rsidRPr="007D5303">
              <w:rPr>
                <w:rStyle w:val="af2"/>
                <w:rFonts w:eastAsia="黑体"/>
                <w:noProof/>
              </w:rPr>
              <w:t>年农历春节禁捕执法巡航检查</w:t>
            </w:r>
            <w:r w:rsidRPr="007D5303">
              <w:rPr>
                <w:noProof/>
                <w:webHidden/>
              </w:rPr>
              <w:tab/>
            </w:r>
            <w:r w:rsidRPr="007D5303">
              <w:rPr>
                <w:noProof/>
                <w:webHidden/>
              </w:rPr>
              <w:fldChar w:fldCharType="begin"/>
            </w:r>
            <w:r w:rsidRPr="007D5303">
              <w:rPr>
                <w:noProof/>
                <w:webHidden/>
              </w:rPr>
              <w:instrText xml:space="preserve"> PAGEREF _Toc95682080 \h </w:instrText>
            </w:r>
            <w:r w:rsidRPr="007D5303">
              <w:rPr>
                <w:noProof/>
                <w:webHidden/>
              </w:rPr>
            </w:r>
            <w:r w:rsidRPr="007D5303">
              <w:rPr>
                <w:noProof/>
                <w:webHidden/>
              </w:rPr>
              <w:fldChar w:fldCharType="separate"/>
            </w:r>
            <w:r w:rsidRPr="007D5303">
              <w:rPr>
                <w:noProof/>
                <w:webHidden/>
              </w:rPr>
              <w:t>6</w:t>
            </w:r>
            <w:r w:rsidRPr="007D5303">
              <w:rPr>
                <w:noProof/>
                <w:webHidden/>
              </w:rPr>
              <w:fldChar w:fldCharType="end"/>
            </w:r>
          </w:hyperlink>
        </w:p>
        <w:p w14:paraId="1A4D65B3" w14:textId="1607ADF9"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1" w:history="1">
            <w:r w:rsidRPr="007D5303">
              <w:rPr>
                <w:rStyle w:val="af2"/>
                <w:rFonts w:eastAsia="黑体"/>
                <w:noProof/>
              </w:rPr>
              <w:t>农业农村部：加快推进牡蛎产业高质量发展</w:t>
            </w:r>
            <w:r w:rsidRPr="007D5303">
              <w:rPr>
                <w:noProof/>
                <w:webHidden/>
              </w:rPr>
              <w:tab/>
            </w:r>
            <w:r w:rsidRPr="007D5303">
              <w:rPr>
                <w:noProof/>
                <w:webHidden/>
              </w:rPr>
              <w:fldChar w:fldCharType="begin"/>
            </w:r>
            <w:r w:rsidRPr="007D5303">
              <w:rPr>
                <w:noProof/>
                <w:webHidden/>
              </w:rPr>
              <w:instrText xml:space="preserve"> PAGEREF _Toc95682081 \h </w:instrText>
            </w:r>
            <w:r w:rsidRPr="007D5303">
              <w:rPr>
                <w:noProof/>
                <w:webHidden/>
              </w:rPr>
            </w:r>
            <w:r w:rsidRPr="007D5303">
              <w:rPr>
                <w:noProof/>
                <w:webHidden/>
              </w:rPr>
              <w:fldChar w:fldCharType="separate"/>
            </w:r>
            <w:r w:rsidRPr="007D5303">
              <w:rPr>
                <w:noProof/>
                <w:webHidden/>
              </w:rPr>
              <w:t>7</w:t>
            </w:r>
            <w:r w:rsidRPr="007D5303">
              <w:rPr>
                <w:noProof/>
                <w:webHidden/>
              </w:rPr>
              <w:fldChar w:fldCharType="end"/>
            </w:r>
          </w:hyperlink>
        </w:p>
        <w:p w14:paraId="264339D4" w14:textId="750AD71F"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2" w:history="1">
            <w:r w:rsidRPr="007D5303">
              <w:rPr>
                <w:rStyle w:val="af2"/>
                <w:rFonts w:eastAsia="黑体"/>
                <w:noProof/>
              </w:rPr>
              <w:t>农业农村部渔业渔政管理局公示</w:t>
            </w:r>
            <w:r w:rsidRPr="007D5303">
              <w:rPr>
                <w:rStyle w:val="af2"/>
                <w:rFonts w:eastAsia="黑体"/>
                <w:noProof/>
              </w:rPr>
              <w:t>2021</w:t>
            </w:r>
            <w:r w:rsidRPr="007D5303">
              <w:rPr>
                <w:rStyle w:val="af2"/>
                <w:rFonts w:eastAsia="黑体"/>
                <w:noProof/>
              </w:rPr>
              <w:t>中国水产种业育繁推一体化优势企业名录</w:t>
            </w:r>
            <w:r w:rsidRPr="007D5303">
              <w:rPr>
                <w:noProof/>
                <w:webHidden/>
              </w:rPr>
              <w:tab/>
            </w:r>
            <w:r w:rsidRPr="007D5303">
              <w:rPr>
                <w:noProof/>
                <w:webHidden/>
              </w:rPr>
              <w:fldChar w:fldCharType="begin"/>
            </w:r>
            <w:r w:rsidRPr="007D5303">
              <w:rPr>
                <w:noProof/>
                <w:webHidden/>
              </w:rPr>
              <w:instrText xml:space="preserve"> PAGEREF _Toc95682082 \h </w:instrText>
            </w:r>
            <w:r w:rsidRPr="007D5303">
              <w:rPr>
                <w:noProof/>
                <w:webHidden/>
              </w:rPr>
            </w:r>
            <w:r w:rsidRPr="007D5303">
              <w:rPr>
                <w:noProof/>
                <w:webHidden/>
              </w:rPr>
              <w:fldChar w:fldCharType="separate"/>
            </w:r>
            <w:r w:rsidRPr="007D5303">
              <w:rPr>
                <w:noProof/>
                <w:webHidden/>
              </w:rPr>
              <w:t>8</w:t>
            </w:r>
            <w:r w:rsidRPr="007D5303">
              <w:rPr>
                <w:noProof/>
                <w:webHidden/>
              </w:rPr>
              <w:fldChar w:fldCharType="end"/>
            </w:r>
          </w:hyperlink>
        </w:p>
        <w:p w14:paraId="7C0E3D86" w14:textId="657B1336" w:rsidR="006A571F" w:rsidRPr="007D5303" w:rsidRDefault="006A571F">
          <w:pPr>
            <w:pStyle w:val="TOC1"/>
            <w:rPr>
              <w:rFonts w:asciiTheme="minorHAnsi" w:eastAsiaTheme="minorEastAsia" w:hAnsiTheme="minorHAnsi" w:cstheme="minorBidi"/>
              <w:b w:val="0"/>
              <w:bCs w:val="0"/>
              <w:noProof/>
              <w:szCs w:val="22"/>
            </w:rPr>
          </w:pPr>
          <w:hyperlink w:anchor="_Toc95682083" w:history="1">
            <w:r w:rsidRPr="007D5303">
              <w:rPr>
                <w:rStyle w:val="af2"/>
                <w:noProof/>
              </w:rPr>
              <w:t>行业资讯</w:t>
            </w:r>
            <w:r w:rsidRPr="007D5303">
              <w:rPr>
                <w:noProof/>
                <w:webHidden/>
              </w:rPr>
              <w:tab/>
            </w:r>
            <w:r w:rsidRPr="007D5303">
              <w:rPr>
                <w:noProof/>
                <w:webHidden/>
              </w:rPr>
              <w:fldChar w:fldCharType="begin"/>
            </w:r>
            <w:r w:rsidRPr="007D5303">
              <w:rPr>
                <w:noProof/>
                <w:webHidden/>
              </w:rPr>
              <w:instrText xml:space="preserve"> PAGEREF _Toc95682083 \h </w:instrText>
            </w:r>
            <w:r w:rsidRPr="007D5303">
              <w:rPr>
                <w:noProof/>
                <w:webHidden/>
              </w:rPr>
            </w:r>
            <w:r w:rsidRPr="007D5303">
              <w:rPr>
                <w:noProof/>
                <w:webHidden/>
              </w:rPr>
              <w:fldChar w:fldCharType="separate"/>
            </w:r>
            <w:r w:rsidRPr="007D5303">
              <w:rPr>
                <w:noProof/>
                <w:webHidden/>
              </w:rPr>
              <w:t>9</w:t>
            </w:r>
            <w:r w:rsidRPr="007D5303">
              <w:rPr>
                <w:noProof/>
                <w:webHidden/>
              </w:rPr>
              <w:fldChar w:fldCharType="end"/>
            </w:r>
          </w:hyperlink>
        </w:p>
        <w:p w14:paraId="495B30C5" w14:textId="5A60232B"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4" w:history="1">
            <w:r w:rsidRPr="007D5303">
              <w:rPr>
                <w:rStyle w:val="af2"/>
                <w:rFonts w:eastAsia="黑体"/>
                <w:noProof/>
                <w:shd w:val="clear" w:color="auto" w:fill="FFFFFF"/>
              </w:rPr>
              <w:t>2021</w:t>
            </w:r>
            <w:r w:rsidRPr="007D5303">
              <w:rPr>
                <w:rStyle w:val="af2"/>
                <w:rFonts w:eastAsia="黑体"/>
                <w:noProof/>
                <w:shd w:val="clear" w:color="auto" w:fill="FFFFFF"/>
              </w:rPr>
              <w:t>年全国饲料工业发展概况</w:t>
            </w:r>
            <w:r w:rsidRPr="007D5303">
              <w:rPr>
                <w:noProof/>
                <w:webHidden/>
              </w:rPr>
              <w:tab/>
            </w:r>
            <w:r w:rsidRPr="007D5303">
              <w:rPr>
                <w:noProof/>
                <w:webHidden/>
              </w:rPr>
              <w:fldChar w:fldCharType="begin"/>
            </w:r>
            <w:r w:rsidRPr="007D5303">
              <w:rPr>
                <w:noProof/>
                <w:webHidden/>
              </w:rPr>
              <w:instrText xml:space="preserve"> PAGEREF _Toc95682084 \h </w:instrText>
            </w:r>
            <w:r w:rsidRPr="007D5303">
              <w:rPr>
                <w:noProof/>
                <w:webHidden/>
              </w:rPr>
            </w:r>
            <w:r w:rsidRPr="007D5303">
              <w:rPr>
                <w:noProof/>
                <w:webHidden/>
              </w:rPr>
              <w:fldChar w:fldCharType="separate"/>
            </w:r>
            <w:r w:rsidRPr="007D5303">
              <w:rPr>
                <w:noProof/>
                <w:webHidden/>
              </w:rPr>
              <w:t>9</w:t>
            </w:r>
            <w:r w:rsidRPr="007D5303">
              <w:rPr>
                <w:noProof/>
                <w:webHidden/>
              </w:rPr>
              <w:fldChar w:fldCharType="end"/>
            </w:r>
          </w:hyperlink>
        </w:p>
        <w:p w14:paraId="4A6ACF68" w14:textId="62BB8AB7"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5" w:history="1">
            <w:r w:rsidRPr="007D5303">
              <w:rPr>
                <w:rStyle w:val="af2"/>
                <w:rFonts w:eastAsia="黑体"/>
                <w:noProof/>
              </w:rPr>
              <w:t>农业农村部和山东省积极应对海带重大灾害</w:t>
            </w:r>
            <w:r w:rsidRPr="007D5303">
              <w:rPr>
                <w:noProof/>
                <w:webHidden/>
              </w:rPr>
              <w:tab/>
            </w:r>
            <w:r w:rsidRPr="007D5303">
              <w:rPr>
                <w:noProof/>
                <w:webHidden/>
              </w:rPr>
              <w:fldChar w:fldCharType="begin"/>
            </w:r>
            <w:r w:rsidRPr="007D5303">
              <w:rPr>
                <w:noProof/>
                <w:webHidden/>
              </w:rPr>
              <w:instrText xml:space="preserve"> PAGEREF _Toc95682085 \h </w:instrText>
            </w:r>
            <w:r w:rsidRPr="007D5303">
              <w:rPr>
                <w:noProof/>
                <w:webHidden/>
              </w:rPr>
            </w:r>
            <w:r w:rsidRPr="007D5303">
              <w:rPr>
                <w:noProof/>
                <w:webHidden/>
              </w:rPr>
              <w:fldChar w:fldCharType="separate"/>
            </w:r>
            <w:r w:rsidRPr="007D5303">
              <w:rPr>
                <w:noProof/>
                <w:webHidden/>
              </w:rPr>
              <w:t>14</w:t>
            </w:r>
            <w:r w:rsidRPr="007D5303">
              <w:rPr>
                <w:noProof/>
                <w:webHidden/>
              </w:rPr>
              <w:fldChar w:fldCharType="end"/>
            </w:r>
          </w:hyperlink>
        </w:p>
        <w:p w14:paraId="7EA39A73" w14:textId="0165C4FF"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6" w:history="1">
            <w:r w:rsidRPr="007D5303">
              <w:rPr>
                <w:rStyle w:val="af2"/>
                <w:rFonts w:eastAsia="黑体"/>
                <w:noProof/>
              </w:rPr>
              <w:t>2021</w:t>
            </w:r>
            <w:r w:rsidRPr="007D5303">
              <w:rPr>
                <w:rStyle w:val="af2"/>
                <w:rFonts w:eastAsia="黑体"/>
                <w:noProof/>
              </w:rPr>
              <w:t>年我国水产品贸易总额</w:t>
            </w:r>
            <w:r w:rsidRPr="007D5303">
              <w:rPr>
                <w:rStyle w:val="af2"/>
                <w:rFonts w:eastAsia="黑体"/>
                <w:noProof/>
              </w:rPr>
              <w:t>397.69</w:t>
            </w:r>
            <w:r w:rsidRPr="007D5303">
              <w:rPr>
                <w:rStyle w:val="af2"/>
                <w:rFonts w:eastAsia="黑体"/>
                <w:noProof/>
              </w:rPr>
              <w:t>亿美元</w:t>
            </w:r>
            <w:r w:rsidRPr="007D5303">
              <w:rPr>
                <w:noProof/>
                <w:webHidden/>
              </w:rPr>
              <w:tab/>
            </w:r>
            <w:r w:rsidRPr="007D5303">
              <w:rPr>
                <w:noProof/>
                <w:webHidden/>
              </w:rPr>
              <w:fldChar w:fldCharType="begin"/>
            </w:r>
            <w:r w:rsidRPr="007D5303">
              <w:rPr>
                <w:noProof/>
                <w:webHidden/>
              </w:rPr>
              <w:instrText xml:space="preserve"> PAGEREF _Toc95682086 \h </w:instrText>
            </w:r>
            <w:r w:rsidRPr="007D5303">
              <w:rPr>
                <w:noProof/>
                <w:webHidden/>
              </w:rPr>
            </w:r>
            <w:r w:rsidRPr="007D5303">
              <w:rPr>
                <w:noProof/>
                <w:webHidden/>
              </w:rPr>
              <w:fldChar w:fldCharType="separate"/>
            </w:r>
            <w:r w:rsidRPr="007D5303">
              <w:rPr>
                <w:noProof/>
                <w:webHidden/>
              </w:rPr>
              <w:t>14</w:t>
            </w:r>
            <w:r w:rsidRPr="007D5303">
              <w:rPr>
                <w:noProof/>
                <w:webHidden/>
              </w:rPr>
              <w:fldChar w:fldCharType="end"/>
            </w:r>
          </w:hyperlink>
        </w:p>
        <w:p w14:paraId="65692D87" w14:textId="648D2357"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7" w:history="1">
            <w:r w:rsidRPr="007D5303">
              <w:rPr>
                <w:rStyle w:val="af2"/>
                <w:rFonts w:eastAsia="黑体"/>
                <w:noProof/>
              </w:rPr>
              <w:t>农业农村部批准</w:t>
            </w:r>
            <w:r w:rsidRPr="007D5303">
              <w:rPr>
                <w:rStyle w:val="af2"/>
                <w:rFonts w:eastAsia="黑体"/>
                <w:noProof/>
              </w:rPr>
              <w:t>3</w:t>
            </w:r>
            <w:r w:rsidRPr="007D5303">
              <w:rPr>
                <w:rStyle w:val="af2"/>
                <w:rFonts w:eastAsia="黑体"/>
                <w:noProof/>
              </w:rPr>
              <w:t>家单位为国家级水产良种场</w:t>
            </w:r>
            <w:r w:rsidRPr="007D5303">
              <w:rPr>
                <w:noProof/>
                <w:webHidden/>
              </w:rPr>
              <w:tab/>
            </w:r>
            <w:r w:rsidRPr="007D5303">
              <w:rPr>
                <w:noProof/>
                <w:webHidden/>
              </w:rPr>
              <w:fldChar w:fldCharType="begin"/>
            </w:r>
            <w:r w:rsidRPr="007D5303">
              <w:rPr>
                <w:noProof/>
                <w:webHidden/>
              </w:rPr>
              <w:instrText xml:space="preserve"> PAGEREF _Toc95682087 \h </w:instrText>
            </w:r>
            <w:r w:rsidRPr="007D5303">
              <w:rPr>
                <w:noProof/>
                <w:webHidden/>
              </w:rPr>
            </w:r>
            <w:r w:rsidRPr="007D5303">
              <w:rPr>
                <w:noProof/>
                <w:webHidden/>
              </w:rPr>
              <w:fldChar w:fldCharType="separate"/>
            </w:r>
            <w:r w:rsidRPr="007D5303">
              <w:rPr>
                <w:noProof/>
                <w:webHidden/>
              </w:rPr>
              <w:t>15</w:t>
            </w:r>
            <w:r w:rsidRPr="007D5303">
              <w:rPr>
                <w:noProof/>
                <w:webHidden/>
              </w:rPr>
              <w:fldChar w:fldCharType="end"/>
            </w:r>
          </w:hyperlink>
        </w:p>
        <w:p w14:paraId="0F0488B6" w14:textId="7D8E7A16"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8" w:history="1">
            <w:r w:rsidRPr="007D5303">
              <w:rPr>
                <w:rStyle w:val="af2"/>
                <w:rFonts w:eastAsia="黑体"/>
                <w:noProof/>
              </w:rPr>
              <w:t>福建开始发放海洋渔业资源养护补贴</w:t>
            </w:r>
            <w:r w:rsidRPr="007D5303">
              <w:rPr>
                <w:noProof/>
                <w:webHidden/>
              </w:rPr>
              <w:tab/>
            </w:r>
            <w:r w:rsidRPr="007D5303">
              <w:rPr>
                <w:noProof/>
                <w:webHidden/>
              </w:rPr>
              <w:fldChar w:fldCharType="begin"/>
            </w:r>
            <w:r w:rsidRPr="007D5303">
              <w:rPr>
                <w:noProof/>
                <w:webHidden/>
              </w:rPr>
              <w:instrText xml:space="preserve"> PAGEREF _Toc95682088 \h </w:instrText>
            </w:r>
            <w:r w:rsidRPr="007D5303">
              <w:rPr>
                <w:noProof/>
                <w:webHidden/>
              </w:rPr>
            </w:r>
            <w:r w:rsidRPr="007D5303">
              <w:rPr>
                <w:noProof/>
                <w:webHidden/>
              </w:rPr>
              <w:fldChar w:fldCharType="separate"/>
            </w:r>
            <w:r w:rsidRPr="007D5303">
              <w:rPr>
                <w:noProof/>
                <w:webHidden/>
              </w:rPr>
              <w:t>16</w:t>
            </w:r>
            <w:r w:rsidRPr="007D5303">
              <w:rPr>
                <w:noProof/>
                <w:webHidden/>
              </w:rPr>
              <w:fldChar w:fldCharType="end"/>
            </w:r>
          </w:hyperlink>
        </w:p>
        <w:p w14:paraId="3BFD5A7A" w14:textId="1E5E3D75"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89" w:history="1">
            <w:r w:rsidRPr="007D5303">
              <w:rPr>
                <w:rStyle w:val="af2"/>
                <w:rFonts w:eastAsia="黑体"/>
                <w:noProof/>
              </w:rPr>
              <w:t>贵州加快推进生态渔业高质量发展</w:t>
            </w:r>
            <w:r w:rsidRPr="007D5303">
              <w:rPr>
                <w:noProof/>
                <w:webHidden/>
              </w:rPr>
              <w:tab/>
            </w:r>
            <w:r w:rsidRPr="007D5303">
              <w:rPr>
                <w:noProof/>
                <w:webHidden/>
              </w:rPr>
              <w:fldChar w:fldCharType="begin"/>
            </w:r>
            <w:r w:rsidRPr="007D5303">
              <w:rPr>
                <w:noProof/>
                <w:webHidden/>
              </w:rPr>
              <w:instrText xml:space="preserve"> PAGEREF _Toc95682089 \h </w:instrText>
            </w:r>
            <w:r w:rsidRPr="007D5303">
              <w:rPr>
                <w:noProof/>
                <w:webHidden/>
              </w:rPr>
            </w:r>
            <w:r w:rsidRPr="007D5303">
              <w:rPr>
                <w:noProof/>
                <w:webHidden/>
              </w:rPr>
              <w:fldChar w:fldCharType="separate"/>
            </w:r>
            <w:r w:rsidRPr="007D5303">
              <w:rPr>
                <w:noProof/>
                <w:webHidden/>
              </w:rPr>
              <w:t>16</w:t>
            </w:r>
            <w:r w:rsidRPr="007D5303">
              <w:rPr>
                <w:noProof/>
                <w:webHidden/>
              </w:rPr>
              <w:fldChar w:fldCharType="end"/>
            </w:r>
          </w:hyperlink>
        </w:p>
        <w:p w14:paraId="0184C22E" w14:textId="7168D9EC" w:rsidR="006A571F" w:rsidRPr="007D5303" w:rsidRDefault="006A571F">
          <w:pPr>
            <w:pStyle w:val="TOC1"/>
            <w:rPr>
              <w:rFonts w:asciiTheme="minorHAnsi" w:eastAsiaTheme="minorEastAsia" w:hAnsiTheme="minorHAnsi" w:cstheme="minorBidi"/>
              <w:b w:val="0"/>
              <w:bCs w:val="0"/>
              <w:noProof/>
              <w:szCs w:val="22"/>
            </w:rPr>
          </w:pPr>
          <w:hyperlink w:anchor="_Toc95682090" w:history="1">
            <w:r w:rsidRPr="007D5303">
              <w:rPr>
                <w:rStyle w:val="af2"/>
                <w:noProof/>
              </w:rPr>
              <w:t>产业报告</w:t>
            </w:r>
            <w:r w:rsidRPr="007D5303">
              <w:rPr>
                <w:noProof/>
                <w:webHidden/>
              </w:rPr>
              <w:tab/>
            </w:r>
            <w:r w:rsidRPr="007D5303">
              <w:rPr>
                <w:noProof/>
                <w:webHidden/>
              </w:rPr>
              <w:fldChar w:fldCharType="begin"/>
            </w:r>
            <w:r w:rsidRPr="007D5303">
              <w:rPr>
                <w:noProof/>
                <w:webHidden/>
              </w:rPr>
              <w:instrText xml:space="preserve"> PAGEREF _Toc95682090 \h </w:instrText>
            </w:r>
            <w:r w:rsidRPr="007D5303">
              <w:rPr>
                <w:noProof/>
                <w:webHidden/>
              </w:rPr>
            </w:r>
            <w:r w:rsidRPr="007D5303">
              <w:rPr>
                <w:noProof/>
                <w:webHidden/>
              </w:rPr>
              <w:fldChar w:fldCharType="separate"/>
            </w:r>
            <w:r w:rsidRPr="007D5303">
              <w:rPr>
                <w:noProof/>
                <w:webHidden/>
              </w:rPr>
              <w:t>18</w:t>
            </w:r>
            <w:r w:rsidRPr="007D5303">
              <w:rPr>
                <w:noProof/>
                <w:webHidden/>
              </w:rPr>
              <w:fldChar w:fldCharType="end"/>
            </w:r>
          </w:hyperlink>
        </w:p>
        <w:p w14:paraId="5D1A199A" w14:textId="08C3EFB9"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91" w:history="1">
            <w:r w:rsidRPr="007D5303">
              <w:rPr>
                <w:rStyle w:val="af2"/>
                <w:rFonts w:eastAsia="黑体"/>
                <w:noProof/>
              </w:rPr>
              <w:t>乳山牡蛎产业发展报告</w:t>
            </w:r>
            <w:r w:rsidRPr="007D5303">
              <w:rPr>
                <w:noProof/>
                <w:webHidden/>
              </w:rPr>
              <w:tab/>
            </w:r>
            <w:r w:rsidRPr="007D5303">
              <w:rPr>
                <w:noProof/>
                <w:webHidden/>
              </w:rPr>
              <w:fldChar w:fldCharType="begin"/>
            </w:r>
            <w:r w:rsidRPr="007D5303">
              <w:rPr>
                <w:noProof/>
                <w:webHidden/>
              </w:rPr>
              <w:instrText xml:space="preserve"> PAGEREF _Toc95682091 \h </w:instrText>
            </w:r>
            <w:r w:rsidRPr="007D5303">
              <w:rPr>
                <w:noProof/>
                <w:webHidden/>
              </w:rPr>
            </w:r>
            <w:r w:rsidRPr="007D5303">
              <w:rPr>
                <w:noProof/>
                <w:webHidden/>
              </w:rPr>
              <w:fldChar w:fldCharType="separate"/>
            </w:r>
            <w:r w:rsidRPr="007D5303">
              <w:rPr>
                <w:noProof/>
                <w:webHidden/>
              </w:rPr>
              <w:t>18</w:t>
            </w:r>
            <w:r w:rsidRPr="007D5303">
              <w:rPr>
                <w:noProof/>
                <w:webHidden/>
              </w:rPr>
              <w:fldChar w:fldCharType="end"/>
            </w:r>
          </w:hyperlink>
        </w:p>
        <w:p w14:paraId="4D55204F" w14:textId="35237CBC" w:rsidR="006A571F" w:rsidRPr="007D5303" w:rsidRDefault="006A571F">
          <w:pPr>
            <w:pStyle w:val="TOC1"/>
            <w:rPr>
              <w:rFonts w:asciiTheme="minorHAnsi" w:eastAsiaTheme="minorEastAsia" w:hAnsiTheme="minorHAnsi" w:cstheme="minorBidi"/>
              <w:b w:val="0"/>
              <w:bCs w:val="0"/>
              <w:noProof/>
              <w:szCs w:val="22"/>
            </w:rPr>
          </w:pPr>
          <w:hyperlink w:anchor="_Toc95682092" w:history="1">
            <w:r w:rsidRPr="007D5303">
              <w:rPr>
                <w:rStyle w:val="af2"/>
                <w:noProof/>
              </w:rPr>
              <w:t>会议传递</w:t>
            </w:r>
            <w:r w:rsidRPr="007D5303">
              <w:rPr>
                <w:noProof/>
                <w:webHidden/>
              </w:rPr>
              <w:tab/>
            </w:r>
            <w:r w:rsidRPr="007D5303">
              <w:rPr>
                <w:noProof/>
                <w:webHidden/>
              </w:rPr>
              <w:fldChar w:fldCharType="begin"/>
            </w:r>
            <w:r w:rsidRPr="007D5303">
              <w:rPr>
                <w:noProof/>
                <w:webHidden/>
              </w:rPr>
              <w:instrText xml:space="preserve"> PAGEREF _Toc95682092 \h </w:instrText>
            </w:r>
            <w:r w:rsidRPr="007D5303">
              <w:rPr>
                <w:noProof/>
                <w:webHidden/>
              </w:rPr>
            </w:r>
            <w:r w:rsidRPr="007D5303">
              <w:rPr>
                <w:noProof/>
                <w:webHidden/>
              </w:rPr>
              <w:fldChar w:fldCharType="separate"/>
            </w:r>
            <w:r w:rsidRPr="007D5303">
              <w:rPr>
                <w:noProof/>
                <w:webHidden/>
              </w:rPr>
              <w:t>26</w:t>
            </w:r>
            <w:r w:rsidRPr="007D5303">
              <w:rPr>
                <w:noProof/>
                <w:webHidden/>
              </w:rPr>
              <w:fldChar w:fldCharType="end"/>
            </w:r>
          </w:hyperlink>
        </w:p>
        <w:p w14:paraId="55C54333" w14:textId="096D439A"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93" w:history="1">
            <w:r w:rsidRPr="007D5303">
              <w:rPr>
                <w:rStyle w:val="af2"/>
                <w:rFonts w:eastAsia="黑体"/>
                <w:noProof/>
              </w:rPr>
              <w:t>2022</w:t>
            </w:r>
            <w:r w:rsidRPr="007D5303">
              <w:rPr>
                <w:rStyle w:val="af2"/>
                <w:rFonts w:eastAsia="黑体"/>
                <w:noProof/>
              </w:rPr>
              <w:t>水产养殖采购会暨水产养殖绿色发展峰会将在漳州召开</w:t>
            </w:r>
            <w:r w:rsidRPr="007D5303">
              <w:rPr>
                <w:noProof/>
                <w:webHidden/>
              </w:rPr>
              <w:tab/>
            </w:r>
            <w:r w:rsidRPr="007D5303">
              <w:rPr>
                <w:noProof/>
                <w:webHidden/>
              </w:rPr>
              <w:fldChar w:fldCharType="begin"/>
            </w:r>
            <w:r w:rsidRPr="007D5303">
              <w:rPr>
                <w:noProof/>
                <w:webHidden/>
              </w:rPr>
              <w:instrText xml:space="preserve"> PAGEREF _Toc95682093 \h </w:instrText>
            </w:r>
            <w:r w:rsidRPr="007D5303">
              <w:rPr>
                <w:noProof/>
                <w:webHidden/>
              </w:rPr>
            </w:r>
            <w:r w:rsidRPr="007D5303">
              <w:rPr>
                <w:noProof/>
                <w:webHidden/>
              </w:rPr>
              <w:fldChar w:fldCharType="separate"/>
            </w:r>
            <w:r w:rsidRPr="007D5303">
              <w:rPr>
                <w:noProof/>
                <w:webHidden/>
              </w:rPr>
              <w:t>26</w:t>
            </w:r>
            <w:r w:rsidRPr="007D5303">
              <w:rPr>
                <w:noProof/>
                <w:webHidden/>
              </w:rPr>
              <w:fldChar w:fldCharType="end"/>
            </w:r>
          </w:hyperlink>
        </w:p>
        <w:p w14:paraId="0BAFE6D4" w14:textId="59BD73FB" w:rsidR="006A571F" w:rsidRPr="007D5303" w:rsidRDefault="006A571F">
          <w:pPr>
            <w:pStyle w:val="TOC1"/>
            <w:rPr>
              <w:rFonts w:asciiTheme="minorHAnsi" w:eastAsiaTheme="minorEastAsia" w:hAnsiTheme="minorHAnsi" w:cstheme="minorBidi"/>
              <w:b w:val="0"/>
              <w:bCs w:val="0"/>
              <w:noProof/>
              <w:szCs w:val="22"/>
            </w:rPr>
          </w:pPr>
          <w:hyperlink w:anchor="_Toc95682094" w:history="1">
            <w:r w:rsidRPr="007D5303">
              <w:rPr>
                <w:rStyle w:val="af2"/>
                <w:noProof/>
              </w:rPr>
              <w:t>经营管理</w:t>
            </w:r>
            <w:r w:rsidRPr="007D5303">
              <w:rPr>
                <w:noProof/>
                <w:webHidden/>
              </w:rPr>
              <w:tab/>
            </w:r>
            <w:r w:rsidRPr="007D5303">
              <w:rPr>
                <w:noProof/>
                <w:webHidden/>
              </w:rPr>
              <w:fldChar w:fldCharType="begin"/>
            </w:r>
            <w:r w:rsidRPr="007D5303">
              <w:rPr>
                <w:noProof/>
                <w:webHidden/>
              </w:rPr>
              <w:instrText xml:space="preserve"> PAGEREF _Toc95682094 \h </w:instrText>
            </w:r>
            <w:r w:rsidRPr="007D5303">
              <w:rPr>
                <w:noProof/>
                <w:webHidden/>
              </w:rPr>
            </w:r>
            <w:r w:rsidRPr="007D5303">
              <w:rPr>
                <w:noProof/>
                <w:webHidden/>
              </w:rPr>
              <w:fldChar w:fldCharType="separate"/>
            </w:r>
            <w:r w:rsidRPr="007D5303">
              <w:rPr>
                <w:noProof/>
                <w:webHidden/>
              </w:rPr>
              <w:t>28</w:t>
            </w:r>
            <w:r w:rsidRPr="007D5303">
              <w:rPr>
                <w:noProof/>
                <w:webHidden/>
              </w:rPr>
              <w:fldChar w:fldCharType="end"/>
            </w:r>
          </w:hyperlink>
        </w:p>
        <w:p w14:paraId="76370AAF" w14:textId="5F809CE6"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95" w:history="1">
            <w:r w:rsidRPr="007D5303">
              <w:rPr>
                <w:rStyle w:val="af2"/>
                <w:rFonts w:eastAsia="黑体"/>
                <w:noProof/>
              </w:rPr>
              <w:t>企业发展新机遇，来自这四大「新」挑战</w:t>
            </w:r>
            <w:r w:rsidRPr="007D5303">
              <w:rPr>
                <w:noProof/>
                <w:webHidden/>
              </w:rPr>
              <w:tab/>
            </w:r>
            <w:r w:rsidRPr="007D5303">
              <w:rPr>
                <w:noProof/>
                <w:webHidden/>
              </w:rPr>
              <w:fldChar w:fldCharType="begin"/>
            </w:r>
            <w:r w:rsidRPr="007D5303">
              <w:rPr>
                <w:noProof/>
                <w:webHidden/>
              </w:rPr>
              <w:instrText xml:space="preserve"> PAGEREF _Toc95682095 \h </w:instrText>
            </w:r>
            <w:r w:rsidRPr="007D5303">
              <w:rPr>
                <w:noProof/>
                <w:webHidden/>
              </w:rPr>
            </w:r>
            <w:r w:rsidRPr="007D5303">
              <w:rPr>
                <w:noProof/>
                <w:webHidden/>
              </w:rPr>
              <w:fldChar w:fldCharType="separate"/>
            </w:r>
            <w:r w:rsidRPr="007D5303">
              <w:rPr>
                <w:noProof/>
                <w:webHidden/>
              </w:rPr>
              <w:t>28</w:t>
            </w:r>
            <w:r w:rsidRPr="007D5303">
              <w:rPr>
                <w:noProof/>
                <w:webHidden/>
              </w:rPr>
              <w:fldChar w:fldCharType="end"/>
            </w:r>
          </w:hyperlink>
        </w:p>
        <w:p w14:paraId="38A1DA34" w14:textId="73372027" w:rsidR="006A571F" w:rsidRPr="007D5303" w:rsidRDefault="006A571F">
          <w:pPr>
            <w:pStyle w:val="TOC1"/>
            <w:rPr>
              <w:rFonts w:asciiTheme="minorHAnsi" w:eastAsiaTheme="minorEastAsia" w:hAnsiTheme="minorHAnsi" w:cstheme="minorBidi"/>
              <w:b w:val="0"/>
              <w:bCs w:val="0"/>
              <w:noProof/>
              <w:szCs w:val="22"/>
            </w:rPr>
          </w:pPr>
          <w:hyperlink w:anchor="_Toc95682096" w:history="1">
            <w:r w:rsidRPr="007D5303">
              <w:rPr>
                <w:rStyle w:val="af2"/>
                <w:noProof/>
              </w:rPr>
              <w:t>研究进展</w:t>
            </w:r>
            <w:r w:rsidRPr="007D5303">
              <w:rPr>
                <w:noProof/>
                <w:webHidden/>
              </w:rPr>
              <w:tab/>
            </w:r>
            <w:r w:rsidRPr="007D5303">
              <w:rPr>
                <w:noProof/>
                <w:webHidden/>
              </w:rPr>
              <w:fldChar w:fldCharType="begin"/>
            </w:r>
            <w:r w:rsidRPr="007D5303">
              <w:rPr>
                <w:noProof/>
                <w:webHidden/>
              </w:rPr>
              <w:instrText xml:space="preserve"> PAGEREF _Toc95682096 \h </w:instrText>
            </w:r>
            <w:r w:rsidRPr="007D5303">
              <w:rPr>
                <w:noProof/>
                <w:webHidden/>
              </w:rPr>
            </w:r>
            <w:r w:rsidRPr="007D5303">
              <w:rPr>
                <w:noProof/>
                <w:webHidden/>
              </w:rPr>
              <w:fldChar w:fldCharType="separate"/>
            </w:r>
            <w:r w:rsidRPr="007D5303">
              <w:rPr>
                <w:noProof/>
                <w:webHidden/>
              </w:rPr>
              <w:t>30</w:t>
            </w:r>
            <w:r w:rsidRPr="007D5303">
              <w:rPr>
                <w:noProof/>
                <w:webHidden/>
              </w:rPr>
              <w:fldChar w:fldCharType="end"/>
            </w:r>
          </w:hyperlink>
        </w:p>
        <w:p w14:paraId="343CD5D5" w14:textId="1BB3D8BC"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97" w:history="1">
            <w:r w:rsidRPr="007D5303">
              <w:rPr>
                <w:rStyle w:val="af2"/>
                <w:rFonts w:eastAsia="黑体"/>
                <w:noProof/>
              </w:rPr>
              <w:t>大豆抗原蛋白对水生动物肠道健康的影响及改善对策</w:t>
            </w:r>
            <w:r w:rsidRPr="007D5303">
              <w:rPr>
                <w:noProof/>
                <w:webHidden/>
              </w:rPr>
              <w:tab/>
            </w:r>
            <w:r w:rsidRPr="007D5303">
              <w:rPr>
                <w:noProof/>
                <w:webHidden/>
              </w:rPr>
              <w:fldChar w:fldCharType="begin"/>
            </w:r>
            <w:r w:rsidRPr="007D5303">
              <w:rPr>
                <w:noProof/>
                <w:webHidden/>
              </w:rPr>
              <w:instrText xml:space="preserve"> PAGEREF _Toc95682097 \h </w:instrText>
            </w:r>
            <w:r w:rsidRPr="007D5303">
              <w:rPr>
                <w:noProof/>
                <w:webHidden/>
              </w:rPr>
            </w:r>
            <w:r w:rsidRPr="007D5303">
              <w:rPr>
                <w:noProof/>
                <w:webHidden/>
              </w:rPr>
              <w:fldChar w:fldCharType="separate"/>
            </w:r>
            <w:r w:rsidRPr="007D5303">
              <w:rPr>
                <w:noProof/>
                <w:webHidden/>
              </w:rPr>
              <w:t>30</w:t>
            </w:r>
            <w:r w:rsidRPr="007D5303">
              <w:rPr>
                <w:noProof/>
                <w:webHidden/>
              </w:rPr>
              <w:fldChar w:fldCharType="end"/>
            </w:r>
          </w:hyperlink>
        </w:p>
        <w:p w14:paraId="1CE41729" w14:textId="43FC5810"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098" w:history="1">
            <w:r w:rsidRPr="007D5303">
              <w:rPr>
                <w:rStyle w:val="af2"/>
                <w:rFonts w:eastAsia="黑体"/>
                <w:noProof/>
              </w:rPr>
              <w:t>功能性氨基酸在水产甲壳类动物中研究进展和应用前景</w:t>
            </w:r>
            <w:r w:rsidRPr="007D5303">
              <w:rPr>
                <w:noProof/>
                <w:webHidden/>
              </w:rPr>
              <w:tab/>
            </w:r>
            <w:r w:rsidRPr="007D5303">
              <w:rPr>
                <w:noProof/>
                <w:webHidden/>
              </w:rPr>
              <w:fldChar w:fldCharType="begin"/>
            </w:r>
            <w:r w:rsidRPr="007D5303">
              <w:rPr>
                <w:noProof/>
                <w:webHidden/>
              </w:rPr>
              <w:instrText xml:space="preserve"> PAGEREF _Toc95682098 \h </w:instrText>
            </w:r>
            <w:r w:rsidRPr="007D5303">
              <w:rPr>
                <w:noProof/>
                <w:webHidden/>
              </w:rPr>
            </w:r>
            <w:r w:rsidRPr="007D5303">
              <w:rPr>
                <w:noProof/>
                <w:webHidden/>
              </w:rPr>
              <w:fldChar w:fldCharType="separate"/>
            </w:r>
            <w:r w:rsidRPr="007D5303">
              <w:rPr>
                <w:noProof/>
                <w:webHidden/>
              </w:rPr>
              <w:t>36</w:t>
            </w:r>
            <w:r w:rsidRPr="007D5303">
              <w:rPr>
                <w:noProof/>
                <w:webHidden/>
              </w:rPr>
              <w:fldChar w:fldCharType="end"/>
            </w:r>
          </w:hyperlink>
        </w:p>
        <w:p w14:paraId="75593E02" w14:textId="05D5FF52" w:rsidR="006A571F" w:rsidRPr="007D5303" w:rsidRDefault="006A571F">
          <w:pPr>
            <w:pStyle w:val="TOC1"/>
            <w:rPr>
              <w:rFonts w:asciiTheme="minorHAnsi" w:eastAsiaTheme="minorEastAsia" w:hAnsiTheme="minorHAnsi" w:cstheme="minorBidi"/>
              <w:b w:val="0"/>
              <w:bCs w:val="0"/>
              <w:noProof/>
              <w:szCs w:val="22"/>
            </w:rPr>
          </w:pPr>
          <w:hyperlink w:anchor="_Toc95682099" w:history="1">
            <w:r w:rsidRPr="007D5303">
              <w:rPr>
                <w:rStyle w:val="af2"/>
                <w:noProof/>
              </w:rPr>
              <w:t>科学研究</w:t>
            </w:r>
            <w:r w:rsidRPr="007D5303">
              <w:rPr>
                <w:noProof/>
                <w:webHidden/>
              </w:rPr>
              <w:tab/>
            </w:r>
            <w:r w:rsidRPr="007D5303">
              <w:rPr>
                <w:noProof/>
                <w:webHidden/>
              </w:rPr>
              <w:fldChar w:fldCharType="begin"/>
            </w:r>
            <w:r w:rsidRPr="007D5303">
              <w:rPr>
                <w:noProof/>
                <w:webHidden/>
              </w:rPr>
              <w:instrText xml:space="preserve"> PAGEREF _Toc95682099 \h </w:instrText>
            </w:r>
            <w:r w:rsidRPr="007D5303">
              <w:rPr>
                <w:noProof/>
                <w:webHidden/>
              </w:rPr>
            </w:r>
            <w:r w:rsidRPr="007D5303">
              <w:rPr>
                <w:noProof/>
                <w:webHidden/>
              </w:rPr>
              <w:fldChar w:fldCharType="separate"/>
            </w:r>
            <w:r w:rsidRPr="007D5303">
              <w:rPr>
                <w:noProof/>
                <w:webHidden/>
              </w:rPr>
              <w:t>43</w:t>
            </w:r>
            <w:r w:rsidRPr="007D5303">
              <w:rPr>
                <w:noProof/>
                <w:webHidden/>
              </w:rPr>
              <w:fldChar w:fldCharType="end"/>
            </w:r>
          </w:hyperlink>
        </w:p>
        <w:p w14:paraId="7BACC2D1" w14:textId="1E3E14F8"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100" w:history="1">
            <w:r w:rsidRPr="007D5303">
              <w:rPr>
                <w:rStyle w:val="af2"/>
                <w:rFonts w:eastAsia="黑体"/>
                <w:noProof/>
              </w:rPr>
              <w:t>精氨酸对杂交鳢生长性能、体组成、血浆生化指标及抗氧化能力的影响</w:t>
            </w:r>
            <w:r w:rsidRPr="007D5303">
              <w:rPr>
                <w:noProof/>
                <w:webHidden/>
              </w:rPr>
              <w:tab/>
            </w:r>
            <w:r w:rsidRPr="007D5303">
              <w:rPr>
                <w:noProof/>
                <w:webHidden/>
              </w:rPr>
              <w:fldChar w:fldCharType="begin"/>
            </w:r>
            <w:r w:rsidRPr="007D5303">
              <w:rPr>
                <w:noProof/>
                <w:webHidden/>
              </w:rPr>
              <w:instrText xml:space="preserve"> PAGEREF _Toc95682100 \h </w:instrText>
            </w:r>
            <w:r w:rsidRPr="007D5303">
              <w:rPr>
                <w:noProof/>
                <w:webHidden/>
              </w:rPr>
            </w:r>
            <w:r w:rsidRPr="007D5303">
              <w:rPr>
                <w:noProof/>
                <w:webHidden/>
              </w:rPr>
              <w:fldChar w:fldCharType="separate"/>
            </w:r>
            <w:r w:rsidRPr="007D5303">
              <w:rPr>
                <w:noProof/>
                <w:webHidden/>
              </w:rPr>
              <w:t>43</w:t>
            </w:r>
            <w:r w:rsidRPr="007D5303">
              <w:rPr>
                <w:noProof/>
                <w:webHidden/>
              </w:rPr>
              <w:fldChar w:fldCharType="end"/>
            </w:r>
          </w:hyperlink>
        </w:p>
        <w:p w14:paraId="2DBAC1F0" w14:textId="35C9307D"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101" w:history="1">
            <w:r w:rsidRPr="007D5303">
              <w:rPr>
                <w:rStyle w:val="af2"/>
                <w:rFonts w:eastAsia="黑体"/>
                <w:noProof/>
              </w:rPr>
              <w:t>饥饿胁迫对淡水石首鱼形体指标、肌肉脂肪酸组成及肝脏脂肪代谢基因表达的影响</w:t>
            </w:r>
            <w:r w:rsidRPr="007D5303">
              <w:rPr>
                <w:noProof/>
                <w:webHidden/>
              </w:rPr>
              <w:tab/>
            </w:r>
            <w:r w:rsidRPr="007D5303">
              <w:rPr>
                <w:noProof/>
                <w:webHidden/>
              </w:rPr>
              <w:fldChar w:fldCharType="begin"/>
            </w:r>
            <w:r w:rsidRPr="007D5303">
              <w:rPr>
                <w:noProof/>
                <w:webHidden/>
              </w:rPr>
              <w:instrText xml:space="preserve"> PAGEREF _Toc95682101 \h </w:instrText>
            </w:r>
            <w:r w:rsidRPr="007D5303">
              <w:rPr>
                <w:noProof/>
                <w:webHidden/>
              </w:rPr>
            </w:r>
            <w:r w:rsidRPr="007D5303">
              <w:rPr>
                <w:noProof/>
                <w:webHidden/>
              </w:rPr>
              <w:fldChar w:fldCharType="separate"/>
            </w:r>
            <w:r w:rsidRPr="007D5303">
              <w:rPr>
                <w:noProof/>
                <w:webHidden/>
              </w:rPr>
              <w:t>53</w:t>
            </w:r>
            <w:r w:rsidRPr="007D5303">
              <w:rPr>
                <w:noProof/>
                <w:webHidden/>
              </w:rPr>
              <w:fldChar w:fldCharType="end"/>
            </w:r>
          </w:hyperlink>
        </w:p>
        <w:p w14:paraId="70AEF152" w14:textId="538A6EC7" w:rsidR="006A571F" w:rsidRPr="007D5303" w:rsidRDefault="006A571F">
          <w:pPr>
            <w:pStyle w:val="TOC1"/>
            <w:rPr>
              <w:rFonts w:asciiTheme="minorHAnsi" w:eastAsiaTheme="minorEastAsia" w:hAnsiTheme="minorHAnsi" w:cstheme="minorBidi"/>
              <w:b w:val="0"/>
              <w:bCs w:val="0"/>
              <w:noProof/>
              <w:szCs w:val="22"/>
            </w:rPr>
          </w:pPr>
          <w:hyperlink w:anchor="_Toc95682102" w:history="1">
            <w:r w:rsidRPr="007D5303">
              <w:rPr>
                <w:rStyle w:val="af2"/>
                <w:noProof/>
              </w:rPr>
              <w:t>饲料研发</w:t>
            </w:r>
            <w:r w:rsidRPr="007D5303">
              <w:rPr>
                <w:noProof/>
                <w:webHidden/>
              </w:rPr>
              <w:tab/>
            </w:r>
            <w:r w:rsidRPr="007D5303">
              <w:rPr>
                <w:noProof/>
                <w:webHidden/>
              </w:rPr>
              <w:fldChar w:fldCharType="begin"/>
            </w:r>
            <w:r w:rsidRPr="007D5303">
              <w:rPr>
                <w:noProof/>
                <w:webHidden/>
              </w:rPr>
              <w:instrText xml:space="preserve"> PAGEREF _Toc95682102 \h </w:instrText>
            </w:r>
            <w:r w:rsidRPr="007D5303">
              <w:rPr>
                <w:noProof/>
                <w:webHidden/>
              </w:rPr>
            </w:r>
            <w:r w:rsidRPr="007D5303">
              <w:rPr>
                <w:noProof/>
                <w:webHidden/>
              </w:rPr>
              <w:fldChar w:fldCharType="separate"/>
            </w:r>
            <w:r w:rsidRPr="007D5303">
              <w:rPr>
                <w:noProof/>
                <w:webHidden/>
              </w:rPr>
              <w:t>62</w:t>
            </w:r>
            <w:r w:rsidRPr="007D5303">
              <w:rPr>
                <w:noProof/>
                <w:webHidden/>
              </w:rPr>
              <w:fldChar w:fldCharType="end"/>
            </w:r>
          </w:hyperlink>
        </w:p>
        <w:p w14:paraId="026CCE87" w14:textId="04798BAA" w:rsidR="006A571F" w:rsidRPr="007D5303" w:rsidRDefault="006A571F">
          <w:pPr>
            <w:pStyle w:val="TOC2"/>
            <w:tabs>
              <w:tab w:val="right" w:leader="dot" w:pos="9402"/>
            </w:tabs>
            <w:rPr>
              <w:rFonts w:asciiTheme="minorHAnsi" w:eastAsiaTheme="minorEastAsia" w:hAnsiTheme="minorHAnsi" w:cstheme="minorBidi"/>
              <w:noProof/>
              <w:szCs w:val="22"/>
            </w:rPr>
          </w:pPr>
          <w:hyperlink w:anchor="_Toc95682103" w:history="1">
            <w:r w:rsidRPr="007D5303">
              <w:rPr>
                <w:rStyle w:val="af2"/>
                <w:rFonts w:eastAsia="黑体"/>
                <w:noProof/>
              </w:rPr>
              <w:t>不同糖脂比饲料对大规格草鱼生长性能和形体指标的影响</w:t>
            </w:r>
            <w:r w:rsidRPr="007D5303">
              <w:rPr>
                <w:noProof/>
                <w:webHidden/>
              </w:rPr>
              <w:tab/>
            </w:r>
            <w:r w:rsidRPr="007D5303">
              <w:rPr>
                <w:noProof/>
                <w:webHidden/>
              </w:rPr>
              <w:fldChar w:fldCharType="begin"/>
            </w:r>
            <w:r w:rsidRPr="007D5303">
              <w:rPr>
                <w:noProof/>
                <w:webHidden/>
              </w:rPr>
              <w:instrText xml:space="preserve"> PAGEREF _Toc95682103 \h </w:instrText>
            </w:r>
            <w:r w:rsidRPr="007D5303">
              <w:rPr>
                <w:noProof/>
                <w:webHidden/>
              </w:rPr>
            </w:r>
            <w:r w:rsidRPr="007D5303">
              <w:rPr>
                <w:noProof/>
                <w:webHidden/>
              </w:rPr>
              <w:fldChar w:fldCharType="separate"/>
            </w:r>
            <w:r w:rsidRPr="007D5303">
              <w:rPr>
                <w:noProof/>
                <w:webHidden/>
              </w:rPr>
              <w:t>62</w:t>
            </w:r>
            <w:r w:rsidRPr="007D5303">
              <w:rPr>
                <w:noProof/>
                <w:webHidden/>
              </w:rPr>
              <w:fldChar w:fldCharType="end"/>
            </w:r>
          </w:hyperlink>
        </w:p>
        <w:p w14:paraId="233BCEB6" w14:textId="0CC1D758" w:rsidR="006A571F" w:rsidRDefault="006A571F">
          <w:pPr>
            <w:pStyle w:val="TOC2"/>
            <w:tabs>
              <w:tab w:val="right" w:leader="dot" w:pos="9402"/>
            </w:tabs>
            <w:rPr>
              <w:rFonts w:asciiTheme="minorHAnsi" w:eastAsiaTheme="minorEastAsia" w:hAnsiTheme="minorHAnsi" w:cstheme="minorBidi"/>
              <w:noProof/>
              <w:szCs w:val="22"/>
            </w:rPr>
          </w:pPr>
          <w:hyperlink w:anchor="_Toc95682104" w:history="1">
            <w:r w:rsidRPr="007D5303">
              <w:rPr>
                <w:rStyle w:val="af2"/>
                <w:rFonts w:eastAsia="黑体"/>
                <w:noProof/>
              </w:rPr>
              <w:t>黄鳝饲料蛋白质需求量的研究</w:t>
            </w:r>
            <w:r w:rsidRPr="007D5303">
              <w:rPr>
                <w:noProof/>
                <w:webHidden/>
              </w:rPr>
              <w:tab/>
            </w:r>
            <w:r w:rsidRPr="007D5303">
              <w:rPr>
                <w:noProof/>
                <w:webHidden/>
              </w:rPr>
              <w:fldChar w:fldCharType="begin"/>
            </w:r>
            <w:r w:rsidRPr="007D5303">
              <w:rPr>
                <w:noProof/>
                <w:webHidden/>
              </w:rPr>
              <w:instrText xml:space="preserve"> PAGEREF _Toc95682104 \h </w:instrText>
            </w:r>
            <w:r w:rsidRPr="007D5303">
              <w:rPr>
                <w:noProof/>
                <w:webHidden/>
              </w:rPr>
            </w:r>
            <w:r w:rsidRPr="007D5303">
              <w:rPr>
                <w:noProof/>
                <w:webHidden/>
              </w:rPr>
              <w:fldChar w:fldCharType="separate"/>
            </w:r>
            <w:r w:rsidRPr="007D5303">
              <w:rPr>
                <w:noProof/>
                <w:webHidden/>
              </w:rPr>
              <w:t>67</w:t>
            </w:r>
            <w:r w:rsidRPr="007D5303">
              <w:rPr>
                <w:noProof/>
                <w:webHidden/>
              </w:rPr>
              <w:fldChar w:fldCharType="end"/>
            </w:r>
          </w:hyperlink>
        </w:p>
        <w:p w14:paraId="6BC78F14" w14:textId="4875E267" w:rsidR="004F39F6" w:rsidRDefault="00731C67">
          <w:r>
            <w:rPr>
              <w:b/>
              <w:bCs/>
              <w:lang w:val="zh-CN"/>
            </w:rPr>
            <w:fldChar w:fldCharType="end"/>
          </w:r>
        </w:p>
      </w:sdtContent>
    </w:sdt>
    <w:p w14:paraId="61C8E4FB" w14:textId="77777777" w:rsidR="004F39F6" w:rsidRDefault="004F39F6">
      <w:pPr>
        <w:rPr>
          <w:rFonts w:eastAsia="黑体"/>
          <w:sz w:val="32"/>
          <w:szCs w:val="32"/>
        </w:rPr>
        <w:sectPr w:rsidR="004F39F6">
          <w:pgSz w:w="11906" w:h="16838"/>
          <w:pgMar w:top="1440" w:right="1247" w:bottom="1440" w:left="1247" w:header="851" w:footer="992" w:gutter="0"/>
          <w:cols w:space="425"/>
          <w:docGrid w:type="lines" w:linePitch="312"/>
        </w:sectPr>
      </w:pPr>
    </w:p>
    <w:p w14:paraId="73054E9E" w14:textId="77777777" w:rsidR="004F39F6" w:rsidRDefault="00731C67">
      <w:pPr>
        <w:rPr>
          <w:rStyle w:val="vm"/>
          <w:rFonts w:eastAsia="黑体"/>
          <w:b/>
          <w:bCs/>
          <w:sz w:val="32"/>
          <w:szCs w:val="32"/>
          <w:bdr w:val="single" w:sz="4" w:space="0" w:color="auto"/>
        </w:rPr>
      </w:pPr>
      <w:r>
        <w:rPr>
          <w:noProof/>
        </w:rPr>
        <w:lastRenderedPageBreak/>
        <w:drawing>
          <wp:inline distT="0" distB="0" distL="0" distR="0" wp14:anchorId="79B39DC5" wp14:editId="7AB895CF">
            <wp:extent cx="5976620" cy="1746250"/>
            <wp:effectExtent l="0" t="0" r="508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76620" cy="1746250"/>
                    </a:xfrm>
                    <a:prstGeom prst="rect">
                      <a:avLst/>
                    </a:prstGeom>
                  </pic:spPr>
                </pic:pic>
              </a:graphicData>
            </a:graphic>
          </wp:inline>
        </w:drawing>
      </w:r>
    </w:p>
    <w:p w14:paraId="2DA5F0A5" w14:textId="77777777" w:rsidR="004F39F6" w:rsidRDefault="00731C67">
      <w:pPr>
        <w:pStyle w:val="1"/>
        <w:spacing w:line="460" w:lineRule="exact"/>
        <w:rPr>
          <w:rStyle w:val="vm"/>
          <w:rFonts w:eastAsia="黑体"/>
          <w:b w:val="0"/>
          <w:bCs w:val="0"/>
          <w:sz w:val="32"/>
          <w:szCs w:val="32"/>
          <w:bdr w:val="single" w:sz="4" w:space="0" w:color="auto"/>
        </w:rPr>
      </w:pPr>
      <w:bookmarkStart w:id="1" w:name="_Toc95682075"/>
      <w:r>
        <w:rPr>
          <w:rStyle w:val="vm"/>
          <w:rFonts w:eastAsia="黑体"/>
          <w:sz w:val="32"/>
          <w:szCs w:val="32"/>
          <w:bdr w:val="single" w:sz="4" w:space="0" w:color="auto"/>
        </w:rPr>
        <w:t>重要资讯</w:t>
      </w:r>
      <w:bookmarkEnd w:id="1"/>
    </w:p>
    <w:p w14:paraId="520DBD7C" w14:textId="77777777" w:rsidR="004F39F6" w:rsidRDefault="00731C67">
      <w:pPr>
        <w:pStyle w:val="2"/>
        <w:spacing w:line="460" w:lineRule="exact"/>
        <w:jc w:val="center"/>
        <w:rPr>
          <w:rFonts w:ascii="Times New Roman" w:eastAsia="黑体" w:hAnsi="Times New Roman" w:cs="Times New Roman"/>
          <w:sz w:val="32"/>
          <w:szCs w:val="32"/>
        </w:rPr>
      </w:pPr>
      <w:bookmarkStart w:id="2" w:name="_Toc95682076"/>
      <w:r>
        <w:rPr>
          <w:rFonts w:ascii="Times New Roman" w:eastAsia="黑体" w:hAnsi="Times New Roman" w:cs="Times New Roman"/>
          <w:sz w:val="32"/>
          <w:szCs w:val="32"/>
        </w:rPr>
        <w:t>农业农村部渔业渔政管理局印发</w:t>
      </w:r>
      <w:bookmarkStart w:id="3" w:name="_Hlk95645129"/>
      <w:r>
        <w:rPr>
          <w:rFonts w:ascii="Times New Roman" w:eastAsia="黑体" w:hAnsi="Times New Roman" w:cs="Times New Roman"/>
          <w:sz w:val="32"/>
          <w:szCs w:val="32"/>
        </w:rPr>
        <w:t>关于做好</w:t>
      </w:r>
      <w:r>
        <w:rPr>
          <w:rFonts w:ascii="Times New Roman" w:eastAsia="黑体" w:hAnsi="Times New Roman" w:cs="Times New Roman"/>
          <w:sz w:val="32"/>
          <w:szCs w:val="32"/>
        </w:rPr>
        <w:t>2022</w:t>
      </w:r>
      <w:r>
        <w:rPr>
          <w:rFonts w:ascii="Times New Roman" w:eastAsia="黑体" w:hAnsi="Times New Roman" w:cs="Times New Roman"/>
          <w:sz w:val="32"/>
          <w:szCs w:val="32"/>
        </w:rPr>
        <w:t>年水产绿色健康养殖技术推广</w:t>
      </w:r>
      <w:r>
        <w:rPr>
          <w:rFonts w:ascii="Times New Roman" w:eastAsia="黑体" w:hAnsi="Times New Roman" w:cs="Times New Roman"/>
          <w:sz w:val="32"/>
          <w:szCs w:val="32"/>
        </w:rPr>
        <w:t>“</w:t>
      </w:r>
      <w:r>
        <w:rPr>
          <w:rFonts w:ascii="Times New Roman" w:eastAsia="黑体" w:hAnsi="Times New Roman" w:cs="Times New Roman"/>
          <w:sz w:val="32"/>
          <w:szCs w:val="32"/>
        </w:rPr>
        <w:t>五大行动</w:t>
      </w:r>
      <w:r>
        <w:rPr>
          <w:rFonts w:ascii="Times New Roman" w:eastAsia="黑体" w:hAnsi="Times New Roman" w:cs="Times New Roman"/>
          <w:sz w:val="32"/>
          <w:szCs w:val="32"/>
        </w:rPr>
        <w:t>”</w:t>
      </w:r>
      <w:r>
        <w:rPr>
          <w:rFonts w:ascii="Times New Roman" w:eastAsia="黑体" w:hAnsi="Times New Roman" w:cs="Times New Roman"/>
          <w:sz w:val="32"/>
          <w:szCs w:val="32"/>
        </w:rPr>
        <w:t>的通知</w:t>
      </w:r>
      <w:bookmarkEnd w:id="2"/>
    </w:p>
    <w:bookmarkEnd w:id="3"/>
    <w:p w14:paraId="742B2C30" w14:textId="77777777" w:rsidR="004F39F6" w:rsidRDefault="00731C67">
      <w:pPr>
        <w:spacing w:line="360" w:lineRule="auto"/>
        <w:ind w:firstLine="426"/>
        <w:rPr>
          <w:rFonts w:eastAsiaTheme="minorEastAsia"/>
          <w:sz w:val="24"/>
        </w:rPr>
      </w:pPr>
      <w:r>
        <w:rPr>
          <w:rFonts w:eastAsiaTheme="minorEastAsia"/>
          <w:sz w:val="24"/>
        </w:rPr>
        <w:t>2021</w:t>
      </w:r>
      <w:r>
        <w:rPr>
          <w:rFonts w:eastAsiaTheme="minorEastAsia"/>
          <w:sz w:val="24"/>
        </w:rPr>
        <w:t>年，农业农村部印发《关于实施水产绿色健康养殖技术推广</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的通知》，决定在</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期间组织实施水产绿色健康养殖技术推广</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（以下简称</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）。一年来，各地渔业部门积极响应，扎实推进，效果显著，共培育</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骨干基地</w:t>
      </w:r>
      <w:r>
        <w:rPr>
          <w:rFonts w:eastAsiaTheme="minorEastAsia"/>
          <w:sz w:val="24"/>
        </w:rPr>
        <w:t>984</w:t>
      </w:r>
      <w:r>
        <w:rPr>
          <w:rFonts w:eastAsiaTheme="minorEastAsia"/>
          <w:sz w:val="24"/>
        </w:rPr>
        <w:t>个，示范面积</w:t>
      </w:r>
      <w:r>
        <w:rPr>
          <w:rFonts w:eastAsiaTheme="minorEastAsia"/>
          <w:sz w:val="24"/>
        </w:rPr>
        <w:t>492</w:t>
      </w:r>
      <w:r>
        <w:rPr>
          <w:rFonts w:eastAsiaTheme="minorEastAsia"/>
          <w:sz w:val="24"/>
        </w:rPr>
        <w:t>万亩，示范推广水产新品种</w:t>
      </w:r>
      <w:r>
        <w:rPr>
          <w:rFonts w:eastAsiaTheme="minorEastAsia"/>
          <w:sz w:val="24"/>
        </w:rPr>
        <w:t>96</w:t>
      </w:r>
      <w:r>
        <w:rPr>
          <w:rFonts w:eastAsiaTheme="minorEastAsia"/>
          <w:sz w:val="24"/>
        </w:rPr>
        <w:t>个。骨干基地实现生态健康养殖模式全覆盖，养殖尾水实现循环综合利用或达标排放，水产养殖用</w:t>
      </w:r>
      <w:proofErr w:type="gramStart"/>
      <w:r>
        <w:rPr>
          <w:rFonts w:eastAsiaTheme="minorEastAsia"/>
          <w:sz w:val="24"/>
        </w:rPr>
        <w:t>兽药总</w:t>
      </w:r>
      <w:proofErr w:type="gramEnd"/>
      <w:r>
        <w:rPr>
          <w:rFonts w:eastAsiaTheme="minorEastAsia"/>
          <w:sz w:val="24"/>
        </w:rPr>
        <w:t>使用量同比减少</w:t>
      </w:r>
      <w:r>
        <w:rPr>
          <w:rFonts w:eastAsiaTheme="minorEastAsia"/>
          <w:sz w:val="24"/>
        </w:rPr>
        <w:t>7%</w:t>
      </w:r>
      <w:r>
        <w:rPr>
          <w:rFonts w:eastAsiaTheme="minorEastAsia"/>
          <w:sz w:val="24"/>
        </w:rPr>
        <w:t>，配合饲料替代率平均达到</w:t>
      </w:r>
      <w:r>
        <w:rPr>
          <w:rFonts w:eastAsiaTheme="minorEastAsia"/>
          <w:sz w:val="24"/>
        </w:rPr>
        <w:t>77%</w:t>
      </w:r>
      <w:r>
        <w:rPr>
          <w:rFonts w:eastAsiaTheme="minorEastAsia"/>
          <w:sz w:val="24"/>
        </w:rPr>
        <w:t>。为贯彻落实中共中央国务院关于推进水产绿色健康养殖的工作部署，按照《</w:t>
      </w:r>
      <w:r>
        <w:rPr>
          <w:rFonts w:eastAsiaTheme="minorEastAsia"/>
          <w:sz w:val="24"/>
        </w:rPr>
        <w:t>“</w:t>
      </w:r>
      <w:r>
        <w:rPr>
          <w:rFonts w:eastAsiaTheme="minorEastAsia"/>
          <w:sz w:val="24"/>
        </w:rPr>
        <w:t>十</w:t>
      </w:r>
      <w:r>
        <w:rPr>
          <w:rFonts w:eastAsiaTheme="minorEastAsia"/>
          <w:sz w:val="24"/>
        </w:rPr>
        <w:t>四五</w:t>
      </w:r>
      <w:r>
        <w:rPr>
          <w:rFonts w:eastAsiaTheme="minorEastAsia"/>
          <w:sz w:val="24"/>
        </w:rPr>
        <w:t>”</w:t>
      </w:r>
      <w:r>
        <w:rPr>
          <w:rFonts w:eastAsiaTheme="minorEastAsia"/>
          <w:sz w:val="24"/>
        </w:rPr>
        <w:t>全国渔业发展规划》相关要求，切实做好</w:t>
      </w:r>
      <w:r>
        <w:rPr>
          <w:rFonts w:eastAsiaTheme="minorEastAsia"/>
          <w:sz w:val="24"/>
        </w:rPr>
        <w:t>2022</w:t>
      </w:r>
      <w:r>
        <w:rPr>
          <w:rFonts w:eastAsiaTheme="minorEastAsia"/>
          <w:sz w:val="24"/>
        </w:rPr>
        <w:t>年</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，现就有关事项通知如下。</w:t>
      </w:r>
    </w:p>
    <w:p w14:paraId="374B2E17" w14:textId="77777777" w:rsidR="004F39F6" w:rsidRDefault="00731C67">
      <w:pPr>
        <w:spacing w:line="360" w:lineRule="auto"/>
        <w:ind w:firstLine="426"/>
        <w:rPr>
          <w:rFonts w:eastAsiaTheme="minorEastAsia"/>
          <w:sz w:val="24"/>
        </w:rPr>
      </w:pPr>
      <w:r>
        <w:rPr>
          <w:rFonts w:eastAsiaTheme="minorEastAsia"/>
          <w:sz w:val="24"/>
        </w:rPr>
        <w:t>一、加强组织领导，健全支撑政策</w:t>
      </w:r>
    </w:p>
    <w:p w14:paraId="5A33FD8C" w14:textId="77777777" w:rsidR="004F39F6" w:rsidRDefault="00731C67">
      <w:pPr>
        <w:spacing w:line="360" w:lineRule="auto"/>
        <w:ind w:firstLine="426"/>
        <w:rPr>
          <w:rFonts w:eastAsiaTheme="minorEastAsia"/>
          <w:sz w:val="24"/>
        </w:rPr>
      </w:pPr>
      <w:r>
        <w:rPr>
          <w:rFonts w:eastAsiaTheme="minorEastAsia"/>
          <w:sz w:val="24"/>
        </w:rPr>
        <w:t>实施</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是促进水产养殖业绿色高质量发展和水产品稳产保供的重要举措，是渔业部门履职尽责、助力乡村振兴和农业农村现代化的重要抓手。各级渔业部门和有关单位要充分认识实施</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的重要意义，进一步健全渔业主管部门牵头指导、水产技术推广部门具体实施、科研教学单位全面配合、市场主体积极参与、各方协同推进的工作机制。农业农村部渔业渔政管理局负责统筹协调和督促指导；全国水产技术推广总站负责牵</w:t>
      </w:r>
      <w:r>
        <w:rPr>
          <w:rFonts w:eastAsiaTheme="minorEastAsia"/>
          <w:sz w:val="24"/>
        </w:rPr>
        <w:t>头组织实施；各省级渔业主管部门负责制定本辖区</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实施方案和任务清单，强化责任落实；各级水产技术推广机构负责具体组织实施本辖区</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。各级渔业主管部门要在各类渔业发展相关支持政策中统筹安排，将</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列入各</w:t>
      </w:r>
      <w:proofErr w:type="gramStart"/>
      <w:r>
        <w:rPr>
          <w:rFonts w:eastAsiaTheme="minorEastAsia"/>
          <w:sz w:val="24"/>
        </w:rPr>
        <w:t>类惠渔政策支持</w:t>
      </w:r>
      <w:proofErr w:type="gramEnd"/>
      <w:r>
        <w:rPr>
          <w:rFonts w:eastAsiaTheme="minorEastAsia"/>
          <w:sz w:val="24"/>
        </w:rPr>
        <w:t>范围，予以倾斜支持，并引导社会资本加大投入。同时，要进一步健全完善优质水产品推介展示等激励机制，形成共推</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的良好格局。</w:t>
      </w:r>
    </w:p>
    <w:p w14:paraId="1792D1DB" w14:textId="77777777" w:rsidR="004F39F6" w:rsidRDefault="00731C67">
      <w:pPr>
        <w:spacing w:line="360" w:lineRule="auto"/>
        <w:ind w:firstLine="426"/>
        <w:rPr>
          <w:rFonts w:eastAsiaTheme="minorEastAsia"/>
          <w:sz w:val="24"/>
        </w:rPr>
      </w:pPr>
      <w:r>
        <w:rPr>
          <w:rFonts w:eastAsiaTheme="minorEastAsia"/>
          <w:sz w:val="24"/>
        </w:rPr>
        <w:lastRenderedPageBreak/>
        <w:t>二、明确目标任务，推进行动落实</w:t>
      </w:r>
      <w:r>
        <w:rPr>
          <w:rFonts w:eastAsiaTheme="minorEastAsia"/>
          <w:sz w:val="24"/>
        </w:rPr>
        <w:t xml:space="preserve"> </w:t>
      </w:r>
    </w:p>
    <w:p w14:paraId="76898AE8" w14:textId="77777777" w:rsidR="004F39F6" w:rsidRDefault="00731C67">
      <w:pPr>
        <w:spacing w:line="360" w:lineRule="auto"/>
        <w:ind w:firstLine="426"/>
        <w:rPr>
          <w:rFonts w:eastAsiaTheme="minorEastAsia"/>
          <w:sz w:val="24"/>
        </w:rPr>
      </w:pPr>
      <w:r>
        <w:rPr>
          <w:rFonts w:eastAsiaTheme="minorEastAsia"/>
          <w:sz w:val="24"/>
        </w:rPr>
        <w:t>（一）生态健康养殖模式推广行动。各地要依据资源禀赋，加快推进养殖模式转型升级，因地制宜试验推广陆基设施化循环水养</w:t>
      </w:r>
      <w:r>
        <w:rPr>
          <w:rFonts w:eastAsiaTheme="minorEastAsia"/>
          <w:sz w:val="24"/>
        </w:rPr>
        <w:t>殖（工厂化循环水养殖等）、海上设施化养殖（深水抗风浪网箱养殖等）、多营养层级综合养殖、</w:t>
      </w:r>
      <w:proofErr w:type="gramStart"/>
      <w:r>
        <w:rPr>
          <w:rFonts w:eastAsiaTheme="minorEastAsia"/>
          <w:sz w:val="24"/>
        </w:rPr>
        <w:t>稻渔综合</w:t>
      </w:r>
      <w:proofErr w:type="gramEnd"/>
      <w:r>
        <w:rPr>
          <w:rFonts w:eastAsiaTheme="minorEastAsia"/>
          <w:sz w:val="24"/>
        </w:rPr>
        <w:t>种养、大水面生态增养殖、盐碱地渔农综合利用等水产养殖技术模式。加快推进先进技术模式的集成创新和示范推广。</w:t>
      </w:r>
    </w:p>
    <w:p w14:paraId="15A2EA02" w14:textId="77777777" w:rsidR="004F39F6" w:rsidRDefault="00731C67">
      <w:pPr>
        <w:spacing w:line="360" w:lineRule="auto"/>
        <w:ind w:firstLine="426"/>
        <w:rPr>
          <w:rFonts w:eastAsiaTheme="minorEastAsia"/>
          <w:sz w:val="24"/>
        </w:rPr>
      </w:pPr>
      <w:r>
        <w:rPr>
          <w:rFonts w:eastAsiaTheme="minorEastAsia"/>
          <w:sz w:val="24"/>
        </w:rPr>
        <w:t>（二）养殖尾水治理模式推广行动。各地要充分利用国家渔业绿色循环发展等扶持政策，因地制宜推广池塘底排污等水产养殖尾水治理技术模式，综合物理（自然沉淀、微滤机过滤等）、化学（臭氧等杀菌消毒、化学药品处理等）、生物（放养</w:t>
      </w:r>
      <w:proofErr w:type="gramStart"/>
      <w:r>
        <w:rPr>
          <w:rFonts w:eastAsiaTheme="minorEastAsia"/>
          <w:sz w:val="24"/>
        </w:rPr>
        <w:t>滤</w:t>
      </w:r>
      <w:proofErr w:type="gramEnd"/>
      <w:r>
        <w:rPr>
          <w:rFonts w:eastAsiaTheme="minorEastAsia"/>
          <w:sz w:val="24"/>
        </w:rPr>
        <w:t>食性鱼类、利用水生植物净化、微生物净化处理等）等技术集成熟化和改进提升，研究制定标准规范。</w:t>
      </w:r>
    </w:p>
    <w:p w14:paraId="25F80ECB" w14:textId="77777777" w:rsidR="004F39F6" w:rsidRDefault="00731C67">
      <w:pPr>
        <w:spacing w:line="360" w:lineRule="auto"/>
        <w:ind w:firstLine="426"/>
        <w:rPr>
          <w:rFonts w:eastAsiaTheme="minorEastAsia"/>
          <w:sz w:val="24"/>
        </w:rPr>
      </w:pPr>
      <w:r>
        <w:rPr>
          <w:rFonts w:eastAsiaTheme="minorEastAsia"/>
          <w:sz w:val="24"/>
        </w:rPr>
        <w:t>（三</w:t>
      </w:r>
      <w:r>
        <w:rPr>
          <w:rFonts w:eastAsiaTheme="minorEastAsia"/>
          <w:sz w:val="24"/>
        </w:rPr>
        <w:t>）水产养殖用药减量行动。各地要严格落实《农业农村部关于加强水产养殖用投入品监管的通知》等文件要求，指导养殖者依法依规使用投入品。要加强疫病监测与预警预报，推广应用疫苗免疫和生态防控技术，推进水产苗种产地检疫制度实施和</w:t>
      </w:r>
      <w:r>
        <w:rPr>
          <w:rFonts w:eastAsiaTheme="minorEastAsia"/>
          <w:sz w:val="24"/>
        </w:rPr>
        <w:t>SPF</w:t>
      </w:r>
      <w:r>
        <w:rPr>
          <w:rFonts w:eastAsiaTheme="minorEastAsia"/>
          <w:sz w:val="24"/>
        </w:rPr>
        <w:t>（无规定疫病）苗种场建设；探索水产养殖过程全链条生物安保；扎实开展水产养殖规范用药科普下乡活动，推广使用</w:t>
      </w:r>
      <w:r>
        <w:rPr>
          <w:rFonts w:eastAsiaTheme="minorEastAsia"/>
          <w:sz w:val="24"/>
        </w:rPr>
        <w:t>“</w:t>
      </w:r>
      <w:r>
        <w:rPr>
          <w:rFonts w:eastAsiaTheme="minorEastAsia"/>
          <w:sz w:val="24"/>
        </w:rPr>
        <w:t>鱼病远诊网</w:t>
      </w:r>
      <w:r>
        <w:rPr>
          <w:rFonts w:eastAsiaTheme="minorEastAsia"/>
          <w:sz w:val="24"/>
        </w:rPr>
        <w:t>”</w:t>
      </w:r>
      <w:r>
        <w:rPr>
          <w:rFonts w:eastAsiaTheme="minorEastAsia"/>
          <w:sz w:val="24"/>
        </w:rPr>
        <w:t>。要做好水产养殖动物病原菌耐药性监测，强化减量用药技术指导。要分品种构建水产养殖用药减量技术模式，骨干基地要实现兽药用量同比减少</w:t>
      </w:r>
      <w:r>
        <w:rPr>
          <w:rFonts w:eastAsiaTheme="minorEastAsia"/>
          <w:sz w:val="24"/>
        </w:rPr>
        <w:t>5%</w:t>
      </w:r>
      <w:r>
        <w:rPr>
          <w:rFonts w:eastAsiaTheme="minorEastAsia"/>
          <w:sz w:val="24"/>
        </w:rPr>
        <w:t>以上，抗生素类兽药使用量同比减少</w:t>
      </w:r>
      <w:r>
        <w:rPr>
          <w:rFonts w:eastAsiaTheme="minorEastAsia"/>
          <w:sz w:val="24"/>
        </w:rPr>
        <w:t>10%</w:t>
      </w:r>
      <w:r>
        <w:rPr>
          <w:rFonts w:eastAsiaTheme="minorEastAsia"/>
          <w:sz w:val="24"/>
        </w:rPr>
        <w:t>以</w:t>
      </w:r>
      <w:r>
        <w:rPr>
          <w:rFonts w:eastAsiaTheme="minorEastAsia"/>
          <w:sz w:val="24"/>
        </w:rPr>
        <w:t>上。</w:t>
      </w:r>
    </w:p>
    <w:p w14:paraId="385C40D6" w14:textId="77777777" w:rsidR="004F39F6" w:rsidRDefault="00731C67">
      <w:pPr>
        <w:spacing w:line="360" w:lineRule="auto"/>
        <w:ind w:firstLine="426"/>
        <w:rPr>
          <w:rFonts w:eastAsiaTheme="minorEastAsia"/>
          <w:sz w:val="24"/>
        </w:rPr>
      </w:pPr>
      <w:r>
        <w:rPr>
          <w:rFonts w:eastAsiaTheme="minorEastAsia"/>
          <w:sz w:val="24"/>
        </w:rPr>
        <w:t>（四）配合饲料</w:t>
      </w:r>
      <w:proofErr w:type="gramStart"/>
      <w:r>
        <w:rPr>
          <w:rFonts w:eastAsiaTheme="minorEastAsia"/>
          <w:sz w:val="24"/>
        </w:rPr>
        <w:t>替代幼杂鱼</w:t>
      </w:r>
      <w:proofErr w:type="gramEnd"/>
      <w:r>
        <w:rPr>
          <w:rFonts w:eastAsiaTheme="minorEastAsia"/>
          <w:sz w:val="24"/>
        </w:rPr>
        <w:t>行动。各地要加大饲料研发和宣传力度，逐步改变</w:t>
      </w:r>
      <w:proofErr w:type="gramStart"/>
      <w:r>
        <w:rPr>
          <w:rFonts w:eastAsiaTheme="minorEastAsia"/>
          <w:sz w:val="24"/>
        </w:rPr>
        <w:t>使用幼杂鱼</w:t>
      </w:r>
      <w:proofErr w:type="gramEnd"/>
      <w:r>
        <w:rPr>
          <w:rFonts w:eastAsiaTheme="minorEastAsia"/>
          <w:sz w:val="24"/>
        </w:rPr>
        <w:t>养殖肉食性品种传统观念和习惯。坚持因种施策，聚焦大黄鱼、大口黑鲈、梭子蟹</w:t>
      </w:r>
      <w:proofErr w:type="gramStart"/>
      <w:r>
        <w:rPr>
          <w:rFonts w:eastAsiaTheme="minorEastAsia"/>
          <w:sz w:val="24"/>
        </w:rPr>
        <w:t>等幼杂</w:t>
      </w:r>
      <w:proofErr w:type="gramEnd"/>
      <w:r>
        <w:rPr>
          <w:rFonts w:eastAsiaTheme="minorEastAsia"/>
          <w:sz w:val="24"/>
        </w:rPr>
        <w:t>鱼使用量较高的养殖品种，优化饲料配方，改进生产加工工艺，依法申请饲料生产许可证及产品批准文号。协助骨干基地与优质饲料生产企业做好对接，指导开展配合饲料</w:t>
      </w:r>
      <w:proofErr w:type="gramStart"/>
      <w:r>
        <w:rPr>
          <w:rFonts w:eastAsiaTheme="minorEastAsia"/>
          <w:sz w:val="24"/>
        </w:rPr>
        <w:t>替代幼杂鱼</w:t>
      </w:r>
      <w:proofErr w:type="gramEnd"/>
      <w:r>
        <w:rPr>
          <w:rFonts w:eastAsiaTheme="minorEastAsia"/>
          <w:sz w:val="24"/>
        </w:rPr>
        <w:t>养殖适应性驯化和试验示范。骨干基地养殖</w:t>
      </w:r>
      <w:proofErr w:type="gramStart"/>
      <w:r>
        <w:rPr>
          <w:rFonts w:eastAsiaTheme="minorEastAsia"/>
          <w:sz w:val="24"/>
        </w:rPr>
        <w:t>鲆鲽</w:t>
      </w:r>
      <w:proofErr w:type="gramEnd"/>
      <w:r>
        <w:rPr>
          <w:rFonts w:eastAsiaTheme="minorEastAsia"/>
          <w:sz w:val="24"/>
        </w:rPr>
        <w:t>类、大口黑鲈等配合饲料替代率实现</w:t>
      </w:r>
      <w:r>
        <w:rPr>
          <w:rFonts w:eastAsiaTheme="minorEastAsia"/>
          <w:sz w:val="24"/>
        </w:rPr>
        <w:t>100%</w:t>
      </w:r>
      <w:r>
        <w:rPr>
          <w:rFonts w:eastAsiaTheme="minorEastAsia"/>
          <w:sz w:val="24"/>
        </w:rPr>
        <w:t>；大黄鱼、花鲈、石斑鱼等配合饲料替代率不低于</w:t>
      </w:r>
      <w:r>
        <w:rPr>
          <w:rFonts w:eastAsiaTheme="minorEastAsia"/>
          <w:sz w:val="24"/>
        </w:rPr>
        <w:t>90%</w:t>
      </w:r>
      <w:r>
        <w:rPr>
          <w:rFonts w:eastAsiaTheme="minorEastAsia"/>
          <w:sz w:val="24"/>
        </w:rPr>
        <w:t>；</w:t>
      </w:r>
      <w:proofErr w:type="gramStart"/>
      <w:r>
        <w:rPr>
          <w:rFonts w:eastAsiaTheme="minorEastAsia"/>
          <w:sz w:val="24"/>
        </w:rPr>
        <w:t>鳜</w:t>
      </w:r>
      <w:proofErr w:type="gramEnd"/>
      <w:r>
        <w:rPr>
          <w:rFonts w:eastAsiaTheme="minorEastAsia"/>
          <w:sz w:val="24"/>
        </w:rPr>
        <w:t>、梭子蟹、青蟹、河蟹等配合饲料替代率不低于</w:t>
      </w:r>
      <w:r>
        <w:rPr>
          <w:rFonts w:eastAsiaTheme="minorEastAsia"/>
          <w:sz w:val="24"/>
        </w:rPr>
        <w:t>70%</w:t>
      </w:r>
      <w:r>
        <w:rPr>
          <w:rFonts w:eastAsiaTheme="minorEastAsia"/>
          <w:sz w:val="24"/>
        </w:rPr>
        <w:t>。</w:t>
      </w:r>
    </w:p>
    <w:p w14:paraId="46302955" w14:textId="77777777" w:rsidR="004F39F6" w:rsidRDefault="00731C67">
      <w:pPr>
        <w:spacing w:line="360" w:lineRule="auto"/>
        <w:ind w:firstLine="426"/>
        <w:rPr>
          <w:rFonts w:eastAsiaTheme="minorEastAsia"/>
          <w:sz w:val="24"/>
        </w:rPr>
      </w:pPr>
      <w:r>
        <w:rPr>
          <w:rFonts w:eastAsiaTheme="minorEastAsia"/>
          <w:sz w:val="24"/>
        </w:rPr>
        <w:t>（</w:t>
      </w:r>
      <w:r>
        <w:rPr>
          <w:rFonts w:eastAsiaTheme="minorEastAsia"/>
          <w:sz w:val="24"/>
        </w:rPr>
        <w:t>五）水产种业质量提升行动。全国水产技术推广总站负责牵头研究制定水产新品种推广应用效果评价办法并启动实施，发布优良品种推荐名单，促进优良水产新品种试验示范推广。全国水产技术推广总站、中国水产学会与广东省农业农村厅等单位联合举办第三届中国水产种业博览会，开展优质水产种苗推介展示。各地要根据《第一次全国水产养殖种质资源普查实施方案（</w:t>
      </w:r>
      <w:r>
        <w:rPr>
          <w:rFonts w:eastAsiaTheme="minorEastAsia"/>
          <w:sz w:val="24"/>
        </w:rPr>
        <w:t>2021-2023</w:t>
      </w:r>
      <w:r>
        <w:rPr>
          <w:rFonts w:eastAsiaTheme="minorEastAsia"/>
          <w:sz w:val="24"/>
        </w:rPr>
        <w:t>年）》部署要求，开展基本情况普查数据审核和分析，做好查缺补漏，摸清水产种苗繁育主体状况。要继续推动南美白对虾、虾夷扇贝等重要品种</w:t>
      </w:r>
      <w:r>
        <w:rPr>
          <w:rFonts w:eastAsiaTheme="minorEastAsia"/>
          <w:sz w:val="24"/>
        </w:rPr>
        <w:lastRenderedPageBreak/>
        <w:t>联合育种，探索建立商业</w:t>
      </w:r>
      <w:proofErr w:type="gramStart"/>
      <w:r>
        <w:rPr>
          <w:rFonts w:eastAsiaTheme="minorEastAsia"/>
          <w:sz w:val="24"/>
        </w:rPr>
        <w:t>化育种</w:t>
      </w:r>
      <w:proofErr w:type="gramEnd"/>
      <w:r>
        <w:rPr>
          <w:rFonts w:eastAsiaTheme="minorEastAsia"/>
          <w:sz w:val="24"/>
        </w:rPr>
        <w:t>体系。</w:t>
      </w:r>
    </w:p>
    <w:p w14:paraId="40AE88AE" w14:textId="77777777" w:rsidR="004F39F6" w:rsidRDefault="00731C67">
      <w:pPr>
        <w:spacing w:line="360" w:lineRule="auto"/>
        <w:ind w:firstLine="426"/>
        <w:rPr>
          <w:rFonts w:eastAsiaTheme="minorEastAsia"/>
          <w:sz w:val="24"/>
        </w:rPr>
      </w:pPr>
      <w:r>
        <w:rPr>
          <w:rFonts w:eastAsiaTheme="minorEastAsia"/>
          <w:sz w:val="24"/>
        </w:rPr>
        <w:t>三</w:t>
      </w:r>
      <w:r>
        <w:rPr>
          <w:rFonts w:eastAsiaTheme="minorEastAsia"/>
          <w:sz w:val="24"/>
        </w:rPr>
        <w:t>、强化宣传示范，营造良好氛围</w:t>
      </w:r>
    </w:p>
    <w:p w14:paraId="02BE5D25" w14:textId="77777777" w:rsidR="004F39F6" w:rsidRDefault="00731C67">
      <w:pPr>
        <w:spacing w:line="360" w:lineRule="auto"/>
        <w:ind w:firstLine="426"/>
        <w:rPr>
          <w:rFonts w:eastAsiaTheme="minorEastAsia"/>
          <w:sz w:val="24"/>
        </w:rPr>
      </w:pPr>
      <w:r>
        <w:rPr>
          <w:rFonts w:eastAsiaTheme="minorEastAsia"/>
          <w:sz w:val="24"/>
        </w:rPr>
        <w:t>各地要加强培训力度，以现场观摩、集中研讨为抓手，广泛开展技术培训和指导，搭建形式多样的交流平台。要总结梳理经验做法，遴选一批先进典型，充分利用各类媒体进行宣传，营造良好社会氛围。全国水产技术推广总站负责</w:t>
      </w:r>
      <w:proofErr w:type="gramStart"/>
      <w:r>
        <w:rPr>
          <w:rFonts w:eastAsiaTheme="minorEastAsia"/>
          <w:sz w:val="24"/>
        </w:rPr>
        <w:t>在官网和</w:t>
      </w:r>
      <w:proofErr w:type="gramEnd"/>
      <w:r>
        <w:rPr>
          <w:rFonts w:eastAsiaTheme="minorEastAsia"/>
          <w:sz w:val="24"/>
        </w:rPr>
        <w:t>“</w:t>
      </w:r>
      <w:r>
        <w:rPr>
          <w:rFonts w:eastAsiaTheme="minorEastAsia"/>
          <w:sz w:val="24"/>
        </w:rPr>
        <w:t>中国水产</w:t>
      </w:r>
      <w:r>
        <w:rPr>
          <w:rFonts w:eastAsiaTheme="minorEastAsia"/>
          <w:sz w:val="24"/>
        </w:rPr>
        <w:t>”</w:t>
      </w:r>
      <w:proofErr w:type="gramStart"/>
      <w:r>
        <w:rPr>
          <w:rFonts w:eastAsiaTheme="minorEastAsia"/>
          <w:sz w:val="24"/>
        </w:rPr>
        <w:t>微信公众号设立</w:t>
      </w:r>
      <w:proofErr w:type="gramEnd"/>
      <w:r>
        <w:rPr>
          <w:rFonts w:eastAsiaTheme="minorEastAsia"/>
          <w:sz w:val="24"/>
        </w:rPr>
        <w:t>专栏，组织编制工作动态，各地要积极报送工作动态和典型案例。要加大水产绿色健康养殖技术模式示范推广力度，深入打造一批代表性好、展示度高的示范样板，制定一批区域适用性好、指导性强的技术标准，宣传一批可复制、可推广的典型范例，构建一批产学研推用紧密结合</w:t>
      </w:r>
      <w:r>
        <w:rPr>
          <w:rFonts w:eastAsiaTheme="minorEastAsia"/>
          <w:sz w:val="24"/>
        </w:rPr>
        <w:t>、优势互补的示范推广新机制。要继续遴选和培育一批创新度高、成效显著、代表性强的骨干基地，与国家级水产健康养殖和生态养殖示范区创建相衔接。要积极鼓励家庭农场和农民合作社等市场主体，主动应用水产绿色健康养殖技术模式，打造品牌、提升效益。</w:t>
      </w:r>
    </w:p>
    <w:p w14:paraId="5C08176D" w14:textId="77777777" w:rsidR="004F39F6" w:rsidRDefault="00731C67">
      <w:pPr>
        <w:spacing w:line="360" w:lineRule="auto"/>
        <w:ind w:firstLine="426"/>
        <w:rPr>
          <w:rFonts w:eastAsiaTheme="minorEastAsia"/>
          <w:sz w:val="24"/>
        </w:rPr>
      </w:pPr>
      <w:r>
        <w:rPr>
          <w:rFonts w:eastAsiaTheme="minorEastAsia"/>
          <w:sz w:val="24"/>
        </w:rPr>
        <w:t>农业农村部渔业渔政管理局将会同全国水产技术推广总站适时组织开展</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实施情况调研。请省级渔业主管部门分别于</w:t>
      </w:r>
      <w:r>
        <w:rPr>
          <w:rFonts w:eastAsiaTheme="minorEastAsia"/>
          <w:sz w:val="24"/>
        </w:rPr>
        <w:t>3</w:t>
      </w:r>
      <w:r>
        <w:rPr>
          <w:rFonts w:eastAsiaTheme="minorEastAsia"/>
          <w:sz w:val="24"/>
        </w:rPr>
        <w:t>月</w:t>
      </w:r>
      <w:r>
        <w:rPr>
          <w:rFonts w:eastAsiaTheme="minorEastAsia"/>
          <w:sz w:val="24"/>
        </w:rPr>
        <w:t>15</w:t>
      </w:r>
      <w:r>
        <w:rPr>
          <w:rFonts w:eastAsiaTheme="minorEastAsia"/>
          <w:sz w:val="24"/>
        </w:rPr>
        <w:t>日、</w:t>
      </w:r>
      <w:r>
        <w:rPr>
          <w:rFonts w:eastAsiaTheme="minorEastAsia"/>
          <w:sz w:val="24"/>
        </w:rPr>
        <w:t>7</w:t>
      </w:r>
      <w:r>
        <w:rPr>
          <w:rFonts w:eastAsiaTheme="minorEastAsia"/>
          <w:sz w:val="24"/>
        </w:rPr>
        <w:t>月</w:t>
      </w:r>
      <w:r>
        <w:rPr>
          <w:rFonts w:eastAsiaTheme="minorEastAsia"/>
          <w:sz w:val="24"/>
        </w:rPr>
        <w:t>15</w:t>
      </w:r>
      <w:r>
        <w:rPr>
          <w:rFonts w:eastAsiaTheme="minorEastAsia"/>
          <w:sz w:val="24"/>
        </w:rPr>
        <w:t>日、</w:t>
      </w:r>
      <w:r>
        <w:rPr>
          <w:rFonts w:eastAsiaTheme="minorEastAsia"/>
          <w:sz w:val="24"/>
        </w:rPr>
        <w:t>11</w:t>
      </w:r>
      <w:r>
        <w:rPr>
          <w:rFonts w:eastAsiaTheme="minorEastAsia"/>
          <w:sz w:val="24"/>
        </w:rPr>
        <w:t>月</w:t>
      </w:r>
      <w:r>
        <w:rPr>
          <w:rFonts w:eastAsiaTheme="minorEastAsia"/>
          <w:sz w:val="24"/>
        </w:rPr>
        <w:t>30</w:t>
      </w:r>
      <w:r>
        <w:rPr>
          <w:rFonts w:eastAsiaTheme="minorEastAsia"/>
          <w:sz w:val="24"/>
        </w:rPr>
        <w:t>日前制定工作实施方案、总结半年工作和全年工作，并</w:t>
      </w:r>
      <w:proofErr w:type="gramStart"/>
      <w:r>
        <w:rPr>
          <w:rFonts w:eastAsiaTheme="minorEastAsia"/>
          <w:sz w:val="24"/>
        </w:rPr>
        <w:t>报农业</w:t>
      </w:r>
      <w:proofErr w:type="gramEnd"/>
      <w:r>
        <w:rPr>
          <w:rFonts w:eastAsiaTheme="minorEastAsia"/>
          <w:sz w:val="24"/>
        </w:rPr>
        <w:t>农村部渔业渔政管理局和全国水产技术推广总站，请省级水产技术推广机构认真组织填报</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骨干基地信息管理系统（</w:t>
      </w:r>
      <w:r>
        <w:rPr>
          <w:rFonts w:eastAsiaTheme="minorEastAsia"/>
          <w:sz w:val="24"/>
        </w:rPr>
        <w:t>http://xd.szjoann.net</w:t>
      </w:r>
      <w:r>
        <w:rPr>
          <w:rFonts w:eastAsiaTheme="minorEastAsia"/>
          <w:sz w:val="24"/>
        </w:rPr>
        <w:t>）。</w:t>
      </w:r>
    </w:p>
    <w:p w14:paraId="3D779946"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转摘自农业农村部渔业渔政管理局网站</w:t>
      </w:r>
    </w:p>
    <w:p w14:paraId="303FF9C2" w14:textId="77777777" w:rsidR="004F39F6" w:rsidRDefault="00731C67">
      <w:pPr>
        <w:pStyle w:val="2"/>
        <w:spacing w:line="460" w:lineRule="exact"/>
        <w:jc w:val="center"/>
        <w:rPr>
          <w:rFonts w:ascii="Times New Roman" w:eastAsia="黑体" w:hAnsi="Times New Roman" w:cs="Times New Roman"/>
          <w:sz w:val="32"/>
          <w:szCs w:val="32"/>
        </w:rPr>
      </w:pPr>
      <w:bookmarkStart w:id="4" w:name="_Toc95682077"/>
      <w:r>
        <w:rPr>
          <w:rFonts w:ascii="Times New Roman" w:eastAsia="黑体" w:hAnsi="Times New Roman" w:cs="Times New Roman"/>
          <w:sz w:val="32"/>
          <w:szCs w:val="32"/>
        </w:rPr>
        <w:t>全国水产技术推广总站印发关于做好</w:t>
      </w:r>
      <w:r>
        <w:rPr>
          <w:rFonts w:ascii="Times New Roman" w:eastAsia="黑体" w:hAnsi="Times New Roman" w:cs="Times New Roman"/>
          <w:sz w:val="32"/>
          <w:szCs w:val="32"/>
        </w:rPr>
        <w:t>2022</w:t>
      </w:r>
      <w:r>
        <w:rPr>
          <w:rFonts w:ascii="Times New Roman" w:eastAsia="黑体" w:hAnsi="Times New Roman" w:cs="Times New Roman"/>
          <w:sz w:val="32"/>
          <w:szCs w:val="32"/>
        </w:rPr>
        <w:t>年水产绿色健康养殖技术推广</w:t>
      </w:r>
      <w:r>
        <w:rPr>
          <w:rFonts w:ascii="Times New Roman" w:eastAsia="黑体" w:hAnsi="Times New Roman" w:cs="Times New Roman"/>
          <w:sz w:val="32"/>
          <w:szCs w:val="32"/>
        </w:rPr>
        <w:t>“</w:t>
      </w:r>
      <w:r>
        <w:rPr>
          <w:rFonts w:ascii="Times New Roman" w:eastAsia="黑体" w:hAnsi="Times New Roman" w:cs="Times New Roman"/>
          <w:sz w:val="32"/>
          <w:szCs w:val="32"/>
        </w:rPr>
        <w:t>五大行动</w:t>
      </w:r>
      <w:r>
        <w:rPr>
          <w:rFonts w:ascii="Times New Roman" w:eastAsia="黑体" w:hAnsi="Times New Roman" w:cs="Times New Roman"/>
          <w:sz w:val="32"/>
          <w:szCs w:val="32"/>
        </w:rPr>
        <w:t>”</w:t>
      </w:r>
      <w:r>
        <w:rPr>
          <w:rFonts w:ascii="Times New Roman" w:eastAsia="黑体" w:hAnsi="Times New Roman" w:cs="Times New Roman"/>
          <w:sz w:val="32"/>
          <w:szCs w:val="32"/>
        </w:rPr>
        <w:t>的通知</w:t>
      </w:r>
      <w:bookmarkEnd w:id="4"/>
    </w:p>
    <w:p w14:paraId="215D4D76" w14:textId="77777777" w:rsidR="004F39F6" w:rsidRDefault="00731C67">
      <w:pPr>
        <w:spacing w:line="360" w:lineRule="auto"/>
        <w:ind w:firstLine="426"/>
        <w:rPr>
          <w:rFonts w:eastAsiaTheme="minorEastAsia"/>
          <w:sz w:val="24"/>
        </w:rPr>
      </w:pPr>
      <w:r>
        <w:rPr>
          <w:rFonts w:eastAsiaTheme="minorEastAsia"/>
          <w:sz w:val="24"/>
        </w:rPr>
        <w:t>近日，农业农村部渔业渔政管理局印发《关于做好</w:t>
      </w:r>
      <w:r>
        <w:rPr>
          <w:rFonts w:eastAsiaTheme="minorEastAsia"/>
          <w:sz w:val="24"/>
        </w:rPr>
        <w:t>2022</w:t>
      </w:r>
      <w:r>
        <w:rPr>
          <w:rFonts w:eastAsiaTheme="minorEastAsia"/>
          <w:sz w:val="24"/>
        </w:rPr>
        <w:t>年水产绿色健康养殖技术推广</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工作的通知》（农</w:t>
      </w:r>
      <w:proofErr w:type="gramStart"/>
      <w:r>
        <w:rPr>
          <w:rFonts w:eastAsiaTheme="minorEastAsia"/>
          <w:sz w:val="24"/>
        </w:rPr>
        <w:t>渔养函〔</w:t>
      </w:r>
      <w:r>
        <w:rPr>
          <w:rFonts w:eastAsiaTheme="minorEastAsia"/>
          <w:sz w:val="24"/>
        </w:rPr>
        <w:t>2022</w:t>
      </w:r>
      <w:r>
        <w:rPr>
          <w:rFonts w:eastAsiaTheme="minorEastAsia"/>
          <w:sz w:val="24"/>
        </w:rPr>
        <w:t>〕</w:t>
      </w:r>
      <w:proofErr w:type="gramEnd"/>
      <w:r>
        <w:rPr>
          <w:rFonts w:eastAsiaTheme="minorEastAsia"/>
          <w:sz w:val="24"/>
        </w:rPr>
        <w:t>11</w:t>
      </w:r>
      <w:r>
        <w:rPr>
          <w:rFonts w:eastAsiaTheme="minorEastAsia"/>
          <w:sz w:val="24"/>
        </w:rPr>
        <w:t>号），对</w:t>
      </w:r>
      <w:r>
        <w:rPr>
          <w:rFonts w:eastAsiaTheme="minorEastAsia"/>
          <w:sz w:val="24"/>
        </w:rPr>
        <w:t>2022</w:t>
      </w:r>
      <w:r>
        <w:rPr>
          <w:rFonts w:eastAsiaTheme="minorEastAsia"/>
          <w:sz w:val="24"/>
        </w:rPr>
        <w:t>年</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相关工作提出要求，并明确全国水产技术推广总站负责牵头组织实施。为做好</w:t>
      </w:r>
      <w:r>
        <w:rPr>
          <w:rFonts w:eastAsiaTheme="minorEastAsia"/>
          <w:sz w:val="24"/>
        </w:rPr>
        <w:t>2022</w:t>
      </w:r>
      <w:r>
        <w:rPr>
          <w:rFonts w:eastAsiaTheme="minorEastAsia"/>
          <w:sz w:val="24"/>
        </w:rPr>
        <w:t>年水产绿色健康养殖技术推广</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实施工作，现就有关事项通知如下。</w:t>
      </w:r>
    </w:p>
    <w:p w14:paraId="1371745F" w14:textId="77777777" w:rsidR="004F39F6" w:rsidRDefault="00731C67">
      <w:pPr>
        <w:spacing w:line="360" w:lineRule="auto"/>
        <w:ind w:firstLine="426"/>
        <w:rPr>
          <w:rFonts w:eastAsiaTheme="minorEastAsia"/>
          <w:sz w:val="24"/>
        </w:rPr>
      </w:pPr>
      <w:r>
        <w:rPr>
          <w:rFonts w:eastAsiaTheme="minorEastAsia"/>
          <w:sz w:val="24"/>
        </w:rPr>
        <w:t>一、提高认识，将</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摆上重要工作位置</w:t>
      </w:r>
    </w:p>
    <w:p w14:paraId="028A2573" w14:textId="77777777" w:rsidR="004F39F6" w:rsidRDefault="00731C67">
      <w:pPr>
        <w:spacing w:line="360" w:lineRule="auto"/>
        <w:ind w:firstLine="426"/>
        <w:rPr>
          <w:rFonts w:eastAsiaTheme="minorEastAsia"/>
          <w:sz w:val="24"/>
        </w:rPr>
      </w:pPr>
      <w:r>
        <w:rPr>
          <w:rFonts w:eastAsiaTheme="minorEastAsia"/>
          <w:sz w:val="24"/>
        </w:rPr>
        <w:t>2021</w:t>
      </w:r>
      <w:r>
        <w:rPr>
          <w:rFonts w:eastAsiaTheme="minorEastAsia"/>
          <w:sz w:val="24"/>
        </w:rPr>
        <w:t>年农业农村部办公厅印发《关于实施水产绿色健康养殖技术推广</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的通知》，决定在</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期间组织实施生态健康养殖模式推广、养殖尾水治理模式推广、水</w:t>
      </w:r>
      <w:r>
        <w:rPr>
          <w:rFonts w:eastAsiaTheme="minorEastAsia"/>
          <w:sz w:val="24"/>
        </w:rPr>
        <w:t>产养殖用药减量、配合饲料</w:t>
      </w:r>
      <w:proofErr w:type="gramStart"/>
      <w:r>
        <w:rPr>
          <w:rFonts w:eastAsiaTheme="minorEastAsia"/>
          <w:sz w:val="24"/>
        </w:rPr>
        <w:t>替代幼杂鱼</w:t>
      </w:r>
      <w:proofErr w:type="gramEnd"/>
      <w:r>
        <w:rPr>
          <w:rFonts w:eastAsiaTheme="minorEastAsia"/>
          <w:sz w:val="24"/>
        </w:rPr>
        <w:t>和水产种业质量提升等水产绿色健康养殖技术推广</w:t>
      </w:r>
      <w:r>
        <w:rPr>
          <w:rFonts w:eastAsiaTheme="minorEastAsia"/>
          <w:sz w:val="24"/>
        </w:rPr>
        <w:t>“</w:t>
      </w:r>
      <w:r>
        <w:rPr>
          <w:rFonts w:eastAsiaTheme="minorEastAsia"/>
          <w:sz w:val="24"/>
        </w:rPr>
        <w:t>五</w:t>
      </w:r>
      <w:r>
        <w:rPr>
          <w:rFonts w:eastAsiaTheme="minorEastAsia"/>
          <w:sz w:val="24"/>
        </w:rPr>
        <w:lastRenderedPageBreak/>
        <w:t>大行动</w:t>
      </w:r>
      <w:r>
        <w:rPr>
          <w:rFonts w:eastAsiaTheme="minorEastAsia"/>
          <w:sz w:val="24"/>
        </w:rPr>
        <w:t>”</w:t>
      </w:r>
      <w:r>
        <w:rPr>
          <w:rFonts w:eastAsiaTheme="minorEastAsia"/>
          <w:sz w:val="24"/>
        </w:rPr>
        <w:t>。《</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全国渔业发展规划》《全国水产技术推广工作</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规划》已将实施</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列为重要内容。</w:t>
      </w:r>
    </w:p>
    <w:p w14:paraId="08CB6474" w14:textId="77777777" w:rsidR="004F39F6" w:rsidRDefault="00731C67">
      <w:pPr>
        <w:spacing w:line="360" w:lineRule="auto"/>
        <w:ind w:firstLine="426"/>
        <w:rPr>
          <w:rFonts w:eastAsiaTheme="minorEastAsia"/>
          <w:sz w:val="24"/>
        </w:rPr>
      </w:pPr>
      <w:r>
        <w:rPr>
          <w:rFonts w:eastAsiaTheme="minorEastAsia"/>
          <w:sz w:val="24"/>
        </w:rPr>
        <w:t>2022</w:t>
      </w:r>
      <w:r>
        <w:rPr>
          <w:rFonts w:eastAsiaTheme="minorEastAsia"/>
          <w:sz w:val="24"/>
        </w:rPr>
        <w:t>年是</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承上启下之年，做好</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实施工作具有重要意义。各级水产技术推广部门要按照</w:t>
      </w:r>
      <w:r>
        <w:rPr>
          <w:rFonts w:eastAsiaTheme="minorEastAsia"/>
          <w:sz w:val="24"/>
        </w:rPr>
        <w:t>“</w:t>
      </w:r>
      <w:r>
        <w:rPr>
          <w:rFonts w:eastAsiaTheme="minorEastAsia"/>
          <w:sz w:val="24"/>
        </w:rPr>
        <w:t>保供固安全、振兴</w:t>
      </w:r>
      <w:proofErr w:type="gramStart"/>
      <w:r>
        <w:rPr>
          <w:rFonts w:eastAsiaTheme="minorEastAsia"/>
          <w:sz w:val="24"/>
        </w:rPr>
        <w:t>畅</w:t>
      </w:r>
      <w:proofErr w:type="gramEnd"/>
      <w:r>
        <w:rPr>
          <w:rFonts w:eastAsiaTheme="minorEastAsia"/>
          <w:sz w:val="24"/>
        </w:rPr>
        <w:t>循环</w:t>
      </w:r>
      <w:r>
        <w:rPr>
          <w:rFonts w:eastAsiaTheme="minorEastAsia"/>
          <w:sz w:val="24"/>
        </w:rPr>
        <w:t>”</w:t>
      </w:r>
      <w:r>
        <w:rPr>
          <w:rFonts w:eastAsiaTheme="minorEastAsia"/>
          <w:sz w:val="24"/>
        </w:rPr>
        <w:t>的工作定位，充分认识实施</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是促进水产养殖业绿色高质量发展的重要举措，是提升国家食物安全和水产品有效供给能力的重要保障，是水产技术推广部门履职尽责、做好渔业中心工作、助力农业农村现代</w:t>
      </w:r>
      <w:r>
        <w:rPr>
          <w:rFonts w:eastAsiaTheme="minorEastAsia"/>
          <w:sz w:val="24"/>
        </w:rPr>
        <w:t>化和乡村振兴的重要抓手，按照有关规划和文件通知要求，把</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摆上重要工作位置，将实施</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作为</w:t>
      </w:r>
      <w:r>
        <w:rPr>
          <w:rFonts w:eastAsiaTheme="minorEastAsia"/>
          <w:sz w:val="24"/>
        </w:rPr>
        <w:t>2022</w:t>
      </w:r>
      <w:r>
        <w:rPr>
          <w:rFonts w:eastAsiaTheme="minorEastAsia"/>
          <w:sz w:val="24"/>
        </w:rPr>
        <w:t>年及</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时期水产技术推广工作的重点任务，并与其他相关工作相衔接，统筹安排、协调推进，确保抓出典型、取得实效。</w:t>
      </w:r>
    </w:p>
    <w:p w14:paraId="7DD9680B" w14:textId="77777777" w:rsidR="004F39F6" w:rsidRDefault="00731C67">
      <w:pPr>
        <w:spacing w:line="360" w:lineRule="auto"/>
        <w:ind w:firstLine="426"/>
        <w:rPr>
          <w:rFonts w:eastAsiaTheme="minorEastAsia"/>
          <w:sz w:val="24"/>
        </w:rPr>
      </w:pPr>
      <w:r>
        <w:rPr>
          <w:rFonts w:eastAsiaTheme="minorEastAsia"/>
          <w:sz w:val="24"/>
        </w:rPr>
        <w:t>二、抓点带面，加强</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骨干基地建设</w:t>
      </w:r>
    </w:p>
    <w:p w14:paraId="18795DC8" w14:textId="77777777" w:rsidR="004F39F6" w:rsidRDefault="00731C67">
      <w:pPr>
        <w:spacing w:line="360" w:lineRule="auto"/>
        <w:ind w:firstLine="426"/>
        <w:rPr>
          <w:rFonts w:eastAsiaTheme="minorEastAsia"/>
          <w:sz w:val="24"/>
        </w:rPr>
      </w:pPr>
      <w:r>
        <w:rPr>
          <w:rFonts w:eastAsiaTheme="minorEastAsia"/>
          <w:sz w:val="24"/>
        </w:rPr>
        <w:t>骨干基地是实施</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的重要载体，自</w:t>
      </w:r>
      <w:r>
        <w:rPr>
          <w:rFonts w:eastAsiaTheme="minorEastAsia"/>
          <w:sz w:val="24"/>
        </w:rPr>
        <w:t>2020</w:t>
      </w:r>
      <w:r>
        <w:rPr>
          <w:rFonts w:eastAsiaTheme="minorEastAsia"/>
          <w:sz w:val="24"/>
        </w:rPr>
        <w:t>年以来，骨干基地在技术模式集成示范和引领带动方面发挥了重要作用。</w:t>
      </w:r>
    </w:p>
    <w:p w14:paraId="030F8CAA" w14:textId="77777777" w:rsidR="004F39F6" w:rsidRDefault="00731C67">
      <w:pPr>
        <w:spacing w:line="360" w:lineRule="auto"/>
        <w:ind w:firstLine="426"/>
        <w:rPr>
          <w:rFonts w:eastAsiaTheme="minorEastAsia"/>
          <w:sz w:val="24"/>
        </w:rPr>
      </w:pPr>
      <w:r>
        <w:rPr>
          <w:rFonts w:eastAsiaTheme="minorEastAsia"/>
          <w:sz w:val="24"/>
        </w:rPr>
        <w:t>2021</w:t>
      </w:r>
      <w:r>
        <w:rPr>
          <w:rFonts w:eastAsiaTheme="minorEastAsia"/>
          <w:sz w:val="24"/>
        </w:rPr>
        <w:t>年底，全国水产技术推广总站组织开展</w:t>
      </w:r>
      <w:r>
        <w:rPr>
          <w:rFonts w:eastAsiaTheme="minorEastAsia"/>
          <w:sz w:val="24"/>
        </w:rPr>
        <w:t>2021</w:t>
      </w:r>
      <w:r>
        <w:rPr>
          <w:rFonts w:eastAsiaTheme="minorEastAsia"/>
          <w:sz w:val="24"/>
        </w:rPr>
        <w:t>年度骨干基地认定工作，经各级水产技术推广部门遴选推荐并经全国水产技术推广总</w:t>
      </w:r>
      <w:r>
        <w:rPr>
          <w:rFonts w:eastAsiaTheme="minorEastAsia"/>
          <w:sz w:val="24"/>
        </w:rPr>
        <w:t>站审核，认定</w:t>
      </w:r>
      <w:r>
        <w:rPr>
          <w:rFonts w:eastAsiaTheme="minorEastAsia"/>
          <w:sz w:val="24"/>
        </w:rPr>
        <w:t>2021</w:t>
      </w:r>
      <w:r>
        <w:rPr>
          <w:rFonts w:eastAsiaTheme="minorEastAsia"/>
          <w:sz w:val="24"/>
        </w:rPr>
        <w:t>年度骨干基地</w:t>
      </w:r>
      <w:r>
        <w:rPr>
          <w:rFonts w:eastAsiaTheme="minorEastAsia"/>
          <w:sz w:val="24"/>
        </w:rPr>
        <w:t>984</w:t>
      </w:r>
      <w:r>
        <w:rPr>
          <w:rFonts w:eastAsiaTheme="minorEastAsia"/>
          <w:sz w:val="24"/>
        </w:rPr>
        <w:t>个，现予公布（名单附后）。骨干基地示范面积</w:t>
      </w:r>
      <w:r>
        <w:rPr>
          <w:rFonts w:eastAsiaTheme="minorEastAsia"/>
          <w:sz w:val="24"/>
        </w:rPr>
        <w:t>492</w:t>
      </w:r>
      <w:r>
        <w:rPr>
          <w:rFonts w:eastAsiaTheme="minorEastAsia"/>
          <w:sz w:val="24"/>
        </w:rPr>
        <w:t>万亩，示范推广水产新品种</w:t>
      </w:r>
      <w:r>
        <w:rPr>
          <w:rFonts w:eastAsiaTheme="minorEastAsia"/>
          <w:sz w:val="24"/>
        </w:rPr>
        <w:t>96</w:t>
      </w:r>
      <w:r>
        <w:rPr>
          <w:rFonts w:eastAsiaTheme="minorEastAsia"/>
          <w:sz w:val="24"/>
        </w:rPr>
        <w:t>个，骨干基地实现生态健康养殖模式全覆盖，养殖尾水实现循环综合利用或达标排放，水产养殖用</w:t>
      </w:r>
      <w:proofErr w:type="gramStart"/>
      <w:r>
        <w:rPr>
          <w:rFonts w:eastAsiaTheme="minorEastAsia"/>
          <w:sz w:val="24"/>
        </w:rPr>
        <w:t>兽药总</w:t>
      </w:r>
      <w:proofErr w:type="gramEnd"/>
      <w:r>
        <w:rPr>
          <w:rFonts w:eastAsiaTheme="minorEastAsia"/>
          <w:sz w:val="24"/>
        </w:rPr>
        <w:t>使用量</w:t>
      </w:r>
      <w:r>
        <w:rPr>
          <w:rFonts w:eastAsiaTheme="minorEastAsia"/>
          <w:sz w:val="24"/>
        </w:rPr>
        <w:t>2020</w:t>
      </w:r>
      <w:r>
        <w:rPr>
          <w:rFonts w:eastAsiaTheme="minorEastAsia"/>
          <w:sz w:val="24"/>
        </w:rPr>
        <w:t>年度同比减少</w:t>
      </w:r>
      <w:r>
        <w:rPr>
          <w:rFonts w:eastAsiaTheme="minorEastAsia"/>
          <w:sz w:val="24"/>
        </w:rPr>
        <w:t>5.93%</w:t>
      </w:r>
      <w:r>
        <w:rPr>
          <w:rFonts w:eastAsiaTheme="minorEastAsia"/>
          <w:sz w:val="24"/>
        </w:rPr>
        <w:t>、</w:t>
      </w:r>
      <w:r>
        <w:rPr>
          <w:rFonts w:eastAsiaTheme="minorEastAsia"/>
          <w:sz w:val="24"/>
        </w:rPr>
        <w:t>2021</w:t>
      </w:r>
      <w:r>
        <w:rPr>
          <w:rFonts w:eastAsiaTheme="minorEastAsia"/>
          <w:sz w:val="24"/>
        </w:rPr>
        <w:t>年度同比减少</w:t>
      </w:r>
      <w:r>
        <w:rPr>
          <w:rFonts w:eastAsiaTheme="minorEastAsia"/>
          <w:sz w:val="24"/>
        </w:rPr>
        <w:t>7%</w:t>
      </w:r>
      <w:r>
        <w:rPr>
          <w:rFonts w:eastAsiaTheme="minorEastAsia"/>
          <w:sz w:val="24"/>
        </w:rPr>
        <w:t>，配合饲料替代率</w:t>
      </w:r>
      <w:r>
        <w:rPr>
          <w:rFonts w:eastAsiaTheme="minorEastAsia"/>
          <w:sz w:val="24"/>
        </w:rPr>
        <w:t>2020</w:t>
      </w:r>
      <w:r>
        <w:rPr>
          <w:rFonts w:eastAsiaTheme="minorEastAsia"/>
          <w:sz w:val="24"/>
        </w:rPr>
        <w:t>年度平均达到</w:t>
      </w:r>
      <w:r>
        <w:rPr>
          <w:rFonts w:eastAsiaTheme="minorEastAsia"/>
          <w:sz w:val="24"/>
        </w:rPr>
        <w:t>73.5%</w:t>
      </w:r>
      <w:r>
        <w:rPr>
          <w:rFonts w:eastAsiaTheme="minorEastAsia"/>
          <w:sz w:val="24"/>
        </w:rPr>
        <w:t>、</w:t>
      </w:r>
      <w:r>
        <w:rPr>
          <w:rFonts w:eastAsiaTheme="minorEastAsia"/>
          <w:sz w:val="24"/>
        </w:rPr>
        <w:t>2021</w:t>
      </w:r>
      <w:r>
        <w:rPr>
          <w:rFonts w:eastAsiaTheme="minorEastAsia"/>
          <w:sz w:val="24"/>
        </w:rPr>
        <w:t>年度平均达到</w:t>
      </w:r>
      <w:r>
        <w:rPr>
          <w:rFonts w:eastAsiaTheme="minorEastAsia"/>
          <w:sz w:val="24"/>
        </w:rPr>
        <w:t>77%</w:t>
      </w:r>
      <w:r>
        <w:rPr>
          <w:rFonts w:eastAsiaTheme="minorEastAsia"/>
          <w:sz w:val="24"/>
        </w:rPr>
        <w:t>，取得良好成效。</w:t>
      </w:r>
    </w:p>
    <w:p w14:paraId="0694026B" w14:textId="77777777" w:rsidR="004F39F6" w:rsidRDefault="00731C67">
      <w:pPr>
        <w:spacing w:line="360" w:lineRule="auto"/>
        <w:ind w:firstLine="426"/>
        <w:rPr>
          <w:rFonts w:eastAsiaTheme="minorEastAsia"/>
          <w:sz w:val="24"/>
        </w:rPr>
      </w:pPr>
      <w:r>
        <w:rPr>
          <w:rFonts w:eastAsiaTheme="minorEastAsia"/>
          <w:sz w:val="24"/>
        </w:rPr>
        <w:t>各地要继续加强对骨干基地的指导、培育和支持，不断提升骨干基地绿色健康养殖技术的质量和水平，在当地形成影响力和公信力，切实发挥好示范带动作用。要按照骨干基</w:t>
      </w:r>
      <w:r>
        <w:rPr>
          <w:rFonts w:eastAsiaTheme="minorEastAsia"/>
          <w:sz w:val="24"/>
        </w:rPr>
        <w:t>地管理办法加强管理，用好骨干基地标牌，及时更新完善</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骨干基地信息管理系统（</w:t>
      </w:r>
      <w:r>
        <w:rPr>
          <w:rFonts w:eastAsiaTheme="minorEastAsia"/>
          <w:sz w:val="24"/>
        </w:rPr>
        <w:t>http://xd.szjoann.net</w:t>
      </w:r>
      <w:r>
        <w:rPr>
          <w:rFonts w:eastAsiaTheme="minorEastAsia"/>
          <w:sz w:val="24"/>
        </w:rPr>
        <w:t>）内容，加强日常监督考核，形成优胜劣汰的遴选认定机制。</w:t>
      </w:r>
    </w:p>
    <w:p w14:paraId="772D803D" w14:textId="77777777" w:rsidR="004F39F6" w:rsidRDefault="00731C67">
      <w:pPr>
        <w:spacing w:line="360" w:lineRule="auto"/>
        <w:ind w:firstLine="426"/>
        <w:rPr>
          <w:rFonts w:eastAsiaTheme="minorEastAsia"/>
          <w:sz w:val="24"/>
        </w:rPr>
      </w:pPr>
      <w:r>
        <w:rPr>
          <w:rFonts w:eastAsiaTheme="minorEastAsia"/>
          <w:sz w:val="24"/>
        </w:rPr>
        <w:t>三、细化措施，落实</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各项目标任务</w:t>
      </w:r>
    </w:p>
    <w:p w14:paraId="279D8BEE" w14:textId="77777777" w:rsidR="004F39F6" w:rsidRDefault="00731C67">
      <w:pPr>
        <w:spacing w:line="360" w:lineRule="auto"/>
        <w:ind w:firstLine="426"/>
        <w:rPr>
          <w:rFonts w:eastAsiaTheme="minorEastAsia"/>
          <w:sz w:val="24"/>
        </w:rPr>
      </w:pPr>
      <w:r>
        <w:rPr>
          <w:rFonts w:eastAsiaTheme="minorEastAsia"/>
          <w:sz w:val="24"/>
        </w:rPr>
        <w:t>各级水产技术推广部门要发挥本辖区组织实施</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主力军作用，配合渔业主管部门制定</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实施方案，提出合理化建议，推动政策衔接配套；立足职责任务，制定落实任务清单，明确各项行动的具体措施、目标要求和实现路径，制定时间表和路线图；加强与科研教学单位、实施主体的沟通合作，形成协同高</w:t>
      </w:r>
      <w:r>
        <w:rPr>
          <w:rFonts w:eastAsiaTheme="minorEastAsia"/>
          <w:sz w:val="24"/>
        </w:rPr>
        <w:t>效的工作合力；做好技术模式的创新、总结、集成、熟化，推动形成一批标准规范；深入发掘典型做法和优秀案例，通过举办技术培训、交流研讨和现场观摩等方式进行示范推广；加强信息调度和宣传，及时掌握实</w:t>
      </w:r>
      <w:r>
        <w:rPr>
          <w:rFonts w:eastAsiaTheme="minorEastAsia"/>
          <w:sz w:val="24"/>
        </w:rPr>
        <w:lastRenderedPageBreak/>
        <w:t>施情况，充分利用各类媒体进行宣传。</w:t>
      </w:r>
    </w:p>
    <w:p w14:paraId="620DE3AE" w14:textId="77777777" w:rsidR="004F39F6" w:rsidRDefault="00731C67">
      <w:pPr>
        <w:spacing w:line="360" w:lineRule="auto"/>
        <w:ind w:firstLine="426"/>
        <w:rPr>
          <w:rFonts w:eastAsiaTheme="minorEastAsia"/>
          <w:sz w:val="24"/>
        </w:rPr>
      </w:pPr>
      <w:r>
        <w:rPr>
          <w:rFonts w:eastAsiaTheme="minorEastAsia"/>
          <w:sz w:val="24"/>
        </w:rPr>
        <w:t>各地要及时掌握和总结行动实施情况，并及时向全国水产技术推广总站报送信息动态，按要求分别于</w:t>
      </w:r>
      <w:r>
        <w:rPr>
          <w:rFonts w:eastAsiaTheme="minorEastAsia"/>
          <w:sz w:val="24"/>
        </w:rPr>
        <w:t>3</w:t>
      </w:r>
      <w:r>
        <w:rPr>
          <w:rFonts w:eastAsiaTheme="minorEastAsia"/>
          <w:sz w:val="24"/>
        </w:rPr>
        <w:t>月</w:t>
      </w:r>
      <w:r>
        <w:rPr>
          <w:rFonts w:eastAsiaTheme="minorEastAsia"/>
          <w:sz w:val="24"/>
        </w:rPr>
        <w:t>15</w:t>
      </w:r>
      <w:r>
        <w:rPr>
          <w:rFonts w:eastAsiaTheme="minorEastAsia"/>
          <w:sz w:val="24"/>
        </w:rPr>
        <w:t>日、</w:t>
      </w:r>
      <w:r>
        <w:rPr>
          <w:rFonts w:eastAsiaTheme="minorEastAsia"/>
          <w:sz w:val="24"/>
        </w:rPr>
        <w:t>7</w:t>
      </w:r>
      <w:r>
        <w:rPr>
          <w:rFonts w:eastAsiaTheme="minorEastAsia"/>
          <w:sz w:val="24"/>
        </w:rPr>
        <w:t>月</w:t>
      </w:r>
      <w:r>
        <w:rPr>
          <w:rFonts w:eastAsiaTheme="minorEastAsia"/>
          <w:sz w:val="24"/>
        </w:rPr>
        <w:t>15</w:t>
      </w:r>
      <w:r>
        <w:rPr>
          <w:rFonts w:eastAsiaTheme="minorEastAsia"/>
          <w:sz w:val="24"/>
        </w:rPr>
        <w:t>日、</w:t>
      </w:r>
      <w:r>
        <w:rPr>
          <w:rFonts w:eastAsiaTheme="minorEastAsia"/>
          <w:sz w:val="24"/>
        </w:rPr>
        <w:t>11</w:t>
      </w:r>
      <w:r>
        <w:rPr>
          <w:rFonts w:eastAsiaTheme="minorEastAsia"/>
          <w:sz w:val="24"/>
        </w:rPr>
        <w:t>月</w:t>
      </w:r>
      <w:r>
        <w:rPr>
          <w:rFonts w:eastAsiaTheme="minorEastAsia"/>
          <w:sz w:val="24"/>
        </w:rPr>
        <w:t>30</w:t>
      </w:r>
      <w:r>
        <w:rPr>
          <w:rFonts w:eastAsiaTheme="minorEastAsia"/>
          <w:sz w:val="24"/>
        </w:rPr>
        <w:t>日前，分别将工作实施方案、半年工作总结和全年工作总结报全国水产技术推广总站。</w:t>
      </w:r>
    </w:p>
    <w:p w14:paraId="49E46938" w14:textId="77777777" w:rsidR="004F39F6" w:rsidRDefault="00731C67">
      <w:pPr>
        <w:spacing w:line="360" w:lineRule="auto"/>
        <w:ind w:firstLine="420"/>
        <w:jc w:val="right"/>
        <w:rPr>
          <w:rFonts w:eastAsiaTheme="minorEastAsia"/>
          <w:szCs w:val="21"/>
        </w:rPr>
      </w:pPr>
      <w:r>
        <w:rPr>
          <w:rStyle w:val="vm"/>
          <w:rFonts w:eastAsiaTheme="minorEastAsia"/>
          <w:szCs w:val="21"/>
        </w:rPr>
        <w:t>转摘自全国水产技术推广总站</w:t>
      </w:r>
    </w:p>
    <w:p w14:paraId="5AA56F78" w14:textId="77777777" w:rsidR="004F39F6" w:rsidRDefault="00731C67">
      <w:pPr>
        <w:pStyle w:val="2"/>
        <w:spacing w:line="460" w:lineRule="exact"/>
        <w:jc w:val="center"/>
        <w:rPr>
          <w:rFonts w:ascii="Times New Roman" w:eastAsia="黑体" w:hAnsi="Times New Roman" w:cs="Times New Roman"/>
          <w:sz w:val="32"/>
          <w:szCs w:val="32"/>
        </w:rPr>
      </w:pPr>
      <w:bookmarkStart w:id="5" w:name="_Toc95682078"/>
      <w:r>
        <w:rPr>
          <w:rFonts w:ascii="Times New Roman" w:eastAsia="黑体" w:hAnsi="Times New Roman" w:cs="Times New Roman"/>
          <w:sz w:val="32"/>
          <w:szCs w:val="32"/>
        </w:rPr>
        <w:t>2021</w:t>
      </w:r>
      <w:r>
        <w:rPr>
          <w:rFonts w:ascii="Times New Roman" w:eastAsia="黑体" w:hAnsi="Times New Roman" w:cs="Times New Roman"/>
          <w:sz w:val="32"/>
          <w:szCs w:val="32"/>
        </w:rPr>
        <w:t>年配合饲料替代</w:t>
      </w:r>
      <w:proofErr w:type="gramStart"/>
      <w:r>
        <w:rPr>
          <w:rFonts w:ascii="Times New Roman" w:eastAsia="黑体" w:hAnsi="Times New Roman" w:cs="Times New Roman"/>
          <w:sz w:val="32"/>
          <w:szCs w:val="32"/>
        </w:rPr>
        <w:t>幼杂鱼工作</w:t>
      </w:r>
      <w:proofErr w:type="gramEnd"/>
      <w:r>
        <w:rPr>
          <w:rFonts w:ascii="Times New Roman" w:eastAsia="黑体" w:hAnsi="Times New Roman" w:cs="Times New Roman"/>
          <w:sz w:val="32"/>
          <w:szCs w:val="32"/>
        </w:rPr>
        <w:t>取得显著成效</w:t>
      </w:r>
      <w:bookmarkEnd w:id="5"/>
    </w:p>
    <w:p w14:paraId="17B23E8A" w14:textId="77777777" w:rsidR="004F39F6" w:rsidRDefault="00731C67">
      <w:pPr>
        <w:spacing w:line="360" w:lineRule="auto"/>
        <w:ind w:firstLine="426"/>
        <w:rPr>
          <w:rFonts w:eastAsiaTheme="minorEastAsia"/>
          <w:sz w:val="24"/>
        </w:rPr>
      </w:pPr>
      <w:r>
        <w:rPr>
          <w:rFonts w:eastAsiaTheme="minorEastAsia"/>
          <w:sz w:val="24"/>
        </w:rPr>
        <w:t>2021</w:t>
      </w:r>
      <w:r>
        <w:rPr>
          <w:rFonts w:eastAsiaTheme="minorEastAsia"/>
          <w:sz w:val="24"/>
        </w:rPr>
        <w:t>年，农</w:t>
      </w:r>
      <w:r>
        <w:rPr>
          <w:rFonts w:eastAsiaTheme="minorEastAsia"/>
          <w:sz w:val="24"/>
        </w:rPr>
        <w:t>业农村</w:t>
      </w:r>
      <w:proofErr w:type="gramStart"/>
      <w:r>
        <w:rPr>
          <w:rFonts w:eastAsiaTheme="minorEastAsia"/>
          <w:sz w:val="24"/>
        </w:rPr>
        <w:t>部深入</w:t>
      </w:r>
      <w:proofErr w:type="gramEnd"/>
      <w:r>
        <w:rPr>
          <w:rFonts w:eastAsiaTheme="minorEastAsia"/>
          <w:sz w:val="24"/>
        </w:rPr>
        <w:t>推进实施水产绿色健康养殖技术推广</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，推进配合饲料替代</w:t>
      </w:r>
      <w:proofErr w:type="gramStart"/>
      <w:r>
        <w:rPr>
          <w:rFonts w:eastAsiaTheme="minorEastAsia"/>
          <w:sz w:val="24"/>
        </w:rPr>
        <w:t>幼杂鱼相关</w:t>
      </w:r>
      <w:proofErr w:type="gramEnd"/>
      <w:r>
        <w:rPr>
          <w:rFonts w:eastAsiaTheme="minorEastAsia"/>
          <w:sz w:val="24"/>
        </w:rPr>
        <w:t>工作，取得显著成效。</w:t>
      </w:r>
      <w:r>
        <w:rPr>
          <w:rFonts w:eastAsiaTheme="minorEastAsia"/>
          <w:sz w:val="24"/>
        </w:rPr>
        <w:t>2021</w:t>
      </w:r>
      <w:r>
        <w:rPr>
          <w:rFonts w:eastAsiaTheme="minorEastAsia"/>
          <w:sz w:val="24"/>
        </w:rPr>
        <w:t>年参与实施配合饲料</w:t>
      </w:r>
      <w:proofErr w:type="gramStart"/>
      <w:r>
        <w:rPr>
          <w:rFonts w:eastAsiaTheme="minorEastAsia"/>
          <w:sz w:val="24"/>
        </w:rPr>
        <w:t>代替幼杂鱼</w:t>
      </w:r>
      <w:proofErr w:type="gramEnd"/>
      <w:r>
        <w:rPr>
          <w:rFonts w:eastAsiaTheme="minorEastAsia"/>
          <w:sz w:val="24"/>
        </w:rPr>
        <w:t>行动的各试验基地配合饲料替代率平均达到</w:t>
      </w:r>
      <w:r>
        <w:rPr>
          <w:rFonts w:eastAsiaTheme="minorEastAsia"/>
          <w:sz w:val="24"/>
        </w:rPr>
        <w:t>77%</w:t>
      </w:r>
      <w:r>
        <w:rPr>
          <w:rFonts w:eastAsiaTheme="minorEastAsia"/>
          <w:sz w:val="24"/>
        </w:rPr>
        <w:t>，其中，养殖大口黑</w:t>
      </w:r>
      <w:proofErr w:type="gramStart"/>
      <w:r>
        <w:rPr>
          <w:rFonts w:eastAsiaTheme="minorEastAsia"/>
          <w:sz w:val="24"/>
        </w:rPr>
        <w:t>鲈配合</w:t>
      </w:r>
      <w:proofErr w:type="gramEnd"/>
      <w:r>
        <w:rPr>
          <w:rFonts w:eastAsiaTheme="minorEastAsia"/>
          <w:sz w:val="24"/>
        </w:rPr>
        <w:t>饲料替代率达到</w:t>
      </w:r>
      <w:r>
        <w:rPr>
          <w:rFonts w:eastAsiaTheme="minorEastAsia"/>
          <w:sz w:val="24"/>
        </w:rPr>
        <w:t>94%</w:t>
      </w:r>
      <w:r>
        <w:rPr>
          <w:rFonts w:eastAsiaTheme="minorEastAsia"/>
          <w:sz w:val="24"/>
        </w:rPr>
        <w:t>，大黄鱼、石斑鱼、鳜鱼和中华绒</w:t>
      </w:r>
      <w:proofErr w:type="gramStart"/>
      <w:r>
        <w:rPr>
          <w:rFonts w:eastAsiaTheme="minorEastAsia"/>
          <w:sz w:val="24"/>
        </w:rPr>
        <w:t>螯</w:t>
      </w:r>
      <w:proofErr w:type="gramEnd"/>
      <w:r>
        <w:rPr>
          <w:rFonts w:eastAsiaTheme="minorEastAsia"/>
          <w:sz w:val="24"/>
        </w:rPr>
        <w:t>蟹等替代率在</w:t>
      </w:r>
      <w:r>
        <w:rPr>
          <w:rFonts w:eastAsiaTheme="minorEastAsia"/>
          <w:sz w:val="24"/>
        </w:rPr>
        <w:t>80%</w:t>
      </w:r>
      <w:r>
        <w:rPr>
          <w:rFonts w:eastAsiaTheme="minorEastAsia"/>
          <w:sz w:val="24"/>
        </w:rPr>
        <w:t>以上，试验基地周边养殖者也逐步接受使用配合饲料养殖这一理念。</w:t>
      </w:r>
    </w:p>
    <w:p w14:paraId="2C15F5D9" w14:textId="77777777" w:rsidR="004F39F6" w:rsidRDefault="00731C67">
      <w:pPr>
        <w:spacing w:line="360" w:lineRule="auto"/>
        <w:ind w:firstLine="426"/>
        <w:rPr>
          <w:rFonts w:eastAsiaTheme="minorEastAsia"/>
          <w:sz w:val="24"/>
        </w:rPr>
      </w:pPr>
      <w:r>
        <w:rPr>
          <w:rFonts w:eastAsiaTheme="minorEastAsia"/>
          <w:sz w:val="24"/>
        </w:rPr>
        <w:t>据了解，</w:t>
      </w:r>
      <w:r>
        <w:rPr>
          <w:rFonts w:eastAsiaTheme="minorEastAsia"/>
          <w:sz w:val="24"/>
        </w:rPr>
        <w:t>2019</w:t>
      </w:r>
      <w:r>
        <w:rPr>
          <w:rFonts w:eastAsiaTheme="minorEastAsia"/>
          <w:sz w:val="24"/>
        </w:rPr>
        <w:t>年农业农村部等</w:t>
      </w:r>
      <w:r>
        <w:rPr>
          <w:rFonts w:eastAsiaTheme="minorEastAsia"/>
          <w:sz w:val="24"/>
        </w:rPr>
        <w:t>10</w:t>
      </w:r>
      <w:r>
        <w:rPr>
          <w:rFonts w:eastAsiaTheme="minorEastAsia"/>
          <w:sz w:val="24"/>
        </w:rPr>
        <w:t>部委联合印发的《关于加快推进水产养殖业绿色发展的若干意见》，明确提出实施配合饲料替代</w:t>
      </w:r>
      <w:proofErr w:type="gramStart"/>
      <w:r>
        <w:rPr>
          <w:rFonts w:eastAsiaTheme="minorEastAsia"/>
          <w:sz w:val="24"/>
        </w:rPr>
        <w:t>冰鲜幼杂鱼</w:t>
      </w:r>
      <w:proofErr w:type="gramEnd"/>
      <w:r>
        <w:rPr>
          <w:rFonts w:eastAsiaTheme="minorEastAsia"/>
          <w:sz w:val="24"/>
        </w:rPr>
        <w:t>行动，严格限制冰鲜杂鱼等直接投喂。农业农村部</w:t>
      </w:r>
      <w:r>
        <w:rPr>
          <w:rFonts w:eastAsiaTheme="minorEastAsia"/>
          <w:sz w:val="24"/>
        </w:rPr>
        <w:t>渔业渔政管理局会同全国水产技术推广总站，编制《配合饲料替代幼杂鱼行动典型案例汇编》，指导相关省份开展调研学习和经验交流，组织专家赴主要养殖地区开展技术培训，广泛宣传配合饲料优点和相关养殖新技术。</w:t>
      </w:r>
    </w:p>
    <w:p w14:paraId="618544C5" w14:textId="77777777" w:rsidR="004F39F6" w:rsidRDefault="00731C67">
      <w:pPr>
        <w:spacing w:line="360" w:lineRule="auto"/>
        <w:ind w:firstLine="426"/>
        <w:rPr>
          <w:rFonts w:eastAsiaTheme="minorEastAsia"/>
          <w:sz w:val="24"/>
        </w:rPr>
      </w:pPr>
      <w:r>
        <w:rPr>
          <w:rFonts w:eastAsiaTheme="minorEastAsia"/>
          <w:sz w:val="24"/>
        </w:rPr>
        <w:t>2022</w:t>
      </w:r>
      <w:r>
        <w:rPr>
          <w:rFonts w:eastAsiaTheme="minorEastAsia"/>
          <w:sz w:val="24"/>
        </w:rPr>
        <w:t>年，农业农村部将进一步采取有力举措，统筹协调各方力量，加快推进水产养殖动物全程使用配合饲料关键技术研发和推广应用，逐步淘汰投喂</w:t>
      </w:r>
      <w:proofErr w:type="gramStart"/>
      <w:r>
        <w:rPr>
          <w:rFonts w:eastAsiaTheme="minorEastAsia"/>
          <w:sz w:val="24"/>
        </w:rPr>
        <w:t>冰鲜幼杂鱼</w:t>
      </w:r>
      <w:proofErr w:type="gramEnd"/>
      <w:r>
        <w:rPr>
          <w:rFonts w:eastAsiaTheme="minorEastAsia"/>
          <w:sz w:val="24"/>
        </w:rPr>
        <w:t>的传统养殖模式，保护渔业资源，促进水产养殖业高质量发展。</w:t>
      </w:r>
    </w:p>
    <w:p w14:paraId="50AC2995"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转摘自农业农村部渔业渔政管理局网站</w:t>
      </w:r>
    </w:p>
    <w:p w14:paraId="77C4282B" w14:textId="77777777" w:rsidR="004F39F6" w:rsidRDefault="00731C67">
      <w:pPr>
        <w:pStyle w:val="2"/>
        <w:spacing w:line="460" w:lineRule="exact"/>
        <w:jc w:val="center"/>
        <w:rPr>
          <w:rFonts w:ascii="Times New Roman" w:eastAsia="黑体" w:hAnsi="Times New Roman" w:cs="Times New Roman"/>
          <w:sz w:val="32"/>
          <w:szCs w:val="32"/>
        </w:rPr>
      </w:pPr>
      <w:bookmarkStart w:id="6" w:name="_Toc95682079"/>
      <w:r>
        <w:rPr>
          <w:rFonts w:ascii="Times New Roman" w:eastAsia="黑体" w:hAnsi="Times New Roman" w:cs="Times New Roman"/>
          <w:sz w:val="32"/>
          <w:szCs w:val="32"/>
        </w:rPr>
        <w:t>2021</w:t>
      </w:r>
      <w:r>
        <w:rPr>
          <w:rFonts w:ascii="Times New Roman" w:eastAsia="黑体" w:hAnsi="Times New Roman" w:cs="Times New Roman"/>
          <w:sz w:val="32"/>
          <w:szCs w:val="32"/>
        </w:rPr>
        <w:t>年我国水生生物增殖</w:t>
      </w:r>
      <w:proofErr w:type="gramStart"/>
      <w:r>
        <w:rPr>
          <w:rFonts w:ascii="Times New Roman" w:eastAsia="黑体" w:hAnsi="Times New Roman" w:cs="Times New Roman"/>
          <w:sz w:val="32"/>
          <w:szCs w:val="32"/>
        </w:rPr>
        <w:t>放流成效</w:t>
      </w:r>
      <w:proofErr w:type="gramEnd"/>
      <w:r>
        <w:rPr>
          <w:rFonts w:ascii="Times New Roman" w:eastAsia="黑体" w:hAnsi="Times New Roman" w:cs="Times New Roman"/>
          <w:sz w:val="32"/>
          <w:szCs w:val="32"/>
        </w:rPr>
        <w:t>显著</w:t>
      </w:r>
      <w:bookmarkEnd w:id="6"/>
    </w:p>
    <w:p w14:paraId="3B46012B" w14:textId="77777777" w:rsidR="004F39F6" w:rsidRDefault="00731C67">
      <w:pPr>
        <w:spacing w:line="360" w:lineRule="auto"/>
        <w:ind w:firstLineChars="200" w:firstLine="480"/>
        <w:jc w:val="left"/>
        <w:rPr>
          <w:rFonts w:eastAsiaTheme="minorEastAsia"/>
          <w:sz w:val="24"/>
        </w:rPr>
      </w:pPr>
      <w:r>
        <w:rPr>
          <w:rFonts w:eastAsiaTheme="minorEastAsia"/>
          <w:sz w:val="24"/>
        </w:rPr>
        <w:t>2021</w:t>
      </w:r>
      <w:r>
        <w:rPr>
          <w:rFonts w:eastAsiaTheme="minorEastAsia"/>
          <w:sz w:val="24"/>
        </w:rPr>
        <w:t>年，我国共举办各类水生生物增殖</w:t>
      </w:r>
      <w:r>
        <w:rPr>
          <w:rFonts w:eastAsiaTheme="minorEastAsia"/>
          <w:sz w:val="24"/>
        </w:rPr>
        <w:t>放流活动</w:t>
      </w:r>
      <w:r>
        <w:rPr>
          <w:rFonts w:eastAsiaTheme="minorEastAsia"/>
          <w:sz w:val="24"/>
        </w:rPr>
        <w:t>2700</w:t>
      </w:r>
      <w:r>
        <w:rPr>
          <w:rFonts w:eastAsiaTheme="minorEastAsia"/>
          <w:sz w:val="24"/>
        </w:rPr>
        <w:t>余次，放流各类水生生物苗种达</w:t>
      </w:r>
      <w:r>
        <w:rPr>
          <w:rFonts w:eastAsiaTheme="minorEastAsia"/>
          <w:sz w:val="24"/>
        </w:rPr>
        <w:t>440.53</w:t>
      </w:r>
      <w:r>
        <w:rPr>
          <w:rFonts w:eastAsiaTheme="minorEastAsia"/>
          <w:sz w:val="24"/>
        </w:rPr>
        <w:t>亿单位。其中放流梭子蟹、对虾等海洋水生生物苗种</w:t>
      </w:r>
      <w:r>
        <w:rPr>
          <w:rFonts w:eastAsiaTheme="minorEastAsia"/>
          <w:sz w:val="24"/>
        </w:rPr>
        <w:t>319.93</w:t>
      </w:r>
      <w:r>
        <w:rPr>
          <w:rFonts w:eastAsiaTheme="minorEastAsia"/>
          <w:sz w:val="24"/>
        </w:rPr>
        <w:t>亿单位，放流青鱼、草鱼等淡水水生生物苗种</w:t>
      </w:r>
      <w:r>
        <w:rPr>
          <w:rFonts w:eastAsiaTheme="minorEastAsia"/>
          <w:sz w:val="24"/>
        </w:rPr>
        <w:t>120.18</w:t>
      </w:r>
      <w:r>
        <w:rPr>
          <w:rFonts w:eastAsiaTheme="minorEastAsia"/>
          <w:sz w:val="24"/>
        </w:rPr>
        <w:t>亿单位，放流中华鲟、中国</w:t>
      </w:r>
      <w:proofErr w:type="gramStart"/>
      <w:r>
        <w:rPr>
          <w:rFonts w:eastAsiaTheme="minorEastAsia"/>
          <w:sz w:val="24"/>
        </w:rPr>
        <w:t>鲎</w:t>
      </w:r>
      <w:proofErr w:type="gramEnd"/>
      <w:r>
        <w:rPr>
          <w:rFonts w:eastAsiaTheme="minorEastAsia"/>
          <w:sz w:val="24"/>
        </w:rPr>
        <w:t>等珍稀濒危水生生物</w:t>
      </w:r>
      <w:r>
        <w:rPr>
          <w:rFonts w:eastAsiaTheme="minorEastAsia"/>
          <w:sz w:val="24"/>
        </w:rPr>
        <w:t>0.73</w:t>
      </w:r>
      <w:r>
        <w:rPr>
          <w:rFonts w:eastAsiaTheme="minorEastAsia"/>
          <w:sz w:val="24"/>
        </w:rPr>
        <w:t>亿单位。</w:t>
      </w:r>
    </w:p>
    <w:p w14:paraId="07A798BB" w14:textId="77777777" w:rsidR="004F39F6" w:rsidRDefault="00731C67">
      <w:pPr>
        <w:spacing w:line="360" w:lineRule="auto"/>
        <w:ind w:firstLineChars="200" w:firstLine="480"/>
        <w:jc w:val="left"/>
        <w:rPr>
          <w:rFonts w:eastAsiaTheme="minorEastAsia"/>
          <w:sz w:val="24"/>
        </w:rPr>
      </w:pPr>
      <w:r>
        <w:rPr>
          <w:rFonts w:eastAsiaTheme="minorEastAsia"/>
          <w:sz w:val="24"/>
        </w:rPr>
        <w:t>这是记者日前从农业农村部渔业渔政管理局了解到的消息。</w:t>
      </w:r>
    </w:p>
    <w:p w14:paraId="439AE3B3" w14:textId="77777777" w:rsidR="004F39F6" w:rsidRDefault="00731C67">
      <w:pPr>
        <w:spacing w:line="360" w:lineRule="auto"/>
        <w:ind w:firstLineChars="200" w:firstLine="480"/>
        <w:jc w:val="left"/>
        <w:rPr>
          <w:rFonts w:eastAsiaTheme="minorEastAsia"/>
          <w:sz w:val="24"/>
        </w:rPr>
      </w:pPr>
      <w:r>
        <w:rPr>
          <w:rFonts w:eastAsiaTheme="minorEastAsia"/>
          <w:sz w:val="24"/>
        </w:rPr>
        <w:t>农业农村部渔业渔政管理局局长刘新中表示，增殖放流是我国水生生物资源养护的重</w:t>
      </w:r>
      <w:r>
        <w:rPr>
          <w:rFonts w:eastAsiaTheme="minorEastAsia"/>
          <w:sz w:val="24"/>
        </w:rPr>
        <w:lastRenderedPageBreak/>
        <w:t>要举措，也是国际通行做法，对于养护和合理利用水生生物资源、促进渔业可持续发展、维护国家生态安全具有重要意义。</w:t>
      </w:r>
    </w:p>
    <w:p w14:paraId="281E127C" w14:textId="77777777" w:rsidR="004F39F6" w:rsidRDefault="00731C67">
      <w:pPr>
        <w:spacing w:line="360" w:lineRule="auto"/>
        <w:ind w:firstLineChars="200" w:firstLine="480"/>
        <w:jc w:val="left"/>
        <w:rPr>
          <w:rFonts w:eastAsiaTheme="minorEastAsia"/>
          <w:sz w:val="24"/>
        </w:rPr>
      </w:pPr>
      <w:r>
        <w:rPr>
          <w:rFonts w:eastAsiaTheme="minorEastAsia"/>
          <w:sz w:val="24"/>
        </w:rPr>
        <w:t>据了解，增殖放流能够促进渔业种群资源恢复，改善水域生态环境。以青海湖裸鲤为例，目前该物种资源蕴藏量已达</w:t>
      </w:r>
      <w:r>
        <w:rPr>
          <w:rFonts w:eastAsiaTheme="minorEastAsia"/>
          <w:sz w:val="24"/>
        </w:rPr>
        <w:t>10.04</w:t>
      </w:r>
      <w:r>
        <w:rPr>
          <w:rFonts w:eastAsiaTheme="minorEastAsia"/>
          <w:sz w:val="24"/>
        </w:rPr>
        <w:t>万吨，比实施增殖放流前增长了近</w:t>
      </w:r>
      <w:r>
        <w:rPr>
          <w:rFonts w:eastAsiaTheme="minorEastAsia"/>
          <w:sz w:val="24"/>
        </w:rPr>
        <w:t>39</w:t>
      </w:r>
      <w:r>
        <w:rPr>
          <w:rFonts w:eastAsiaTheme="minorEastAsia"/>
          <w:sz w:val="24"/>
        </w:rPr>
        <w:t>倍，增殖放流对资源恢复的贡献率达到</w:t>
      </w:r>
      <w:r>
        <w:rPr>
          <w:rFonts w:eastAsiaTheme="minorEastAsia"/>
          <w:sz w:val="24"/>
        </w:rPr>
        <w:t>25%</w:t>
      </w:r>
      <w:r>
        <w:rPr>
          <w:rFonts w:eastAsiaTheme="minorEastAsia"/>
          <w:sz w:val="24"/>
        </w:rPr>
        <w:t>。</w:t>
      </w:r>
    </w:p>
    <w:p w14:paraId="24B7EB53" w14:textId="77777777" w:rsidR="004F39F6" w:rsidRDefault="00731C67">
      <w:pPr>
        <w:spacing w:line="360" w:lineRule="auto"/>
        <w:ind w:firstLineChars="200" w:firstLine="480"/>
        <w:jc w:val="left"/>
        <w:rPr>
          <w:rFonts w:eastAsiaTheme="minorEastAsia"/>
          <w:sz w:val="24"/>
        </w:rPr>
      </w:pPr>
      <w:r>
        <w:rPr>
          <w:rFonts w:eastAsiaTheme="minorEastAsia"/>
          <w:sz w:val="24"/>
        </w:rPr>
        <w:t>增殖放流使渔业资源得到有效补充，渔民增产增收。根据广西海洋水生生物增殖放流效果评估初步调查结果，</w:t>
      </w:r>
      <w:r>
        <w:rPr>
          <w:rFonts w:eastAsiaTheme="minorEastAsia"/>
          <w:sz w:val="24"/>
        </w:rPr>
        <w:t>2021</w:t>
      </w:r>
      <w:r>
        <w:rPr>
          <w:rFonts w:eastAsiaTheme="minorEastAsia"/>
          <w:sz w:val="24"/>
        </w:rPr>
        <w:t>年广西主要放流品种回捕群体产量较上</w:t>
      </w:r>
      <w:r>
        <w:rPr>
          <w:rFonts w:eastAsiaTheme="minorEastAsia"/>
          <w:sz w:val="24"/>
        </w:rPr>
        <w:t>年明显提升，其中主要放流品种日本对虾回捕群体产量明显高于长毛对虾、斑节对虾，黑鲷的回捕群体产量明显高于真鲷、红笛</w:t>
      </w:r>
      <w:proofErr w:type="gramStart"/>
      <w:r>
        <w:rPr>
          <w:rFonts w:eastAsiaTheme="minorEastAsia"/>
          <w:sz w:val="24"/>
        </w:rPr>
        <w:t>鲷</w:t>
      </w:r>
      <w:proofErr w:type="gramEnd"/>
      <w:r>
        <w:rPr>
          <w:rFonts w:eastAsiaTheme="minorEastAsia"/>
          <w:sz w:val="24"/>
        </w:rPr>
        <w:t>。</w:t>
      </w:r>
    </w:p>
    <w:p w14:paraId="3ECBA58C" w14:textId="77777777" w:rsidR="004F39F6" w:rsidRDefault="00731C67">
      <w:pPr>
        <w:spacing w:line="360" w:lineRule="auto"/>
        <w:ind w:firstLineChars="200" w:firstLine="480"/>
        <w:jc w:val="left"/>
        <w:rPr>
          <w:rFonts w:eastAsiaTheme="minorEastAsia"/>
          <w:sz w:val="24"/>
        </w:rPr>
      </w:pPr>
      <w:r>
        <w:rPr>
          <w:rFonts w:eastAsiaTheme="minorEastAsia"/>
          <w:sz w:val="24"/>
        </w:rPr>
        <w:t>“</w:t>
      </w:r>
      <w:r>
        <w:rPr>
          <w:rFonts w:eastAsiaTheme="minorEastAsia"/>
          <w:sz w:val="24"/>
        </w:rPr>
        <w:t>同时也要看到，目前的增殖放流工作还存在苗种供应体系尚不健全、社会放流亟待规范、执法监管有待加强、科技支撑相对薄弱等问题。</w:t>
      </w:r>
      <w:r>
        <w:rPr>
          <w:rFonts w:eastAsiaTheme="minorEastAsia"/>
          <w:sz w:val="24"/>
        </w:rPr>
        <w:t>”</w:t>
      </w:r>
      <w:r>
        <w:rPr>
          <w:rFonts w:eastAsiaTheme="minorEastAsia"/>
          <w:sz w:val="24"/>
        </w:rPr>
        <w:t>刘新中说，</w:t>
      </w:r>
      <w:proofErr w:type="gramStart"/>
      <w:r>
        <w:rPr>
          <w:rFonts w:eastAsiaTheme="minorEastAsia"/>
          <w:sz w:val="24"/>
        </w:rPr>
        <w:t>近日农业</w:t>
      </w:r>
      <w:proofErr w:type="gramEnd"/>
      <w:r>
        <w:rPr>
          <w:rFonts w:eastAsiaTheme="minorEastAsia"/>
          <w:sz w:val="24"/>
        </w:rPr>
        <w:t>农村部印发《关于做好</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水生生物增殖放流工作的指导意见》，确定了主要目标、区域布局、重点任务等。</w:t>
      </w:r>
    </w:p>
    <w:p w14:paraId="259AAFE5" w14:textId="77777777" w:rsidR="004F39F6" w:rsidRDefault="00731C67">
      <w:pPr>
        <w:spacing w:line="360" w:lineRule="auto"/>
        <w:ind w:firstLineChars="200" w:firstLine="480"/>
        <w:jc w:val="left"/>
        <w:rPr>
          <w:rFonts w:eastAsiaTheme="minorEastAsia"/>
          <w:sz w:val="24"/>
        </w:rPr>
      </w:pPr>
      <w:r>
        <w:rPr>
          <w:rFonts w:eastAsiaTheme="minorEastAsia"/>
          <w:sz w:val="24"/>
        </w:rPr>
        <w:t>据介绍，指导意见将</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增殖放流数量指导性目标从</w:t>
      </w:r>
      <w:r>
        <w:rPr>
          <w:rFonts w:eastAsiaTheme="minorEastAsia"/>
          <w:sz w:val="24"/>
        </w:rPr>
        <w:t>“</w:t>
      </w:r>
      <w:r>
        <w:rPr>
          <w:rFonts w:eastAsiaTheme="minorEastAsia"/>
          <w:sz w:val="24"/>
        </w:rPr>
        <w:t>十三五</w:t>
      </w:r>
      <w:r>
        <w:rPr>
          <w:rFonts w:eastAsiaTheme="minorEastAsia"/>
          <w:sz w:val="24"/>
        </w:rPr>
        <w:t>”</w:t>
      </w:r>
      <w:r>
        <w:rPr>
          <w:rFonts w:eastAsiaTheme="minorEastAsia"/>
          <w:sz w:val="24"/>
        </w:rPr>
        <w:t>时期</w:t>
      </w:r>
      <w:r>
        <w:rPr>
          <w:rFonts w:eastAsiaTheme="minorEastAsia"/>
          <w:sz w:val="24"/>
        </w:rPr>
        <w:t>2000</w:t>
      </w:r>
      <w:r>
        <w:rPr>
          <w:rFonts w:eastAsiaTheme="minorEastAsia"/>
          <w:sz w:val="24"/>
        </w:rPr>
        <w:t>亿尾调整为</w:t>
      </w:r>
      <w:r>
        <w:rPr>
          <w:rFonts w:eastAsiaTheme="minorEastAsia"/>
          <w:sz w:val="24"/>
        </w:rPr>
        <w:t>1500</w:t>
      </w:r>
      <w:r>
        <w:rPr>
          <w:rFonts w:eastAsiaTheme="minorEastAsia"/>
          <w:sz w:val="24"/>
        </w:rPr>
        <w:t>亿尾，逐步构建</w:t>
      </w:r>
      <w:r>
        <w:rPr>
          <w:rFonts w:eastAsiaTheme="minorEastAsia"/>
          <w:sz w:val="24"/>
        </w:rPr>
        <w:t>“</w:t>
      </w:r>
      <w:r>
        <w:rPr>
          <w:rFonts w:eastAsiaTheme="minorEastAsia"/>
          <w:sz w:val="24"/>
        </w:rPr>
        <w:t>区域特色鲜明、目标定位清晰、布局科学合理、管理规范有序</w:t>
      </w:r>
      <w:r>
        <w:rPr>
          <w:rFonts w:eastAsiaTheme="minorEastAsia"/>
          <w:sz w:val="24"/>
        </w:rPr>
        <w:t>”</w:t>
      </w:r>
      <w:r>
        <w:rPr>
          <w:rFonts w:eastAsiaTheme="minorEastAsia"/>
          <w:sz w:val="24"/>
        </w:rPr>
        <w:t>的增殖放流苗种供应体系，规范引导社会放流活动，增强增殖放流科技支撑能力，进一步扩大增殖放流成效。</w:t>
      </w:r>
    </w:p>
    <w:p w14:paraId="3A5ABB55"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w:t>
      </w:r>
      <w:r>
        <w:rPr>
          <w:rStyle w:val="vm"/>
          <w:rFonts w:eastAsiaTheme="minorEastAsia"/>
          <w:szCs w:val="21"/>
        </w:rPr>
        <w:t>自新华社网站</w:t>
      </w:r>
    </w:p>
    <w:p w14:paraId="45D18F3C" w14:textId="77777777" w:rsidR="004F39F6" w:rsidRDefault="00731C67">
      <w:pPr>
        <w:pStyle w:val="2"/>
        <w:spacing w:before="0" w:beforeAutospacing="0" w:line="460" w:lineRule="exact"/>
        <w:jc w:val="center"/>
        <w:rPr>
          <w:rFonts w:ascii="Times New Roman" w:eastAsia="黑体" w:hAnsi="Times New Roman" w:cs="Times New Roman"/>
          <w:sz w:val="32"/>
          <w:szCs w:val="32"/>
        </w:rPr>
      </w:pPr>
      <w:bookmarkStart w:id="7" w:name="_Toc95682080"/>
      <w:r>
        <w:rPr>
          <w:rFonts w:ascii="Times New Roman" w:eastAsia="黑体" w:hAnsi="Times New Roman" w:cs="Times New Roman"/>
          <w:sz w:val="32"/>
          <w:szCs w:val="32"/>
        </w:rPr>
        <w:t>农业农村</w:t>
      </w:r>
      <w:proofErr w:type="gramStart"/>
      <w:r>
        <w:rPr>
          <w:rFonts w:ascii="Times New Roman" w:eastAsia="黑体" w:hAnsi="Times New Roman" w:cs="Times New Roman"/>
          <w:sz w:val="32"/>
          <w:szCs w:val="32"/>
        </w:rPr>
        <w:t>部长江办开展</w:t>
      </w:r>
      <w:proofErr w:type="gramEnd"/>
      <w:r>
        <w:rPr>
          <w:rFonts w:ascii="Times New Roman" w:eastAsia="黑体" w:hAnsi="Times New Roman" w:cs="Times New Roman"/>
          <w:sz w:val="32"/>
          <w:szCs w:val="32"/>
        </w:rPr>
        <w:t>2022</w:t>
      </w:r>
      <w:r>
        <w:rPr>
          <w:rFonts w:ascii="Times New Roman" w:eastAsia="黑体" w:hAnsi="Times New Roman" w:cs="Times New Roman"/>
          <w:sz w:val="32"/>
          <w:szCs w:val="32"/>
        </w:rPr>
        <w:t>年农历春节禁捕执法巡航检查</w:t>
      </w:r>
      <w:bookmarkEnd w:id="7"/>
    </w:p>
    <w:p w14:paraId="1370C518" w14:textId="77777777" w:rsidR="004F39F6" w:rsidRDefault="00731C67">
      <w:pPr>
        <w:spacing w:line="360" w:lineRule="auto"/>
        <w:ind w:firstLine="420"/>
        <w:rPr>
          <w:rFonts w:eastAsiaTheme="minorEastAsia"/>
          <w:sz w:val="24"/>
        </w:rPr>
      </w:pPr>
      <w:r>
        <w:rPr>
          <w:rFonts w:eastAsiaTheme="minorEastAsia"/>
          <w:sz w:val="24"/>
        </w:rPr>
        <w:t>为持续加大对长江流域重点水域禁捕秩序的管控力度，巩固长江</w:t>
      </w:r>
      <w:r>
        <w:rPr>
          <w:rFonts w:eastAsiaTheme="minorEastAsia"/>
          <w:sz w:val="24"/>
        </w:rPr>
        <w:t>“</w:t>
      </w:r>
      <w:r>
        <w:rPr>
          <w:rFonts w:eastAsiaTheme="minorEastAsia"/>
          <w:sz w:val="24"/>
        </w:rPr>
        <w:t>十年禁渔</w:t>
      </w:r>
      <w:r>
        <w:rPr>
          <w:rFonts w:eastAsiaTheme="minorEastAsia"/>
          <w:sz w:val="24"/>
        </w:rPr>
        <w:t>”</w:t>
      </w:r>
      <w:r>
        <w:rPr>
          <w:rFonts w:eastAsiaTheme="minorEastAsia"/>
          <w:sz w:val="24"/>
        </w:rPr>
        <w:t>形势，根据《</w:t>
      </w:r>
      <w:r>
        <w:rPr>
          <w:rFonts w:eastAsiaTheme="minorEastAsia"/>
          <w:sz w:val="24"/>
        </w:rPr>
        <w:t>2022</w:t>
      </w:r>
      <w:r>
        <w:rPr>
          <w:rFonts w:eastAsiaTheme="minorEastAsia"/>
          <w:sz w:val="24"/>
        </w:rPr>
        <w:t>年长江禁渔系列专项行动计划》安排，</w:t>
      </w:r>
      <w:r>
        <w:rPr>
          <w:rFonts w:eastAsiaTheme="minorEastAsia"/>
          <w:sz w:val="24"/>
        </w:rPr>
        <w:t>1</w:t>
      </w:r>
      <w:r>
        <w:rPr>
          <w:rFonts w:eastAsiaTheme="minorEastAsia"/>
          <w:sz w:val="24"/>
        </w:rPr>
        <w:t>月</w:t>
      </w:r>
      <w:r>
        <w:rPr>
          <w:rFonts w:eastAsiaTheme="minorEastAsia"/>
          <w:sz w:val="24"/>
        </w:rPr>
        <w:t>29</w:t>
      </w:r>
      <w:r>
        <w:rPr>
          <w:rFonts w:eastAsiaTheme="minorEastAsia"/>
          <w:sz w:val="24"/>
        </w:rPr>
        <w:t>日</w:t>
      </w:r>
      <w:r>
        <w:rPr>
          <w:rFonts w:eastAsiaTheme="minorEastAsia"/>
          <w:sz w:val="24"/>
        </w:rPr>
        <w:t>~2</w:t>
      </w:r>
      <w:r>
        <w:rPr>
          <w:rFonts w:eastAsiaTheme="minorEastAsia"/>
          <w:sz w:val="24"/>
        </w:rPr>
        <w:t>月</w:t>
      </w:r>
      <w:r>
        <w:rPr>
          <w:rFonts w:eastAsiaTheme="minorEastAsia"/>
          <w:sz w:val="24"/>
        </w:rPr>
        <w:t>7</w:t>
      </w:r>
      <w:r>
        <w:rPr>
          <w:rFonts w:eastAsiaTheme="minorEastAsia"/>
          <w:sz w:val="24"/>
        </w:rPr>
        <w:t>日，农业农村部长江流域渔政监督管理办公室组织</w:t>
      </w:r>
      <w:r>
        <w:rPr>
          <w:rFonts w:eastAsiaTheme="minorEastAsia"/>
          <w:sz w:val="24"/>
        </w:rPr>
        <w:t>“</w:t>
      </w:r>
      <w:r>
        <w:rPr>
          <w:rFonts w:eastAsiaTheme="minorEastAsia"/>
          <w:sz w:val="24"/>
        </w:rPr>
        <w:t>中国渔政</w:t>
      </w:r>
      <w:r>
        <w:rPr>
          <w:rFonts w:eastAsiaTheme="minorEastAsia"/>
          <w:sz w:val="24"/>
        </w:rPr>
        <w:t>001”</w:t>
      </w:r>
      <w:r>
        <w:rPr>
          <w:rFonts w:eastAsiaTheme="minorEastAsia"/>
          <w:sz w:val="24"/>
        </w:rPr>
        <w:t>等</w:t>
      </w:r>
      <w:r>
        <w:rPr>
          <w:rFonts w:eastAsiaTheme="minorEastAsia"/>
          <w:sz w:val="24"/>
        </w:rPr>
        <w:t>8</w:t>
      </w:r>
      <w:r>
        <w:rPr>
          <w:rFonts w:eastAsiaTheme="minorEastAsia"/>
          <w:sz w:val="24"/>
        </w:rPr>
        <w:t>艘直属渔政执法</w:t>
      </w:r>
      <w:proofErr w:type="gramStart"/>
      <w:r>
        <w:rPr>
          <w:rFonts w:eastAsiaTheme="minorEastAsia"/>
          <w:sz w:val="24"/>
        </w:rPr>
        <w:t>船开展</w:t>
      </w:r>
      <w:proofErr w:type="gramEnd"/>
      <w:r>
        <w:rPr>
          <w:rFonts w:eastAsiaTheme="minorEastAsia"/>
          <w:sz w:val="24"/>
        </w:rPr>
        <w:t>了为期</w:t>
      </w:r>
      <w:r>
        <w:rPr>
          <w:rFonts w:eastAsiaTheme="minorEastAsia"/>
          <w:sz w:val="24"/>
        </w:rPr>
        <w:t>10</w:t>
      </w:r>
      <w:r>
        <w:rPr>
          <w:rFonts w:eastAsiaTheme="minorEastAsia"/>
          <w:sz w:val="24"/>
        </w:rPr>
        <w:t>天的重点时段巡航检查行动。</w:t>
      </w:r>
    </w:p>
    <w:p w14:paraId="6845EA74" w14:textId="77777777" w:rsidR="004F39F6" w:rsidRDefault="00731C67">
      <w:pPr>
        <w:spacing w:line="360" w:lineRule="auto"/>
        <w:ind w:firstLine="420"/>
        <w:rPr>
          <w:rFonts w:eastAsiaTheme="minorEastAsia"/>
          <w:sz w:val="24"/>
        </w:rPr>
      </w:pPr>
      <w:r>
        <w:rPr>
          <w:rFonts w:eastAsiaTheme="minorEastAsia"/>
          <w:sz w:val="24"/>
        </w:rPr>
        <w:t>期间，各执法船艇对长江口、长江干流以及鄱阳湖、洞庭湖等水域进行了检查，重点检查了巡航水域内</w:t>
      </w:r>
      <w:proofErr w:type="gramStart"/>
      <w:r>
        <w:rPr>
          <w:rFonts w:eastAsiaTheme="minorEastAsia"/>
          <w:sz w:val="24"/>
        </w:rPr>
        <w:t>“</w:t>
      </w:r>
      <w:r>
        <w:rPr>
          <w:rFonts w:eastAsiaTheme="minorEastAsia"/>
          <w:sz w:val="24"/>
        </w:rPr>
        <w:t>三无</w:t>
      </w:r>
      <w:r>
        <w:rPr>
          <w:rFonts w:eastAsiaTheme="minorEastAsia"/>
          <w:sz w:val="24"/>
        </w:rPr>
        <w:t>”</w:t>
      </w:r>
      <w:r>
        <w:rPr>
          <w:rFonts w:eastAsiaTheme="minorEastAsia"/>
          <w:sz w:val="24"/>
        </w:rPr>
        <w:t>涉渔船舶</w:t>
      </w:r>
      <w:proofErr w:type="gramEnd"/>
      <w:r>
        <w:rPr>
          <w:rFonts w:eastAsiaTheme="minorEastAsia"/>
          <w:sz w:val="24"/>
        </w:rPr>
        <w:t>整治、乡镇自用船舶规范管理、残存渔具清理取缔、生产性垂钓管</w:t>
      </w:r>
      <w:proofErr w:type="gramStart"/>
      <w:r>
        <w:rPr>
          <w:rFonts w:eastAsiaTheme="minorEastAsia"/>
          <w:sz w:val="24"/>
        </w:rPr>
        <w:t>控以及</w:t>
      </w:r>
      <w:proofErr w:type="gramEnd"/>
      <w:r>
        <w:rPr>
          <w:rFonts w:eastAsiaTheme="minorEastAsia"/>
          <w:sz w:val="24"/>
        </w:rPr>
        <w:t>商货船携</w:t>
      </w:r>
      <w:r>
        <w:rPr>
          <w:rFonts w:eastAsiaTheme="minorEastAsia"/>
          <w:sz w:val="24"/>
        </w:rPr>
        <w:t>带违规网具行为等情况，直接查处违规携带非法网具商船</w:t>
      </w:r>
      <w:r>
        <w:rPr>
          <w:rFonts w:eastAsiaTheme="minorEastAsia"/>
          <w:sz w:val="24"/>
        </w:rPr>
        <w:t>1</w:t>
      </w:r>
      <w:r>
        <w:rPr>
          <w:rFonts w:eastAsiaTheme="minorEastAsia"/>
          <w:sz w:val="24"/>
        </w:rPr>
        <w:t>艘，清理取缔非法网具</w:t>
      </w:r>
      <w:r>
        <w:rPr>
          <w:rFonts w:eastAsiaTheme="minorEastAsia"/>
          <w:sz w:val="24"/>
        </w:rPr>
        <w:t>1</w:t>
      </w:r>
      <w:r>
        <w:rPr>
          <w:rFonts w:eastAsiaTheme="minorEastAsia"/>
          <w:sz w:val="24"/>
        </w:rPr>
        <w:t>顶，违法垂钓渔具</w:t>
      </w:r>
      <w:r>
        <w:rPr>
          <w:rFonts w:eastAsiaTheme="minorEastAsia"/>
          <w:sz w:val="24"/>
        </w:rPr>
        <w:t>10</w:t>
      </w:r>
      <w:r>
        <w:rPr>
          <w:rFonts w:eastAsiaTheme="minorEastAsia"/>
          <w:sz w:val="24"/>
        </w:rPr>
        <w:t>个，并督促带动各地加大监管工作力度，进一步压紧压实属地责任，此次行动取得预期效果，禁捕水域管控态势总体良好。</w:t>
      </w:r>
    </w:p>
    <w:p w14:paraId="5D4061F2"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转摘自农业农村部长江流域渔政监督管理办公室</w:t>
      </w:r>
    </w:p>
    <w:p w14:paraId="09FA59C8" w14:textId="77777777" w:rsidR="004F39F6" w:rsidRDefault="00731C67">
      <w:pPr>
        <w:pStyle w:val="2"/>
        <w:spacing w:line="460" w:lineRule="exact"/>
        <w:jc w:val="center"/>
        <w:rPr>
          <w:rFonts w:ascii="Times New Roman" w:eastAsia="黑体" w:hAnsi="Times New Roman" w:cs="Times New Roman"/>
          <w:bCs w:val="0"/>
          <w:sz w:val="32"/>
          <w:szCs w:val="32"/>
        </w:rPr>
      </w:pPr>
      <w:bookmarkStart w:id="8" w:name="_Toc95682081"/>
      <w:r>
        <w:rPr>
          <w:rFonts w:ascii="Times New Roman" w:eastAsia="黑体" w:hAnsi="Times New Roman" w:cs="Times New Roman"/>
          <w:sz w:val="32"/>
          <w:szCs w:val="32"/>
        </w:rPr>
        <w:lastRenderedPageBreak/>
        <w:t>农业农村部：加快推进牡蛎产业高质量发展</w:t>
      </w:r>
      <w:bookmarkEnd w:id="8"/>
    </w:p>
    <w:p w14:paraId="64531177" w14:textId="77777777" w:rsidR="004F39F6" w:rsidRDefault="00731C67">
      <w:pPr>
        <w:spacing w:line="360" w:lineRule="auto"/>
        <w:ind w:firstLine="420"/>
        <w:jc w:val="left"/>
        <w:rPr>
          <w:rFonts w:eastAsiaTheme="minorEastAsia"/>
          <w:sz w:val="24"/>
        </w:rPr>
      </w:pPr>
      <w:r>
        <w:rPr>
          <w:rFonts w:eastAsiaTheme="minorEastAsia"/>
          <w:sz w:val="24"/>
        </w:rPr>
        <w:t>近日，农业农村部就全国人大代表提出的关于</w:t>
      </w:r>
      <w:r>
        <w:rPr>
          <w:rFonts w:eastAsiaTheme="minorEastAsia"/>
          <w:sz w:val="24"/>
        </w:rPr>
        <w:t>“</w:t>
      </w:r>
      <w:r>
        <w:rPr>
          <w:rFonts w:eastAsiaTheme="minorEastAsia"/>
          <w:sz w:val="24"/>
        </w:rPr>
        <w:t>推进牡蛎产业高质高量发展的建议</w:t>
      </w:r>
      <w:r>
        <w:rPr>
          <w:rFonts w:eastAsiaTheme="minorEastAsia"/>
          <w:sz w:val="24"/>
        </w:rPr>
        <w:t>”</w:t>
      </w:r>
      <w:r>
        <w:rPr>
          <w:rFonts w:eastAsiaTheme="minorEastAsia"/>
          <w:sz w:val="24"/>
        </w:rPr>
        <w:t>，发布《对十三届全国人大四次会议第</w:t>
      </w:r>
      <w:r>
        <w:rPr>
          <w:rFonts w:eastAsiaTheme="minorEastAsia"/>
          <w:sz w:val="24"/>
        </w:rPr>
        <w:t>9957</w:t>
      </w:r>
      <w:r>
        <w:rPr>
          <w:rFonts w:eastAsiaTheme="minorEastAsia"/>
          <w:sz w:val="24"/>
        </w:rPr>
        <w:t>号建议的答复》。</w:t>
      </w:r>
    </w:p>
    <w:p w14:paraId="61D1EAD4" w14:textId="77777777" w:rsidR="004F39F6" w:rsidRDefault="00731C67">
      <w:pPr>
        <w:spacing w:line="360" w:lineRule="auto"/>
        <w:ind w:firstLine="420"/>
        <w:jc w:val="left"/>
        <w:rPr>
          <w:rFonts w:eastAsiaTheme="minorEastAsia"/>
          <w:sz w:val="24"/>
        </w:rPr>
      </w:pPr>
      <w:r>
        <w:rPr>
          <w:rFonts w:eastAsiaTheme="minorEastAsia"/>
          <w:sz w:val="24"/>
        </w:rPr>
        <w:t>一、关于加快全国沿海各地区牡蛎产业发展规划编制工作，充分做好养殖区生产承载力调查</w:t>
      </w:r>
      <w:r>
        <w:rPr>
          <w:rFonts w:eastAsiaTheme="minorEastAsia"/>
          <w:sz w:val="24"/>
        </w:rPr>
        <w:t xml:space="preserve"> </w:t>
      </w:r>
    </w:p>
    <w:p w14:paraId="4D2AB6BC" w14:textId="77777777" w:rsidR="004F39F6" w:rsidRDefault="00731C67">
      <w:pPr>
        <w:spacing w:line="360" w:lineRule="auto"/>
        <w:ind w:firstLine="420"/>
        <w:jc w:val="left"/>
        <w:rPr>
          <w:rFonts w:eastAsiaTheme="minorEastAsia"/>
          <w:sz w:val="24"/>
        </w:rPr>
      </w:pPr>
      <w:r>
        <w:rPr>
          <w:rFonts w:eastAsiaTheme="minorEastAsia"/>
          <w:sz w:val="24"/>
        </w:rPr>
        <w:t>为优化</w:t>
      </w:r>
      <w:r>
        <w:rPr>
          <w:rFonts w:eastAsiaTheme="minorEastAsia"/>
          <w:sz w:val="24"/>
        </w:rPr>
        <w:t>水产养殖空间布局，</w:t>
      </w:r>
      <w:r>
        <w:rPr>
          <w:rFonts w:eastAsiaTheme="minorEastAsia"/>
          <w:sz w:val="24"/>
        </w:rPr>
        <w:t>2016</w:t>
      </w:r>
      <w:r>
        <w:rPr>
          <w:rFonts w:eastAsiaTheme="minorEastAsia"/>
          <w:sz w:val="24"/>
        </w:rPr>
        <w:t>年原农业部启动了新一轮养殖水域滩涂规划编制工作，将饮用水水源地、自然保护区等重要生态保护或公共安全</w:t>
      </w:r>
      <w:r>
        <w:rPr>
          <w:rFonts w:eastAsiaTheme="minorEastAsia"/>
          <w:sz w:val="24"/>
        </w:rPr>
        <w:t>“</w:t>
      </w:r>
      <w:r>
        <w:rPr>
          <w:rFonts w:eastAsiaTheme="minorEastAsia"/>
          <w:sz w:val="24"/>
        </w:rPr>
        <w:t>红线</w:t>
      </w:r>
      <w:r>
        <w:rPr>
          <w:rFonts w:eastAsiaTheme="minorEastAsia"/>
          <w:sz w:val="24"/>
        </w:rPr>
        <w:t>”</w:t>
      </w:r>
      <w:r>
        <w:rPr>
          <w:rFonts w:eastAsiaTheme="minorEastAsia"/>
          <w:sz w:val="24"/>
        </w:rPr>
        <w:t>和</w:t>
      </w:r>
      <w:r>
        <w:rPr>
          <w:rFonts w:eastAsiaTheme="minorEastAsia"/>
          <w:sz w:val="24"/>
        </w:rPr>
        <w:t>“</w:t>
      </w:r>
      <w:r>
        <w:rPr>
          <w:rFonts w:eastAsiaTheme="minorEastAsia"/>
          <w:sz w:val="24"/>
        </w:rPr>
        <w:t>黄线</w:t>
      </w:r>
      <w:r>
        <w:rPr>
          <w:rFonts w:eastAsiaTheme="minorEastAsia"/>
          <w:sz w:val="24"/>
        </w:rPr>
        <w:t>”</w:t>
      </w:r>
      <w:r>
        <w:rPr>
          <w:rFonts w:eastAsiaTheme="minorEastAsia"/>
          <w:sz w:val="24"/>
        </w:rPr>
        <w:t>区域作为禁止或限制养殖区，指导各地合理安排产业发展空间，依法划定禁止养殖区、限制养殖区和允许养殖区。截至目前，全国</w:t>
      </w:r>
      <w:r>
        <w:rPr>
          <w:rFonts w:eastAsiaTheme="minorEastAsia"/>
          <w:sz w:val="24"/>
        </w:rPr>
        <w:t>1555</w:t>
      </w:r>
      <w:r>
        <w:rPr>
          <w:rFonts w:eastAsiaTheme="minorEastAsia"/>
          <w:sz w:val="24"/>
        </w:rPr>
        <w:t>个水产养殖主产县（市、区）编制发布了养殖水域滩涂规划。自然资源部编制的《全国国土空间规划纲要》《全国海岸带综合保护与利用规划》，以资源环境承载能力和国土空间开发适宜性评价为基础，明确空间用途管制要求，统筹考虑养殖</w:t>
      </w:r>
      <w:proofErr w:type="gramStart"/>
      <w:r>
        <w:rPr>
          <w:rFonts w:eastAsiaTheme="minorEastAsia"/>
          <w:sz w:val="24"/>
        </w:rPr>
        <w:t>区空间</w:t>
      </w:r>
      <w:proofErr w:type="gramEnd"/>
      <w:r>
        <w:rPr>
          <w:rFonts w:eastAsiaTheme="minorEastAsia"/>
          <w:sz w:val="24"/>
        </w:rPr>
        <w:t>布局。下一步，农业农村部将持续</w:t>
      </w:r>
      <w:r>
        <w:rPr>
          <w:rFonts w:eastAsiaTheme="minorEastAsia"/>
          <w:sz w:val="24"/>
        </w:rPr>
        <w:t>推进各级养殖水域滩涂规划编制发布和水域滩涂养殖发证登记，确保海水养殖业发展空间。针对牡蛎产业发展规划问题，将依托贝类产业技术体系，组织相关专家在调查、分析和论证基础上，研究牡蛎养殖在内的海水贝类产业发展布局以及养殖容量评估方法，推动各地对贝类养殖区域、密度和方式的科学合理布局，充分发挥贝类在带动区域经济发展、帮助沿海渔民致富和发展</w:t>
      </w:r>
      <w:proofErr w:type="gramStart"/>
      <w:r>
        <w:rPr>
          <w:rFonts w:eastAsiaTheme="minorEastAsia"/>
          <w:sz w:val="24"/>
        </w:rPr>
        <w:t>碳汇经济</w:t>
      </w:r>
      <w:proofErr w:type="gramEnd"/>
      <w:r>
        <w:rPr>
          <w:rFonts w:eastAsiaTheme="minorEastAsia"/>
          <w:sz w:val="24"/>
        </w:rPr>
        <w:t>中的作用，促进产业健康持续发展。</w:t>
      </w:r>
    </w:p>
    <w:p w14:paraId="7AB11D77" w14:textId="77777777" w:rsidR="004F39F6" w:rsidRDefault="00731C67">
      <w:pPr>
        <w:spacing w:line="360" w:lineRule="auto"/>
        <w:ind w:firstLine="420"/>
        <w:jc w:val="left"/>
        <w:rPr>
          <w:rFonts w:eastAsiaTheme="minorEastAsia"/>
          <w:sz w:val="24"/>
        </w:rPr>
      </w:pPr>
      <w:r>
        <w:rPr>
          <w:rFonts w:eastAsiaTheme="minorEastAsia"/>
          <w:sz w:val="24"/>
        </w:rPr>
        <w:t>二、关于加大牡蛎天然采苗资源的保护与规范力度，加快</w:t>
      </w:r>
      <w:proofErr w:type="gramStart"/>
      <w:r>
        <w:rPr>
          <w:rFonts w:eastAsiaTheme="minorEastAsia"/>
          <w:sz w:val="24"/>
        </w:rPr>
        <w:t>扶持全</w:t>
      </w:r>
      <w:proofErr w:type="gramEnd"/>
      <w:r>
        <w:rPr>
          <w:rFonts w:eastAsiaTheme="minorEastAsia"/>
          <w:sz w:val="24"/>
        </w:rPr>
        <w:t>人工繁育蚝苗和良种选育的上游产业发展</w:t>
      </w:r>
      <w:r>
        <w:rPr>
          <w:rFonts w:eastAsiaTheme="minorEastAsia"/>
          <w:sz w:val="24"/>
        </w:rPr>
        <w:t xml:space="preserve"> </w:t>
      </w:r>
    </w:p>
    <w:p w14:paraId="77C44FE5" w14:textId="77777777" w:rsidR="004F39F6" w:rsidRDefault="00731C67">
      <w:pPr>
        <w:spacing w:line="360" w:lineRule="auto"/>
        <w:ind w:firstLine="420"/>
        <w:jc w:val="left"/>
        <w:rPr>
          <w:rFonts w:eastAsiaTheme="minorEastAsia"/>
          <w:sz w:val="24"/>
        </w:rPr>
      </w:pPr>
      <w:r>
        <w:rPr>
          <w:rFonts w:eastAsiaTheme="minorEastAsia"/>
          <w:sz w:val="24"/>
        </w:rPr>
        <w:t>水产种业是水产养殖业发展的重要基石，近年来</w:t>
      </w:r>
      <w:r>
        <w:rPr>
          <w:rFonts w:eastAsiaTheme="minorEastAsia"/>
          <w:sz w:val="24"/>
        </w:rPr>
        <w:t>，农业农村</w:t>
      </w:r>
      <w:proofErr w:type="gramStart"/>
      <w:r>
        <w:rPr>
          <w:rFonts w:eastAsiaTheme="minorEastAsia"/>
          <w:sz w:val="24"/>
        </w:rPr>
        <w:t>部大力</w:t>
      </w:r>
      <w:proofErr w:type="gramEnd"/>
      <w:r>
        <w:rPr>
          <w:rFonts w:eastAsiaTheme="minorEastAsia"/>
          <w:sz w:val="24"/>
        </w:rPr>
        <w:t>发展水产种业，逐步形成了包括保、育、测、繁、推五个环节有机结合的水产种业体系。</w:t>
      </w:r>
      <w:r>
        <w:rPr>
          <w:rFonts w:eastAsiaTheme="minorEastAsia"/>
          <w:sz w:val="24"/>
        </w:rPr>
        <w:t>2019</w:t>
      </w:r>
      <w:r>
        <w:rPr>
          <w:rFonts w:eastAsiaTheme="minorEastAsia"/>
          <w:sz w:val="24"/>
        </w:rPr>
        <w:t>年</w:t>
      </w:r>
      <w:r>
        <w:rPr>
          <w:rFonts w:eastAsiaTheme="minorEastAsia"/>
          <w:sz w:val="24"/>
        </w:rPr>
        <w:t>1</w:t>
      </w:r>
      <w:r>
        <w:rPr>
          <w:rFonts w:eastAsiaTheme="minorEastAsia"/>
          <w:sz w:val="24"/>
        </w:rPr>
        <w:t>月，经国务院同意，农业农村部等十部委联合印发的《关于加快推进水产养殖业绿色发展的若干意见》（</w:t>
      </w:r>
      <w:proofErr w:type="gramStart"/>
      <w:r>
        <w:rPr>
          <w:rFonts w:eastAsiaTheme="minorEastAsia"/>
          <w:sz w:val="24"/>
        </w:rPr>
        <w:t>农渔发〔</w:t>
      </w:r>
      <w:r>
        <w:rPr>
          <w:rFonts w:eastAsiaTheme="minorEastAsia"/>
          <w:sz w:val="24"/>
        </w:rPr>
        <w:t>2019</w:t>
      </w:r>
      <w:r>
        <w:rPr>
          <w:rFonts w:eastAsiaTheme="minorEastAsia"/>
          <w:sz w:val="24"/>
        </w:rPr>
        <w:t>〕</w:t>
      </w:r>
      <w:proofErr w:type="gramEnd"/>
      <w:r>
        <w:rPr>
          <w:rFonts w:eastAsiaTheme="minorEastAsia"/>
          <w:sz w:val="24"/>
        </w:rPr>
        <w:t>1</w:t>
      </w:r>
      <w:r>
        <w:rPr>
          <w:rFonts w:eastAsiaTheme="minorEastAsia"/>
          <w:sz w:val="24"/>
        </w:rPr>
        <w:t>号）指出，鼓励选育推广优质、高效、多抗、安全的水产养殖新品种；加强水产种质资源库和保护区建设，保护我国特有及地方性种质资源。</w:t>
      </w:r>
      <w:r>
        <w:rPr>
          <w:rFonts w:eastAsiaTheme="minorEastAsia"/>
          <w:sz w:val="24"/>
        </w:rPr>
        <w:t>2022</w:t>
      </w:r>
      <w:r>
        <w:rPr>
          <w:rFonts w:eastAsiaTheme="minorEastAsia"/>
          <w:sz w:val="24"/>
        </w:rPr>
        <w:t>年</w:t>
      </w:r>
      <w:r>
        <w:rPr>
          <w:rFonts w:eastAsiaTheme="minorEastAsia"/>
          <w:sz w:val="24"/>
        </w:rPr>
        <w:t>3</w:t>
      </w:r>
      <w:r>
        <w:rPr>
          <w:rFonts w:eastAsiaTheme="minorEastAsia"/>
          <w:sz w:val="24"/>
        </w:rPr>
        <w:t>月印发《第一次全国水产养殖种质资源普查实施方案（</w:t>
      </w:r>
      <w:r>
        <w:rPr>
          <w:rFonts w:eastAsiaTheme="minorEastAsia"/>
          <w:sz w:val="24"/>
        </w:rPr>
        <w:t>2021—2023</w:t>
      </w:r>
      <w:r>
        <w:rPr>
          <w:rFonts w:eastAsiaTheme="minorEastAsia"/>
          <w:sz w:val="24"/>
        </w:rPr>
        <w:t>年）》，启动了首次全国水产养殖种质资源普查，力求摸清家底状况，加大收集保护力度。目前，我国共</w:t>
      </w:r>
      <w:r>
        <w:rPr>
          <w:rFonts w:eastAsiaTheme="minorEastAsia"/>
          <w:sz w:val="24"/>
        </w:rPr>
        <w:t>有国家级水产原良种场</w:t>
      </w:r>
      <w:r>
        <w:rPr>
          <w:rFonts w:eastAsiaTheme="minorEastAsia"/>
          <w:sz w:val="24"/>
        </w:rPr>
        <w:t>85</w:t>
      </w:r>
      <w:r>
        <w:rPr>
          <w:rFonts w:eastAsiaTheme="minorEastAsia"/>
          <w:sz w:val="24"/>
        </w:rPr>
        <w:t>家，国家级水产遗传育种中心</w:t>
      </w:r>
      <w:r>
        <w:rPr>
          <w:rFonts w:eastAsiaTheme="minorEastAsia"/>
          <w:sz w:val="24"/>
        </w:rPr>
        <w:t>28</w:t>
      </w:r>
      <w:r>
        <w:rPr>
          <w:rFonts w:eastAsiaTheme="minorEastAsia"/>
          <w:sz w:val="24"/>
        </w:rPr>
        <w:t>个，审定水产养殖新品种</w:t>
      </w:r>
      <w:r>
        <w:rPr>
          <w:rFonts w:eastAsiaTheme="minorEastAsia"/>
          <w:sz w:val="24"/>
        </w:rPr>
        <w:t>240</w:t>
      </w:r>
      <w:r>
        <w:rPr>
          <w:rFonts w:eastAsiaTheme="minorEastAsia"/>
          <w:sz w:val="24"/>
        </w:rPr>
        <w:t>个，为水产种质资源保护利用提供有力支撑。你们在建议中反映的天然采苗数量持续下降、前景堪忧的问题，可能与</w:t>
      </w:r>
      <w:proofErr w:type="gramStart"/>
      <w:r>
        <w:rPr>
          <w:rFonts w:eastAsiaTheme="minorEastAsia"/>
          <w:sz w:val="24"/>
        </w:rPr>
        <w:t>海区亲贝种群</w:t>
      </w:r>
      <w:proofErr w:type="gramEnd"/>
      <w:r>
        <w:rPr>
          <w:rFonts w:eastAsiaTheme="minorEastAsia"/>
          <w:sz w:val="24"/>
        </w:rPr>
        <w:t>下降、海况因子变化或海域污染有关，对此农业农村</w:t>
      </w:r>
      <w:r>
        <w:rPr>
          <w:rFonts w:eastAsiaTheme="minorEastAsia"/>
          <w:sz w:val="24"/>
        </w:rPr>
        <w:lastRenderedPageBreak/>
        <w:t>部将高度关注，加强调查与监测，分析其中的原因，研究制定牡蛎种质资源保护的相关措施。近年来，国家对水产企业出台了一系列税收优惠政策，符合一定条件的牡蛎蚝苗繁育企业均可享受税收优惠。农业农村部正在编制发展水产种业相关行动方案和建设规划，将重点加强种质资源保护利用体系建设，支</w:t>
      </w:r>
      <w:r>
        <w:rPr>
          <w:rFonts w:eastAsiaTheme="minorEastAsia"/>
          <w:sz w:val="24"/>
        </w:rPr>
        <w:t>持开展牡蛎的新品种选育、育种联合攻关等工作。农业农村部已设立贝类产业技术体系，每年安排科研经费，用于解决产业发展中遇到的关键技术难题，为贝类种业发展做好支撑。</w:t>
      </w:r>
    </w:p>
    <w:p w14:paraId="4139F329" w14:textId="77777777" w:rsidR="004F39F6" w:rsidRDefault="00731C67">
      <w:pPr>
        <w:spacing w:line="360" w:lineRule="auto"/>
        <w:ind w:firstLine="420"/>
        <w:jc w:val="left"/>
        <w:rPr>
          <w:rFonts w:eastAsiaTheme="minorEastAsia"/>
          <w:sz w:val="24"/>
        </w:rPr>
      </w:pPr>
      <w:r>
        <w:rPr>
          <w:rFonts w:eastAsiaTheme="minorEastAsia"/>
          <w:sz w:val="24"/>
        </w:rPr>
        <w:t>三、关于不断推进牡蛎产业化整合和促进牡蛎三产融合发展</w:t>
      </w:r>
    </w:p>
    <w:p w14:paraId="6732462E" w14:textId="77777777" w:rsidR="004F39F6" w:rsidRDefault="00731C67">
      <w:pPr>
        <w:spacing w:line="360" w:lineRule="auto"/>
        <w:ind w:firstLine="420"/>
        <w:jc w:val="left"/>
        <w:rPr>
          <w:rFonts w:eastAsiaTheme="minorEastAsia"/>
          <w:sz w:val="24"/>
        </w:rPr>
      </w:pPr>
      <w:r>
        <w:rPr>
          <w:rFonts w:eastAsiaTheme="minorEastAsia"/>
          <w:sz w:val="24"/>
        </w:rPr>
        <w:t>目前我国牡蛎产业确实存在养殖主体多而分散、大而不强，产业整合程度低、精深加工水平不高、品牌化发展缓慢的问题。推进牡蛎产业转型升级和三产融合，加快培育新型经营主体，是今后发展的方向。</w:t>
      </w:r>
      <w:r>
        <w:rPr>
          <w:rFonts w:eastAsiaTheme="minorEastAsia"/>
          <w:sz w:val="24"/>
        </w:rPr>
        <w:t>2022</w:t>
      </w:r>
      <w:r>
        <w:rPr>
          <w:rFonts w:eastAsiaTheme="minorEastAsia"/>
          <w:sz w:val="24"/>
        </w:rPr>
        <w:t>年，农业农村部印发《农业农村部关于加快农业全产业链培育发展的指导意见》，其中提出：健全产业</w:t>
      </w:r>
      <w:proofErr w:type="gramStart"/>
      <w:r>
        <w:rPr>
          <w:rFonts w:eastAsiaTheme="minorEastAsia"/>
          <w:sz w:val="24"/>
        </w:rPr>
        <w:t>链利益</w:t>
      </w:r>
      <w:proofErr w:type="gramEnd"/>
      <w:r>
        <w:rPr>
          <w:rFonts w:eastAsiaTheme="minorEastAsia"/>
          <w:sz w:val="24"/>
        </w:rPr>
        <w:t>联结机制，发展</w:t>
      </w:r>
      <w:r>
        <w:rPr>
          <w:rFonts w:eastAsiaTheme="minorEastAsia"/>
          <w:sz w:val="24"/>
        </w:rPr>
        <w:t>渔业产业化经营联合体；完善利益联结机制，推动养殖、加工、流通、休闲服务等一二三产业相互融合、协调发展。</w:t>
      </w:r>
      <w:r>
        <w:rPr>
          <w:rFonts w:eastAsiaTheme="minorEastAsia"/>
          <w:sz w:val="24"/>
        </w:rPr>
        <w:t>2021</w:t>
      </w:r>
      <w:r>
        <w:rPr>
          <w:rFonts w:eastAsiaTheme="minorEastAsia"/>
          <w:sz w:val="24"/>
        </w:rPr>
        <w:t>年，中央财政通过农业生产发展资金安排</w:t>
      </w:r>
      <w:r>
        <w:rPr>
          <w:rFonts w:eastAsiaTheme="minorEastAsia"/>
          <w:sz w:val="24"/>
        </w:rPr>
        <w:t>111.33</w:t>
      </w:r>
      <w:r>
        <w:rPr>
          <w:rFonts w:eastAsiaTheme="minorEastAsia"/>
          <w:sz w:val="24"/>
        </w:rPr>
        <w:t>亿元，继续支持建设国家现代农业产业园、优势特色产业集群和农业产业强镇，推进农业产业融合发展。农业农村</w:t>
      </w:r>
      <w:proofErr w:type="gramStart"/>
      <w:r>
        <w:rPr>
          <w:rFonts w:eastAsiaTheme="minorEastAsia"/>
          <w:sz w:val="24"/>
        </w:rPr>
        <w:t>部加快</w:t>
      </w:r>
      <w:proofErr w:type="gramEnd"/>
      <w:r>
        <w:rPr>
          <w:rFonts w:eastAsiaTheme="minorEastAsia"/>
          <w:sz w:val="24"/>
        </w:rPr>
        <w:t>培育壮大龙头企业队伍，持续开展农业产业化龙头企业认定工作。目前，国家重点龙头企业已达</w:t>
      </w:r>
      <w:r>
        <w:rPr>
          <w:rFonts w:eastAsiaTheme="minorEastAsia"/>
          <w:sz w:val="24"/>
        </w:rPr>
        <w:t>1547</w:t>
      </w:r>
      <w:r>
        <w:rPr>
          <w:rFonts w:eastAsiaTheme="minorEastAsia"/>
          <w:sz w:val="24"/>
        </w:rPr>
        <w:t>家。同时，指导各地建立龙头企业培育认定体系，培育县级以上龙头企业</w:t>
      </w:r>
      <w:r>
        <w:rPr>
          <w:rFonts w:eastAsiaTheme="minorEastAsia"/>
          <w:sz w:val="24"/>
        </w:rPr>
        <w:t>9</w:t>
      </w:r>
      <w:r>
        <w:rPr>
          <w:rFonts w:eastAsiaTheme="minorEastAsia"/>
          <w:sz w:val="24"/>
        </w:rPr>
        <w:t>万家，省级以上龙头企业近</w:t>
      </w:r>
      <w:r>
        <w:rPr>
          <w:rFonts w:eastAsiaTheme="minorEastAsia"/>
          <w:sz w:val="24"/>
        </w:rPr>
        <w:t>1.8</w:t>
      </w:r>
      <w:r>
        <w:rPr>
          <w:rFonts w:eastAsiaTheme="minorEastAsia"/>
          <w:sz w:val="24"/>
        </w:rPr>
        <w:t>万家。下一步，农业农村部将按照党中央、国务院相关决策部署，会</w:t>
      </w:r>
      <w:r>
        <w:rPr>
          <w:rFonts w:eastAsiaTheme="minorEastAsia"/>
          <w:sz w:val="24"/>
        </w:rPr>
        <w:t>同有关部门，加快牡蛎产业在内的农业全产业链培育发展，发展壮大水产龙头企业，着力提高水产养殖产业化、规模化水平，促进贝类产业三产融合发展，为乡村全面振兴和农业农村现代化提供支撑。</w:t>
      </w:r>
    </w:p>
    <w:p w14:paraId="0EBB4E32"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转摘自农业农村部网站</w:t>
      </w:r>
    </w:p>
    <w:p w14:paraId="42B394D4"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9" w:name="_Toc95682082"/>
      <w:r>
        <w:rPr>
          <w:rFonts w:ascii="Times New Roman" w:eastAsia="黑体" w:hAnsi="Times New Roman" w:cs="Times New Roman"/>
          <w:sz w:val="32"/>
          <w:szCs w:val="32"/>
        </w:rPr>
        <w:t>农业农村部渔业渔政管理局公示</w:t>
      </w:r>
      <w:r>
        <w:rPr>
          <w:rFonts w:ascii="Times New Roman" w:eastAsia="黑体" w:hAnsi="Times New Roman" w:cs="Times New Roman"/>
          <w:sz w:val="32"/>
          <w:szCs w:val="32"/>
        </w:rPr>
        <w:t>2021</w:t>
      </w:r>
      <w:r>
        <w:rPr>
          <w:rFonts w:ascii="Times New Roman" w:eastAsia="黑体" w:hAnsi="Times New Roman" w:cs="Times New Roman"/>
          <w:sz w:val="32"/>
          <w:szCs w:val="32"/>
        </w:rPr>
        <w:t>中国水产种</w:t>
      </w:r>
      <w:proofErr w:type="gramStart"/>
      <w:r>
        <w:rPr>
          <w:rFonts w:ascii="Times New Roman" w:eastAsia="黑体" w:hAnsi="Times New Roman" w:cs="Times New Roman"/>
          <w:sz w:val="32"/>
          <w:szCs w:val="32"/>
        </w:rPr>
        <w:t>业育繁推</w:t>
      </w:r>
      <w:proofErr w:type="gramEnd"/>
      <w:r>
        <w:rPr>
          <w:rFonts w:ascii="Times New Roman" w:eastAsia="黑体" w:hAnsi="Times New Roman" w:cs="Times New Roman"/>
          <w:sz w:val="32"/>
          <w:szCs w:val="32"/>
        </w:rPr>
        <w:t>一体化优势企业名录</w:t>
      </w:r>
      <w:bookmarkEnd w:id="9"/>
    </w:p>
    <w:p w14:paraId="7E61597C" w14:textId="77777777" w:rsidR="004F39F6" w:rsidRDefault="00731C67">
      <w:pPr>
        <w:spacing w:line="360" w:lineRule="auto"/>
        <w:ind w:firstLine="426"/>
        <w:rPr>
          <w:rFonts w:eastAsiaTheme="minorEastAsia"/>
          <w:sz w:val="24"/>
        </w:rPr>
      </w:pPr>
      <w:r>
        <w:rPr>
          <w:rFonts w:eastAsiaTheme="minorEastAsia"/>
          <w:sz w:val="24"/>
        </w:rPr>
        <w:t>按照《关于开展</w:t>
      </w:r>
      <w:r>
        <w:rPr>
          <w:rFonts w:eastAsiaTheme="minorEastAsia"/>
          <w:sz w:val="24"/>
        </w:rPr>
        <w:t>2021</w:t>
      </w:r>
      <w:r>
        <w:rPr>
          <w:rFonts w:eastAsiaTheme="minorEastAsia"/>
          <w:sz w:val="24"/>
        </w:rPr>
        <w:t>年中国水产种业优势企业名录遴选活动的通知》（农</w:t>
      </w:r>
      <w:proofErr w:type="gramStart"/>
      <w:r>
        <w:rPr>
          <w:rFonts w:eastAsiaTheme="minorEastAsia"/>
          <w:sz w:val="24"/>
        </w:rPr>
        <w:t>渔养函</w:t>
      </w:r>
      <w:proofErr w:type="gramEnd"/>
      <w:r>
        <w:rPr>
          <w:rFonts w:eastAsiaTheme="minorEastAsia"/>
          <w:sz w:val="24"/>
        </w:rPr>
        <w:t>﹝</w:t>
      </w:r>
      <w:r>
        <w:rPr>
          <w:rFonts w:eastAsiaTheme="minorEastAsia"/>
          <w:sz w:val="24"/>
        </w:rPr>
        <w:t>2021</w:t>
      </w:r>
      <w:r>
        <w:rPr>
          <w:rFonts w:eastAsiaTheme="minorEastAsia"/>
          <w:sz w:val="24"/>
        </w:rPr>
        <w:t>﹞</w:t>
      </w:r>
      <w:r>
        <w:rPr>
          <w:rFonts w:eastAsiaTheme="minorEastAsia"/>
          <w:sz w:val="24"/>
        </w:rPr>
        <w:t>96</w:t>
      </w:r>
      <w:r>
        <w:rPr>
          <w:rFonts w:eastAsiaTheme="minorEastAsia"/>
          <w:sz w:val="24"/>
        </w:rPr>
        <w:t>号）要求，农业农村部渔业渔政管理局组织有关单位和专家开展了</w:t>
      </w:r>
      <w:r>
        <w:rPr>
          <w:rFonts w:eastAsiaTheme="minorEastAsia"/>
          <w:sz w:val="24"/>
        </w:rPr>
        <w:t>2021</w:t>
      </w:r>
      <w:r>
        <w:rPr>
          <w:rFonts w:eastAsiaTheme="minorEastAsia"/>
          <w:sz w:val="24"/>
        </w:rPr>
        <w:t>中国水产种业优势企业名录遴选活动。经过形式审核和专家评议，遴选工作组从上报的</w:t>
      </w:r>
      <w:r>
        <w:rPr>
          <w:rFonts w:eastAsiaTheme="minorEastAsia"/>
          <w:sz w:val="24"/>
        </w:rPr>
        <w:t>203</w:t>
      </w:r>
      <w:r>
        <w:rPr>
          <w:rFonts w:eastAsiaTheme="minorEastAsia"/>
          <w:sz w:val="24"/>
        </w:rPr>
        <w:t>家企业中选出</w:t>
      </w:r>
      <w:r>
        <w:rPr>
          <w:rFonts w:eastAsiaTheme="minorEastAsia"/>
          <w:sz w:val="24"/>
        </w:rPr>
        <w:t>20</w:t>
      </w:r>
      <w:r>
        <w:rPr>
          <w:rFonts w:eastAsiaTheme="minorEastAsia"/>
          <w:sz w:val="24"/>
        </w:rPr>
        <w:t>家企业，形成了《</w:t>
      </w:r>
      <w:r>
        <w:rPr>
          <w:rFonts w:eastAsiaTheme="minorEastAsia"/>
          <w:sz w:val="24"/>
        </w:rPr>
        <w:t>2021</w:t>
      </w:r>
      <w:r>
        <w:rPr>
          <w:rFonts w:eastAsiaTheme="minorEastAsia"/>
          <w:sz w:val="24"/>
        </w:rPr>
        <w:t>中国水产种业育繁推一体化优势企业名录》。</w:t>
      </w:r>
      <w:r>
        <w:rPr>
          <w:rFonts w:eastAsiaTheme="minorEastAsia"/>
          <w:sz w:val="24"/>
        </w:rPr>
        <w:t>1</w:t>
      </w:r>
      <w:r>
        <w:rPr>
          <w:rFonts w:eastAsiaTheme="minorEastAsia"/>
          <w:sz w:val="24"/>
        </w:rPr>
        <w:t>月</w:t>
      </w:r>
      <w:r>
        <w:rPr>
          <w:rFonts w:eastAsiaTheme="minorEastAsia"/>
          <w:sz w:val="24"/>
        </w:rPr>
        <w:t>28</w:t>
      </w:r>
      <w:r>
        <w:rPr>
          <w:rFonts w:eastAsiaTheme="minorEastAsia"/>
          <w:sz w:val="24"/>
        </w:rPr>
        <w:t>日，农业农村部渔业渔政管理局对</w:t>
      </w:r>
      <w:r>
        <w:rPr>
          <w:rFonts w:eastAsiaTheme="minorEastAsia"/>
          <w:sz w:val="24"/>
        </w:rPr>
        <w:t>2021</w:t>
      </w:r>
      <w:r>
        <w:rPr>
          <w:rFonts w:eastAsiaTheme="minorEastAsia"/>
          <w:sz w:val="24"/>
        </w:rPr>
        <w:t>中国水产种</w:t>
      </w:r>
      <w:proofErr w:type="gramStart"/>
      <w:r>
        <w:rPr>
          <w:rFonts w:eastAsiaTheme="minorEastAsia"/>
          <w:sz w:val="24"/>
        </w:rPr>
        <w:t>业育繁推</w:t>
      </w:r>
      <w:proofErr w:type="gramEnd"/>
      <w:r>
        <w:rPr>
          <w:rFonts w:eastAsiaTheme="minorEastAsia"/>
          <w:sz w:val="24"/>
        </w:rPr>
        <w:t>一体化优势企业名录予以公示。</w:t>
      </w:r>
    </w:p>
    <w:p w14:paraId="77B2ED65" w14:textId="77777777" w:rsidR="004F39F6" w:rsidRDefault="00731C67">
      <w:pPr>
        <w:spacing w:line="360" w:lineRule="auto"/>
        <w:ind w:firstLine="426"/>
        <w:rPr>
          <w:rFonts w:eastAsiaTheme="minorEastAsia"/>
          <w:sz w:val="24"/>
        </w:rPr>
      </w:pPr>
      <w:r>
        <w:rPr>
          <w:rFonts w:eastAsiaTheme="minorEastAsia"/>
          <w:sz w:val="24"/>
        </w:rPr>
        <w:lastRenderedPageBreak/>
        <w:t>公示期为</w:t>
      </w:r>
      <w:r>
        <w:rPr>
          <w:rFonts w:eastAsiaTheme="minorEastAsia"/>
          <w:sz w:val="24"/>
        </w:rPr>
        <w:t>2022</w:t>
      </w:r>
      <w:r>
        <w:rPr>
          <w:rFonts w:eastAsiaTheme="minorEastAsia"/>
          <w:sz w:val="24"/>
        </w:rPr>
        <w:t>年</w:t>
      </w:r>
      <w:r>
        <w:rPr>
          <w:rFonts w:eastAsiaTheme="minorEastAsia"/>
          <w:sz w:val="24"/>
        </w:rPr>
        <w:t>1</w:t>
      </w:r>
      <w:r>
        <w:rPr>
          <w:rFonts w:eastAsiaTheme="minorEastAsia"/>
          <w:sz w:val="24"/>
        </w:rPr>
        <w:t>月</w:t>
      </w:r>
      <w:r>
        <w:rPr>
          <w:rFonts w:eastAsiaTheme="minorEastAsia"/>
          <w:sz w:val="24"/>
        </w:rPr>
        <w:t>28</w:t>
      </w:r>
      <w:r>
        <w:rPr>
          <w:rFonts w:eastAsiaTheme="minorEastAsia"/>
          <w:sz w:val="24"/>
        </w:rPr>
        <w:t>日</w:t>
      </w:r>
      <w:r>
        <w:rPr>
          <w:rFonts w:eastAsiaTheme="minorEastAsia"/>
          <w:sz w:val="24"/>
        </w:rPr>
        <w:t>~2</w:t>
      </w:r>
      <w:r>
        <w:rPr>
          <w:rFonts w:eastAsiaTheme="minorEastAsia"/>
          <w:sz w:val="24"/>
        </w:rPr>
        <w:t>月</w:t>
      </w:r>
      <w:r>
        <w:rPr>
          <w:rFonts w:eastAsiaTheme="minorEastAsia"/>
          <w:sz w:val="24"/>
        </w:rPr>
        <w:t>11</w:t>
      </w:r>
      <w:r>
        <w:rPr>
          <w:rFonts w:eastAsiaTheme="minorEastAsia"/>
          <w:sz w:val="24"/>
        </w:rPr>
        <w:t>日。公示期间，相关单位和个人如有异议，请与农业农村部渔业渔政管理局联系。</w:t>
      </w:r>
      <w:r>
        <w:rPr>
          <w:rFonts w:eastAsiaTheme="minorEastAsia"/>
          <w:sz w:val="24"/>
        </w:rPr>
        <w:t xml:space="preserve"> </w:t>
      </w:r>
    </w:p>
    <w:p w14:paraId="264A2591" w14:textId="77777777" w:rsidR="004F39F6" w:rsidRDefault="00731C67">
      <w:pPr>
        <w:spacing w:line="360" w:lineRule="auto"/>
        <w:ind w:firstLine="426"/>
        <w:rPr>
          <w:rFonts w:eastAsiaTheme="minorEastAsia"/>
          <w:sz w:val="24"/>
        </w:rPr>
      </w:pPr>
      <w:r>
        <w:rPr>
          <w:rFonts w:eastAsiaTheme="minorEastAsia"/>
          <w:sz w:val="24"/>
        </w:rPr>
        <w:t>联系电话：</w:t>
      </w:r>
      <w:r>
        <w:rPr>
          <w:rFonts w:eastAsiaTheme="minorEastAsia"/>
          <w:sz w:val="24"/>
        </w:rPr>
        <w:t>010-59192918</w:t>
      </w:r>
    </w:p>
    <w:p w14:paraId="058FF87B" w14:textId="77777777" w:rsidR="004F39F6" w:rsidRDefault="00731C67">
      <w:pPr>
        <w:spacing w:line="360" w:lineRule="auto"/>
        <w:ind w:firstLine="426"/>
        <w:rPr>
          <w:rFonts w:eastAsiaTheme="minorEastAsia"/>
          <w:sz w:val="24"/>
        </w:rPr>
      </w:pPr>
      <w:r>
        <w:rPr>
          <w:rFonts w:eastAsiaTheme="minorEastAsia"/>
          <w:sz w:val="24"/>
        </w:rPr>
        <w:t>联系地址：北京市朝阳区农展馆南里</w:t>
      </w:r>
      <w:r>
        <w:rPr>
          <w:rFonts w:eastAsiaTheme="minorEastAsia"/>
          <w:sz w:val="24"/>
        </w:rPr>
        <w:t>11</w:t>
      </w:r>
      <w:r>
        <w:rPr>
          <w:rFonts w:eastAsiaTheme="minorEastAsia"/>
          <w:sz w:val="24"/>
        </w:rPr>
        <w:t>号</w:t>
      </w:r>
    </w:p>
    <w:p w14:paraId="7F3C4120" w14:textId="77777777" w:rsidR="004F39F6" w:rsidRDefault="00731C67">
      <w:pPr>
        <w:spacing w:line="360" w:lineRule="auto"/>
        <w:ind w:firstLine="426"/>
        <w:rPr>
          <w:rFonts w:eastAsiaTheme="minorEastAsia"/>
          <w:sz w:val="24"/>
        </w:rPr>
      </w:pPr>
      <w:r>
        <w:rPr>
          <w:rFonts w:eastAsiaTheme="minorEastAsia"/>
          <w:sz w:val="24"/>
        </w:rPr>
        <w:t>邮政编码：</w:t>
      </w:r>
      <w:r>
        <w:rPr>
          <w:rFonts w:eastAsiaTheme="minorEastAsia"/>
          <w:sz w:val="24"/>
        </w:rPr>
        <w:t>100125</w:t>
      </w:r>
    </w:p>
    <w:p w14:paraId="459B5C8A" w14:textId="77777777" w:rsidR="004F39F6" w:rsidRDefault="00731C67">
      <w:pPr>
        <w:spacing w:line="360" w:lineRule="auto"/>
        <w:ind w:firstLine="426"/>
        <w:rPr>
          <w:rFonts w:eastAsiaTheme="minorEastAsia"/>
          <w:sz w:val="24"/>
        </w:rPr>
      </w:pPr>
      <w:r>
        <w:rPr>
          <w:rFonts w:eastAsiaTheme="minorEastAsia"/>
          <w:sz w:val="24"/>
        </w:rPr>
        <w:t>优势企业名录如下。</w:t>
      </w:r>
    </w:p>
    <w:p w14:paraId="7439F3F8" w14:textId="77777777" w:rsidR="004F39F6" w:rsidRDefault="00731C67">
      <w:pPr>
        <w:spacing w:line="360" w:lineRule="auto"/>
        <w:jc w:val="center"/>
        <w:rPr>
          <w:rFonts w:eastAsiaTheme="minorEastAsia"/>
          <w:sz w:val="24"/>
        </w:rPr>
      </w:pPr>
      <w:r>
        <w:rPr>
          <w:noProof/>
        </w:rPr>
        <w:drawing>
          <wp:inline distT="0" distB="0" distL="0" distR="0" wp14:anchorId="16582129" wp14:editId="4DFCD838">
            <wp:extent cx="3190875" cy="4159250"/>
            <wp:effectExtent l="0" t="0" r="952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90875" cy="4159250"/>
                    </a:xfrm>
                    <a:prstGeom prst="rect">
                      <a:avLst/>
                    </a:prstGeom>
                    <a:noFill/>
                    <a:ln>
                      <a:noFill/>
                    </a:ln>
                  </pic:spPr>
                </pic:pic>
              </a:graphicData>
            </a:graphic>
          </wp:inline>
        </w:drawing>
      </w:r>
    </w:p>
    <w:p w14:paraId="6E516920" w14:textId="77777777" w:rsidR="004F39F6" w:rsidRDefault="00731C67">
      <w:pPr>
        <w:spacing w:line="360" w:lineRule="auto"/>
        <w:ind w:firstLine="420"/>
        <w:jc w:val="right"/>
        <w:rPr>
          <w:rFonts w:eastAsiaTheme="minorEastAsia"/>
          <w:szCs w:val="21"/>
        </w:rPr>
      </w:pPr>
      <w:r>
        <w:rPr>
          <w:rStyle w:val="vm"/>
          <w:rFonts w:eastAsiaTheme="minorEastAsia"/>
          <w:szCs w:val="21"/>
        </w:rPr>
        <w:t>转摘自中国水产</w:t>
      </w:r>
      <w:proofErr w:type="gramStart"/>
      <w:r>
        <w:rPr>
          <w:rStyle w:val="vm"/>
          <w:rFonts w:eastAsiaTheme="minorEastAsia"/>
          <w:szCs w:val="21"/>
        </w:rPr>
        <w:t>微信公众号</w:t>
      </w:r>
      <w:proofErr w:type="gramEnd"/>
    </w:p>
    <w:p w14:paraId="443AF087" w14:textId="77777777" w:rsidR="004F39F6" w:rsidRDefault="00731C67">
      <w:pPr>
        <w:pStyle w:val="1"/>
        <w:spacing w:line="460" w:lineRule="exact"/>
        <w:rPr>
          <w:rStyle w:val="vm"/>
          <w:rFonts w:eastAsia="黑体"/>
          <w:b w:val="0"/>
          <w:bCs w:val="0"/>
          <w:color w:val="000000" w:themeColor="text1"/>
          <w:sz w:val="32"/>
          <w:szCs w:val="32"/>
          <w:bdr w:val="single" w:sz="4" w:space="0" w:color="auto"/>
        </w:rPr>
      </w:pPr>
      <w:bookmarkStart w:id="10" w:name="_Toc95682083"/>
      <w:r>
        <w:rPr>
          <w:rStyle w:val="vm"/>
          <w:rFonts w:eastAsia="黑体"/>
          <w:color w:val="000000" w:themeColor="text1"/>
          <w:sz w:val="32"/>
          <w:szCs w:val="32"/>
          <w:bdr w:val="single" w:sz="4" w:space="0" w:color="auto"/>
        </w:rPr>
        <w:t>行业资讯</w:t>
      </w:r>
      <w:bookmarkEnd w:id="10"/>
    </w:p>
    <w:p w14:paraId="242A4748" w14:textId="77777777" w:rsidR="004F39F6" w:rsidRDefault="00731C67" w:rsidP="006A571F">
      <w:pPr>
        <w:pStyle w:val="2"/>
        <w:spacing w:line="460" w:lineRule="exact"/>
        <w:jc w:val="center"/>
        <w:rPr>
          <w:rFonts w:eastAsia="黑体"/>
          <w:color w:val="333333"/>
          <w:sz w:val="32"/>
          <w:szCs w:val="32"/>
          <w:shd w:val="clear" w:color="auto" w:fill="FFFFFF"/>
        </w:rPr>
      </w:pPr>
      <w:bookmarkStart w:id="11" w:name="_Toc95682084"/>
      <w:r>
        <w:rPr>
          <w:rFonts w:ascii="Times New Roman" w:eastAsia="黑体" w:hAnsi="Times New Roman" w:cs="Times New Roman"/>
          <w:color w:val="333333"/>
          <w:sz w:val="32"/>
          <w:szCs w:val="32"/>
          <w:shd w:val="clear" w:color="auto" w:fill="FFFFFF"/>
        </w:rPr>
        <w:t>2021</w:t>
      </w:r>
      <w:r>
        <w:rPr>
          <w:rFonts w:ascii="Times New Roman" w:eastAsia="黑体" w:hAnsi="Times New Roman" w:cs="Times New Roman"/>
          <w:color w:val="333333"/>
          <w:sz w:val="32"/>
          <w:szCs w:val="32"/>
          <w:shd w:val="clear" w:color="auto" w:fill="FFFFFF"/>
        </w:rPr>
        <w:t>年全国饲料工业发展概况</w:t>
      </w:r>
      <w:bookmarkEnd w:id="11"/>
    </w:p>
    <w:p w14:paraId="04FD5FA4" w14:textId="77777777" w:rsidR="004F39F6" w:rsidRDefault="00731C67">
      <w:pPr>
        <w:spacing w:line="360" w:lineRule="auto"/>
        <w:jc w:val="center"/>
        <w:rPr>
          <w:rFonts w:ascii="宋体" w:hAnsi="宋体" w:cs="宋体"/>
          <w:szCs w:val="21"/>
          <w:shd w:val="clear" w:color="auto" w:fill="FFFFFF"/>
        </w:rPr>
      </w:pPr>
      <w:r>
        <w:rPr>
          <w:rFonts w:ascii="宋体" w:hAnsi="宋体" w:cs="宋体" w:hint="eastAsia"/>
          <w:szCs w:val="21"/>
          <w:shd w:val="clear" w:color="auto" w:fill="FFFFFF"/>
        </w:rPr>
        <w:t>中国饲料工业协会</w:t>
      </w:r>
    </w:p>
    <w:p w14:paraId="074AB8D3" w14:textId="77777777" w:rsidR="004F39F6" w:rsidRDefault="00731C67">
      <w:pPr>
        <w:pStyle w:val="a3"/>
        <w:kinsoku w:val="0"/>
        <w:overflowPunct w:val="0"/>
        <w:spacing w:line="360" w:lineRule="auto"/>
        <w:ind w:right="440" w:firstLine="640"/>
        <w:jc w:val="both"/>
        <w:rPr>
          <w:rFonts w:eastAsia="宋体"/>
          <w:sz w:val="24"/>
          <w:szCs w:val="24"/>
          <w:lang w:eastAsia="zh-CN"/>
        </w:rPr>
      </w:pPr>
      <w:r>
        <w:rPr>
          <w:rFonts w:eastAsia="宋体"/>
          <w:spacing w:val="-4"/>
          <w:sz w:val="24"/>
          <w:szCs w:val="24"/>
          <w:lang w:eastAsia="zh-CN"/>
        </w:rPr>
        <w:t>2</w:t>
      </w:r>
      <w:r>
        <w:rPr>
          <w:rFonts w:eastAsia="宋体"/>
          <w:sz w:val="24"/>
          <w:szCs w:val="24"/>
          <w:lang w:eastAsia="zh-CN"/>
        </w:rPr>
        <w:t xml:space="preserve">021 </w:t>
      </w:r>
      <w:r>
        <w:rPr>
          <w:rFonts w:eastAsia="宋体"/>
          <w:sz w:val="24"/>
          <w:szCs w:val="24"/>
          <w:lang w:eastAsia="zh-CN"/>
        </w:rPr>
        <w:t>年，随着生猪生产加快恢复，水产和反刍动物养殖</w:t>
      </w:r>
      <w:r>
        <w:rPr>
          <w:rFonts w:eastAsia="宋体"/>
          <w:w w:val="95"/>
          <w:sz w:val="24"/>
          <w:szCs w:val="24"/>
          <w:lang w:eastAsia="zh-CN"/>
        </w:rPr>
        <w:t>持续发展，带动饲料工业产量较快增加，饲料行业高质量发</w:t>
      </w:r>
      <w:r>
        <w:rPr>
          <w:rFonts w:eastAsia="宋体"/>
          <w:sz w:val="24"/>
          <w:szCs w:val="24"/>
          <w:lang w:eastAsia="zh-CN"/>
        </w:rPr>
        <w:t>展取得新成效。</w:t>
      </w:r>
    </w:p>
    <w:p w14:paraId="58A12A80" w14:textId="77777777" w:rsidR="004F39F6" w:rsidRDefault="00731C67">
      <w:pPr>
        <w:pStyle w:val="a3"/>
        <w:tabs>
          <w:tab w:val="left" w:pos="744"/>
        </w:tabs>
        <w:kinsoku w:val="0"/>
        <w:overflowPunct w:val="0"/>
        <w:spacing w:line="360" w:lineRule="auto"/>
        <w:jc w:val="both"/>
        <w:rPr>
          <w:rFonts w:eastAsia="宋体"/>
          <w:w w:val="95"/>
          <w:sz w:val="24"/>
          <w:szCs w:val="24"/>
          <w:lang w:eastAsia="zh-CN"/>
        </w:rPr>
      </w:pPr>
      <w:r>
        <w:rPr>
          <w:rFonts w:eastAsia="宋体"/>
          <w:w w:val="95"/>
          <w:sz w:val="24"/>
          <w:szCs w:val="24"/>
          <w:lang w:eastAsia="zh-CN"/>
        </w:rPr>
        <w:t>一、饲料工业总产值明显增长</w:t>
      </w:r>
    </w:p>
    <w:p w14:paraId="39E86504" w14:textId="77777777" w:rsidR="004F39F6" w:rsidRDefault="00731C67">
      <w:pPr>
        <w:pStyle w:val="a3"/>
        <w:kinsoku w:val="0"/>
        <w:overflowPunct w:val="0"/>
        <w:spacing w:line="360" w:lineRule="auto"/>
        <w:ind w:right="275" w:firstLineChars="200" w:firstLine="454"/>
        <w:jc w:val="both"/>
        <w:rPr>
          <w:rFonts w:eastAsia="宋体"/>
          <w:w w:val="95"/>
          <w:sz w:val="24"/>
          <w:szCs w:val="24"/>
          <w:lang w:eastAsia="zh-CN"/>
        </w:rPr>
      </w:pPr>
      <w:r>
        <w:rPr>
          <w:rFonts w:eastAsia="宋体"/>
          <w:w w:val="95"/>
          <w:sz w:val="24"/>
          <w:szCs w:val="24"/>
          <w:lang w:eastAsia="zh-CN"/>
        </w:rPr>
        <w:lastRenderedPageBreak/>
        <w:t>全国饲料工业总产值</w:t>
      </w:r>
      <w:r>
        <w:rPr>
          <w:rFonts w:eastAsia="宋体"/>
          <w:w w:val="95"/>
          <w:sz w:val="24"/>
          <w:szCs w:val="24"/>
          <w:lang w:eastAsia="zh-CN"/>
        </w:rPr>
        <w:t xml:space="preserve"> 12234.1</w:t>
      </w:r>
      <w:r>
        <w:rPr>
          <w:rFonts w:eastAsia="宋体"/>
          <w:w w:val="95"/>
          <w:sz w:val="24"/>
          <w:szCs w:val="24"/>
          <w:lang w:eastAsia="zh-CN"/>
        </w:rPr>
        <w:t>亿元，比上年增长</w:t>
      </w:r>
      <w:r>
        <w:rPr>
          <w:rFonts w:eastAsia="宋体"/>
          <w:w w:val="95"/>
          <w:sz w:val="24"/>
          <w:szCs w:val="24"/>
          <w:lang w:eastAsia="zh-CN"/>
        </w:rPr>
        <w:t xml:space="preserve"> 29.3%</w:t>
      </w:r>
      <w:r>
        <w:rPr>
          <w:rFonts w:eastAsia="宋体"/>
          <w:w w:val="95"/>
          <w:sz w:val="24"/>
          <w:szCs w:val="24"/>
          <w:lang w:eastAsia="zh-CN"/>
        </w:rPr>
        <w:t>；</w:t>
      </w:r>
      <w:r>
        <w:rPr>
          <w:rFonts w:eastAsia="宋体"/>
          <w:sz w:val="24"/>
          <w:szCs w:val="24"/>
          <w:lang w:eastAsia="zh-CN"/>
        </w:rPr>
        <w:t>总营业收入</w:t>
      </w:r>
      <w:r>
        <w:rPr>
          <w:rFonts w:eastAsia="宋体"/>
          <w:sz w:val="24"/>
          <w:szCs w:val="24"/>
          <w:lang w:eastAsia="zh-CN"/>
        </w:rPr>
        <w:t xml:space="preserve"> 11687.3</w:t>
      </w:r>
      <w:r>
        <w:rPr>
          <w:rFonts w:eastAsia="宋体"/>
          <w:sz w:val="24"/>
          <w:szCs w:val="24"/>
          <w:lang w:eastAsia="zh-CN"/>
        </w:rPr>
        <w:t>亿元，增长</w:t>
      </w:r>
      <w:r>
        <w:rPr>
          <w:rFonts w:eastAsia="宋体"/>
          <w:sz w:val="24"/>
          <w:szCs w:val="24"/>
          <w:lang w:eastAsia="zh-CN"/>
        </w:rPr>
        <w:t xml:space="preserve"> 28.8%</w:t>
      </w:r>
      <w:r>
        <w:rPr>
          <w:rFonts w:eastAsia="宋体"/>
          <w:sz w:val="24"/>
          <w:szCs w:val="24"/>
          <w:lang w:eastAsia="zh-CN"/>
        </w:rPr>
        <w:t>。其中</w:t>
      </w:r>
      <w:r>
        <w:rPr>
          <w:rFonts w:eastAsia="宋体" w:hint="eastAsia"/>
          <w:sz w:val="24"/>
          <w:szCs w:val="24"/>
          <w:lang w:eastAsia="zh-CN"/>
        </w:rPr>
        <w:t>，</w:t>
      </w:r>
      <w:r>
        <w:rPr>
          <w:rFonts w:eastAsia="宋体"/>
          <w:sz w:val="24"/>
          <w:szCs w:val="24"/>
          <w:lang w:eastAsia="zh-CN"/>
        </w:rPr>
        <w:t>饲料产品产</w:t>
      </w:r>
      <w:r>
        <w:rPr>
          <w:rFonts w:eastAsia="宋体"/>
          <w:w w:val="95"/>
          <w:sz w:val="24"/>
          <w:szCs w:val="24"/>
          <w:lang w:eastAsia="zh-CN"/>
        </w:rPr>
        <w:t>值</w:t>
      </w:r>
      <w:r>
        <w:rPr>
          <w:rFonts w:eastAsia="宋体"/>
          <w:w w:val="95"/>
          <w:sz w:val="24"/>
          <w:szCs w:val="24"/>
          <w:lang w:eastAsia="zh-CN"/>
        </w:rPr>
        <w:t xml:space="preserve"> 10964.0</w:t>
      </w:r>
      <w:r>
        <w:rPr>
          <w:rFonts w:eastAsia="宋体"/>
          <w:w w:val="95"/>
          <w:sz w:val="24"/>
          <w:szCs w:val="24"/>
          <w:lang w:eastAsia="zh-CN"/>
        </w:rPr>
        <w:t>亿元、营业收入</w:t>
      </w:r>
      <w:r>
        <w:rPr>
          <w:rFonts w:eastAsia="宋体"/>
          <w:w w:val="95"/>
          <w:sz w:val="24"/>
          <w:szCs w:val="24"/>
          <w:lang w:eastAsia="zh-CN"/>
        </w:rPr>
        <w:t xml:space="preserve"> 10499.8</w:t>
      </w:r>
      <w:r>
        <w:rPr>
          <w:rFonts w:eastAsia="宋体"/>
          <w:w w:val="95"/>
          <w:sz w:val="24"/>
          <w:szCs w:val="24"/>
          <w:lang w:eastAsia="zh-CN"/>
        </w:rPr>
        <w:t>亿元，分别增长</w:t>
      </w:r>
      <w:r>
        <w:rPr>
          <w:rFonts w:eastAsia="宋体"/>
          <w:w w:val="95"/>
          <w:sz w:val="24"/>
          <w:szCs w:val="24"/>
          <w:lang w:eastAsia="zh-CN"/>
        </w:rPr>
        <w:t xml:space="preserve"> 29.8%</w:t>
      </w:r>
      <w:r>
        <w:rPr>
          <w:rFonts w:eastAsia="宋体"/>
          <w:w w:val="95"/>
          <w:sz w:val="24"/>
          <w:szCs w:val="24"/>
          <w:lang w:eastAsia="zh-CN"/>
        </w:rPr>
        <w:t>、</w:t>
      </w:r>
      <w:r>
        <w:rPr>
          <w:rFonts w:eastAsia="宋体"/>
          <w:w w:val="95"/>
          <w:sz w:val="24"/>
          <w:szCs w:val="24"/>
          <w:lang w:eastAsia="zh-CN"/>
        </w:rPr>
        <w:t>29.1%</w:t>
      </w:r>
      <w:r>
        <w:rPr>
          <w:rFonts w:eastAsia="宋体"/>
          <w:w w:val="95"/>
          <w:sz w:val="24"/>
          <w:szCs w:val="24"/>
          <w:lang w:eastAsia="zh-CN"/>
        </w:rPr>
        <w:t>；饲料添加剂产品产值</w:t>
      </w:r>
      <w:r>
        <w:rPr>
          <w:rFonts w:eastAsia="宋体"/>
          <w:w w:val="95"/>
          <w:sz w:val="24"/>
          <w:szCs w:val="24"/>
          <w:lang w:eastAsia="zh-CN"/>
        </w:rPr>
        <w:t xml:space="preserve"> 1154.9</w:t>
      </w:r>
      <w:r>
        <w:rPr>
          <w:rFonts w:eastAsia="宋体"/>
          <w:w w:val="95"/>
          <w:sz w:val="24"/>
          <w:szCs w:val="24"/>
          <w:lang w:eastAsia="zh-CN"/>
        </w:rPr>
        <w:t>亿元、营业收入</w:t>
      </w:r>
      <w:r>
        <w:rPr>
          <w:rFonts w:eastAsia="宋体"/>
          <w:w w:val="95"/>
          <w:sz w:val="24"/>
          <w:szCs w:val="24"/>
          <w:lang w:eastAsia="zh-CN"/>
        </w:rPr>
        <w:t xml:space="preserve"> 1110.4 </w:t>
      </w:r>
      <w:r>
        <w:rPr>
          <w:rFonts w:eastAsia="宋体"/>
          <w:w w:val="95"/>
          <w:sz w:val="24"/>
          <w:szCs w:val="24"/>
          <w:lang w:eastAsia="zh-CN"/>
        </w:rPr>
        <w:t>亿元，分别增长</w:t>
      </w:r>
      <w:r>
        <w:rPr>
          <w:rFonts w:eastAsia="宋体"/>
          <w:w w:val="95"/>
          <w:sz w:val="24"/>
          <w:szCs w:val="24"/>
          <w:lang w:eastAsia="zh-CN"/>
        </w:rPr>
        <w:t>23.8%</w:t>
      </w:r>
      <w:r>
        <w:rPr>
          <w:rFonts w:eastAsia="宋体"/>
          <w:w w:val="95"/>
          <w:sz w:val="24"/>
          <w:szCs w:val="24"/>
          <w:lang w:eastAsia="zh-CN"/>
        </w:rPr>
        <w:t>、</w:t>
      </w:r>
      <w:r>
        <w:rPr>
          <w:rFonts w:eastAsia="宋体"/>
          <w:w w:val="95"/>
          <w:sz w:val="24"/>
          <w:szCs w:val="24"/>
          <w:lang w:eastAsia="zh-CN"/>
        </w:rPr>
        <w:t>29.5%</w:t>
      </w:r>
      <w:r>
        <w:rPr>
          <w:rFonts w:eastAsia="宋体"/>
          <w:w w:val="95"/>
          <w:sz w:val="24"/>
          <w:szCs w:val="24"/>
          <w:lang w:eastAsia="zh-CN"/>
        </w:rPr>
        <w:t>；饲料机械产品产值</w:t>
      </w:r>
      <w:r>
        <w:rPr>
          <w:rFonts w:eastAsia="宋体"/>
          <w:w w:val="95"/>
          <w:sz w:val="24"/>
          <w:szCs w:val="24"/>
          <w:lang w:eastAsia="zh-CN"/>
        </w:rPr>
        <w:t xml:space="preserve"> 115.2</w:t>
      </w:r>
      <w:r>
        <w:rPr>
          <w:rFonts w:eastAsia="宋体"/>
          <w:w w:val="95"/>
          <w:sz w:val="24"/>
          <w:szCs w:val="24"/>
          <w:lang w:eastAsia="zh-CN"/>
        </w:rPr>
        <w:t>亿元，增长</w:t>
      </w:r>
      <w:r>
        <w:rPr>
          <w:rFonts w:eastAsia="宋体"/>
          <w:w w:val="95"/>
          <w:sz w:val="24"/>
          <w:szCs w:val="24"/>
          <w:lang w:eastAsia="zh-CN"/>
        </w:rPr>
        <w:t xml:space="preserve"> 36.4%</w:t>
      </w:r>
      <w:r>
        <w:rPr>
          <w:rFonts w:eastAsia="宋体"/>
          <w:w w:val="95"/>
          <w:sz w:val="24"/>
          <w:szCs w:val="24"/>
          <w:lang w:eastAsia="zh-CN"/>
        </w:rPr>
        <w:t>，营</w:t>
      </w:r>
      <w:r>
        <w:rPr>
          <w:rFonts w:eastAsia="宋体"/>
          <w:w w:val="95"/>
          <w:sz w:val="24"/>
          <w:szCs w:val="24"/>
          <w:lang w:eastAsia="zh-CN"/>
        </w:rPr>
        <w:t>业收入</w:t>
      </w:r>
      <w:r>
        <w:rPr>
          <w:rFonts w:eastAsia="宋体"/>
          <w:w w:val="95"/>
          <w:sz w:val="24"/>
          <w:szCs w:val="24"/>
          <w:lang w:eastAsia="zh-CN"/>
        </w:rPr>
        <w:t xml:space="preserve"> 77.0</w:t>
      </w:r>
      <w:r>
        <w:rPr>
          <w:rFonts w:eastAsia="宋体"/>
          <w:w w:val="95"/>
          <w:sz w:val="24"/>
          <w:szCs w:val="24"/>
          <w:lang w:eastAsia="zh-CN"/>
        </w:rPr>
        <w:t>亿元，下降</w:t>
      </w:r>
      <w:r>
        <w:rPr>
          <w:rFonts w:eastAsia="宋体"/>
          <w:w w:val="95"/>
          <w:sz w:val="24"/>
          <w:szCs w:val="24"/>
          <w:lang w:eastAsia="zh-CN"/>
        </w:rPr>
        <w:t xml:space="preserve"> 3.6%</w:t>
      </w:r>
      <w:r>
        <w:rPr>
          <w:rFonts w:eastAsia="宋体"/>
          <w:w w:val="95"/>
          <w:sz w:val="24"/>
          <w:szCs w:val="24"/>
          <w:lang w:eastAsia="zh-CN"/>
        </w:rPr>
        <w:t>。</w:t>
      </w:r>
    </w:p>
    <w:p w14:paraId="23780F3D" w14:textId="77777777" w:rsidR="004F39F6" w:rsidRDefault="00731C67">
      <w:pPr>
        <w:pStyle w:val="a3"/>
        <w:kinsoku w:val="0"/>
        <w:overflowPunct w:val="0"/>
        <w:spacing w:line="360" w:lineRule="auto"/>
        <w:jc w:val="both"/>
        <w:rPr>
          <w:rFonts w:eastAsia="宋体"/>
          <w:w w:val="95"/>
          <w:sz w:val="24"/>
          <w:szCs w:val="24"/>
          <w:lang w:eastAsia="zh-CN"/>
        </w:rPr>
      </w:pPr>
      <w:r>
        <w:rPr>
          <w:rFonts w:eastAsia="宋体"/>
          <w:w w:val="95"/>
          <w:sz w:val="24"/>
          <w:szCs w:val="24"/>
          <w:lang w:eastAsia="zh-CN"/>
        </w:rPr>
        <w:t>二、工业饲料总产量较快增加</w:t>
      </w:r>
    </w:p>
    <w:p w14:paraId="4FED6742" w14:textId="77777777" w:rsidR="004F39F6" w:rsidRDefault="00731C67">
      <w:pPr>
        <w:pStyle w:val="a3"/>
        <w:kinsoku w:val="0"/>
        <w:overflowPunct w:val="0"/>
        <w:spacing w:line="360" w:lineRule="auto"/>
        <w:ind w:right="436" w:firstLineChars="200" w:firstLine="454"/>
        <w:jc w:val="both"/>
        <w:rPr>
          <w:rFonts w:eastAsia="宋体"/>
          <w:w w:val="95"/>
          <w:sz w:val="24"/>
          <w:szCs w:val="24"/>
          <w:lang w:eastAsia="zh-CN"/>
        </w:rPr>
      </w:pPr>
      <w:r>
        <w:rPr>
          <w:rFonts w:eastAsia="宋体"/>
          <w:w w:val="95"/>
          <w:sz w:val="24"/>
          <w:szCs w:val="24"/>
          <w:lang w:eastAsia="zh-CN"/>
        </w:rPr>
        <w:t>全国工业饲料总产量</w:t>
      </w:r>
      <w:r>
        <w:rPr>
          <w:rFonts w:eastAsia="宋体"/>
          <w:w w:val="95"/>
          <w:sz w:val="24"/>
          <w:szCs w:val="24"/>
          <w:lang w:eastAsia="zh-CN"/>
        </w:rPr>
        <w:t xml:space="preserve"> 29344.3</w:t>
      </w:r>
      <w:r>
        <w:rPr>
          <w:rFonts w:eastAsia="宋体"/>
          <w:w w:val="95"/>
          <w:sz w:val="24"/>
          <w:szCs w:val="24"/>
          <w:lang w:eastAsia="zh-CN"/>
        </w:rPr>
        <w:t>万吨，比上年增长</w:t>
      </w:r>
      <w:r>
        <w:rPr>
          <w:rFonts w:eastAsia="宋体"/>
          <w:w w:val="95"/>
          <w:sz w:val="24"/>
          <w:szCs w:val="24"/>
          <w:lang w:eastAsia="zh-CN"/>
        </w:rPr>
        <w:t xml:space="preserve"> 16.1%</w:t>
      </w:r>
      <w:r>
        <w:rPr>
          <w:rFonts w:eastAsia="宋体"/>
          <w:w w:val="95"/>
          <w:sz w:val="24"/>
          <w:szCs w:val="24"/>
          <w:lang w:eastAsia="zh-CN"/>
        </w:rPr>
        <w:t>。其中，配合饲料产量</w:t>
      </w:r>
      <w:r>
        <w:rPr>
          <w:rFonts w:eastAsia="宋体"/>
          <w:w w:val="95"/>
          <w:sz w:val="24"/>
          <w:szCs w:val="24"/>
          <w:lang w:eastAsia="zh-CN"/>
        </w:rPr>
        <w:t xml:space="preserve"> 27017.1</w:t>
      </w:r>
      <w:r>
        <w:rPr>
          <w:rFonts w:eastAsia="宋体"/>
          <w:w w:val="95"/>
          <w:sz w:val="24"/>
          <w:szCs w:val="24"/>
          <w:lang w:eastAsia="zh-CN"/>
        </w:rPr>
        <w:t>万吨，增长</w:t>
      </w:r>
      <w:r>
        <w:rPr>
          <w:rFonts w:eastAsia="宋体"/>
          <w:w w:val="95"/>
          <w:sz w:val="24"/>
          <w:szCs w:val="24"/>
          <w:lang w:eastAsia="zh-CN"/>
        </w:rPr>
        <w:t>17.1%</w:t>
      </w:r>
      <w:r>
        <w:rPr>
          <w:rFonts w:eastAsia="宋体"/>
          <w:w w:val="95"/>
          <w:sz w:val="24"/>
          <w:szCs w:val="24"/>
          <w:lang w:eastAsia="zh-CN"/>
        </w:rPr>
        <w:t>；浓缩饲料产量</w:t>
      </w:r>
      <w:r>
        <w:rPr>
          <w:rFonts w:eastAsia="宋体"/>
          <w:w w:val="95"/>
          <w:sz w:val="24"/>
          <w:szCs w:val="24"/>
          <w:lang w:eastAsia="zh-CN"/>
        </w:rPr>
        <w:t xml:space="preserve"> 1551.1</w:t>
      </w:r>
      <w:r>
        <w:rPr>
          <w:rFonts w:eastAsia="宋体"/>
          <w:w w:val="95"/>
          <w:sz w:val="24"/>
          <w:szCs w:val="24"/>
          <w:lang w:eastAsia="zh-CN"/>
        </w:rPr>
        <w:t>万吨，增长</w:t>
      </w:r>
      <w:r>
        <w:rPr>
          <w:rFonts w:eastAsia="宋体"/>
          <w:w w:val="95"/>
          <w:sz w:val="24"/>
          <w:szCs w:val="24"/>
          <w:lang w:eastAsia="zh-CN"/>
        </w:rPr>
        <w:t xml:space="preserve"> 2.4%</w:t>
      </w:r>
      <w:r>
        <w:rPr>
          <w:rFonts w:eastAsia="宋体"/>
          <w:w w:val="95"/>
          <w:sz w:val="24"/>
          <w:szCs w:val="24"/>
          <w:lang w:eastAsia="zh-CN"/>
        </w:rPr>
        <w:t>；添加剂预混合饲料产量</w:t>
      </w:r>
      <w:r>
        <w:rPr>
          <w:rFonts w:eastAsia="宋体"/>
          <w:w w:val="95"/>
          <w:sz w:val="24"/>
          <w:szCs w:val="24"/>
          <w:lang w:eastAsia="zh-CN"/>
        </w:rPr>
        <w:t xml:space="preserve"> 663.1 </w:t>
      </w:r>
      <w:r>
        <w:rPr>
          <w:rFonts w:eastAsia="宋体"/>
          <w:w w:val="95"/>
          <w:sz w:val="24"/>
          <w:szCs w:val="24"/>
          <w:lang w:eastAsia="zh-CN"/>
        </w:rPr>
        <w:t>万吨，增长</w:t>
      </w:r>
      <w:r>
        <w:rPr>
          <w:rFonts w:eastAsia="宋体"/>
          <w:w w:val="95"/>
          <w:sz w:val="24"/>
          <w:szCs w:val="24"/>
          <w:lang w:eastAsia="zh-CN"/>
        </w:rPr>
        <w:t>11.5%</w:t>
      </w:r>
      <w:r>
        <w:rPr>
          <w:rFonts w:eastAsia="宋体"/>
          <w:w w:val="95"/>
          <w:sz w:val="24"/>
          <w:szCs w:val="24"/>
          <w:lang w:eastAsia="zh-CN"/>
        </w:rPr>
        <w:t>。分品种看，猪饲料产量</w:t>
      </w:r>
      <w:r>
        <w:rPr>
          <w:rFonts w:eastAsia="宋体"/>
          <w:w w:val="95"/>
          <w:sz w:val="24"/>
          <w:szCs w:val="24"/>
          <w:lang w:eastAsia="zh-CN"/>
        </w:rPr>
        <w:t xml:space="preserve"> 13076.5</w:t>
      </w:r>
      <w:r>
        <w:rPr>
          <w:rFonts w:eastAsia="宋体"/>
          <w:w w:val="95"/>
          <w:sz w:val="24"/>
          <w:szCs w:val="24"/>
          <w:lang w:eastAsia="zh-CN"/>
        </w:rPr>
        <w:t>万吨，</w:t>
      </w:r>
      <w:r>
        <w:rPr>
          <w:rFonts w:eastAsia="宋体"/>
          <w:w w:val="95"/>
          <w:sz w:val="24"/>
          <w:szCs w:val="24"/>
          <w:lang w:eastAsia="zh-CN"/>
        </w:rPr>
        <w:t xml:space="preserve"> </w:t>
      </w:r>
      <w:r>
        <w:rPr>
          <w:rFonts w:eastAsia="宋体"/>
          <w:w w:val="95"/>
          <w:sz w:val="24"/>
          <w:szCs w:val="24"/>
          <w:lang w:eastAsia="zh-CN"/>
        </w:rPr>
        <w:t>增长</w:t>
      </w:r>
      <w:r>
        <w:rPr>
          <w:rFonts w:eastAsia="宋体"/>
          <w:w w:val="95"/>
          <w:sz w:val="24"/>
          <w:szCs w:val="24"/>
          <w:lang w:eastAsia="zh-CN"/>
        </w:rPr>
        <w:t xml:space="preserve"> 46.6%</w:t>
      </w:r>
      <w:r>
        <w:rPr>
          <w:rFonts w:eastAsia="宋体"/>
          <w:w w:val="95"/>
          <w:sz w:val="24"/>
          <w:szCs w:val="24"/>
          <w:lang w:eastAsia="zh-CN"/>
        </w:rPr>
        <w:t>；蛋禽饲料产量</w:t>
      </w:r>
      <w:r>
        <w:rPr>
          <w:rFonts w:eastAsia="宋体"/>
          <w:w w:val="95"/>
          <w:sz w:val="24"/>
          <w:szCs w:val="24"/>
          <w:lang w:eastAsia="zh-CN"/>
        </w:rPr>
        <w:t xml:space="preserve"> 3231.4</w:t>
      </w:r>
      <w:r>
        <w:rPr>
          <w:rFonts w:eastAsia="宋体"/>
          <w:w w:val="95"/>
          <w:sz w:val="24"/>
          <w:szCs w:val="24"/>
          <w:lang w:eastAsia="zh-CN"/>
        </w:rPr>
        <w:t>万吨，下降</w:t>
      </w:r>
      <w:r>
        <w:rPr>
          <w:rFonts w:eastAsia="宋体"/>
          <w:w w:val="95"/>
          <w:sz w:val="24"/>
          <w:szCs w:val="24"/>
          <w:lang w:eastAsia="zh-CN"/>
        </w:rPr>
        <w:t xml:space="preserve"> 3.6%</w:t>
      </w:r>
      <w:r>
        <w:rPr>
          <w:rFonts w:eastAsia="宋体"/>
          <w:w w:val="95"/>
          <w:sz w:val="24"/>
          <w:szCs w:val="24"/>
          <w:lang w:eastAsia="zh-CN"/>
        </w:rPr>
        <w:t>；肉禽饲料产量</w:t>
      </w:r>
      <w:r>
        <w:rPr>
          <w:rFonts w:eastAsia="宋体"/>
          <w:w w:val="95"/>
          <w:sz w:val="24"/>
          <w:szCs w:val="24"/>
          <w:lang w:eastAsia="zh-CN"/>
        </w:rPr>
        <w:t xml:space="preserve"> 8909.6</w:t>
      </w:r>
      <w:r>
        <w:rPr>
          <w:rFonts w:eastAsia="宋体"/>
          <w:w w:val="95"/>
          <w:sz w:val="24"/>
          <w:szCs w:val="24"/>
          <w:lang w:eastAsia="zh-CN"/>
        </w:rPr>
        <w:t>万吨，下降</w:t>
      </w:r>
      <w:r>
        <w:rPr>
          <w:rFonts w:eastAsia="宋体"/>
          <w:w w:val="95"/>
          <w:sz w:val="24"/>
          <w:szCs w:val="24"/>
          <w:lang w:eastAsia="zh-CN"/>
        </w:rPr>
        <w:t xml:space="preserve"> 2.9%</w:t>
      </w:r>
      <w:r>
        <w:rPr>
          <w:rFonts w:eastAsia="宋体"/>
          <w:w w:val="95"/>
          <w:sz w:val="24"/>
          <w:szCs w:val="24"/>
          <w:lang w:eastAsia="zh-CN"/>
        </w:rPr>
        <w:t>；反刍动物饲料产量</w:t>
      </w:r>
      <w:r>
        <w:rPr>
          <w:rFonts w:eastAsia="宋体"/>
          <w:w w:val="95"/>
          <w:sz w:val="24"/>
          <w:szCs w:val="24"/>
          <w:lang w:eastAsia="zh-CN"/>
        </w:rPr>
        <w:t xml:space="preserve"> 1480.3</w:t>
      </w:r>
      <w:r>
        <w:rPr>
          <w:rFonts w:eastAsia="宋体"/>
          <w:w w:val="95"/>
          <w:sz w:val="24"/>
          <w:szCs w:val="24"/>
          <w:lang w:eastAsia="zh-CN"/>
        </w:rPr>
        <w:t>万吨，增长</w:t>
      </w:r>
      <w:r>
        <w:rPr>
          <w:rFonts w:eastAsia="宋体"/>
          <w:w w:val="95"/>
          <w:sz w:val="24"/>
          <w:szCs w:val="24"/>
          <w:lang w:eastAsia="zh-CN"/>
        </w:rPr>
        <w:t xml:space="preserve"> </w:t>
      </w:r>
      <w:r>
        <w:rPr>
          <w:rFonts w:eastAsia="宋体"/>
          <w:w w:val="95"/>
          <w:sz w:val="24"/>
          <w:szCs w:val="24"/>
          <w:lang w:eastAsia="zh-CN"/>
        </w:rPr>
        <w:t>12.2%</w:t>
      </w:r>
      <w:r>
        <w:rPr>
          <w:rFonts w:eastAsia="宋体"/>
          <w:w w:val="95"/>
          <w:sz w:val="24"/>
          <w:szCs w:val="24"/>
          <w:lang w:eastAsia="zh-CN"/>
        </w:rPr>
        <w:t>；水产饲料产量</w:t>
      </w:r>
      <w:r>
        <w:rPr>
          <w:rFonts w:eastAsia="宋体"/>
          <w:w w:val="95"/>
          <w:sz w:val="24"/>
          <w:szCs w:val="24"/>
          <w:lang w:eastAsia="zh-CN"/>
        </w:rPr>
        <w:t xml:space="preserve"> 2293.0</w:t>
      </w:r>
      <w:r>
        <w:rPr>
          <w:rFonts w:eastAsia="宋体"/>
          <w:w w:val="95"/>
          <w:sz w:val="24"/>
          <w:szCs w:val="24"/>
          <w:lang w:eastAsia="zh-CN"/>
        </w:rPr>
        <w:t>万吨，增长</w:t>
      </w:r>
      <w:r>
        <w:rPr>
          <w:rFonts w:eastAsia="宋体"/>
          <w:w w:val="95"/>
          <w:sz w:val="24"/>
          <w:szCs w:val="24"/>
          <w:lang w:eastAsia="zh-CN"/>
        </w:rPr>
        <w:t xml:space="preserve"> 8.0%</w:t>
      </w:r>
      <w:r>
        <w:rPr>
          <w:rFonts w:eastAsia="宋体"/>
          <w:w w:val="95"/>
          <w:sz w:val="24"/>
          <w:szCs w:val="24"/>
          <w:lang w:eastAsia="zh-CN"/>
        </w:rPr>
        <w:t>；</w:t>
      </w:r>
      <w:r>
        <w:rPr>
          <w:rFonts w:eastAsia="宋体"/>
          <w:w w:val="95"/>
          <w:sz w:val="24"/>
          <w:szCs w:val="24"/>
          <w:lang w:eastAsia="zh-CN"/>
        </w:rPr>
        <w:t xml:space="preserve"> </w:t>
      </w:r>
      <w:r>
        <w:rPr>
          <w:rFonts w:eastAsia="宋体"/>
          <w:w w:val="95"/>
          <w:sz w:val="24"/>
          <w:szCs w:val="24"/>
          <w:lang w:eastAsia="zh-CN"/>
        </w:rPr>
        <w:t>宠物饲料产量</w:t>
      </w:r>
      <w:r>
        <w:rPr>
          <w:rFonts w:eastAsia="宋体"/>
          <w:w w:val="95"/>
          <w:sz w:val="24"/>
          <w:szCs w:val="24"/>
          <w:lang w:eastAsia="zh-CN"/>
        </w:rPr>
        <w:t xml:space="preserve"> 113.0</w:t>
      </w:r>
      <w:r>
        <w:rPr>
          <w:rFonts w:eastAsia="宋体"/>
          <w:w w:val="95"/>
          <w:sz w:val="24"/>
          <w:szCs w:val="24"/>
          <w:lang w:eastAsia="zh-CN"/>
        </w:rPr>
        <w:t>万吨，增长</w:t>
      </w:r>
      <w:r>
        <w:rPr>
          <w:rFonts w:eastAsia="宋体"/>
          <w:w w:val="95"/>
          <w:sz w:val="24"/>
          <w:szCs w:val="24"/>
          <w:lang w:eastAsia="zh-CN"/>
        </w:rPr>
        <w:t xml:space="preserve"> 17.3%</w:t>
      </w:r>
      <w:r>
        <w:rPr>
          <w:rFonts w:eastAsia="宋体"/>
          <w:w w:val="95"/>
          <w:sz w:val="24"/>
          <w:szCs w:val="24"/>
          <w:lang w:eastAsia="zh-CN"/>
        </w:rPr>
        <w:t>；其他饲料产量</w:t>
      </w:r>
      <w:r>
        <w:rPr>
          <w:rFonts w:eastAsia="宋体"/>
          <w:w w:val="95"/>
          <w:sz w:val="24"/>
          <w:szCs w:val="24"/>
          <w:lang w:eastAsia="zh-CN"/>
        </w:rPr>
        <w:t xml:space="preserve"> 240.5</w:t>
      </w:r>
      <w:r>
        <w:rPr>
          <w:rFonts w:eastAsia="宋体"/>
          <w:w w:val="95"/>
          <w:sz w:val="24"/>
          <w:szCs w:val="24"/>
          <w:lang w:eastAsia="zh-CN"/>
        </w:rPr>
        <w:t>万吨，下降</w:t>
      </w:r>
      <w:r>
        <w:rPr>
          <w:rFonts w:eastAsia="宋体"/>
          <w:w w:val="95"/>
          <w:sz w:val="24"/>
          <w:szCs w:val="24"/>
          <w:lang w:eastAsia="zh-CN"/>
        </w:rPr>
        <w:t xml:space="preserve"> 16.2%</w:t>
      </w:r>
      <w:r>
        <w:rPr>
          <w:rFonts w:eastAsia="宋体"/>
          <w:w w:val="95"/>
          <w:sz w:val="24"/>
          <w:szCs w:val="24"/>
          <w:lang w:eastAsia="zh-CN"/>
        </w:rPr>
        <w:t>。</w:t>
      </w:r>
    </w:p>
    <w:p w14:paraId="619F2F7C" w14:textId="77777777" w:rsidR="004F39F6" w:rsidRDefault="00731C67">
      <w:pPr>
        <w:pStyle w:val="a3"/>
        <w:kinsoku w:val="0"/>
        <w:overflowPunct w:val="0"/>
        <w:spacing w:line="360" w:lineRule="auto"/>
        <w:jc w:val="both"/>
        <w:rPr>
          <w:rFonts w:eastAsia="宋体"/>
          <w:w w:val="95"/>
          <w:sz w:val="24"/>
          <w:szCs w:val="24"/>
          <w:lang w:eastAsia="zh-CN"/>
        </w:rPr>
      </w:pPr>
      <w:r>
        <w:rPr>
          <w:rFonts w:eastAsia="宋体"/>
          <w:w w:val="95"/>
          <w:sz w:val="24"/>
          <w:szCs w:val="24"/>
          <w:lang w:eastAsia="zh-CN"/>
        </w:rPr>
        <w:t>三、饲料添加剂总产量稳步增加</w:t>
      </w:r>
    </w:p>
    <w:p w14:paraId="32ED8017" w14:textId="77777777" w:rsidR="004F39F6" w:rsidRDefault="00731C67">
      <w:pPr>
        <w:pStyle w:val="a3"/>
        <w:kinsoku w:val="0"/>
        <w:overflowPunct w:val="0"/>
        <w:spacing w:line="360" w:lineRule="auto"/>
        <w:ind w:right="116" w:firstLineChars="200" w:firstLine="454"/>
        <w:jc w:val="both"/>
        <w:rPr>
          <w:rFonts w:eastAsia="宋体"/>
          <w:sz w:val="24"/>
          <w:szCs w:val="24"/>
          <w:lang w:eastAsia="zh-CN"/>
        </w:rPr>
      </w:pPr>
      <w:r>
        <w:rPr>
          <w:rFonts w:eastAsia="宋体"/>
          <w:w w:val="95"/>
          <w:sz w:val="24"/>
          <w:szCs w:val="24"/>
          <w:lang w:eastAsia="zh-CN"/>
        </w:rPr>
        <w:t>全国饲料添加剂总产量</w:t>
      </w:r>
      <w:r>
        <w:rPr>
          <w:rFonts w:eastAsia="宋体"/>
          <w:w w:val="95"/>
          <w:sz w:val="24"/>
          <w:szCs w:val="24"/>
          <w:lang w:eastAsia="zh-CN"/>
        </w:rPr>
        <w:t xml:space="preserve"> 1477.5</w:t>
      </w:r>
      <w:r>
        <w:rPr>
          <w:rFonts w:eastAsia="宋体"/>
          <w:w w:val="95"/>
          <w:sz w:val="24"/>
          <w:szCs w:val="24"/>
          <w:lang w:eastAsia="zh-CN"/>
        </w:rPr>
        <w:t>万吨，比上年增长</w:t>
      </w:r>
      <w:r>
        <w:rPr>
          <w:rFonts w:eastAsia="宋体"/>
          <w:w w:val="95"/>
          <w:sz w:val="24"/>
          <w:szCs w:val="24"/>
          <w:lang w:eastAsia="zh-CN"/>
        </w:rPr>
        <w:t xml:space="preserve"> 6.2%</w:t>
      </w:r>
      <w:r>
        <w:rPr>
          <w:rFonts w:eastAsia="宋体"/>
          <w:w w:val="95"/>
          <w:sz w:val="24"/>
          <w:szCs w:val="24"/>
          <w:lang w:eastAsia="zh-CN"/>
        </w:rPr>
        <w:t>。其中，单一饲料添加剂产量</w:t>
      </w:r>
      <w:r>
        <w:rPr>
          <w:rFonts w:eastAsia="宋体"/>
          <w:w w:val="95"/>
          <w:sz w:val="24"/>
          <w:szCs w:val="24"/>
          <w:lang w:eastAsia="zh-CN"/>
        </w:rPr>
        <w:t xml:space="preserve"> 1367.9</w:t>
      </w:r>
      <w:r>
        <w:rPr>
          <w:rFonts w:eastAsia="宋体"/>
          <w:w w:val="95"/>
          <w:sz w:val="24"/>
          <w:szCs w:val="24"/>
          <w:lang w:eastAsia="zh-CN"/>
        </w:rPr>
        <w:t>万吨，增长</w:t>
      </w:r>
      <w:r>
        <w:rPr>
          <w:rFonts w:eastAsia="宋体"/>
          <w:w w:val="95"/>
          <w:sz w:val="24"/>
          <w:szCs w:val="24"/>
          <w:lang w:eastAsia="zh-CN"/>
        </w:rPr>
        <w:t xml:space="preserve"> 5.5%</w:t>
      </w:r>
      <w:r>
        <w:rPr>
          <w:rFonts w:eastAsia="宋体"/>
          <w:w w:val="95"/>
          <w:sz w:val="24"/>
          <w:szCs w:val="24"/>
          <w:lang w:eastAsia="zh-CN"/>
        </w:rPr>
        <w:t>；混合型饲料添加剂产量</w:t>
      </w:r>
      <w:r>
        <w:rPr>
          <w:rFonts w:eastAsia="宋体"/>
          <w:w w:val="95"/>
          <w:sz w:val="24"/>
          <w:szCs w:val="24"/>
          <w:lang w:eastAsia="zh-CN"/>
        </w:rPr>
        <w:t xml:space="preserve"> 109.6</w:t>
      </w:r>
      <w:r>
        <w:rPr>
          <w:rFonts w:eastAsia="宋体"/>
          <w:w w:val="95"/>
          <w:sz w:val="24"/>
          <w:szCs w:val="24"/>
          <w:lang w:eastAsia="zh-CN"/>
        </w:rPr>
        <w:t>万吨，增长</w:t>
      </w:r>
      <w:r>
        <w:rPr>
          <w:rFonts w:eastAsia="宋体"/>
          <w:w w:val="95"/>
          <w:sz w:val="24"/>
          <w:szCs w:val="24"/>
          <w:lang w:eastAsia="zh-CN"/>
        </w:rPr>
        <w:t xml:space="preserve"> 16.2%</w:t>
      </w:r>
      <w:r>
        <w:rPr>
          <w:rFonts w:eastAsia="宋体"/>
          <w:w w:val="95"/>
          <w:sz w:val="24"/>
          <w:szCs w:val="24"/>
          <w:lang w:eastAsia="zh-CN"/>
        </w:rPr>
        <w:t>。氨基酸、维生素产量分别为</w:t>
      </w:r>
      <w:r>
        <w:rPr>
          <w:rFonts w:eastAsia="宋体"/>
          <w:w w:val="95"/>
          <w:sz w:val="24"/>
          <w:szCs w:val="24"/>
          <w:lang w:eastAsia="zh-CN"/>
        </w:rPr>
        <w:t xml:space="preserve"> 425.5</w:t>
      </w:r>
      <w:r>
        <w:rPr>
          <w:rFonts w:eastAsia="宋体"/>
          <w:w w:val="95"/>
          <w:sz w:val="24"/>
          <w:szCs w:val="24"/>
          <w:lang w:eastAsia="zh-CN"/>
        </w:rPr>
        <w:t>万吨、</w:t>
      </w:r>
      <w:r>
        <w:rPr>
          <w:rFonts w:eastAsia="宋体"/>
          <w:w w:val="95"/>
          <w:sz w:val="24"/>
          <w:szCs w:val="24"/>
          <w:lang w:eastAsia="zh-CN"/>
        </w:rPr>
        <w:t>177.3</w:t>
      </w:r>
      <w:r>
        <w:rPr>
          <w:rFonts w:eastAsia="宋体"/>
          <w:w w:val="95"/>
          <w:sz w:val="24"/>
          <w:szCs w:val="24"/>
          <w:lang w:eastAsia="zh-CN"/>
        </w:rPr>
        <w:t>万吨，分别增长</w:t>
      </w:r>
      <w:r>
        <w:rPr>
          <w:rFonts w:eastAsia="宋体"/>
          <w:w w:val="95"/>
          <w:sz w:val="24"/>
          <w:szCs w:val="24"/>
          <w:lang w:eastAsia="zh-CN"/>
        </w:rPr>
        <w:t xml:space="preserve"> 15.1%</w:t>
      </w:r>
      <w:r>
        <w:rPr>
          <w:rFonts w:eastAsia="宋体"/>
          <w:w w:val="95"/>
          <w:sz w:val="24"/>
          <w:szCs w:val="24"/>
          <w:lang w:eastAsia="zh-CN"/>
        </w:rPr>
        <w:t>、</w:t>
      </w:r>
      <w:r>
        <w:rPr>
          <w:rFonts w:eastAsia="宋体"/>
          <w:w w:val="95"/>
          <w:sz w:val="24"/>
          <w:szCs w:val="24"/>
          <w:lang w:eastAsia="zh-CN"/>
        </w:rPr>
        <w:t>10.5%</w:t>
      </w:r>
      <w:r>
        <w:rPr>
          <w:rFonts w:eastAsia="宋体"/>
          <w:w w:val="95"/>
          <w:sz w:val="24"/>
          <w:szCs w:val="24"/>
          <w:lang w:eastAsia="zh-CN"/>
        </w:rPr>
        <w:t>。酶制剂和微生物制剂等产品产量较快增加，分别增长</w:t>
      </w:r>
      <w:r>
        <w:rPr>
          <w:rFonts w:eastAsia="宋体"/>
          <w:w w:val="95"/>
          <w:sz w:val="24"/>
          <w:szCs w:val="24"/>
          <w:lang w:eastAsia="zh-CN"/>
        </w:rPr>
        <w:t xml:space="preserve"> 19</w:t>
      </w:r>
      <w:r>
        <w:rPr>
          <w:rFonts w:eastAsia="宋体"/>
          <w:w w:val="95"/>
          <w:sz w:val="24"/>
          <w:szCs w:val="24"/>
          <w:lang w:eastAsia="zh-CN"/>
        </w:rPr>
        <w:t>.0%</w:t>
      </w:r>
      <w:r>
        <w:rPr>
          <w:rFonts w:eastAsia="宋体"/>
          <w:w w:val="95"/>
          <w:sz w:val="24"/>
          <w:szCs w:val="24"/>
          <w:lang w:eastAsia="zh-CN"/>
        </w:rPr>
        <w:t>、</w:t>
      </w:r>
      <w:r>
        <w:rPr>
          <w:rFonts w:eastAsia="宋体"/>
          <w:sz w:val="24"/>
          <w:szCs w:val="24"/>
          <w:lang w:eastAsia="zh-CN"/>
        </w:rPr>
        <w:t>17.4%</w:t>
      </w:r>
      <w:r>
        <w:rPr>
          <w:rFonts w:eastAsia="宋体"/>
          <w:sz w:val="24"/>
          <w:szCs w:val="24"/>
          <w:lang w:eastAsia="zh-CN"/>
        </w:rPr>
        <w:t>。</w:t>
      </w:r>
    </w:p>
    <w:p w14:paraId="5C57B63D" w14:textId="77777777" w:rsidR="004F39F6" w:rsidRDefault="00731C67">
      <w:pPr>
        <w:pStyle w:val="a3"/>
        <w:kinsoku w:val="0"/>
        <w:overflowPunct w:val="0"/>
        <w:spacing w:line="360" w:lineRule="auto"/>
        <w:jc w:val="both"/>
        <w:rPr>
          <w:rFonts w:eastAsia="宋体"/>
          <w:w w:val="95"/>
          <w:sz w:val="24"/>
          <w:szCs w:val="24"/>
          <w:lang w:eastAsia="zh-CN"/>
        </w:rPr>
      </w:pPr>
      <w:r>
        <w:rPr>
          <w:rFonts w:eastAsia="宋体"/>
          <w:w w:val="95"/>
          <w:sz w:val="24"/>
          <w:szCs w:val="24"/>
          <w:lang w:eastAsia="zh-CN"/>
        </w:rPr>
        <w:t>四、企业规模化程度持续提高</w:t>
      </w:r>
    </w:p>
    <w:p w14:paraId="2BF731BB" w14:textId="77777777" w:rsidR="004F39F6" w:rsidRDefault="00731C67">
      <w:pPr>
        <w:pStyle w:val="a3"/>
        <w:kinsoku w:val="0"/>
        <w:overflowPunct w:val="0"/>
        <w:spacing w:line="360" w:lineRule="auto"/>
        <w:ind w:firstLineChars="200" w:firstLine="454"/>
        <w:jc w:val="both"/>
        <w:rPr>
          <w:rFonts w:eastAsia="宋体"/>
          <w:w w:val="95"/>
          <w:sz w:val="24"/>
          <w:szCs w:val="24"/>
          <w:lang w:eastAsia="zh-CN"/>
        </w:rPr>
      </w:pPr>
      <w:r>
        <w:rPr>
          <w:rFonts w:eastAsia="宋体"/>
          <w:w w:val="95"/>
          <w:sz w:val="24"/>
          <w:szCs w:val="24"/>
          <w:lang w:eastAsia="zh-CN"/>
        </w:rPr>
        <w:t>全国</w:t>
      </w:r>
      <w:r>
        <w:rPr>
          <w:rFonts w:eastAsia="宋体"/>
          <w:w w:val="95"/>
          <w:sz w:val="24"/>
          <w:szCs w:val="24"/>
          <w:lang w:eastAsia="zh-CN"/>
        </w:rPr>
        <w:t xml:space="preserve"> 10</w:t>
      </w:r>
      <w:r>
        <w:rPr>
          <w:rFonts w:eastAsia="宋体"/>
          <w:sz w:val="24"/>
          <w:szCs w:val="24"/>
          <w:lang w:eastAsia="zh-CN"/>
        </w:rPr>
        <w:t xml:space="preserve"> </w:t>
      </w:r>
      <w:r>
        <w:rPr>
          <w:rFonts w:eastAsia="宋体"/>
          <w:w w:val="95"/>
          <w:sz w:val="24"/>
          <w:szCs w:val="24"/>
          <w:lang w:eastAsia="zh-CN"/>
        </w:rPr>
        <w:t>万吨以上规模饲料生产厂</w:t>
      </w:r>
      <w:r>
        <w:rPr>
          <w:rFonts w:eastAsia="宋体"/>
          <w:w w:val="95"/>
          <w:sz w:val="24"/>
          <w:szCs w:val="24"/>
          <w:lang w:eastAsia="zh-CN"/>
        </w:rPr>
        <w:t xml:space="preserve"> 957</w:t>
      </w:r>
      <w:r>
        <w:rPr>
          <w:rFonts w:eastAsia="宋体"/>
          <w:sz w:val="24"/>
          <w:szCs w:val="24"/>
          <w:lang w:eastAsia="zh-CN"/>
        </w:rPr>
        <w:t xml:space="preserve"> </w:t>
      </w:r>
      <w:r>
        <w:rPr>
          <w:rFonts w:eastAsia="宋体"/>
          <w:w w:val="95"/>
          <w:sz w:val="24"/>
          <w:szCs w:val="24"/>
          <w:lang w:eastAsia="zh-CN"/>
        </w:rPr>
        <w:t>家，比上年增加</w:t>
      </w:r>
      <w:r>
        <w:rPr>
          <w:rFonts w:eastAsia="宋体"/>
          <w:w w:val="95"/>
          <w:sz w:val="24"/>
          <w:szCs w:val="24"/>
          <w:lang w:eastAsia="zh-CN"/>
        </w:rPr>
        <w:t xml:space="preserve">208 </w:t>
      </w:r>
      <w:r>
        <w:rPr>
          <w:rFonts w:eastAsia="宋体"/>
          <w:w w:val="95"/>
          <w:sz w:val="24"/>
          <w:szCs w:val="24"/>
          <w:lang w:eastAsia="zh-CN"/>
        </w:rPr>
        <w:t>家；合计饲料产量</w:t>
      </w:r>
      <w:r>
        <w:rPr>
          <w:rFonts w:eastAsia="宋体"/>
          <w:w w:val="95"/>
          <w:sz w:val="24"/>
          <w:szCs w:val="24"/>
          <w:lang w:eastAsia="zh-CN"/>
        </w:rPr>
        <w:t xml:space="preserve"> 17707.7</w:t>
      </w:r>
      <w:r>
        <w:rPr>
          <w:rFonts w:eastAsia="宋体"/>
          <w:w w:val="95"/>
          <w:sz w:val="24"/>
          <w:szCs w:val="24"/>
          <w:lang w:eastAsia="zh-CN"/>
        </w:rPr>
        <w:t>万吨，比上年增长</w:t>
      </w:r>
      <w:r>
        <w:rPr>
          <w:rFonts w:eastAsia="宋体"/>
          <w:w w:val="95"/>
          <w:sz w:val="24"/>
          <w:szCs w:val="24"/>
          <w:lang w:eastAsia="zh-CN"/>
        </w:rPr>
        <w:t xml:space="preserve"> 24.4%</w:t>
      </w:r>
      <w:r>
        <w:rPr>
          <w:rFonts w:eastAsia="宋体"/>
          <w:w w:val="95"/>
          <w:sz w:val="24"/>
          <w:szCs w:val="24"/>
          <w:lang w:eastAsia="zh-CN"/>
        </w:rPr>
        <w:t>，在全国饲料总产量中的占比为</w:t>
      </w:r>
      <w:r>
        <w:rPr>
          <w:rFonts w:eastAsia="宋体"/>
          <w:w w:val="95"/>
          <w:sz w:val="24"/>
          <w:szCs w:val="24"/>
          <w:lang w:eastAsia="zh-CN"/>
        </w:rPr>
        <w:t xml:space="preserve"> 60.3%</w:t>
      </w:r>
      <w:r>
        <w:rPr>
          <w:rFonts w:eastAsia="宋体"/>
          <w:w w:val="95"/>
          <w:sz w:val="24"/>
          <w:szCs w:val="24"/>
          <w:lang w:eastAsia="zh-CN"/>
        </w:rPr>
        <w:t>，比上年提高</w:t>
      </w:r>
      <w:r>
        <w:rPr>
          <w:rFonts w:eastAsia="宋体"/>
          <w:w w:val="95"/>
          <w:sz w:val="24"/>
          <w:szCs w:val="24"/>
          <w:lang w:eastAsia="zh-CN"/>
        </w:rPr>
        <w:t xml:space="preserve"> 7.5 </w:t>
      </w:r>
      <w:proofErr w:type="gramStart"/>
      <w:r>
        <w:rPr>
          <w:rFonts w:eastAsia="宋体"/>
          <w:w w:val="95"/>
          <w:sz w:val="24"/>
          <w:szCs w:val="24"/>
          <w:lang w:eastAsia="zh-CN"/>
        </w:rPr>
        <w:t>个</w:t>
      </w:r>
      <w:proofErr w:type="gramEnd"/>
      <w:r>
        <w:rPr>
          <w:rFonts w:eastAsia="宋体"/>
          <w:w w:val="95"/>
          <w:sz w:val="24"/>
          <w:szCs w:val="24"/>
          <w:lang w:eastAsia="zh-CN"/>
        </w:rPr>
        <w:t>百分点。全国有</w:t>
      </w:r>
      <w:r>
        <w:rPr>
          <w:rFonts w:eastAsia="宋体"/>
          <w:w w:val="95"/>
          <w:sz w:val="24"/>
          <w:szCs w:val="24"/>
          <w:lang w:eastAsia="zh-CN"/>
        </w:rPr>
        <w:t xml:space="preserve"> 14</w:t>
      </w:r>
      <w:r>
        <w:rPr>
          <w:rFonts w:eastAsia="宋体"/>
          <w:sz w:val="24"/>
          <w:szCs w:val="24"/>
          <w:lang w:eastAsia="zh-CN"/>
        </w:rPr>
        <w:t xml:space="preserve"> </w:t>
      </w:r>
      <w:r>
        <w:rPr>
          <w:rFonts w:eastAsia="宋体"/>
          <w:w w:val="95"/>
          <w:sz w:val="24"/>
          <w:szCs w:val="24"/>
          <w:lang w:eastAsia="zh-CN"/>
        </w:rPr>
        <w:t>家生产厂年产量超过</w:t>
      </w:r>
      <w:r>
        <w:rPr>
          <w:rFonts w:eastAsia="宋体"/>
          <w:w w:val="95"/>
          <w:sz w:val="24"/>
          <w:szCs w:val="24"/>
          <w:lang w:eastAsia="zh-CN"/>
        </w:rPr>
        <w:t xml:space="preserve"> 50</w:t>
      </w:r>
      <w:r>
        <w:rPr>
          <w:rFonts w:eastAsia="宋体"/>
          <w:w w:val="95"/>
          <w:sz w:val="24"/>
          <w:szCs w:val="24"/>
          <w:lang w:eastAsia="zh-CN"/>
        </w:rPr>
        <w:t>万吨，比上年增加</w:t>
      </w:r>
      <w:r>
        <w:rPr>
          <w:rFonts w:eastAsia="宋体"/>
          <w:w w:val="95"/>
          <w:sz w:val="24"/>
          <w:szCs w:val="24"/>
          <w:lang w:eastAsia="zh-CN"/>
        </w:rPr>
        <w:t xml:space="preserve"> 5</w:t>
      </w:r>
      <w:r>
        <w:rPr>
          <w:rFonts w:eastAsia="宋体"/>
          <w:w w:val="95"/>
          <w:sz w:val="24"/>
          <w:szCs w:val="24"/>
          <w:lang w:eastAsia="zh-CN"/>
        </w:rPr>
        <w:t>家，单厂最大产量</w:t>
      </w:r>
      <w:r>
        <w:rPr>
          <w:rFonts w:eastAsia="宋体"/>
          <w:sz w:val="24"/>
          <w:szCs w:val="24"/>
          <w:lang w:eastAsia="zh-CN"/>
        </w:rPr>
        <w:t xml:space="preserve"> </w:t>
      </w:r>
      <w:r>
        <w:rPr>
          <w:rFonts w:eastAsia="宋体"/>
          <w:w w:val="95"/>
          <w:sz w:val="24"/>
          <w:szCs w:val="24"/>
          <w:lang w:eastAsia="zh-CN"/>
        </w:rPr>
        <w:t>125.1</w:t>
      </w:r>
      <w:r>
        <w:rPr>
          <w:rFonts w:eastAsia="宋体"/>
          <w:w w:val="95"/>
          <w:sz w:val="24"/>
          <w:szCs w:val="24"/>
          <w:lang w:eastAsia="zh-CN"/>
        </w:rPr>
        <w:t>万吨。年产百万吨以上规模饲料企业集团</w:t>
      </w:r>
      <w:r>
        <w:rPr>
          <w:rFonts w:eastAsia="宋体"/>
          <w:w w:val="95"/>
          <w:sz w:val="24"/>
          <w:szCs w:val="24"/>
          <w:lang w:eastAsia="zh-CN"/>
        </w:rPr>
        <w:t xml:space="preserve"> 39</w:t>
      </w:r>
      <w:r>
        <w:rPr>
          <w:rFonts w:eastAsia="宋体"/>
          <w:sz w:val="24"/>
          <w:szCs w:val="24"/>
          <w:lang w:eastAsia="zh-CN"/>
        </w:rPr>
        <w:t xml:space="preserve"> </w:t>
      </w:r>
      <w:r>
        <w:rPr>
          <w:rFonts w:eastAsia="宋体"/>
          <w:w w:val="95"/>
          <w:sz w:val="24"/>
          <w:szCs w:val="24"/>
          <w:lang w:eastAsia="zh-CN"/>
        </w:rPr>
        <w:t>家，比上年增加</w:t>
      </w:r>
      <w:r>
        <w:rPr>
          <w:rFonts w:eastAsia="宋体"/>
          <w:w w:val="95"/>
          <w:sz w:val="24"/>
          <w:szCs w:val="24"/>
          <w:lang w:eastAsia="zh-CN"/>
        </w:rPr>
        <w:t xml:space="preserve"> 6</w:t>
      </w:r>
      <w:r>
        <w:rPr>
          <w:rFonts w:eastAsia="宋体"/>
          <w:sz w:val="24"/>
          <w:szCs w:val="24"/>
          <w:lang w:eastAsia="zh-CN"/>
        </w:rPr>
        <w:t xml:space="preserve"> </w:t>
      </w:r>
      <w:r>
        <w:rPr>
          <w:rFonts w:eastAsia="宋体"/>
          <w:w w:val="95"/>
          <w:sz w:val="24"/>
          <w:szCs w:val="24"/>
          <w:lang w:eastAsia="zh-CN"/>
        </w:rPr>
        <w:t>家；合计饲料产量占全国饲料总产量的</w:t>
      </w:r>
      <w:r>
        <w:rPr>
          <w:rFonts w:eastAsia="宋体"/>
          <w:w w:val="95"/>
          <w:sz w:val="24"/>
          <w:szCs w:val="24"/>
          <w:lang w:eastAsia="zh-CN"/>
        </w:rPr>
        <w:t xml:space="preserve"> 59.7%</w:t>
      </w:r>
      <w:r>
        <w:rPr>
          <w:rFonts w:eastAsia="宋体"/>
          <w:w w:val="95"/>
          <w:sz w:val="24"/>
          <w:szCs w:val="24"/>
          <w:lang w:eastAsia="zh-CN"/>
        </w:rPr>
        <w:t>，比上年提高</w:t>
      </w:r>
      <w:r>
        <w:rPr>
          <w:rFonts w:eastAsia="宋体"/>
          <w:w w:val="95"/>
          <w:sz w:val="24"/>
          <w:szCs w:val="24"/>
          <w:lang w:eastAsia="zh-CN"/>
        </w:rPr>
        <w:t xml:space="preserve"> 5.1</w:t>
      </w:r>
      <w:r>
        <w:rPr>
          <w:rFonts w:eastAsia="宋体"/>
          <w:sz w:val="24"/>
          <w:szCs w:val="24"/>
          <w:lang w:eastAsia="zh-CN"/>
        </w:rPr>
        <w:t xml:space="preserve"> </w:t>
      </w:r>
      <w:proofErr w:type="gramStart"/>
      <w:r>
        <w:rPr>
          <w:rFonts w:eastAsia="宋体"/>
          <w:w w:val="95"/>
          <w:sz w:val="24"/>
          <w:szCs w:val="24"/>
          <w:lang w:eastAsia="zh-CN"/>
        </w:rPr>
        <w:t>个</w:t>
      </w:r>
      <w:proofErr w:type="gramEnd"/>
      <w:r>
        <w:rPr>
          <w:rFonts w:eastAsia="宋体"/>
          <w:w w:val="95"/>
          <w:sz w:val="24"/>
          <w:szCs w:val="24"/>
          <w:lang w:eastAsia="zh-CN"/>
        </w:rPr>
        <w:t>百分点；其中有</w:t>
      </w:r>
      <w:r>
        <w:rPr>
          <w:rFonts w:eastAsia="宋体"/>
          <w:w w:val="95"/>
          <w:sz w:val="24"/>
          <w:szCs w:val="24"/>
          <w:lang w:eastAsia="zh-CN"/>
        </w:rPr>
        <w:t xml:space="preserve"> 6</w:t>
      </w:r>
      <w:r>
        <w:rPr>
          <w:rFonts w:eastAsia="宋体"/>
          <w:sz w:val="24"/>
          <w:szCs w:val="24"/>
          <w:lang w:eastAsia="zh-CN"/>
        </w:rPr>
        <w:t xml:space="preserve"> </w:t>
      </w:r>
      <w:r>
        <w:rPr>
          <w:rFonts w:eastAsia="宋体"/>
          <w:w w:val="95"/>
          <w:sz w:val="24"/>
          <w:szCs w:val="24"/>
          <w:lang w:eastAsia="zh-CN"/>
        </w:rPr>
        <w:t>家企业集团年产量超过</w:t>
      </w:r>
      <w:r>
        <w:rPr>
          <w:rFonts w:eastAsia="宋体"/>
          <w:w w:val="95"/>
          <w:sz w:val="24"/>
          <w:szCs w:val="24"/>
          <w:lang w:eastAsia="zh-CN"/>
        </w:rPr>
        <w:t xml:space="preserve"> 1</w:t>
      </w:r>
      <w:r>
        <w:rPr>
          <w:rFonts w:eastAsia="宋体"/>
          <w:w w:val="95"/>
          <w:sz w:val="24"/>
          <w:szCs w:val="24"/>
          <w:lang w:eastAsia="zh-CN"/>
        </w:rPr>
        <w:t>000</w:t>
      </w:r>
      <w:r>
        <w:rPr>
          <w:rFonts w:eastAsia="宋体"/>
          <w:w w:val="95"/>
          <w:sz w:val="24"/>
          <w:szCs w:val="24"/>
          <w:lang w:eastAsia="zh-CN"/>
        </w:rPr>
        <w:t>万吨，比上年增加</w:t>
      </w:r>
      <w:r>
        <w:rPr>
          <w:rFonts w:eastAsia="宋体"/>
          <w:w w:val="95"/>
          <w:sz w:val="24"/>
          <w:szCs w:val="24"/>
          <w:lang w:eastAsia="zh-CN"/>
        </w:rPr>
        <w:t xml:space="preserve"> 3</w:t>
      </w:r>
      <w:r>
        <w:rPr>
          <w:rFonts w:eastAsia="宋体"/>
          <w:sz w:val="24"/>
          <w:szCs w:val="24"/>
          <w:lang w:eastAsia="zh-CN"/>
        </w:rPr>
        <w:t xml:space="preserve"> </w:t>
      </w:r>
      <w:r>
        <w:rPr>
          <w:rFonts w:eastAsia="宋体"/>
          <w:w w:val="95"/>
          <w:sz w:val="24"/>
          <w:szCs w:val="24"/>
          <w:lang w:eastAsia="zh-CN"/>
        </w:rPr>
        <w:t>家。</w:t>
      </w:r>
    </w:p>
    <w:p w14:paraId="453B982B" w14:textId="77777777" w:rsidR="004F39F6" w:rsidRDefault="00731C67">
      <w:pPr>
        <w:pStyle w:val="a3"/>
        <w:kinsoku w:val="0"/>
        <w:overflowPunct w:val="0"/>
        <w:spacing w:line="360" w:lineRule="auto"/>
        <w:jc w:val="both"/>
        <w:rPr>
          <w:rFonts w:eastAsia="宋体"/>
          <w:w w:val="95"/>
          <w:sz w:val="24"/>
          <w:szCs w:val="24"/>
          <w:lang w:eastAsia="zh-CN"/>
        </w:rPr>
      </w:pPr>
      <w:r>
        <w:rPr>
          <w:rFonts w:eastAsia="宋体"/>
          <w:w w:val="95"/>
          <w:sz w:val="24"/>
          <w:szCs w:val="24"/>
          <w:lang w:eastAsia="zh-CN"/>
        </w:rPr>
        <w:t>五、产量千万吨省份增加</w:t>
      </w:r>
    </w:p>
    <w:p w14:paraId="1A497D2B" w14:textId="77777777" w:rsidR="004F39F6" w:rsidRDefault="00731C67">
      <w:pPr>
        <w:pStyle w:val="a3"/>
        <w:kinsoku w:val="0"/>
        <w:overflowPunct w:val="0"/>
        <w:spacing w:line="360" w:lineRule="auto"/>
        <w:ind w:right="275" w:firstLineChars="200" w:firstLine="454"/>
        <w:jc w:val="both"/>
        <w:rPr>
          <w:rFonts w:eastAsia="宋体"/>
          <w:w w:val="95"/>
          <w:sz w:val="24"/>
          <w:szCs w:val="24"/>
          <w:lang w:eastAsia="zh-CN"/>
        </w:rPr>
      </w:pPr>
      <w:r>
        <w:rPr>
          <w:rFonts w:eastAsia="宋体"/>
          <w:w w:val="95"/>
          <w:sz w:val="24"/>
          <w:szCs w:val="24"/>
          <w:lang w:eastAsia="zh-CN"/>
        </w:rPr>
        <w:t>全国饲料产量超千万吨省份</w:t>
      </w:r>
      <w:r>
        <w:rPr>
          <w:rFonts w:eastAsia="宋体"/>
          <w:w w:val="95"/>
          <w:sz w:val="24"/>
          <w:szCs w:val="24"/>
          <w:lang w:eastAsia="zh-CN"/>
        </w:rPr>
        <w:t xml:space="preserve"> 13 </w:t>
      </w:r>
      <w:proofErr w:type="gramStart"/>
      <w:r>
        <w:rPr>
          <w:rFonts w:eastAsia="宋体"/>
          <w:w w:val="95"/>
          <w:sz w:val="24"/>
          <w:szCs w:val="24"/>
          <w:lang w:eastAsia="zh-CN"/>
        </w:rPr>
        <w:t>个</w:t>
      </w:r>
      <w:proofErr w:type="gramEnd"/>
      <w:r>
        <w:rPr>
          <w:rFonts w:eastAsia="宋体"/>
          <w:w w:val="95"/>
          <w:sz w:val="24"/>
          <w:szCs w:val="24"/>
          <w:lang w:eastAsia="zh-CN"/>
        </w:rPr>
        <w:t>，比上年增加</w:t>
      </w:r>
      <w:r>
        <w:rPr>
          <w:rFonts w:eastAsia="宋体"/>
          <w:w w:val="95"/>
          <w:sz w:val="24"/>
          <w:szCs w:val="24"/>
          <w:lang w:eastAsia="zh-CN"/>
        </w:rPr>
        <w:t xml:space="preserve"> 3 </w:t>
      </w:r>
      <w:proofErr w:type="gramStart"/>
      <w:r>
        <w:rPr>
          <w:rFonts w:eastAsia="宋体"/>
          <w:w w:val="95"/>
          <w:sz w:val="24"/>
          <w:szCs w:val="24"/>
          <w:lang w:eastAsia="zh-CN"/>
        </w:rPr>
        <w:t>个</w:t>
      </w:r>
      <w:proofErr w:type="gramEnd"/>
      <w:r>
        <w:rPr>
          <w:rFonts w:eastAsia="宋体"/>
          <w:w w:val="95"/>
          <w:sz w:val="24"/>
          <w:szCs w:val="24"/>
          <w:lang w:eastAsia="zh-CN"/>
        </w:rPr>
        <w:t>，</w:t>
      </w:r>
      <w:r>
        <w:rPr>
          <w:rFonts w:eastAsia="宋体"/>
          <w:w w:val="95"/>
          <w:sz w:val="24"/>
          <w:szCs w:val="24"/>
          <w:lang w:eastAsia="zh-CN"/>
        </w:rPr>
        <w:t xml:space="preserve"> </w:t>
      </w:r>
      <w:r>
        <w:rPr>
          <w:rFonts w:eastAsia="宋体"/>
          <w:w w:val="95"/>
          <w:sz w:val="24"/>
          <w:szCs w:val="24"/>
          <w:lang w:eastAsia="zh-CN"/>
        </w:rPr>
        <w:t>分别为山东、广东、广西、辽宁、江苏、河南、四川、河北、湖北、湖南、安徽、福建、江西。其中，山东省产量达</w:t>
      </w:r>
      <w:r>
        <w:rPr>
          <w:rFonts w:eastAsia="宋体"/>
          <w:w w:val="95"/>
          <w:sz w:val="24"/>
          <w:szCs w:val="24"/>
          <w:lang w:eastAsia="zh-CN"/>
        </w:rPr>
        <w:t xml:space="preserve"> 4476.3</w:t>
      </w:r>
      <w:r>
        <w:rPr>
          <w:rFonts w:eastAsia="宋体"/>
          <w:w w:val="99"/>
          <w:sz w:val="24"/>
          <w:szCs w:val="24"/>
          <w:lang w:eastAsia="zh-CN"/>
        </w:rPr>
        <w:t>万吨，比上年增长</w:t>
      </w:r>
      <w:r>
        <w:rPr>
          <w:rFonts w:eastAsia="宋体"/>
          <w:w w:val="99"/>
          <w:sz w:val="24"/>
          <w:szCs w:val="24"/>
          <w:lang w:eastAsia="zh-CN"/>
        </w:rPr>
        <w:t>3.2%</w:t>
      </w:r>
      <w:r>
        <w:rPr>
          <w:rFonts w:eastAsia="宋体"/>
          <w:w w:val="99"/>
          <w:sz w:val="24"/>
          <w:szCs w:val="24"/>
          <w:lang w:eastAsia="zh-CN"/>
        </w:rPr>
        <w:t>；广东省产量</w:t>
      </w:r>
      <w:r>
        <w:rPr>
          <w:rFonts w:eastAsia="宋体"/>
          <w:w w:val="99"/>
          <w:sz w:val="24"/>
          <w:szCs w:val="24"/>
          <w:lang w:eastAsia="zh-CN"/>
        </w:rPr>
        <w:t>3573.3</w:t>
      </w:r>
      <w:r>
        <w:rPr>
          <w:rFonts w:eastAsia="宋体"/>
          <w:sz w:val="24"/>
          <w:szCs w:val="24"/>
          <w:lang w:eastAsia="zh-CN"/>
        </w:rPr>
        <w:t xml:space="preserve"> </w:t>
      </w:r>
      <w:r>
        <w:rPr>
          <w:rFonts w:eastAsia="宋体"/>
          <w:w w:val="99"/>
          <w:sz w:val="24"/>
          <w:szCs w:val="24"/>
          <w:lang w:eastAsia="zh-CN"/>
        </w:rPr>
        <w:t>万吨，增长</w:t>
      </w:r>
      <w:r>
        <w:rPr>
          <w:rFonts w:eastAsia="宋体"/>
          <w:w w:val="99"/>
          <w:sz w:val="24"/>
          <w:szCs w:val="24"/>
          <w:lang w:eastAsia="zh-CN"/>
        </w:rPr>
        <w:t>18.7%</w:t>
      </w:r>
      <w:r>
        <w:rPr>
          <w:rFonts w:eastAsia="宋体"/>
          <w:w w:val="99"/>
          <w:sz w:val="24"/>
          <w:szCs w:val="24"/>
          <w:lang w:eastAsia="zh-CN"/>
        </w:rPr>
        <w:t>。</w:t>
      </w:r>
      <w:r>
        <w:rPr>
          <w:rFonts w:eastAsia="宋体"/>
          <w:sz w:val="24"/>
          <w:szCs w:val="24"/>
          <w:lang w:eastAsia="zh-CN"/>
        </w:rPr>
        <w:t>山东、广东两省饲料产品总产值继续保持在千亿以上，分别</w:t>
      </w:r>
      <w:r>
        <w:rPr>
          <w:rFonts w:eastAsia="宋体"/>
          <w:w w:val="95"/>
          <w:sz w:val="24"/>
          <w:szCs w:val="24"/>
          <w:lang w:eastAsia="zh-CN"/>
        </w:rPr>
        <w:t>为</w:t>
      </w:r>
      <w:r>
        <w:rPr>
          <w:rFonts w:eastAsia="宋体"/>
          <w:w w:val="95"/>
          <w:sz w:val="24"/>
          <w:szCs w:val="24"/>
          <w:lang w:eastAsia="zh-CN"/>
        </w:rPr>
        <w:t xml:space="preserve"> 1597 </w:t>
      </w:r>
      <w:r>
        <w:rPr>
          <w:rFonts w:eastAsia="宋体"/>
          <w:w w:val="95"/>
          <w:sz w:val="24"/>
          <w:szCs w:val="24"/>
          <w:lang w:eastAsia="zh-CN"/>
        </w:rPr>
        <w:t>亿元、</w:t>
      </w:r>
      <w:r>
        <w:rPr>
          <w:rFonts w:eastAsia="宋体"/>
          <w:w w:val="95"/>
          <w:sz w:val="24"/>
          <w:szCs w:val="24"/>
          <w:lang w:eastAsia="zh-CN"/>
        </w:rPr>
        <w:t xml:space="preserve">1482 </w:t>
      </w:r>
      <w:r>
        <w:rPr>
          <w:rFonts w:eastAsia="宋体"/>
          <w:w w:val="95"/>
          <w:sz w:val="24"/>
          <w:szCs w:val="24"/>
          <w:lang w:eastAsia="zh-CN"/>
        </w:rPr>
        <w:t>亿元。全国有</w:t>
      </w:r>
      <w:r>
        <w:rPr>
          <w:rFonts w:eastAsia="宋体"/>
          <w:w w:val="95"/>
          <w:sz w:val="24"/>
          <w:szCs w:val="24"/>
          <w:lang w:eastAsia="zh-CN"/>
        </w:rPr>
        <w:t xml:space="preserve"> 27 </w:t>
      </w:r>
      <w:proofErr w:type="gramStart"/>
      <w:r>
        <w:rPr>
          <w:rFonts w:eastAsia="宋体"/>
          <w:w w:val="95"/>
          <w:sz w:val="24"/>
          <w:szCs w:val="24"/>
          <w:lang w:eastAsia="zh-CN"/>
        </w:rPr>
        <w:t>个</w:t>
      </w:r>
      <w:proofErr w:type="gramEnd"/>
      <w:r>
        <w:rPr>
          <w:rFonts w:eastAsia="宋体"/>
          <w:w w:val="95"/>
          <w:sz w:val="24"/>
          <w:szCs w:val="24"/>
          <w:lang w:eastAsia="zh-CN"/>
        </w:rPr>
        <w:t>省份和新疆生产建设</w:t>
      </w:r>
      <w:r>
        <w:rPr>
          <w:rFonts w:eastAsia="宋体"/>
          <w:sz w:val="24"/>
          <w:szCs w:val="24"/>
          <w:lang w:eastAsia="zh-CN"/>
        </w:rPr>
        <w:t>兵团的饲料产量比上年增长，其中贵州、广西、重庆、四川、</w:t>
      </w:r>
      <w:r>
        <w:rPr>
          <w:rFonts w:eastAsia="宋体"/>
          <w:w w:val="95"/>
          <w:sz w:val="24"/>
          <w:szCs w:val="24"/>
          <w:lang w:eastAsia="zh-CN"/>
        </w:rPr>
        <w:t>江西、湖北、内蒙古、湖南、福建、</w:t>
      </w:r>
      <w:r>
        <w:rPr>
          <w:rFonts w:eastAsia="宋体"/>
          <w:w w:val="95"/>
          <w:sz w:val="24"/>
          <w:szCs w:val="24"/>
          <w:lang w:eastAsia="zh-CN"/>
        </w:rPr>
        <w:t>河南、新疆、浙江等</w:t>
      </w:r>
      <w:r>
        <w:rPr>
          <w:rFonts w:eastAsia="宋体"/>
          <w:sz w:val="24"/>
          <w:szCs w:val="24"/>
          <w:lang w:eastAsia="zh-CN"/>
        </w:rPr>
        <w:t xml:space="preserve"> </w:t>
      </w:r>
      <w:r>
        <w:rPr>
          <w:rFonts w:eastAsia="宋体"/>
          <w:w w:val="95"/>
          <w:sz w:val="24"/>
          <w:szCs w:val="24"/>
          <w:lang w:eastAsia="zh-CN"/>
        </w:rPr>
        <w:t xml:space="preserve">12 </w:t>
      </w:r>
      <w:proofErr w:type="gramStart"/>
      <w:r>
        <w:rPr>
          <w:rFonts w:eastAsia="宋体"/>
          <w:w w:val="95"/>
          <w:sz w:val="24"/>
          <w:szCs w:val="24"/>
          <w:lang w:eastAsia="zh-CN"/>
        </w:rPr>
        <w:t>个</w:t>
      </w:r>
      <w:proofErr w:type="gramEnd"/>
      <w:r>
        <w:rPr>
          <w:rFonts w:eastAsia="宋体"/>
          <w:w w:val="95"/>
          <w:sz w:val="24"/>
          <w:szCs w:val="24"/>
          <w:lang w:eastAsia="zh-CN"/>
        </w:rPr>
        <w:t>省份增幅超过</w:t>
      </w:r>
      <w:r>
        <w:rPr>
          <w:rFonts w:eastAsia="宋体"/>
          <w:w w:val="95"/>
          <w:sz w:val="24"/>
          <w:szCs w:val="24"/>
          <w:lang w:eastAsia="zh-CN"/>
        </w:rPr>
        <w:t xml:space="preserve"> 20%</w:t>
      </w:r>
      <w:r>
        <w:rPr>
          <w:rFonts w:eastAsia="宋体"/>
          <w:w w:val="95"/>
          <w:sz w:val="24"/>
          <w:szCs w:val="24"/>
          <w:lang w:eastAsia="zh-CN"/>
        </w:rPr>
        <w:t>。</w:t>
      </w:r>
    </w:p>
    <w:p w14:paraId="1053A268" w14:textId="77777777" w:rsidR="004F39F6" w:rsidRDefault="00731C67">
      <w:pPr>
        <w:pStyle w:val="a3"/>
        <w:kinsoku w:val="0"/>
        <w:overflowPunct w:val="0"/>
        <w:spacing w:line="360" w:lineRule="auto"/>
        <w:jc w:val="both"/>
        <w:rPr>
          <w:rFonts w:eastAsia="宋体"/>
          <w:w w:val="95"/>
          <w:sz w:val="24"/>
          <w:szCs w:val="24"/>
          <w:lang w:eastAsia="zh-CN"/>
        </w:rPr>
      </w:pPr>
      <w:r>
        <w:rPr>
          <w:rFonts w:eastAsia="宋体"/>
          <w:w w:val="95"/>
          <w:sz w:val="24"/>
          <w:szCs w:val="24"/>
          <w:lang w:eastAsia="zh-CN"/>
        </w:rPr>
        <w:lastRenderedPageBreak/>
        <w:t>六、配方结构趋向多元化</w:t>
      </w:r>
    </w:p>
    <w:p w14:paraId="738A23B4" w14:textId="77777777" w:rsidR="004F39F6" w:rsidRDefault="00731C67">
      <w:pPr>
        <w:pStyle w:val="a3"/>
        <w:kinsoku w:val="0"/>
        <w:overflowPunct w:val="0"/>
        <w:spacing w:line="360" w:lineRule="auto"/>
        <w:ind w:right="438" w:firstLineChars="200" w:firstLine="454"/>
        <w:jc w:val="both"/>
        <w:rPr>
          <w:rFonts w:eastAsia="宋体"/>
          <w:w w:val="95"/>
          <w:sz w:val="24"/>
          <w:szCs w:val="24"/>
          <w:lang w:eastAsia="zh-CN"/>
        </w:rPr>
      </w:pPr>
      <w:r>
        <w:rPr>
          <w:rFonts w:eastAsia="宋体"/>
          <w:w w:val="95"/>
          <w:sz w:val="24"/>
          <w:szCs w:val="24"/>
          <w:lang w:eastAsia="zh-CN"/>
        </w:rPr>
        <w:t>全国饲料生产企业的玉米用量比上年下降</w:t>
      </w:r>
      <w:r>
        <w:rPr>
          <w:rFonts w:eastAsia="宋体"/>
          <w:w w:val="95"/>
          <w:sz w:val="24"/>
          <w:szCs w:val="24"/>
          <w:lang w:eastAsia="zh-CN"/>
        </w:rPr>
        <w:t xml:space="preserve"> 24.7%</w:t>
      </w:r>
      <w:r>
        <w:rPr>
          <w:rFonts w:eastAsia="宋体"/>
          <w:w w:val="95"/>
          <w:sz w:val="24"/>
          <w:szCs w:val="24"/>
          <w:lang w:eastAsia="zh-CN"/>
        </w:rPr>
        <w:t>，在配合饲料中的比例比上年减少</w:t>
      </w:r>
      <w:r>
        <w:rPr>
          <w:rFonts w:eastAsia="宋体"/>
          <w:w w:val="95"/>
          <w:sz w:val="24"/>
          <w:szCs w:val="24"/>
          <w:lang w:eastAsia="zh-CN"/>
        </w:rPr>
        <w:t xml:space="preserve"> 15.3 </w:t>
      </w:r>
      <w:proofErr w:type="gramStart"/>
      <w:r>
        <w:rPr>
          <w:rFonts w:eastAsia="宋体"/>
          <w:w w:val="95"/>
          <w:sz w:val="24"/>
          <w:szCs w:val="24"/>
          <w:lang w:eastAsia="zh-CN"/>
        </w:rPr>
        <w:t>个</w:t>
      </w:r>
      <w:proofErr w:type="gramEnd"/>
      <w:r>
        <w:rPr>
          <w:rFonts w:eastAsia="宋体"/>
          <w:w w:val="95"/>
          <w:sz w:val="24"/>
          <w:szCs w:val="24"/>
          <w:lang w:eastAsia="zh-CN"/>
        </w:rPr>
        <w:t>百分点，小麦、稻谷、大麦、高粱等谷物原粮和麦麸、米糠等粮食加工副产物用量较</w:t>
      </w:r>
      <w:r>
        <w:rPr>
          <w:rFonts w:eastAsia="宋体"/>
          <w:w w:val="95"/>
          <w:sz w:val="24"/>
          <w:szCs w:val="24"/>
          <w:lang w:eastAsia="zh-CN"/>
        </w:rPr>
        <w:t xml:space="preserve"> </w:t>
      </w:r>
      <w:r>
        <w:rPr>
          <w:rFonts w:eastAsia="宋体"/>
          <w:w w:val="95"/>
          <w:sz w:val="24"/>
          <w:szCs w:val="24"/>
          <w:lang w:eastAsia="zh-CN"/>
        </w:rPr>
        <w:t>快增加。豆</w:t>
      </w:r>
      <w:proofErr w:type="gramStart"/>
      <w:r>
        <w:rPr>
          <w:rFonts w:eastAsia="宋体"/>
          <w:w w:val="95"/>
          <w:sz w:val="24"/>
          <w:szCs w:val="24"/>
          <w:lang w:eastAsia="zh-CN"/>
        </w:rPr>
        <w:t>粕</w:t>
      </w:r>
      <w:proofErr w:type="gramEnd"/>
      <w:r>
        <w:rPr>
          <w:rFonts w:eastAsia="宋体"/>
          <w:w w:val="95"/>
          <w:sz w:val="24"/>
          <w:szCs w:val="24"/>
          <w:lang w:eastAsia="zh-CN"/>
        </w:rPr>
        <w:t>用量比上年增加</w:t>
      </w:r>
      <w:r>
        <w:rPr>
          <w:rFonts w:eastAsia="宋体"/>
          <w:w w:val="95"/>
          <w:sz w:val="24"/>
          <w:szCs w:val="24"/>
          <w:lang w:eastAsia="zh-CN"/>
        </w:rPr>
        <w:t xml:space="preserve"> 5.7%</w:t>
      </w:r>
      <w:r>
        <w:rPr>
          <w:rFonts w:eastAsia="宋体"/>
          <w:w w:val="95"/>
          <w:sz w:val="24"/>
          <w:szCs w:val="24"/>
          <w:lang w:eastAsia="zh-CN"/>
        </w:rPr>
        <w:t>，小于工业饲料总产量增幅，在配合饲料和浓缩饲料中的比例比上年减少</w:t>
      </w:r>
      <w:r>
        <w:rPr>
          <w:rFonts w:eastAsia="宋体"/>
          <w:w w:val="95"/>
          <w:sz w:val="24"/>
          <w:szCs w:val="24"/>
          <w:lang w:eastAsia="zh-CN"/>
        </w:rPr>
        <w:t xml:space="preserve"> 1.4 </w:t>
      </w:r>
      <w:proofErr w:type="gramStart"/>
      <w:r>
        <w:rPr>
          <w:rFonts w:eastAsia="宋体"/>
          <w:w w:val="95"/>
          <w:sz w:val="24"/>
          <w:szCs w:val="24"/>
          <w:lang w:eastAsia="zh-CN"/>
        </w:rPr>
        <w:t>个</w:t>
      </w:r>
      <w:proofErr w:type="gramEnd"/>
      <w:r>
        <w:rPr>
          <w:rFonts w:eastAsia="宋体"/>
          <w:w w:val="95"/>
          <w:sz w:val="24"/>
          <w:szCs w:val="24"/>
          <w:lang w:eastAsia="zh-CN"/>
        </w:rPr>
        <w:t>百分点，菜</w:t>
      </w:r>
      <w:proofErr w:type="gramStart"/>
      <w:r>
        <w:rPr>
          <w:rFonts w:eastAsia="宋体"/>
          <w:w w:val="95"/>
          <w:sz w:val="24"/>
          <w:szCs w:val="24"/>
          <w:lang w:eastAsia="zh-CN"/>
        </w:rPr>
        <w:t>粕</w:t>
      </w:r>
      <w:proofErr w:type="gramEnd"/>
      <w:r>
        <w:rPr>
          <w:rFonts w:eastAsia="宋体"/>
          <w:w w:val="95"/>
          <w:sz w:val="24"/>
          <w:szCs w:val="24"/>
          <w:lang w:eastAsia="zh-CN"/>
        </w:rPr>
        <w:t>、棉</w:t>
      </w:r>
      <w:proofErr w:type="gramStart"/>
      <w:r>
        <w:rPr>
          <w:rFonts w:eastAsia="宋体"/>
          <w:w w:val="95"/>
          <w:sz w:val="24"/>
          <w:szCs w:val="24"/>
          <w:lang w:eastAsia="zh-CN"/>
        </w:rPr>
        <w:t>粕</w:t>
      </w:r>
      <w:proofErr w:type="gramEnd"/>
      <w:r>
        <w:rPr>
          <w:rFonts w:eastAsia="宋体"/>
          <w:w w:val="95"/>
          <w:sz w:val="24"/>
          <w:szCs w:val="24"/>
          <w:lang w:eastAsia="zh-CN"/>
        </w:rPr>
        <w:t>等其他饼</w:t>
      </w:r>
      <w:proofErr w:type="gramStart"/>
      <w:r>
        <w:rPr>
          <w:rFonts w:eastAsia="宋体"/>
          <w:w w:val="95"/>
          <w:sz w:val="24"/>
          <w:szCs w:val="24"/>
          <w:lang w:eastAsia="zh-CN"/>
        </w:rPr>
        <w:t>粕</w:t>
      </w:r>
      <w:proofErr w:type="gramEnd"/>
      <w:r>
        <w:rPr>
          <w:rFonts w:eastAsia="宋体"/>
          <w:w w:val="95"/>
          <w:sz w:val="24"/>
          <w:szCs w:val="24"/>
          <w:lang w:eastAsia="zh-CN"/>
        </w:rPr>
        <w:t>用量增长</w:t>
      </w:r>
      <w:r>
        <w:rPr>
          <w:rFonts w:eastAsia="宋体"/>
          <w:w w:val="95"/>
          <w:sz w:val="24"/>
          <w:szCs w:val="24"/>
          <w:lang w:eastAsia="zh-CN"/>
        </w:rPr>
        <w:t xml:space="preserve"> 17.9%</w:t>
      </w:r>
      <w:r>
        <w:rPr>
          <w:rFonts w:eastAsia="宋体"/>
          <w:w w:val="95"/>
          <w:sz w:val="24"/>
          <w:szCs w:val="24"/>
          <w:lang w:eastAsia="zh-CN"/>
        </w:rPr>
        <w:t>。</w:t>
      </w:r>
    </w:p>
    <w:p w14:paraId="1588ABE0" w14:textId="77777777" w:rsidR="004F39F6" w:rsidRDefault="00731C67">
      <w:pPr>
        <w:pStyle w:val="a3"/>
        <w:kinsoku w:val="0"/>
        <w:overflowPunct w:val="0"/>
        <w:spacing w:line="360" w:lineRule="auto"/>
        <w:jc w:val="both"/>
        <w:rPr>
          <w:rFonts w:eastAsia="宋体"/>
          <w:w w:val="95"/>
          <w:sz w:val="24"/>
          <w:szCs w:val="24"/>
          <w:lang w:eastAsia="zh-CN"/>
        </w:rPr>
      </w:pPr>
      <w:r>
        <w:rPr>
          <w:rFonts w:eastAsia="宋体"/>
          <w:w w:val="95"/>
          <w:sz w:val="24"/>
          <w:szCs w:val="24"/>
          <w:lang w:eastAsia="zh-CN"/>
        </w:rPr>
        <w:t>七、行业创新加快推进</w:t>
      </w:r>
    </w:p>
    <w:p w14:paraId="3736710A" w14:textId="77777777" w:rsidR="004F39F6" w:rsidRDefault="00731C67">
      <w:pPr>
        <w:pStyle w:val="a3"/>
        <w:kinsoku w:val="0"/>
        <w:overflowPunct w:val="0"/>
        <w:spacing w:line="360" w:lineRule="auto"/>
        <w:ind w:right="438" w:firstLineChars="200" w:firstLine="454"/>
        <w:jc w:val="both"/>
        <w:rPr>
          <w:rFonts w:eastAsia="宋体"/>
          <w:sz w:val="24"/>
          <w:szCs w:val="24"/>
          <w:lang w:eastAsia="zh-CN"/>
        </w:rPr>
      </w:pPr>
      <w:r>
        <w:rPr>
          <w:rFonts w:eastAsia="宋体"/>
          <w:w w:val="95"/>
          <w:sz w:val="24"/>
          <w:szCs w:val="24"/>
          <w:lang w:eastAsia="zh-CN"/>
        </w:rPr>
        <w:t>饲料新产品研发创制加快，全年通过评审核发新饲料和</w:t>
      </w:r>
      <w:r>
        <w:rPr>
          <w:rFonts w:eastAsia="宋体"/>
          <w:w w:val="95"/>
          <w:sz w:val="24"/>
          <w:szCs w:val="24"/>
          <w:lang w:eastAsia="zh-CN"/>
        </w:rPr>
        <w:t xml:space="preserve"> </w:t>
      </w:r>
      <w:r>
        <w:rPr>
          <w:rFonts w:eastAsia="宋体"/>
          <w:w w:val="95"/>
          <w:sz w:val="24"/>
          <w:szCs w:val="24"/>
          <w:lang w:eastAsia="zh-CN"/>
        </w:rPr>
        <w:t>新饲料添加剂证书</w:t>
      </w:r>
      <w:r>
        <w:rPr>
          <w:rFonts w:eastAsia="宋体"/>
          <w:w w:val="95"/>
          <w:sz w:val="24"/>
          <w:szCs w:val="24"/>
          <w:lang w:eastAsia="zh-CN"/>
        </w:rPr>
        <w:t xml:space="preserve"> 4 </w:t>
      </w:r>
      <w:proofErr w:type="gramStart"/>
      <w:r>
        <w:rPr>
          <w:rFonts w:eastAsia="宋体"/>
          <w:w w:val="95"/>
          <w:sz w:val="24"/>
          <w:szCs w:val="24"/>
          <w:lang w:eastAsia="zh-CN"/>
        </w:rPr>
        <w:t>个</w:t>
      </w:r>
      <w:proofErr w:type="gramEnd"/>
      <w:r>
        <w:rPr>
          <w:rFonts w:eastAsia="宋体"/>
          <w:w w:val="95"/>
          <w:sz w:val="24"/>
          <w:szCs w:val="24"/>
          <w:lang w:eastAsia="zh-CN"/>
        </w:rPr>
        <w:t>。乙醇梭菌蛋白获得历史上第一个新饲料原料证书，并取得单一饲料生产许可证，全球首次实现</w:t>
      </w:r>
      <w:r>
        <w:rPr>
          <w:rFonts w:eastAsia="宋体"/>
          <w:w w:val="95"/>
          <w:sz w:val="24"/>
          <w:szCs w:val="24"/>
          <w:lang w:eastAsia="zh-CN"/>
        </w:rPr>
        <w:t xml:space="preserve"> </w:t>
      </w:r>
      <w:r>
        <w:rPr>
          <w:rFonts w:eastAsia="宋体"/>
          <w:w w:val="95"/>
          <w:sz w:val="24"/>
          <w:szCs w:val="24"/>
          <w:lang w:eastAsia="zh-CN"/>
        </w:rPr>
        <w:t>工厂化条件下利用无机物大规模生产优质蛋白原料。饲料原</w:t>
      </w:r>
      <w:r>
        <w:rPr>
          <w:rFonts w:eastAsia="宋体"/>
          <w:w w:val="95"/>
          <w:sz w:val="24"/>
          <w:szCs w:val="24"/>
          <w:lang w:eastAsia="zh-CN"/>
        </w:rPr>
        <w:t xml:space="preserve"> </w:t>
      </w:r>
      <w:proofErr w:type="gramStart"/>
      <w:r>
        <w:rPr>
          <w:rFonts w:eastAsia="宋体"/>
          <w:w w:val="95"/>
          <w:sz w:val="24"/>
          <w:szCs w:val="24"/>
          <w:lang w:eastAsia="zh-CN"/>
        </w:rPr>
        <w:t>料基础</w:t>
      </w:r>
      <w:proofErr w:type="gramEnd"/>
      <w:r>
        <w:rPr>
          <w:rFonts w:eastAsia="宋体"/>
          <w:w w:val="95"/>
          <w:sz w:val="24"/>
          <w:szCs w:val="24"/>
          <w:lang w:eastAsia="zh-CN"/>
        </w:rPr>
        <w:t>参数评定进度加快，营养价值数据库进一步完善，低</w:t>
      </w:r>
      <w:r>
        <w:rPr>
          <w:rFonts w:eastAsia="宋体"/>
          <w:w w:val="95"/>
          <w:sz w:val="24"/>
          <w:szCs w:val="24"/>
          <w:lang w:eastAsia="zh-CN"/>
        </w:rPr>
        <w:t xml:space="preserve"> </w:t>
      </w:r>
      <w:r>
        <w:rPr>
          <w:rFonts w:eastAsia="宋体"/>
          <w:w w:val="95"/>
          <w:sz w:val="24"/>
          <w:szCs w:val="24"/>
          <w:lang w:eastAsia="zh-CN"/>
        </w:rPr>
        <w:t>蛋白日粮、饲料精准配方和精细加工等技术加快普及。饲料</w:t>
      </w:r>
      <w:r>
        <w:rPr>
          <w:rFonts w:eastAsia="宋体"/>
          <w:w w:val="95"/>
          <w:sz w:val="24"/>
          <w:szCs w:val="24"/>
          <w:lang w:eastAsia="zh-CN"/>
        </w:rPr>
        <w:t xml:space="preserve"> </w:t>
      </w:r>
      <w:r>
        <w:rPr>
          <w:rFonts w:eastAsia="宋体"/>
          <w:w w:val="95"/>
          <w:sz w:val="24"/>
          <w:szCs w:val="24"/>
          <w:lang w:eastAsia="zh-CN"/>
        </w:rPr>
        <w:t>散装散运方式加快推广，散装饲料总量</w:t>
      </w:r>
      <w:r>
        <w:rPr>
          <w:rFonts w:eastAsia="宋体"/>
          <w:w w:val="95"/>
          <w:sz w:val="24"/>
          <w:szCs w:val="24"/>
          <w:lang w:eastAsia="zh-CN"/>
        </w:rPr>
        <w:t xml:space="preserve"> 9028.7 </w:t>
      </w:r>
      <w:r>
        <w:rPr>
          <w:rFonts w:eastAsia="宋体"/>
          <w:w w:val="95"/>
          <w:sz w:val="24"/>
          <w:szCs w:val="24"/>
          <w:lang w:eastAsia="zh-CN"/>
        </w:rPr>
        <w:t>万吨，比上年增长</w:t>
      </w:r>
      <w:r>
        <w:rPr>
          <w:rFonts w:eastAsia="宋体"/>
          <w:w w:val="95"/>
          <w:sz w:val="24"/>
          <w:szCs w:val="24"/>
          <w:lang w:eastAsia="zh-CN"/>
        </w:rPr>
        <w:t xml:space="preserve"> 53.1%</w:t>
      </w:r>
      <w:r>
        <w:rPr>
          <w:rFonts w:eastAsia="宋体"/>
          <w:w w:val="95"/>
          <w:sz w:val="24"/>
          <w:szCs w:val="24"/>
          <w:lang w:eastAsia="zh-CN"/>
        </w:rPr>
        <w:t>，占全国配合饲料总产量的</w:t>
      </w:r>
      <w:r>
        <w:rPr>
          <w:rFonts w:eastAsia="宋体"/>
          <w:w w:val="95"/>
          <w:sz w:val="24"/>
          <w:szCs w:val="24"/>
          <w:lang w:eastAsia="zh-CN"/>
        </w:rPr>
        <w:t xml:space="preserve"> 33.4%</w:t>
      </w:r>
      <w:r>
        <w:rPr>
          <w:rFonts w:eastAsia="宋体"/>
          <w:w w:val="95"/>
          <w:sz w:val="24"/>
          <w:szCs w:val="24"/>
          <w:lang w:eastAsia="zh-CN"/>
        </w:rPr>
        <w:t>，提高</w:t>
      </w:r>
      <w:r>
        <w:rPr>
          <w:rFonts w:eastAsia="宋体"/>
          <w:w w:val="95"/>
          <w:sz w:val="24"/>
          <w:szCs w:val="24"/>
          <w:lang w:eastAsia="zh-CN"/>
        </w:rPr>
        <w:t xml:space="preserve"> 7.8 </w:t>
      </w:r>
      <w:proofErr w:type="gramStart"/>
      <w:r>
        <w:rPr>
          <w:rFonts w:eastAsia="宋体"/>
          <w:w w:val="95"/>
          <w:sz w:val="24"/>
          <w:szCs w:val="24"/>
          <w:lang w:eastAsia="zh-CN"/>
        </w:rPr>
        <w:t>个</w:t>
      </w:r>
      <w:proofErr w:type="gramEnd"/>
      <w:r>
        <w:rPr>
          <w:rFonts w:eastAsia="宋体"/>
          <w:w w:val="95"/>
          <w:sz w:val="24"/>
          <w:szCs w:val="24"/>
          <w:lang w:eastAsia="zh-CN"/>
        </w:rPr>
        <w:t>百</w:t>
      </w:r>
      <w:r>
        <w:rPr>
          <w:rFonts w:eastAsia="宋体"/>
          <w:sz w:val="24"/>
          <w:szCs w:val="24"/>
          <w:lang w:eastAsia="zh-CN"/>
        </w:rPr>
        <w:t>分点。</w:t>
      </w:r>
    </w:p>
    <w:p w14:paraId="3E9B5D1B" w14:textId="77777777" w:rsidR="004F39F6" w:rsidRDefault="00731C67">
      <w:pPr>
        <w:pStyle w:val="a3"/>
        <w:kinsoku w:val="0"/>
        <w:overflowPunct w:val="0"/>
        <w:spacing w:line="360" w:lineRule="auto"/>
        <w:ind w:right="438"/>
        <w:jc w:val="both"/>
        <w:rPr>
          <w:rFonts w:eastAsia="宋体"/>
          <w:sz w:val="24"/>
          <w:szCs w:val="24"/>
          <w:lang w:eastAsia="zh-CN"/>
        </w:rPr>
      </w:pPr>
      <w:r>
        <w:rPr>
          <w:rFonts w:eastAsia="宋体" w:hint="eastAsia"/>
          <w:noProof/>
          <w:sz w:val="24"/>
          <w:szCs w:val="24"/>
          <w:lang w:eastAsia="zh-CN"/>
        </w:rPr>
        <w:drawing>
          <wp:inline distT="0" distB="0" distL="114300" distR="114300" wp14:anchorId="77FFAA44" wp14:editId="2633EF50">
            <wp:extent cx="5973445" cy="4835525"/>
            <wp:effectExtent l="0" t="0" r="8255" b="3175"/>
            <wp:docPr id="28" name="图片 28" descr="b04dc3a9304ce68f483ba58c4ba51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04dc3a9304ce68f483ba58c4ba5166c"/>
                    <pic:cNvPicPr>
                      <a:picLocks noChangeAspect="1"/>
                    </pic:cNvPicPr>
                  </pic:nvPicPr>
                  <pic:blipFill>
                    <a:blip r:embed="rId14"/>
                    <a:stretch>
                      <a:fillRect/>
                    </a:stretch>
                  </pic:blipFill>
                  <pic:spPr>
                    <a:xfrm>
                      <a:off x="0" y="0"/>
                      <a:ext cx="5973445" cy="4835525"/>
                    </a:xfrm>
                    <a:prstGeom prst="rect">
                      <a:avLst/>
                    </a:prstGeom>
                  </pic:spPr>
                </pic:pic>
              </a:graphicData>
            </a:graphic>
          </wp:inline>
        </w:drawing>
      </w:r>
    </w:p>
    <w:p w14:paraId="694FB1CB" w14:textId="77777777" w:rsidR="004F39F6" w:rsidRDefault="00731C67">
      <w:pPr>
        <w:pStyle w:val="a3"/>
        <w:kinsoku w:val="0"/>
        <w:overflowPunct w:val="0"/>
        <w:spacing w:line="360" w:lineRule="auto"/>
        <w:ind w:right="438"/>
        <w:jc w:val="both"/>
        <w:rPr>
          <w:rFonts w:eastAsia="宋体"/>
          <w:sz w:val="24"/>
          <w:szCs w:val="24"/>
          <w:lang w:eastAsia="zh-CN"/>
        </w:rPr>
      </w:pPr>
      <w:r>
        <w:rPr>
          <w:rFonts w:eastAsia="宋体" w:hint="eastAsia"/>
          <w:noProof/>
          <w:sz w:val="24"/>
          <w:szCs w:val="24"/>
          <w:lang w:eastAsia="zh-CN"/>
        </w:rPr>
        <w:lastRenderedPageBreak/>
        <w:drawing>
          <wp:inline distT="0" distB="0" distL="114300" distR="114300" wp14:anchorId="3170863D" wp14:editId="44DA9226">
            <wp:extent cx="5973445" cy="4220210"/>
            <wp:effectExtent l="0" t="0" r="8255" b="8890"/>
            <wp:docPr id="29" name="图片 29" descr="37d55e8259f63fa25799e05c6d4bf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7d55e8259f63fa25799e05c6d4bfca3"/>
                    <pic:cNvPicPr>
                      <a:picLocks noChangeAspect="1"/>
                    </pic:cNvPicPr>
                  </pic:nvPicPr>
                  <pic:blipFill>
                    <a:blip r:embed="rId15"/>
                    <a:stretch>
                      <a:fillRect/>
                    </a:stretch>
                  </pic:blipFill>
                  <pic:spPr>
                    <a:xfrm>
                      <a:off x="0" y="0"/>
                      <a:ext cx="5973445" cy="4220210"/>
                    </a:xfrm>
                    <a:prstGeom prst="rect">
                      <a:avLst/>
                    </a:prstGeom>
                  </pic:spPr>
                </pic:pic>
              </a:graphicData>
            </a:graphic>
          </wp:inline>
        </w:drawing>
      </w:r>
    </w:p>
    <w:p w14:paraId="3164A28C" w14:textId="77777777" w:rsidR="004F39F6" w:rsidRDefault="00731C67">
      <w:pPr>
        <w:pStyle w:val="a3"/>
        <w:kinsoku w:val="0"/>
        <w:overflowPunct w:val="0"/>
        <w:spacing w:line="360" w:lineRule="auto"/>
        <w:ind w:right="438"/>
        <w:jc w:val="center"/>
        <w:rPr>
          <w:rFonts w:eastAsia="宋体"/>
          <w:sz w:val="24"/>
          <w:szCs w:val="24"/>
          <w:lang w:eastAsia="zh-CN"/>
        </w:rPr>
      </w:pPr>
      <w:r>
        <w:rPr>
          <w:rFonts w:eastAsia="宋体" w:hint="eastAsia"/>
          <w:noProof/>
          <w:sz w:val="24"/>
          <w:szCs w:val="24"/>
          <w:lang w:eastAsia="zh-CN"/>
        </w:rPr>
        <w:drawing>
          <wp:inline distT="0" distB="0" distL="114300" distR="114300" wp14:anchorId="10259A4B" wp14:editId="0D9CE499">
            <wp:extent cx="5973445" cy="4220210"/>
            <wp:effectExtent l="0" t="0" r="8255" b="8890"/>
            <wp:docPr id="30" name="图片 30" descr="01a19ee64e1b423135396c022eee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1a19ee64e1b423135396c022eee9570"/>
                    <pic:cNvPicPr>
                      <a:picLocks noChangeAspect="1"/>
                    </pic:cNvPicPr>
                  </pic:nvPicPr>
                  <pic:blipFill>
                    <a:blip r:embed="rId16"/>
                    <a:stretch>
                      <a:fillRect/>
                    </a:stretch>
                  </pic:blipFill>
                  <pic:spPr>
                    <a:xfrm>
                      <a:off x="0" y="0"/>
                      <a:ext cx="5973445" cy="4220210"/>
                    </a:xfrm>
                    <a:prstGeom prst="rect">
                      <a:avLst/>
                    </a:prstGeom>
                  </pic:spPr>
                </pic:pic>
              </a:graphicData>
            </a:graphic>
          </wp:inline>
        </w:drawing>
      </w:r>
      <w:r>
        <w:rPr>
          <w:rFonts w:eastAsia="宋体" w:hint="eastAsia"/>
          <w:noProof/>
          <w:sz w:val="24"/>
          <w:szCs w:val="24"/>
          <w:lang w:eastAsia="zh-CN"/>
        </w:rPr>
        <w:lastRenderedPageBreak/>
        <w:drawing>
          <wp:inline distT="0" distB="0" distL="114300" distR="114300" wp14:anchorId="56FA81A5" wp14:editId="634C7C64">
            <wp:extent cx="5973445" cy="4220210"/>
            <wp:effectExtent l="0" t="0" r="8255" b="8890"/>
            <wp:docPr id="31" name="图片 31" descr="188d96d0e800bfc5a4ce8b3c57115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88d96d0e800bfc5a4ce8b3c57115bf5"/>
                    <pic:cNvPicPr>
                      <a:picLocks noChangeAspect="1"/>
                    </pic:cNvPicPr>
                  </pic:nvPicPr>
                  <pic:blipFill>
                    <a:blip r:embed="rId17"/>
                    <a:stretch>
                      <a:fillRect/>
                    </a:stretch>
                  </pic:blipFill>
                  <pic:spPr>
                    <a:xfrm>
                      <a:off x="0" y="0"/>
                      <a:ext cx="5973445" cy="4220210"/>
                    </a:xfrm>
                    <a:prstGeom prst="rect">
                      <a:avLst/>
                    </a:prstGeom>
                  </pic:spPr>
                </pic:pic>
              </a:graphicData>
            </a:graphic>
          </wp:inline>
        </w:drawing>
      </w:r>
      <w:r>
        <w:rPr>
          <w:rFonts w:eastAsia="宋体" w:hint="eastAsia"/>
          <w:noProof/>
          <w:sz w:val="24"/>
          <w:szCs w:val="24"/>
          <w:lang w:eastAsia="zh-CN"/>
        </w:rPr>
        <w:drawing>
          <wp:inline distT="0" distB="0" distL="114300" distR="114300" wp14:anchorId="084D0649" wp14:editId="0DF6DEF6">
            <wp:extent cx="5973445" cy="4220210"/>
            <wp:effectExtent l="0" t="0" r="8255" b="8890"/>
            <wp:docPr id="47" name="图片 47" descr="1b19ea80240788b954083819d1ce7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b19ea80240788b954083819d1ce7fea"/>
                    <pic:cNvPicPr>
                      <a:picLocks noChangeAspect="1"/>
                    </pic:cNvPicPr>
                  </pic:nvPicPr>
                  <pic:blipFill>
                    <a:blip r:embed="rId18"/>
                    <a:stretch>
                      <a:fillRect/>
                    </a:stretch>
                  </pic:blipFill>
                  <pic:spPr>
                    <a:xfrm>
                      <a:off x="0" y="0"/>
                      <a:ext cx="5973445" cy="4220210"/>
                    </a:xfrm>
                    <a:prstGeom prst="rect">
                      <a:avLst/>
                    </a:prstGeom>
                  </pic:spPr>
                </pic:pic>
              </a:graphicData>
            </a:graphic>
          </wp:inline>
        </w:drawing>
      </w:r>
      <w:r>
        <w:rPr>
          <w:rFonts w:eastAsia="宋体" w:hint="eastAsia"/>
          <w:noProof/>
          <w:sz w:val="24"/>
          <w:szCs w:val="24"/>
          <w:lang w:eastAsia="zh-CN"/>
        </w:rPr>
        <w:lastRenderedPageBreak/>
        <w:drawing>
          <wp:inline distT="0" distB="0" distL="114300" distR="114300" wp14:anchorId="52D43EEF" wp14:editId="337F402D">
            <wp:extent cx="5139055" cy="3630295"/>
            <wp:effectExtent l="0" t="0" r="4445" b="1905"/>
            <wp:docPr id="48" name="图片 48" descr="596fa0ec2eb5a78ae5f8c58c82017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96fa0ec2eb5a78ae5f8c58c82017b5d"/>
                    <pic:cNvPicPr>
                      <a:picLocks noChangeAspect="1"/>
                    </pic:cNvPicPr>
                  </pic:nvPicPr>
                  <pic:blipFill>
                    <a:blip r:embed="rId19"/>
                    <a:stretch>
                      <a:fillRect/>
                    </a:stretch>
                  </pic:blipFill>
                  <pic:spPr>
                    <a:xfrm>
                      <a:off x="0" y="0"/>
                      <a:ext cx="5139055" cy="3630295"/>
                    </a:xfrm>
                    <a:prstGeom prst="rect">
                      <a:avLst/>
                    </a:prstGeom>
                  </pic:spPr>
                </pic:pic>
              </a:graphicData>
            </a:graphic>
          </wp:inline>
        </w:drawing>
      </w:r>
    </w:p>
    <w:p w14:paraId="7CBC9A9D" w14:textId="77777777" w:rsidR="004F39F6" w:rsidRDefault="00731C67">
      <w:pPr>
        <w:pStyle w:val="a3"/>
        <w:kinsoku w:val="0"/>
        <w:overflowPunct w:val="0"/>
        <w:spacing w:line="360" w:lineRule="auto"/>
        <w:ind w:right="438" w:firstLine="640"/>
        <w:jc w:val="right"/>
        <w:rPr>
          <w:rFonts w:eastAsia="宋体"/>
          <w:sz w:val="21"/>
          <w:szCs w:val="21"/>
          <w:lang w:eastAsia="zh-CN"/>
        </w:rPr>
      </w:pPr>
      <w:r>
        <w:rPr>
          <w:rFonts w:eastAsia="宋体" w:hint="eastAsia"/>
          <w:sz w:val="21"/>
          <w:szCs w:val="21"/>
          <w:lang w:eastAsia="zh-CN"/>
        </w:rPr>
        <w:t>摘自中国饲料工业信息网</w:t>
      </w:r>
    </w:p>
    <w:p w14:paraId="6A847D5B" w14:textId="77777777" w:rsidR="004F39F6" w:rsidRDefault="00731C67">
      <w:pPr>
        <w:pStyle w:val="2"/>
        <w:spacing w:line="460" w:lineRule="exact"/>
        <w:jc w:val="center"/>
        <w:rPr>
          <w:rFonts w:ascii="Times New Roman" w:eastAsia="黑体" w:hAnsi="Times New Roman" w:cs="Times New Roman"/>
          <w:sz w:val="32"/>
          <w:szCs w:val="32"/>
        </w:rPr>
      </w:pPr>
      <w:bookmarkStart w:id="12" w:name="_Toc95682085"/>
      <w:r>
        <w:rPr>
          <w:rFonts w:ascii="Times New Roman" w:eastAsia="黑体" w:hAnsi="Times New Roman" w:cs="Times New Roman"/>
          <w:sz w:val="32"/>
          <w:szCs w:val="32"/>
        </w:rPr>
        <w:t>农业农村部和山东省积极应对海带重大灾害</w:t>
      </w:r>
      <w:bookmarkEnd w:id="12"/>
    </w:p>
    <w:p w14:paraId="77CA03DE" w14:textId="77777777" w:rsidR="004F39F6" w:rsidRDefault="00731C67">
      <w:pPr>
        <w:spacing w:line="360" w:lineRule="auto"/>
        <w:ind w:firstLine="420"/>
        <w:rPr>
          <w:rFonts w:eastAsiaTheme="minorEastAsia"/>
          <w:sz w:val="24"/>
        </w:rPr>
      </w:pPr>
      <w:r>
        <w:rPr>
          <w:rFonts w:eastAsiaTheme="minorEastAsia"/>
          <w:sz w:val="24"/>
        </w:rPr>
        <w:t>2021</w:t>
      </w:r>
      <w:r>
        <w:rPr>
          <w:rFonts w:eastAsiaTheme="minorEastAsia"/>
          <w:sz w:val="24"/>
        </w:rPr>
        <w:t>年</w:t>
      </w:r>
      <w:r>
        <w:rPr>
          <w:rFonts w:eastAsiaTheme="minorEastAsia"/>
          <w:sz w:val="24"/>
        </w:rPr>
        <w:t>11</w:t>
      </w:r>
      <w:r>
        <w:rPr>
          <w:rFonts w:eastAsiaTheme="minorEastAsia"/>
          <w:sz w:val="24"/>
        </w:rPr>
        <w:t>月中旬以来山东省荣成市沿海养殖海带陆续发生大面积生长停滞、白化、溃烂灾害。截至目前，受灾面积约</w:t>
      </w:r>
      <w:r>
        <w:rPr>
          <w:rFonts w:eastAsiaTheme="minorEastAsia"/>
          <w:sz w:val="24"/>
        </w:rPr>
        <w:t>12.9</w:t>
      </w:r>
      <w:r>
        <w:rPr>
          <w:rFonts w:eastAsiaTheme="minorEastAsia"/>
          <w:sz w:val="24"/>
        </w:rPr>
        <w:t>万亩。农业农村部和山东省高度重视本次灾害，迅速成立应急处置工作组赴荣成市开展灾害调查，指导荣成市发挥产学研协同作用，加强灾情监测和处置。</w:t>
      </w:r>
      <w:r>
        <w:rPr>
          <w:rFonts w:eastAsiaTheme="minorEastAsia"/>
          <w:sz w:val="24"/>
        </w:rPr>
        <w:t xml:space="preserve"> </w:t>
      </w:r>
    </w:p>
    <w:p w14:paraId="1C034680" w14:textId="77777777" w:rsidR="004F39F6" w:rsidRDefault="00731C67">
      <w:pPr>
        <w:spacing w:line="360" w:lineRule="auto"/>
        <w:ind w:firstLine="420"/>
        <w:rPr>
          <w:rFonts w:eastAsiaTheme="minorEastAsia"/>
          <w:sz w:val="24"/>
        </w:rPr>
      </w:pPr>
      <w:r>
        <w:rPr>
          <w:rFonts w:eastAsiaTheme="minorEastAsia"/>
          <w:sz w:val="24"/>
        </w:rPr>
        <w:t>据初步分析，本次灾害主要原因是赤潮带来的海水营养盐缺乏、海水透明度偏高、海水盐度偏低等。下一步，农业农村部将指导沿海各省密切关注全国其他海域藻类养殖情况，有针对性地预防灾害发生；山东省将进一步</w:t>
      </w:r>
      <w:r>
        <w:rPr>
          <w:rFonts w:eastAsiaTheme="minorEastAsia"/>
          <w:sz w:val="24"/>
        </w:rPr>
        <w:t>加强海带灾情监测及分析</w:t>
      </w:r>
      <w:proofErr w:type="gramStart"/>
      <w:r>
        <w:rPr>
          <w:rFonts w:eastAsiaTheme="minorEastAsia"/>
          <w:sz w:val="24"/>
        </w:rPr>
        <w:t>研</w:t>
      </w:r>
      <w:proofErr w:type="gramEnd"/>
      <w:r>
        <w:rPr>
          <w:rFonts w:eastAsiaTheme="minorEastAsia"/>
          <w:sz w:val="24"/>
        </w:rPr>
        <w:t>判，积极做好灾后救助和补养其他品种准备工作，努力减轻海带灾害的影响。</w:t>
      </w:r>
    </w:p>
    <w:p w14:paraId="44B450E0"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转摘自农业农村部网站</w:t>
      </w:r>
    </w:p>
    <w:p w14:paraId="548F79F0" w14:textId="77777777" w:rsidR="004F39F6" w:rsidRDefault="00731C67">
      <w:pPr>
        <w:pStyle w:val="2"/>
        <w:spacing w:line="460" w:lineRule="exact"/>
        <w:jc w:val="center"/>
        <w:rPr>
          <w:rFonts w:ascii="Times New Roman" w:eastAsia="黑体" w:hAnsi="Times New Roman" w:cs="Times New Roman"/>
          <w:sz w:val="32"/>
          <w:szCs w:val="32"/>
        </w:rPr>
      </w:pPr>
      <w:bookmarkStart w:id="13" w:name="_Toc95682086"/>
      <w:r>
        <w:rPr>
          <w:rFonts w:ascii="Times New Roman" w:eastAsia="黑体" w:hAnsi="Times New Roman" w:cs="Times New Roman"/>
          <w:sz w:val="32"/>
          <w:szCs w:val="32"/>
        </w:rPr>
        <w:t>2021</w:t>
      </w:r>
      <w:r>
        <w:rPr>
          <w:rFonts w:ascii="Times New Roman" w:eastAsia="黑体" w:hAnsi="Times New Roman" w:cs="Times New Roman"/>
          <w:sz w:val="32"/>
          <w:szCs w:val="32"/>
        </w:rPr>
        <w:t>年我国水产品贸易总额</w:t>
      </w:r>
      <w:r>
        <w:rPr>
          <w:rFonts w:ascii="Times New Roman" w:eastAsia="黑体" w:hAnsi="Times New Roman" w:cs="Times New Roman"/>
          <w:sz w:val="32"/>
          <w:szCs w:val="32"/>
        </w:rPr>
        <w:t>397.69</w:t>
      </w:r>
      <w:r>
        <w:rPr>
          <w:rFonts w:ascii="Times New Roman" w:eastAsia="黑体" w:hAnsi="Times New Roman" w:cs="Times New Roman"/>
          <w:sz w:val="32"/>
          <w:szCs w:val="32"/>
        </w:rPr>
        <w:t>亿美元</w:t>
      </w:r>
      <w:bookmarkEnd w:id="13"/>
    </w:p>
    <w:p w14:paraId="1F45E0DA" w14:textId="77777777" w:rsidR="004F39F6" w:rsidRDefault="00731C67">
      <w:pPr>
        <w:spacing w:line="360" w:lineRule="auto"/>
        <w:ind w:firstLine="420"/>
        <w:rPr>
          <w:rFonts w:eastAsiaTheme="minorEastAsia"/>
          <w:sz w:val="24"/>
        </w:rPr>
      </w:pPr>
      <w:r>
        <w:rPr>
          <w:rFonts w:eastAsiaTheme="minorEastAsia"/>
          <w:sz w:val="24"/>
        </w:rPr>
        <w:t>2021</w:t>
      </w:r>
      <w:r>
        <w:rPr>
          <w:rFonts w:eastAsiaTheme="minorEastAsia"/>
          <w:sz w:val="24"/>
        </w:rPr>
        <w:t>年，我国水产品贸易总量</w:t>
      </w:r>
      <w:r>
        <w:rPr>
          <w:rFonts w:eastAsiaTheme="minorEastAsia"/>
          <w:sz w:val="24"/>
        </w:rPr>
        <w:t>931.70</w:t>
      </w:r>
      <w:r>
        <w:rPr>
          <w:rFonts w:eastAsiaTheme="minorEastAsia"/>
          <w:sz w:val="24"/>
        </w:rPr>
        <w:t>万</w:t>
      </w:r>
      <w:r>
        <w:rPr>
          <w:rFonts w:eastAsiaTheme="minorEastAsia"/>
          <w:sz w:val="24"/>
        </w:rPr>
        <w:t>t</w:t>
      </w:r>
      <w:r>
        <w:rPr>
          <w:rFonts w:eastAsiaTheme="minorEastAsia"/>
          <w:sz w:val="24"/>
        </w:rPr>
        <w:t>，同比下降</w:t>
      </w:r>
      <w:r>
        <w:rPr>
          <w:rFonts w:eastAsiaTheme="minorEastAsia"/>
          <w:sz w:val="24"/>
        </w:rPr>
        <w:t>1.83%</w:t>
      </w:r>
      <w:r>
        <w:rPr>
          <w:rFonts w:eastAsiaTheme="minorEastAsia"/>
          <w:sz w:val="24"/>
        </w:rPr>
        <w:t>；贸易总额</w:t>
      </w:r>
      <w:r>
        <w:rPr>
          <w:rFonts w:eastAsiaTheme="minorEastAsia"/>
          <w:sz w:val="24"/>
        </w:rPr>
        <w:t>397.69</w:t>
      </w:r>
      <w:r>
        <w:rPr>
          <w:rFonts w:eastAsiaTheme="minorEastAsia"/>
          <w:sz w:val="24"/>
        </w:rPr>
        <w:t>亿美元，同比增长</w:t>
      </w:r>
      <w:r>
        <w:rPr>
          <w:rFonts w:eastAsiaTheme="minorEastAsia"/>
          <w:sz w:val="24"/>
        </w:rPr>
        <w:t>14.92%</w:t>
      </w:r>
      <w:r>
        <w:rPr>
          <w:rFonts w:eastAsiaTheme="minorEastAsia"/>
          <w:sz w:val="24"/>
        </w:rPr>
        <w:t>；贸易顺差</w:t>
      </w:r>
      <w:r>
        <w:rPr>
          <w:rFonts w:eastAsiaTheme="minorEastAsia"/>
          <w:sz w:val="24"/>
        </w:rPr>
        <w:t>39.89</w:t>
      </w:r>
      <w:r>
        <w:rPr>
          <w:rFonts w:eastAsiaTheme="minorEastAsia"/>
          <w:sz w:val="24"/>
        </w:rPr>
        <w:t>亿美元，同比增长</w:t>
      </w:r>
      <w:r>
        <w:rPr>
          <w:rFonts w:eastAsiaTheme="minorEastAsia"/>
          <w:sz w:val="24"/>
        </w:rPr>
        <w:t>14.76%</w:t>
      </w:r>
      <w:r>
        <w:rPr>
          <w:rFonts w:eastAsiaTheme="minorEastAsia"/>
          <w:sz w:val="24"/>
        </w:rPr>
        <w:t>。其中，进口量</w:t>
      </w:r>
      <w:r>
        <w:rPr>
          <w:rFonts w:eastAsiaTheme="minorEastAsia"/>
          <w:sz w:val="24"/>
        </w:rPr>
        <w:t>571.95</w:t>
      </w:r>
      <w:r>
        <w:rPr>
          <w:rFonts w:eastAsiaTheme="minorEastAsia"/>
          <w:sz w:val="24"/>
        </w:rPr>
        <w:t>万</w:t>
      </w:r>
      <w:r>
        <w:rPr>
          <w:rFonts w:eastAsiaTheme="minorEastAsia"/>
          <w:sz w:val="24"/>
        </w:rPr>
        <w:t>t</w:t>
      </w:r>
      <w:r>
        <w:rPr>
          <w:rFonts w:eastAsiaTheme="minorEastAsia"/>
          <w:sz w:val="24"/>
        </w:rPr>
        <w:t>，</w:t>
      </w:r>
      <w:r>
        <w:rPr>
          <w:rFonts w:eastAsiaTheme="minorEastAsia"/>
          <w:sz w:val="24"/>
        </w:rPr>
        <w:lastRenderedPageBreak/>
        <w:t>同比增长</w:t>
      </w:r>
      <w:r>
        <w:rPr>
          <w:rFonts w:eastAsiaTheme="minorEastAsia"/>
          <w:sz w:val="24"/>
        </w:rPr>
        <w:t>0.72%</w:t>
      </w:r>
      <w:r>
        <w:rPr>
          <w:rFonts w:eastAsiaTheme="minorEastAsia"/>
          <w:sz w:val="24"/>
        </w:rPr>
        <w:t>；进口额</w:t>
      </w:r>
      <w:r>
        <w:rPr>
          <w:rFonts w:eastAsiaTheme="minorEastAsia"/>
          <w:sz w:val="24"/>
        </w:rPr>
        <w:t>178.90</w:t>
      </w:r>
      <w:r>
        <w:rPr>
          <w:rFonts w:eastAsiaTheme="minorEastAsia"/>
          <w:sz w:val="24"/>
        </w:rPr>
        <w:t>亿美元，同比增长</w:t>
      </w:r>
      <w:r>
        <w:rPr>
          <w:rFonts w:eastAsiaTheme="minorEastAsia"/>
          <w:sz w:val="24"/>
        </w:rPr>
        <w:t>14.94%</w:t>
      </w:r>
      <w:r>
        <w:rPr>
          <w:rFonts w:eastAsiaTheme="minorEastAsia"/>
          <w:sz w:val="24"/>
        </w:rPr>
        <w:t>。出口量</w:t>
      </w:r>
      <w:r>
        <w:rPr>
          <w:rFonts w:eastAsiaTheme="minorEastAsia"/>
          <w:sz w:val="24"/>
        </w:rPr>
        <w:t>359.75</w:t>
      </w:r>
      <w:r>
        <w:rPr>
          <w:rFonts w:eastAsiaTheme="minorEastAsia"/>
          <w:sz w:val="24"/>
        </w:rPr>
        <w:t>万</w:t>
      </w:r>
      <w:r>
        <w:rPr>
          <w:rFonts w:eastAsiaTheme="minorEastAsia"/>
          <w:sz w:val="24"/>
        </w:rPr>
        <w:t>t</w:t>
      </w:r>
      <w:r>
        <w:rPr>
          <w:rFonts w:eastAsiaTheme="minorEastAsia"/>
          <w:sz w:val="24"/>
        </w:rPr>
        <w:t>，同比下降</w:t>
      </w:r>
      <w:r>
        <w:rPr>
          <w:rFonts w:eastAsiaTheme="minorEastAsia"/>
          <w:sz w:val="24"/>
        </w:rPr>
        <w:t>5.62%</w:t>
      </w:r>
      <w:r>
        <w:rPr>
          <w:rFonts w:eastAsiaTheme="minorEastAsia"/>
          <w:sz w:val="24"/>
        </w:rPr>
        <w:t>，出口额</w:t>
      </w:r>
      <w:r>
        <w:rPr>
          <w:rFonts w:eastAsiaTheme="minorEastAsia"/>
          <w:sz w:val="24"/>
        </w:rPr>
        <w:t>218.79</w:t>
      </w:r>
      <w:r>
        <w:rPr>
          <w:rFonts w:eastAsiaTheme="minorEastAsia"/>
          <w:sz w:val="24"/>
        </w:rPr>
        <w:t>亿美元，同比增长</w:t>
      </w:r>
      <w:r>
        <w:rPr>
          <w:rFonts w:eastAsiaTheme="minorEastAsia"/>
          <w:sz w:val="24"/>
        </w:rPr>
        <w:t>14.91%</w:t>
      </w:r>
      <w:r>
        <w:rPr>
          <w:rFonts w:eastAsiaTheme="minorEastAsia"/>
          <w:sz w:val="24"/>
        </w:rPr>
        <w:t>。</w:t>
      </w:r>
    </w:p>
    <w:p w14:paraId="56CFDDEA" w14:textId="77777777" w:rsidR="004F39F6" w:rsidRDefault="00731C67">
      <w:pPr>
        <w:spacing w:line="360" w:lineRule="auto"/>
        <w:jc w:val="center"/>
        <w:rPr>
          <w:rFonts w:eastAsiaTheme="minorEastAsia"/>
          <w:sz w:val="24"/>
        </w:rPr>
      </w:pPr>
      <w:r>
        <w:rPr>
          <w:noProof/>
        </w:rPr>
        <w:drawing>
          <wp:inline distT="0" distB="0" distL="0" distR="0" wp14:anchorId="33CDC0A9" wp14:editId="7764E3B7">
            <wp:extent cx="2764155" cy="1499870"/>
            <wp:effectExtent l="0" t="0" r="444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64155" cy="1499870"/>
                    </a:xfrm>
                    <a:prstGeom prst="rect">
                      <a:avLst/>
                    </a:prstGeom>
                    <a:noFill/>
                    <a:ln>
                      <a:noFill/>
                    </a:ln>
                  </pic:spPr>
                </pic:pic>
              </a:graphicData>
            </a:graphic>
          </wp:inline>
        </w:drawing>
      </w:r>
    </w:p>
    <w:p w14:paraId="7F814839" w14:textId="77777777" w:rsidR="004F39F6" w:rsidRDefault="00731C67">
      <w:pPr>
        <w:spacing w:line="360" w:lineRule="auto"/>
        <w:ind w:firstLine="420"/>
        <w:rPr>
          <w:rFonts w:eastAsiaTheme="minorEastAsia"/>
          <w:sz w:val="24"/>
        </w:rPr>
      </w:pPr>
      <w:r>
        <w:rPr>
          <w:rFonts w:eastAsiaTheme="minorEastAsia"/>
          <w:sz w:val="24"/>
        </w:rPr>
        <w:t>值得关注的是，</w:t>
      </w:r>
      <w:r>
        <w:rPr>
          <w:rFonts w:eastAsiaTheme="minorEastAsia"/>
          <w:sz w:val="24"/>
        </w:rPr>
        <w:t>2021</w:t>
      </w:r>
      <w:r>
        <w:rPr>
          <w:rFonts w:eastAsiaTheme="minorEastAsia"/>
          <w:sz w:val="24"/>
        </w:rPr>
        <w:t>年</w:t>
      </w:r>
      <w:r>
        <w:rPr>
          <w:rFonts w:eastAsiaTheme="minorEastAsia"/>
          <w:sz w:val="24"/>
        </w:rPr>
        <w:t>12</w:t>
      </w:r>
      <w:r>
        <w:rPr>
          <w:rFonts w:eastAsiaTheme="minorEastAsia"/>
          <w:sz w:val="24"/>
        </w:rPr>
        <w:t>月份水产品进口量额均出现大幅增长。其中，进口量</w:t>
      </w:r>
      <w:r>
        <w:rPr>
          <w:rFonts w:eastAsiaTheme="minorEastAsia"/>
          <w:sz w:val="24"/>
        </w:rPr>
        <w:t>51.07</w:t>
      </w:r>
      <w:r>
        <w:rPr>
          <w:rFonts w:eastAsiaTheme="minorEastAsia"/>
          <w:sz w:val="24"/>
        </w:rPr>
        <w:t>万</w:t>
      </w:r>
      <w:r>
        <w:rPr>
          <w:rFonts w:eastAsiaTheme="minorEastAsia"/>
          <w:sz w:val="24"/>
        </w:rPr>
        <w:t>t</w:t>
      </w:r>
      <w:r>
        <w:rPr>
          <w:rFonts w:eastAsiaTheme="minorEastAsia"/>
          <w:sz w:val="24"/>
        </w:rPr>
        <w:t>，同比增长</w:t>
      </w:r>
      <w:r>
        <w:rPr>
          <w:rFonts w:eastAsiaTheme="minorEastAsia"/>
          <w:sz w:val="24"/>
        </w:rPr>
        <w:t>15.38%</w:t>
      </w:r>
      <w:r>
        <w:rPr>
          <w:rFonts w:eastAsiaTheme="minorEastAsia"/>
          <w:sz w:val="24"/>
        </w:rPr>
        <w:t>；进口额</w:t>
      </w:r>
      <w:r>
        <w:rPr>
          <w:rFonts w:eastAsiaTheme="minorEastAsia"/>
          <w:sz w:val="24"/>
        </w:rPr>
        <w:t>18.78</w:t>
      </w:r>
      <w:r>
        <w:rPr>
          <w:rFonts w:eastAsiaTheme="minorEastAsia"/>
          <w:sz w:val="24"/>
        </w:rPr>
        <w:t>亿美元，同比增长</w:t>
      </w:r>
      <w:r>
        <w:rPr>
          <w:rFonts w:eastAsiaTheme="minorEastAsia"/>
          <w:sz w:val="24"/>
        </w:rPr>
        <w:t>36.</w:t>
      </w:r>
      <w:r>
        <w:rPr>
          <w:rFonts w:eastAsiaTheme="minorEastAsia"/>
          <w:sz w:val="24"/>
        </w:rPr>
        <w:t>42%</w:t>
      </w:r>
      <w:r>
        <w:rPr>
          <w:rFonts w:eastAsiaTheme="minorEastAsia"/>
          <w:sz w:val="24"/>
        </w:rPr>
        <w:t>。</w:t>
      </w:r>
    </w:p>
    <w:p w14:paraId="1DBCBA54" w14:textId="77777777" w:rsidR="004F39F6" w:rsidRDefault="00731C67">
      <w:pPr>
        <w:spacing w:line="360" w:lineRule="auto"/>
        <w:jc w:val="center"/>
        <w:rPr>
          <w:rFonts w:eastAsiaTheme="minorEastAsia"/>
          <w:sz w:val="24"/>
        </w:rPr>
      </w:pPr>
      <w:r>
        <w:rPr>
          <w:noProof/>
        </w:rPr>
        <w:drawing>
          <wp:inline distT="0" distB="0" distL="0" distR="0" wp14:anchorId="7480D8E4" wp14:editId="0E0D94F3">
            <wp:extent cx="2694305" cy="1402715"/>
            <wp:effectExtent l="0" t="0" r="1079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94305" cy="1402715"/>
                    </a:xfrm>
                    <a:prstGeom prst="rect">
                      <a:avLst/>
                    </a:prstGeom>
                    <a:noFill/>
                    <a:ln>
                      <a:noFill/>
                    </a:ln>
                  </pic:spPr>
                </pic:pic>
              </a:graphicData>
            </a:graphic>
          </wp:inline>
        </w:drawing>
      </w:r>
    </w:p>
    <w:p w14:paraId="6C44F9A9"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转摘自中国水产流通与加工协会贸易跟踪工作组</w:t>
      </w:r>
    </w:p>
    <w:p w14:paraId="2D2ABDBC" w14:textId="77777777" w:rsidR="004F39F6" w:rsidRDefault="00731C67">
      <w:pPr>
        <w:pStyle w:val="2"/>
        <w:spacing w:before="0" w:beforeAutospacing="0" w:after="0" w:afterAutospacing="0" w:line="460" w:lineRule="exact"/>
        <w:jc w:val="center"/>
        <w:rPr>
          <w:rFonts w:ascii="Times New Roman" w:eastAsia="黑体" w:hAnsi="Times New Roman" w:cs="Times New Roman"/>
          <w:sz w:val="32"/>
          <w:szCs w:val="32"/>
        </w:rPr>
      </w:pPr>
      <w:bookmarkStart w:id="14" w:name="_Toc95682087"/>
      <w:r>
        <w:rPr>
          <w:rFonts w:ascii="Times New Roman" w:eastAsia="黑体" w:hAnsi="Times New Roman" w:cs="Times New Roman"/>
          <w:sz w:val="32"/>
          <w:szCs w:val="32"/>
        </w:rPr>
        <w:t>农业农村部批准</w:t>
      </w:r>
      <w:r>
        <w:rPr>
          <w:rFonts w:ascii="Times New Roman" w:eastAsia="黑体" w:hAnsi="Times New Roman" w:cs="Times New Roman"/>
          <w:sz w:val="32"/>
          <w:szCs w:val="32"/>
        </w:rPr>
        <w:t>3</w:t>
      </w:r>
      <w:r>
        <w:rPr>
          <w:rFonts w:ascii="Times New Roman" w:eastAsia="黑体" w:hAnsi="Times New Roman" w:cs="Times New Roman"/>
          <w:sz w:val="32"/>
          <w:szCs w:val="32"/>
        </w:rPr>
        <w:t>家单位为国家级水产良种场</w:t>
      </w:r>
      <w:bookmarkEnd w:id="14"/>
    </w:p>
    <w:p w14:paraId="5BBD9A28" w14:textId="77777777" w:rsidR="004F39F6" w:rsidRDefault="00731C67">
      <w:pPr>
        <w:spacing w:line="360" w:lineRule="auto"/>
        <w:ind w:firstLine="420"/>
        <w:rPr>
          <w:rFonts w:eastAsiaTheme="minorEastAsia"/>
          <w:sz w:val="24"/>
        </w:rPr>
      </w:pPr>
      <w:r>
        <w:rPr>
          <w:rFonts w:eastAsiaTheme="minorEastAsia"/>
          <w:sz w:val="24"/>
        </w:rPr>
        <w:t>按照《国家级水产原、良种场资格验收与复查办法》（农</w:t>
      </w:r>
      <w:proofErr w:type="gramStart"/>
      <w:r>
        <w:rPr>
          <w:rFonts w:eastAsiaTheme="minorEastAsia"/>
          <w:sz w:val="24"/>
        </w:rPr>
        <w:t>渔养函〔</w:t>
      </w:r>
      <w:r>
        <w:rPr>
          <w:rFonts w:eastAsiaTheme="minorEastAsia"/>
          <w:sz w:val="24"/>
        </w:rPr>
        <w:t>2017</w:t>
      </w:r>
      <w:r>
        <w:rPr>
          <w:rFonts w:eastAsiaTheme="minorEastAsia"/>
          <w:sz w:val="24"/>
        </w:rPr>
        <w:t>〕</w:t>
      </w:r>
      <w:proofErr w:type="gramEnd"/>
      <w:r>
        <w:rPr>
          <w:rFonts w:eastAsiaTheme="minorEastAsia"/>
          <w:sz w:val="24"/>
        </w:rPr>
        <w:t>58</w:t>
      </w:r>
      <w:r>
        <w:rPr>
          <w:rFonts w:eastAsiaTheme="minorEastAsia"/>
          <w:sz w:val="24"/>
        </w:rPr>
        <w:t>号）有关规定，经验收和审查，农业农村部批准北京市水产技术推广站水产良种场、唐山市曹妃</w:t>
      </w:r>
      <w:proofErr w:type="gramStart"/>
      <w:r>
        <w:rPr>
          <w:rFonts w:eastAsiaTheme="minorEastAsia"/>
          <w:sz w:val="24"/>
        </w:rPr>
        <w:t>甸</w:t>
      </w:r>
      <w:proofErr w:type="gramEnd"/>
      <w:r>
        <w:rPr>
          <w:rFonts w:eastAsiaTheme="minorEastAsia"/>
          <w:sz w:val="24"/>
        </w:rPr>
        <w:t>区会达水产养殖有限公司和青岛瑞滋集团有限公司为国家级水产良种场，分别命名为</w:t>
      </w:r>
      <w:r>
        <w:rPr>
          <w:rFonts w:eastAsiaTheme="minorEastAsia"/>
          <w:sz w:val="24"/>
        </w:rPr>
        <w:t>“</w:t>
      </w:r>
      <w:r>
        <w:rPr>
          <w:rFonts w:eastAsiaTheme="minorEastAsia"/>
          <w:sz w:val="24"/>
        </w:rPr>
        <w:t>国家级北京通州观赏鱼良种场</w:t>
      </w:r>
      <w:r>
        <w:rPr>
          <w:rFonts w:eastAsiaTheme="minorEastAsia"/>
          <w:sz w:val="24"/>
        </w:rPr>
        <w:t>”“</w:t>
      </w:r>
      <w:r>
        <w:rPr>
          <w:rFonts w:eastAsiaTheme="minorEastAsia"/>
          <w:sz w:val="24"/>
        </w:rPr>
        <w:t>国家级河北唐山中国对虾良种场</w:t>
      </w:r>
      <w:r>
        <w:rPr>
          <w:rFonts w:eastAsiaTheme="minorEastAsia"/>
          <w:sz w:val="24"/>
        </w:rPr>
        <w:t>”“</w:t>
      </w:r>
      <w:r>
        <w:rPr>
          <w:rFonts w:eastAsiaTheme="minorEastAsia"/>
          <w:sz w:val="24"/>
        </w:rPr>
        <w:t>国家级青岛西海岸刺参良种场</w:t>
      </w:r>
      <w:r>
        <w:rPr>
          <w:rFonts w:eastAsiaTheme="minorEastAsia"/>
          <w:sz w:val="24"/>
        </w:rPr>
        <w:t>”</w:t>
      </w:r>
      <w:r>
        <w:rPr>
          <w:rFonts w:eastAsiaTheme="minorEastAsia"/>
          <w:sz w:val="24"/>
        </w:rPr>
        <w:t>，并颁发《验收合格证书》，有效期</w:t>
      </w:r>
      <w:r>
        <w:rPr>
          <w:rFonts w:eastAsiaTheme="minorEastAsia"/>
          <w:sz w:val="24"/>
        </w:rPr>
        <w:t>5</w:t>
      </w:r>
      <w:r>
        <w:rPr>
          <w:rFonts w:eastAsiaTheme="minorEastAsia"/>
          <w:sz w:val="24"/>
        </w:rPr>
        <w:t>年。</w:t>
      </w:r>
    </w:p>
    <w:p w14:paraId="13CFC79A" w14:textId="77777777" w:rsidR="004F39F6" w:rsidRDefault="00731C67">
      <w:pPr>
        <w:spacing w:line="360" w:lineRule="auto"/>
        <w:ind w:firstLine="420"/>
        <w:rPr>
          <w:rFonts w:eastAsiaTheme="minorEastAsia"/>
          <w:sz w:val="24"/>
        </w:rPr>
      </w:pPr>
      <w:r>
        <w:rPr>
          <w:rFonts w:eastAsiaTheme="minorEastAsia"/>
          <w:sz w:val="24"/>
        </w:rPr>
        <w:t>国家级水产良种场的主要任务是：按照良种生产技术操</w:t>
      </w:r>
      <w:r>
        <w:rPr>
          <w:rFonts w:eastAsiaTheme="minorEastAsia"/>
          <w:sz w:val="24"/>
        </w:rPr>
        <w:t>作规程，运用完善的工程、技术措施和严格的管理措施，保存和选育种用遗传材料和亲本，为水产苗种繁育单位提供良种亲本。</w:t>
      </w:r>
    </w:p>
    <w:p w14:paraId="252914F8" w14:textId="77777777" w:rsidR="004F39F6" w:rsidRDefault="00731C67">
      <w:pPr>
        <w:spacing w:line="360" w:lineRule="auto"/>
        <w:ind w:firstLine="420"/>
        <w:rPr>
          <w:rFonts w:eastAsiaTheme="minorEastAsia"/>
          <w:sz w:val="24"/>
        </w:rPr>
      </w:pPr>
      <w:r>
        <w:rPr>
          <w:rFonts w:eastAsiaTheme="minorEastAsia"/>
          <w:sz w:val="24"/>
        </w:rPr>
        <w:t>农业农村部要求相关省级农业农村部门依法督促相关水产良种场严格执行《中华人民共和国渔业法》《水产苗种管理办法》《水产原良种场生产管理规范》等有关要求，进一步完善保种制度，强化管理措施，进一步加强良种保种，为我国水产养殖业绿色高质量发展</w:t>
      </w:r>
      <w:proofErr w:type="gramStart"/>
      <w:r>
        <w:rPr>
          <w:rFonts w:eastAsiaTheme="minorEastAsia"/>
          <w:sz w:val="24"/>
        </w:rPr>
        <w:t>作出</w:t>
      </w:r>
      <w:proofErr w:type="gramEnd"/>
      <w:r>
        <w:rPr>
          <w:rFonts w:eastAsiaTheme="minorEastAsia"/>
          <w:sz w:val="24"/>
        </w:rPr>
        <w:t>应有贡献。</w:t>
      </w:r>
    </w:p>
    <w:p w14:paraId="34164683"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转摘自农业农村部网站</w:t>
      </w:r>
    </w:p>
    <w:p w14:paraId="559BCFF4" w14:textId="77777777" w:rsidR="004F39F6" w:rsidRDefault="00731C67">
      <w:pPr>
        <w:pStyle w:val="2"/>
        <w:spacing w:before="0" w:beforeAutospacing="0" w:after="0" w:afterAutospacing="0" w:line="460" w:lineRule="exact"/>
        <w:jc w:val="center"/>
        <w:rPr>
          <w:rFonts w:ascii="Times New Roman" w:eastAsia="黑体" w:hAnsi="Times New Roman" w:cs="Times New Roman"/>
          <w:sz w:val="32"/>
          <w:szCs w:val="32"/>
        </w:rPr>
      </w:pPr>
      <w:bookmarkStart w:id="15" w:name="_Toc95682088"/>
      <w:r>
        <w:rPr>
          <w:rFonts w:ascii="Times New Roman" w:eastAsia="黑体" w:hAnsi="Times New Roman" w:cs="Times New Roman"/>
          <w:sz w:val="32"/>
          <w:szCs w:val="32"/>
        </w:rPr>
        <w:lastRenderedPageBreak/>
        <w:t>福建开始发放海洋渔业资源养护补贴</w:t>
      </w:r>
      <w:bookmarkEnd w:id="15"/>
    </w:p>
    <w:p w14:paraId="55859E9A" w14:textId="77777777" w:rsidR="004F39F6" w:rsidRDefault="00731C67">
      <w:pPr>
        <w:spacing w:line="360" w:lineRule="auto"/>
        <w:ind w:firstLine="420"/>
        <w:rPr>
          <w:rFonts w:eastAsiaTheme="minorEastAsia"/>
          <w:sz w:val="24"/>
        </w:rPr>
      </w:pPr>
      <w:r>
        <w:rPr>
          <w:rFonts w:eastAsiaTheme="minorEastAsia"/>
          <w:sz w:val="24"/>
        </w:rPr>
        <w:t>福建省</w:t>
      </w:r>
      <w:r>
        <w:rPr>
          <w:rFonts w:eastAsiaTheme="minorEastAsia"/>
          <w:sz w:val="24"/>
        </w:rPr>
        <w:t>2022</w:t>
      </w:r>
      <w:r>
        <w:rPr>
          <w:rFonts w:eastAsiaTheme="minorEastAsia"/>
          <w:sz w:val="24"/>
        </w:rPr>
        <w:t>年起面向福建籍合法的国内海洋捕捞渔船所有人，发放海洋渔业资源养护补贴。福建省将依</w:t>
      </w:r>
      <w:r>
        <w:rPr>
          <w:rFonts w:eastAsiaTheme="minorEastAsia"/>
          <w:sz w:val="24"/>
        </w:rPr>
        <w:t>据海洋伏季休渔和负责任捕捞两项指标（各占</w:t>
      </w:r>
      <w:r>
        <w:rPr>
          <w:rFonts w:eastAsiaTheme="minorEastAsia"/>
          <w:sz w:val="24"/>
        </w:rPr>
        <w:t>50%</w:t>
      </w:r>
      <w:r>
        <w:rPr>
          <w:rFonts w:eastAsiaTheme="minorEastAsia"/>
          <w:sz w:val="24"/>
        </w:rPr>
        <w:t>），对国内海洋捕捞渔船按照船长和作业类型（</w:t>
      </w:r>
      <w:r>
        <w:rPr>
          <w:rFonts w:eastAsiaTheme="minorEastAsia"/>
          <w:sz w:val="24"/>
        </w:rPr>
        <w:t>15</w:t>
      </w:r>
      <w:r>
        <w:rPr>
          <w:rFonts w:eastAsiaTheme="minorEastAsia"/>
          <w:sz w:val="24"/>
        </w:rPr>
        <w:t>类船长、</w:t>
      </w:r>
      <w:r>
        <w:rPr>
          <w:rFonts w:eastAsiaTheme="minorEastAsia"/>
          <w:sz w:val="24"/>
        </w:rPr>
        <w:t>16</w:t>
      </w:r>
      <w:r>
        <w:rPr>
          <w:rFonts w:eastAsiaTheme="minorEastAsia"/>
          <w:sz w:val="24"/>
        </w:rPr>
        <w:t>种作业类型）进行分类分档补助，并确定海洋渔业资源养护补贴年度标准上限。</w:t>
      </w:r>
    </w:p>
    <w:p w14:paraId="0222676B" w14:textId="77777777" w:rsidR="004F39F6" w:rsidRDefault="00731C67">
      <w:pPr>
        <w:spacing w:line="360" w:lineRule="auto"/>
        <w:ind w:firstLine="420"/>
        <w:rPr>
          <w:rFonts w:eastAsiaTheme="minorEastAsia"/>
          <w:sz w:val="24"/>
        </w:rPr>
      </w:pPr>
      <w:r>
        <w:rPr>
          <w:rFonts w:eastAsiaTheme="minorEastAsia"/>
          <w:sz w:val="24"/>
        </w:rPr>
        <w:t>其中海洋伏季休渔指标是指渔船执行国家海洋伏季休渔制度有关规定（含自主休渔）的情况，体现降低捕捞强度的成效。而负责任捕捞指标是指渔船执行进出港报告、船位监测、渔捞日志、定港上岸、海洋哺乳动物保护、幼鱼比例、组织化管理制度措施的情况，体现养护渔业资源的成效。其中，进出港报告、船位监测、渔捞日志、定港上岸、海洋哺乳动物保护为必选指标，幼鱼比例为暂定的鼓励选择指标之一，组织化管理为福建省渔船管理需求设定的指标。</w:t>
      </w:r>
    </w:p>
    <w:p w14:paraId="7CE635CE" w14:textId="77777777" w:rsidR="004F39F6" w:rsidRDefault="00731C67">
      <w:pPr>
        <w:spacing w:line="360" w:lineRule="auto"/>
        <w:ind w:firstLine="420"/>
        <w:rPr>
          <w:rFonts w:eastAsiaTheme="minorEastAsia"/>
          <w:sz w:val="24"/>
        </w:rPr>
      </w:pPr>
      <w:r>
        <w:rPr>
          <w:rFonts w:eastAsiaTheme="minorEastAsia"/>
          <w:sz w:val="24"/>
        </w:rPr>
        <w:t>海洋大中型捕捞渔船主要执行进出港报告、船位监测、渔捞日志、定港上岸、海洋哺乳动物保护、组织化管理等指标，</w:t>
      </w:r>
      <w:r>
        <w:rPr>
          <w:rFonts w:eastAsiaTheme="minorEastAsia"/>
          <w:sz w:val="24"/>
        </w:rPr>
        <w:t>指标标准逐年递增，引导渔民自觉遵守海洋渔业资源养护措施，强化海洋捕捞产出管理。海洋小型捕捞渔船执行船位监测、海洋哺乳动物保护、组织化管理</w:t>
      </w:r>
      <w:r>
        <w:rPr>
          <w:rFonts w:eastAsiaTheme="minorEastAsia"/>
          <w:sz w:val="24"/>
        </w:rPr>
        <w:t>3</w:t>
      </w:r>
      <w:r>
        <w:rPr>
          <w:rFonts w:eastAsiaTheme="minorEastAsia"/>
          <w:sz w:val="24"/>
        </w:rPr>
        <w:t>项指标。</w:t>
      </w:r>
    </w:p>
    <w:p w14:paraId="26AB1A0C"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转摘自福建省海洋与渔业局</w:t>
      </w:r>
    </w:p>
    <w:p w14:paraId="0D1312A8"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16" w:name="_Toc95682089"/>
      <w:r>
        <w:rPr>
          <w:rFonts w:ascii="Times New Roman" w:eastAsia="黑体" w:hAnsi="Times New Roman" w:cs="Times New Roman"/>
          <w:sz w:val="32"/>
          <w:szCs w:val="32"/>
        </w:rPr>
        <w:t>贵州加快推进生态渔业高质量发展</w:t>
      </w:r>
      <w:bookmarkEnd w:id="16"/>
    </w:p>
    <w:p w14:paraId="2FBF77C5" w14:textId="77777777" w:rsidR="004F39F6" w:rsidRDefault="00731C67">
      <w:pPr>
        <w:spacing w:line="360" w:lineRule="auto"/>
        <w:ind w:firstLine="420"/>
        <w:rPr>
          <w:rFonts w:eastAsiaTheme="minorEastAsia"/>
          <w:sz w:val="24"/>
        </w:rPr>
      </w:pPr>
      <w:r>
        <w:rPr>
          <w:rFonts w:eastAsiaTheme="minorEastAsia"/>
          <w:sz w:val="24"/>
        </w:rPr>
        <w:t>近日，贵州省出台了《贵州省政府办公厅关于加快推进生态渔业高质量发展的意见》（黔府办发〔</w:t>
      </w:r>
      <w:r>
        <w:rPr>
          <w:rFonts w:eastAsiaTheme="minorEastAsia"/>
          <w:sz w:val="24"/>
        </w:rPr>
        <w:t>2021</w:t>
      </w:r>
      <w:r>
        <w:rPr>
          <w:rFonts w:eastAsiaTheme="minorEastAsia"/>
          <w:sz w:val="24"/>
        </w:rPr>
        <w:t>〕</w:t>
      </w:r>
      <w:r>
        <w:rPr>
          <w:rFonts w:eastAsiaTheme="minorEastAsia"/>
          <w:sz w:val="24"/>
        </w:rPr>
        <w:t>29</w:t>
      </w:r>
      <w:r>
        <w:rPr>
          <w:rFonts w:eastAsiaTheme="minorEastAsia"/>
          <w:sz w:val="24"/>
        </w:rPr>
        <w:t>号）（以下简称《意见》），明确了当前和今后一段时期贵州省生态渔业高质量发展的总体要求、工作目标、主要任务和保障措施，为扎实做好重要农产品稳产保供，促进贵州省渔业高质量发展，加快推动乡村振兴提供了有力保障。在</w:t>
      </w:r>
      <w:r>
        <w:rPr>
          <w:rFonts w:eastAsiaTheme="minorEastAsia"/>
          <w:sz w:val="24"/>
        </w:rPr>
        <w:t>此基础上，贵州省发布了关于《加快推进贵州省生态渔业高质量发展的意见》的政策解读，具体内容如下：</w:t>
      </w:r>
    </w:p>
    <w:p w14:paraId="5F629802" w14:textId="77777777" w:rsidR="004F39F6" w:rsidRDefault="00731C67">
      <w:pPr>
        <w:spacing w:line="360" w:lineRule="auto"/>
        <w:ind w:firstLine="420"/>
        <w:rPr>
          <w:rFonts w:eastAsiaTheme="minorEastAsia"/>
          <w:sz w:val="24"/>
        </w:rPr>
      </w:pPr>
      <w:r>
        <w:rPr>
          <w:rFonts w:eastAsiaTheme="minorEastAsia"/>
          <w:sz w:val="24"/>
        </w:rPr>
        <w:t>一、关于目标任务</w:t>
      </w:r>
    </w:p>
    <w:p w14:paraId="646E5D97" w14:textId="77777777" w:rsidR="004F39F6" w:rsidRDefault="00731C67">
      <w:pPr>
        <w:spacing w:line="360" w:lineRule="auto"/>
        <w:ind w:firstLine="420"/>
        <w:rPr>
          <w:rFonts w:eastAsiaTheme="minorEastAsia"/>
          <w:sz w:val="24"/>
        </w:rPr>
      </w:pPr>
      <w:r>
        <w:rPr>
          <w:rFonts w:eastAsiaTheme="minorEastAsia"/>
          <w:sz w:val="24"/>
        </w:rPr>
        <w:t>到</w:t>
      </w:r>
      <w:r>
        <w:rPr>
          <w:rFonts w:eastAsiaTheme="minorEastAsia"/>
          <w:sz w:val="24"/>
        </w:rPr>
        <w:t>2025</w:t>
      </w:r>
      <w:r>
        <w:rPr>
          <w:rFonts w:eastAsiaTheme="minorEastAsia"/>
          <w:sz w:val="24"/>
        </w:rPr>
        <w:t>年，贵州省提出水产品产量达</w:t>
      </w:r>
      <w:r>
        <w:rPr>
          <w:rFonts w:eastAsiaTheme="minorEastAsia"/>
          <w:sz w:val="24"/>
        </w:rPr>
        <w:t>50</w:t>
      </w:r>
      <w:r>
        <w:rPr>
          <w:rFonts w:eastAsiaTheme="minorEastAsia"/>
          <w:sz w:val="24"/>
        </w:rPr>
        <w:t>万</w:t>
      </w:r>
      <w:r>
        <w:rPr>
          <w:rFonts w:eastAsiaTheme="minorEastAsia"/>
          <w:sz w:val="24"/>
        </w:rPr>
        <w:t>t</w:t>
      </w:r>
      <w:r>
        <w:rPr>
          <w:rFonts w:eastAsiaTheme="minorEastAsia"/>
          <w:sz w:val="24"/>
        </w:rPr>
        <w:t>以上，渔业产值达</w:t>
      </w:r>
      <w:r>
        <w:rPr>
          <w:rFonts w:eastAsiaTheme="minorEastAsia"/>
          <w:sz w:val="24"/>
        </w:rPr>
        <w:t>200</w:t>
      </w:r>
      <w:r>
        <w:rPr>
          <w:rFonts w:eastAsiaTheme="minorEastAsia"/>
          <w:sz w:val="24"/>
        </w:rPr>
        <w:t>亿元以上，将贵州省打造成为全国名特优淡水产品的重要供给基地，把生态渔业打造成绿色生态产业、特色优势产业和乡村产业振兴示范样板。这个目标主要是基于贵州省水产品市场需求缺口及贵州省渔业发展资源禀赋而定。</w:t>
      </w:r>
      <w:r>
        <w:rPr>
          <w:rFonts w:eastAsiaTheme="minorEastAsia"/>
          <w:sz w:val="24"/>
        </w:rPr>
        <w:t>2021</w:t>
      </w:r>
      <w:r>
        <w:rPr>
          <w:rFonts w:eastAsiaTheme="minorEastAsia"/>
          <w:sz w:val="24"/>
        </w:rPr>
        <w:t>年，贵州省水产品消费量在</w:t>
      </w:r>
      <w:r>
        <w:rPr>
          <w:rFonts w:eastAsiaTheme="minorEastAsia"/>
          <w:sz w:val="24"/>
        </w:rPr>
        <w:t>46</w:t>
      </w:r>
      <w:r>
        <w:rPr>
          <w:rFonts w:eastAsiaTheme="minorEastAsia"/>
          <w:sz w:val="24"/>
        </w:rPr>
        <w:t>万</w:t>
      </w:r>
      <w:r>
        <w:rPr>
          <w:rFonts w:eastAsiaTheme="minorEastAsia"/>
          <w:sz w:val="24"/>
        </w:rPr>
        <w:t>t</w:t>
      </w:r>
      <w:r>
        <w:rPr>
          <w:rFonts w:eastAsiaTheme="minorEastAsia"/>
          <w:sz w:val="24"/>
        </w:rPr>
        <w:t>左右，省外调入水产</w:t>
      </w:r>
      <w:r>
        <w:rPr>
          <w:rFonts w:eastAsiaTheme="minorEastAsia"/>
          <w:sz w:val="24"/>
        </w:rPr>
        <w:lastRenderedPageBreak/>
        <w:t>品比例达</w:t>
      </w:r>
      <w:r>
        <w:rPr>
          <w:rFonts w:eastAsiaTheme="minorEastAsia"/>
          <w:sz w:val="24"/>
        </w:rPr>
        <w:t>60%</w:t>
      </w:r>
      <w:r>
        <w:rPr>
          <w:rFonts w:eastAsiaTheme="minorEastAsia"/>
          <w:sz w:val="24"/>
        </w:rPr>
        <w:t>，仅与省内市场有效供给目标就存在较大差距，省外市场开发潜力更加</w:t>
      </w:r>
      <w:r>
        <w:rPr>
          <w:rFonts w:eastAsiaTheme="minorEastAsia"/>
          <w:sz w:val="24"/>
        </w:rPr>
        <w:t>巨大。另一方面，贵州省生态环境好，水资源丰富，水质优良，出水断面水质优良率为</w:t>
      </w:r>
      <w:r>
        <w:rPr>
          <w:rFonts w:eastAsiaTheme="minorEastAsia"/>
          <w:sz w:val="24"/>
        </w:rPr>
        <w:t>100%</w:t>
      </w:r>
      <w:r>
        <w:rPr>
          <w:rFonts w:eastAsiaTheme="minorEastAsia"/>
          <w:sz w:val="24"/>
        </w:rPr>
        <w:t>，境内河流众多，长度在十公里以上的河流有</w:t>
      </w:r>
      <w:r>
        <w:rPr>
          <w:rFonts w:eastAsiaTheme="minorEastAsia"/>
          <w:sz w:val="24"/>
        </w:rPr>
        <w:t>984</w:t>
      </w:r>
      <w:r>
        <w:rPr>
          <w:rFonts w:eastAsiaTheme="minorEastAsia"/>
          <w:sz w:val="24"/>
        </w:rPr>
        <w:t>条，多年平均水资源量</w:t>
      </w:r>
      <w:r>
        <w:rPr>
          <w:rFonts w:eastAsiaTheme="minorEastAsia"/>
          <w:sz w:val="24"/>
        </w:rPr>
        <w:t>1062</w:t>
      </w:r>
      <w:r>
        <w:rPr>
          <w:rFonts w:eastAsiaTheme="minorEastAsia"/>
          <w:sz w:val="24"/>
        </w:rPr>
        <w:t>亿</w:t>
      </w:r>
      <w:r>
        <w:rPr>
          <w:rFonts w:eastAsiaTheme="minorEastAsia"/>
          <w:sz w:val="24"/>
        </w:rPr>
        <w:t>m³</w:t>
      </w:r>
      <w:r>
        <w:rPr>
          <w:rFonts w:eastAsiaTheme="minorEastAsia"/>
          <w:sz w:val="24"/>
        </w:rPr>
        <w:t>。同时，贵州省在《养殖水域滩涂规划》划定范围内的灌溉型水库、滩涂、山塘，荒山坡地、闲置厂房及大棚等资源还未充分开发利用。当前，随着</w:t>
      </w:r>
      <w:r>
        <w:rPr>
          <w:rFonts w:eastAsiaTheme="minorEastAsia"/>
          <w:sz w:val="24"/>
        </w:rPr>
        <w:t>“</w:t>
      </w:r>
      <w:r>
        <w:rPr>
          <w:rFonts w:eastAsiaTheme="minorEastAsia"/>
          <w:sz w:val="24"/>
        </w:rPr>
        <w:t>十年禁渔</w:t>
      </w:r>
      <w:r>
        <w:rPr>
          <w:rFonts w:eastAsiaTheme="minorEastAsia"/>
          <w:sz w:val="24"/>
        </w:rPr>
        <w:t>”</w:t>
      </w:r>
      <w:r>
        <w:rPr>
          <w:rFonts w:eastAsiaTheme="minorEastAsia"/>
          <w:sz w:val="24"/>
        </w:rPr>
        <w:t>政策深入实施，居民消费结构和生活水平不断优化升级，加之便捷的区位优势以及东西部协作帮扶资源等，贵州省生态渔业正迎来发展的战略机遇期和黄金期。为保障贵州省水产品有效供给，把优质的生态资源充分开发利用好，抓住发</w:t>
      </w:r>
      <w:r>
        <w:rPr>
          <w:rFonts w:eastAsiaTheme="minorEastAsia"/>
          <w:sz w:val="24"/>
        </w:rPr>
        <w:t>展机遇，贵州省提出以上目标。</w:t>
      </w:r>
    </w:p>
    <w:p w14:paraId="79095407" w14:textId="77777777" w:rsidR="004F39F6" w:rsidRDefault="00731C67">
      <w:pPr>
        <w:spacing w:line="360" w:lineRule="auto"/>
        <w:ind w:firstLine="420"/>
        <w:rPr>
          <w:rFonts w:eastAsiaTheme="minorEastAsia"/>
          <w:sz w:val="24"/>
        </w:rPr>
      </w:pPr>
      <w:r>
        <w:rPr>
          <w:rFonts w:eastAsiaTheme="minorEastAsia"/>
          <w:sz w:val="24"/>
        </w:rPr>
        <w:t>二、关于如何优化生态渔业发展空间格局</w:t>
      </w:r>
    </w:p>
    <w:p w14:paraId="75E97924" w14:textId="77777777" w:rsidR="004F39F6" w:rsidRDefault="00731C67">
      <w:pPr>
        <w:spacing w:line="360" w:lineRule="auto"/>
        <w:ind w:firstLine="420"/>
        <w:rPr>
          <w:rFonts w:eastAsiaTheme="minorEastAsia"/>
          <w:sz w:val="24"/>
        </w:rPr>
      </w:pPr>
      <w:r>
        <w:rPr>
          <w:rFonts w:eastAsiaTheme="minorEastAsia"/>
          <w:sz w:val="24"/>
        </w:rPr>
        <w:t>生态渔业高质量发展，就是要牢牢守好发展和生态两条底线，既要考虑生态环境承载能力，又要考虑发展质量效益，不断满足人民对优质水产品和优美水域生态环境的需求。加快构建高质量绿色发展空间格局，贵州省需要稳定和拓宽渔业生产面积，鼓励发展节能减排绿色健康的生态渔业发展模式，因此，贵州省从高质量编制</w:t>
      </w:r>
      <w:r>
        <w:rPr>
          <w:rFonts w:eastAsiaTheme="minorEastAsia"/>
          <w:sz w:val="24"/>
        </w:rPr>
        <w:t>“</w:t>
      </w:r>
      <w:r>
        <w:rPr>
          <w:rFonts w:eastAsiaTheme="minorEastAsia"/>
          <w:sz w:val="24"/>
        </w:rPr>
        <w:t>十四五</w:t>
      </w:r>
      <w:r>
        <w:rPr>
          <w:rFonts w:eastAsiaTheme="minorEastAsia"/>
          <w:sz w:val="24"/>
        </w:rPr>
        <w:t>”</w:t>
      </w:r>
      <w:r>
        <w:rPr>
          <w:rFonts w:eastAsiaTheme="minorEastAsia"/>
          <w:sz w:val="24"/>
        </w:rPr>
        <w:t>生态渔业振兴规划、大力发展生态环保型现代设施渔业、有序发展大水面增殖渔业、大力推进</w:t>
      </w:r>
      <w:proofErr w:type="gramStart"/>
      <w:r>
        <w:rPr>
          <w:rFonts w:eastAsiaTheme="minorEastAsia"/>
          <w:sz w:val="24"/>
        </w:rPr>
        <w:t>稻渔综合</w:t>
      </w:r>
      <w:proofErr w:type="gramEnd"/>
      <w:r>
        <w:rPr>
          <w:rFonts w:eastAsiaTheme="minorEastAsia"/>
          <w:sz w:val="24"/>
        </w:rPr>
        <w:t>种养、加快推动生态环保冷水鱼养殖、积极发展休闲渔业等</w:t>
      </w:r>
      <w:r>
        <w:rPr>
          <w:rFonts w:eastAsiaTheme="minorEastAsia"/>
          <w:sz w:val="24"/>
        </w:rPr>
        <w:t>6</w:t>
      </w:r>
      <w:r>
        <w:rPr>
          <w:rFonts w:eastAsiaTheme="minorEastAsia"/>
          <w:sz w:val="24"/>
        </w:rPr>
        <w:t>个方</w:t>
      </w:r>
      <w:r>
        <w:rPr>
          <w:rFonts w:eastAsiaTheme="minorEastAsia"/>
          <w:sz w:val="24"/>
        </w:rPr>
        <w:t>面提出优化渔业发展空间格局。到</w:t>
      </w:r>
      <w:r>
        <w:rPr>
          <w:rFonts w:eastAsiaTheme="minorEastAsia"/>
          <w:sz w:val="24"/>
        </w:rPr>
        <w:t>2025</w:t>
      </w:r>
      <w:r>
        <w:rPr>
          <w:rFonts w:eastAsiaTheme="minorEastAsia"/>
          <w:sz w:val="24"/>
        </w:rPr>
        <w:t>年，建成一批生态环保型设施渔业、湖库大水面生态渔业、</w:t>
      </w:r>
      <w:proofErr w:type="gramStart"/>
      <w:r>
        <w:rPr>
          <w:rFonts w:eastAsiaTheme="minorEastAsia"/>
          <w:sz w:val="24"/>
        </w:rPr>
        <w:t>稻渔综合</w:t>
      </w:r>
      <w:proofErr w:type="gramEnd"/>
      <w:r>
        <w:rPr>
          <w:rFonts w:eastAsiaTheme="minorEastAsia"/>
          <w:sz w:val="24"/>
        </w:rPr>
        <w:t>种养基地，以及在安顺市、铜仁市、黔南州、黔西南州等重点打造一批</w:t>
      </w:r>
      <w:proofErr w:type="gramStart"/>
      <w:r>
        <w:rPr>
          <w:rFonts w:eastAsiaTheme="minorEastAsia"/>
          <w:sz w:val="24"/>
        </w:rPr>
        <w:t>鲟鱼全</w:t>
      </w:r>
      <w:proofErr w:type="gramEnd"/>
      <w:r>
        <w:rPr>
          <w:rFonts w:eastAsiaTheme="minorEastAsia"/>
          <w:sz w:val="24"/>
        </w:rPr>
        <w:t>产业链规模化养殖基地，在遵义市、铜仁市、黔东南州、黔南州、黔西南州重点打造一批集民族特色、</w:t>
      </w:r>
      <w:proofErr w:type="gramStart"/>
      <w:r>
        <w:rPr>
          <w:rFonts w:eastAsiaTheme="minorEastAsia"/>
          <w:sz w:val="24"/>
        </w:rPr>
        <w:t>稻渔文化</w:t>
      </w:r>
      <w:proofErr w:type="gramEnd"/>
      <w:r>
        <w:rPr>
          <w:rFonts w:eastAsiaTheme="minorEastAsia"/>
          <w:sz w:val="24"/>
        </w:rPr>
        <w:t>、旅游等为一体的休闲渔业产业带。充分把各地资源优势和地区民族特色文化结合起来，打造出一批示范基地，通过示范带动，不断优化贵州省生态渔业空间布局，实现贵州省各地生态渔业均衡充分发展。</w:t>
      </w:r>
    </w:p>
    <w:p w14:paraId="18D949CD" w14:textId="77777777" w:rsidR="004F39F6" w:rsidRDefault="00731C67">
      <w:pPr>
        <w:spacing w:line="360" w:lineRule="auto"/>
        <w:ind w:firstLine="420"/>
        <w:rPr>
          <w:rFonts w:eastAsiaTheme="minorEastAsia"/>
          <w:sz w:val="24"/>
        </w:rPr>
      </w:pPr>
      <w:r>
        <w:rPr>
          <w:rFonts w:eastAsiaTheme="minorEastAsia"/>
          <w:sz w:val="24"/>
        </w:rPr>
        <w:t>三、关于如何加快转变生态渔业发展方式</w:t>
      </w:r>
    </w:p>
    <w:p w14:paraId="62F0EA5A" w14:textId="77777777" w:rsidR="004F39F6" w:rsidRDefault="00731C67">
      <w:pPr>
        <w:spacing w:line="360" w:lineRule="auto"/>
        <w:ind w:firstLine="420"/>
        <w:rPr>
          <w:rFonts w:eastAsiaTheme="minorEastAsia"/>
          <w:sz w:val="24"/>
        </w:rPr>
      </w:pPr>
      <w:r>
        <w:rPr>
          <w:rFonts w:eastAsiaTheme="minorEastAsia"/>
          <w:sz w:val="24"/>
        </w:rPr>
        <w:t>近年来，贵州省认真贯彻落实长</w:t>
      </w:r>
      <w:r>
        <w:rPr>
          <w:rFonts w:eastAsiaTheme="minorEastAsia"/>
          <w:sz w:val="24"/>
        </w:rPr>
        <w:t>江</w:t>
      </w:r>
      <w:r>
        <w:rPr>
          <w:rFonts w:eastAsiaTheme="minorEastAsia"/>
          <w:sz w:val="24"/>
        </w:rPr>
        <w:t>“</w:t>
      </w:r>
      <w:r>
        <w:rPr>
          <w:rFonts w:eastAsiaTheme="minorEastAsia"/>
          <w:sz w:val="24"/>
        </w:rPr>
        <w:t>十年禁渔</w:t>
      </w:r>
      <w:r>
        <w:rPr>
          <w:rFonts w:eastAsiaTheme="minorEastAsia"/>
          <w:sz w:val="24"/>
        </w:rPr>
        <w:t>”</w:t>
      </w:r>
      <w:r>
        <w:rPr>
          <w:rFonts w:eastAsiaTheme="minorEastAsia"/>
          <w:sz w:val="24"/>
        </w:rPr>
        <w:t>决策部署，全面取缔网箱养殖，大力发展生态渔业，成为新时期守好发展和生态两条底线、推动经济高质量发展的新亮点。但就目前看，对</w:t>
      </w:r>
      <w:proofErr w:type="gramStart"/>
      <w:r>
        <w:rPr>
          <w:rFonts w:eastAsiaTheme="minorEastAsia"/>
          <w:sz w:val="24"/>
        </w:rPr>
        <w:t>标先进</w:t>
      </w:r>
      <w:proofErr w:type="gramEnd"/>
      <w:r>
        <w:rPr>
          <w:rFonts w:eastAsiaTheme="minorEastAsia"/>
          <w:sz w:val="24"/>
        </w:rPr>
        <w:t>发达省市，贵州省生态渔业发展总体上仍处在</w:t>
      </w:r>
      <w:r>
        <w:rPr>
          <w:rFonts w:eastAsiaTheme="minorEastAsia"/>
          <w:sz w:val="24"/>
        </w:rPr>
        <w:t>“</w:t>
      </w:r>
      <w:r>
        <w:rPr>
          <w:rFonts w:eastAsiaTheme="minorEastAsia"/>
          <w:sz w:val="24"/>
        </w:rPr>
        <w:t>小步慢跑</w:t>
      </w:r>
      <w:r>
        <w:rPr>
          <w:rFonts w:eastAsiaTheme="minorEastAsia"/>
          <w:sz w:val="24"/>
        </w:rPr>
        <w:t>”</w:t>
      </w:r>
      <w:r>
        <w:rPr>
          <w:rFonts w:eastAsiaTheme="minorEastAsia"/>
          <w:sz w:val="24"/>
        </w:rPr>
        <w:t>阶段，小生产与大市场的矛盾日渐突出，有效供给不足、质量效益不高、特色优势没有充分发挥，规模小、基础弱、底子薄的局面还未得到根本性转变。贵州省坚持目标导向、问题导向和结果导向，围绕目标，解决产业发展中遇到的问题，实现生态渔业高质量发展。贵州省提出通过夯实产业发展基础、推进生态健康养殖、大力发展水产品加工、培育壮大经营主</w:t>
      </w:r>
      <w:r>
        <w:rPr>
          <w:rFonts w:eastAsiaTheme="minorEastAsia"/>
          <w:sz w:val="24"/>
        </w:rPr>
        <w:t>体、强化科技</w:t>
      </w:r>
      <w:r>
        <w:rPr>
          <w:rFonts w:eastAsiaTheme="minorEastAsia"/>
          <w:sz w:val="24"/>
        </w:rPr>
        <w:lastRenderedPageBreak/>
        <w:t>研发攻关、强化品牌和市场培育等</w:t>
      </w:r>
      <w:r>
        <w:rPr>
          <w:rFonts w:eastAsiaTheme="minorEastAsia"/>
          <w:sz w:val="24"/>
        </w:rPr>
        <w:t>6</w:t>
      </w:r>
      <w:r>
        <w:rPr>
          <w:rFonts w:eastAsiaTheme="minorEastAsia"/>
          <w:sz w:val="24"/>
        </w:rPr>
        <w:t>项具体措施来转变渔业发展方式。到</w:t>
      </w:r>
      <w:r>
        <w:rPr>
          <w:rFonts w:eastAsiaTheme="minorEastAsia"/>
          <w:sz w:val="24"/>
        </w:rPr>
        <w:t>2025</w:t>
      </w:r>
      <w:r>
        <w:rPr>
          <w:rFonts w:eastAsiaTheme="minorEastAsia"/>
          <w:sz w:val="24"/>
        </w:rPr>
        <w:t>年，建成一批规模化饲料加工、水产品加工企业和大型水产品批发市场，以及涉渔农业龙头企业；培育或引进一批鱼类新品种（系）和新技术，制（修）订一批水产地方标准；打造一批国内知名的贵州生态</w:t>
      </w:r>
      <w:proofErr w:type="gramStart"/>
      <w:r>
        <w:rPr>
          <w:rFonts w:eastAsiaTheme="minorEastAsia"/>
          <w:sz w:val="24"/>
        </w:rPr>
        <w:t>鱼企业</w:t>
      </w:r>
      <w:proofErr w:type="gramEnd"/>
      <w:r>
        <w:rPr>
          <w:rFonts w:eastAsiaTheme="minorEastAsia"/>
          <w:sz w:val="24"/>
        </w:rPr>
        <w:t>品牌。彻底扭转贵州省生态渔业传统型、粗放型发展局面，实现贵州省生态渔业链条式、精细化发展。</w:t>
      </w:r>
    </w:p>
    <w:p w14:paraId="4F5B7754"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转摘自中国水产</w:t>
      </w:r>
      <w:proofErr w:type="gramStart"/>
      <w:r>
        <w:rPr>
          <w:rStyle w:val="vm"/>
          <w:rFonts w:eastAsiaTheme="minorEastAsia"/>
          <w:szCs w:val="21"/>
        </w:rPr>
        <w:t>微信公众号</w:t>
      </w:r>
      <w:proofErr w:type="gramEnd"/>
    </w:p>
    <w:p w14:paraId="02FDBC4B" w14:textId="77777777" w:rsidR="004F39F6" w:rsidRDefault="00731C67">
      <w:pPr>
        <w:pStyle w:val="1"/>
        <w:spacing w:line="460" w:lineRule="exact"/>
        <w:rPr>
          <w:rStyle w:val="vm"/>
          <w:rFonts w:eastAsia="黑体"/>
          <w:b w:val="0"/>
          <w:bCs w:val="0"/>
          <w:sz w:val="32"/>
          <w:szCs w:val="32"/>
          <w:bdr w:val="single" w:sz="4" w:space="0" w:color="auto"/>
        </w:rPr>
      </w:pPr>
      <w:bookmarkStart w:id="17" w:name="_Toc95682090"/>
      <w:r>
        <w:rPr>
          <w:rStyle w:val="vm"/>
          <w:rFonts w:eastAsia="黑体"/>
          <w:sz w:val="32"/>
          <w:szCs w:val="32"/>
          <w:bdr w:val="single" w:sz="4" w:space="0" w:color="auto"/>
        </w:rPr>
        <w:t>产业报告</w:t>
      </w:r>
      <w:bookmarkEnd w:id="17"/>
    </w:p>
    <w:p w14:paraId="5B2D3680"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18" w:name="_Toc95682091"/>
      <w:r>
        <w:rPr>
          <w:rFonts w:ascii="Times New Roman" w:eastAsia="黑体" w:hAnsi="Times New Roman" w:cs="Times New Roman"/>
          <w:sz w:val="32"/>
          <w:szCs w:val="32"/>
        </w:rPr>
        <w:t>乳山牡蛎产业发展报告</w:t>
      </w:r>
      <w:bookmarkEnd w:id="18"/>
    </w:p>
    <w:p w14:paraId="7090C19D" w14:textId="77777777" w:rsidR="004F39F6" w:rsidRDefault="00731C67">
      <w:pPr>
        <w:spacing w:line="360" w:lineRule="auto"/>
        <w:ind w:firstLine="420"/>
        <w:rPr>
          <w:rFonts w:eastAsiaTheme="minorEastAsia"/>
          <w:sz w:val="24"/>
        </w:rPr>
      </w:pPr>
      <w:r>
        <w:rPr>
          <w:rFonts w:eastAsiaTheme="minorEastAsia"/>
          <w:sz w:val="24"/>
        </w:rPr>
        <w:t>山东省威海市乳山市，位于北纬</w:t>
      </w:r>
      <w:r>
        <w:rPr>
          <w:rFonts w:eastAsiaTheme="minorEastAsia"/>
          <w:sz w:val="24"/>
        </w:rPr>
        <w:t>37</w:t>
      </w:r>
      <w:r>
        <w:rPr>
          <w:rFonts w:eastAsiaTheme="minorEastAsia"/>
          <w:sz w:val="24"/>
        </w:rPr>
        <w:t>度的山东半岛</w:t>
      </w:r>
      <w:proofErr w:type="gramStart"/>
      <w:r>
        <w:rPr>
          <w:rFonts w:eastAsiaTheme="minorEastAsia"/>
          <w:sz w:val="24"/>
        </w:rPr>
        <w:t>黄金南</w:t>
      </w:r>
      <w:proofErr w:type="gramEnd"/>
      <w:r>
        <w:rPr>
          <w:rFonts w:eastAsiaTheme="minorEastAsia"/>
          <w:sz w:val="24"/>
        </w:rPr>
        <w:t>海岸，拥有近</w:t>
      </w:r>
      <w:r>
        <w:rPr>
          <w:rFonts w:eastAsiaTheme="minorEastAsia"/>
          <w:sz w:val="24"/>
        </w:rPr>
        <w:t>200km</w:t>
      </w:r>
      <w:r>
        <w:rPr>
          <w:rFonts w:eastAsiaTheme="minorEastAsia"/>
          <w:sz w:val="24"/>
        </w:rPr>
        <w:t>的海岸线，一类海水水质可利用海域</w:t>
      </w:r>
      <w:r>
        <w:rPr>
          <w:rFonts w:eastAsiaTheme="minorEastAsia"/>
          <w:sz w:val="24"/>
        </w:rPr>
        <w:t>11.33</w:t>
      </w:r>
      <w:r>
        <w:rPr>
          <w:rFonts w:eastAsiaTheme="minorEastAsia"/>
          <w:sz w:val="24"/>
        </w:rPr>
        <w:t>万</w:t>
      </w:r>
      <w:r>
        <w:rPr>
          <w:rFonts w:eastAsiaTheme="minorEastAsia"/>
          <w:sz w:val="24"/>
        </w:rPr>
        <w:t>hm²</w:t>
      </w:r>
      <w:r>
        <w:rPr>
          <w:rFonts w:eastAsiaTheme="minorEastAsia"/>
          <w:sz w:val="24"/>
        </w:rPr>
        <w:t>，是世界优质牡蛎产区之一。近年来，乳山市抢抓全国加速海洋经济发展、山东省推进</w:t>
      </w:r>
      <w:r>
        <w:rPr>
          <w:rFonts w:eastAsiaTheme="minorEastAsia"/>
          <w:sz w:val="24"/>
        </w:rPr>
        <w:t>“</w:t>
      </w:r>
      <w:r>
        <w:rPr>
          <w:rFonts w:eastAsiaTheme="minorEastAsia"/>
          <w:sz w:val="24"/>
        </w:rPr>
        <w:t>海上粮仓</w:t>
      </w:r>
      <w:r>
        <w:rPr>
          <w:rFonts w:eastAsiaTheme="minorEastAsia"/>
          <w:sz w:val="24"/>
        </w:rPr>
        <w:t>”</w:t>
      </w:r>
      <w:r>
        <w:rPr>
          <w:rFonts w:eastAsiaTheme="minorEastAsia"/>
          <w:sz w:val="24"/>
        </w:rPr>
        <w:t>建设的重大历史机遇，以牡蛎产业为主攻重点，大力推动牡蛎产业提档升级、高质量发展，加快形成生态环境良好、生产技术先进、品牌优势明显的现代牡蛎产业发展新格局，乳山市已然成为全国牡蛎产业新高地、山东省渔业发展新地标。</w:t>
      </w:r>
    </w:p>
    <w:p w14:paraId="7C609134" w14:textId="77777777" w:rsidR="004F39F6" w:rsidRDefault="00731C67">
      <w:pPr>
        <w:spacing w:line="360" w:lineRule="auto"/>
        <w:jc w:val="center"/>
        <w:rPr>
          <w:rFonts w:eastAsiaTheme="minorEastAsia"/>
          <w:sz w:val="24"/>
        </w:rPr>
      </w:pPr>
      <w:r>
        <w:rPr>
          <w:noProof/>
        </w:rPr>
        <w:drawing>
          <wp:inline distT="0" distB="0" distL="0" distR="0" wp14:anchorId="3A17D3F8" wp14:editId="3F2B9295">
            <wp:extent cx="1618615" cy="969645"/>
            <wp:effectExtent l="0" t="0" r="6985"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18615" cy="969645"/>
                    </a:xfrm>
                    <a:prstGeom prst="rect">
                      <a:avLst/>
                    </a:prstGeom>
                    <a:noFill/>
                    <a:ln>
                      <a:noFill/>
                    </a:ln>
                  </pic:spPr>
                </pic:pic>
              </a:graphicData>
            </a:graphic>
          </wp:inline>
        </w:drawing>
      </w:r>
    </w:p>
    <w:p w14:paraId="1FAF6AC2" w14:textId="77777777" w:rsidR="004F39F6" w:rsidRDefault="00731C67">
      <w:pPr>
        <w:spacing w:line="360" w:lineRule="auto"/>
        <w:ind w:firstLine="420"/>
        <w:rPr>
          <w:rFonts w:eastAsiaTheme="minorEastAsia"/>
          <w:sz w:val="24"/>
        </w:rPr>
      </w:pPr>
      <w:r>
        <w:rPr>
          <w:rFonts w:eastAsiaTheme="minorEastAsia"/>
          <w:sz w:val="24"/>
        </w:rPr>
        <w:t>截至</w:t>
      </w:r>
      <w:r>
        <w:rPr>
          <w:rFonts w:eastAsiaTheme="minorEastAsia"/>
          <w:sz w:val="24"/>
        </w:rPr>
        <w:t>2020</w:t>
      </w:r>
      <w:r>
        <w:rPr>
          <w:rFonts w:eastAsiaTheme="minorEastAsia"/>
          <w:sz w:val="24"/>
        </w:rPr>
        <w:t>年底，乳山牡蛎养殖海域面积</w:t>
      </w:r>
      <w:r>
        <w:rPr>
          <w:rFonts w:eastAsiaTheme="minorEastAsia"/>
          <w:sz w:val="24"/>
        </w:rPr>
        <w:t>2</w:t>
      </w:r>
      <w:r>
        <w:rPr>
          <w:rFonts w:eastAsiaTheme="minorEastAsia"/>
          <w:sz w:val="24"/>
        </w:rPr>
        <w:t>万</w:t>
      </w:r>
      <w:r>
        <w:rPr>
          <w:rFonts w:eastAsiaTheme="minorEastAsia"/>
          <w:sz w:val="24"/>
        </w:rPr>
        <w:t>hm²</w:t>
      </w:r>
      <w:r>
        <w:rPr>
          <w:rFonts w:eastAsiaTheme="minorEastAsia"/>
          <w:sz w:val="24"/>
        </w:rPr>
        <w:t>，养殖产量</w:t>
      </w:r>
      <w:r>
        <w:rPr>
          <w:rFonts w:eastAsiaTheme="minorEastAsia"/>
          <w:sz w:val="24"/>
        </w:rPr>
        <w:t>38</w:t>
      </w:r>
      <w:r>
        <w:rPr>
          <w:rFonts w:eastAsiaTheme="minorEastAsia"/>
          <w:sz w:val="24"/>
        </w:rPr>
        <w:t>万</w:t>
      </w:r>
      <w:r>
        <w:rPr>
          <w:rFonts w:eastAsiaTheme="minorEastAsia"/>
          <w:sz w:val="24"/>
        </w:rPr>
        <w:t>t</w:t>
      </w:r>
      <w:r>
        <w:rPr>
          <w:rFonts w:eastAsiaTheme="minorEastAsia"/>
          <w:sz w:val="24"/>
        </w:rPr>
        <w:t>，养殖产值</w:t>
      </w:r>
      <w:r>
        <w:rPr>
          <w:rFonts w:eastAsiaTheme="minorEastAsia"/>
          <w:sz w:val="24"/>
        </w:rPr>
        <w:t>30</w:t>
      </w:r>
      <w:r>
        <w:rPr>
          <w:rFonts w:eastAsiaTheme="minorEastAsia"/>
          <w:sz w:val="24"/>
        </w:rPr>
        <w:t>亿元，</w:t>
      </w:r>
      <w:r>
        <w:rPr>
          <w:rFonts w:eastAsiaTheme="minorEastAsia"/>
          <w:sz w:val="24"/>
        </w:rPr>
        <w:t>养殖面积、产量和产值均居全国县级单位首位。乳山牡蛎产业全产业链产值过百亿元，是乳山市海洋经济的支柱产业和富民产业，产业上下游有效带动</w:t>
      </w:r>
      <w:r>
        <w:rPr>
          <w:rFonts w:eastAsiaTheme="minorEastAsia"/>
          <w:sz w:val="24"/>
        </w:rPr>
        <w:t>2</w:t>
      </w:r>
      <w:r>
        <w:rPr>
          <w:rFonts w:eastAsiaTheme="minorEastAsia"/>
          <w:sz w:val="24"/>
        </w:rPr>
        <w:t>万渔民年均增收近</w:t>
      </w:r>
      <w:r>
        <w:rPr>
          <w:rFonts w:eastAsiaTheme="minorEastAsia"/>
          <w:sz w:val="24"/>
        </w:rPr>
        <w:t>12</w:t>
      </w:r>
      <w:r>
        <w:rPr>
          <w:rFonts w:eastAsiaTheme="minorEastAsia"/>
          <w:sz w:val="24"/>
        </w:rPr>
        <w:t>亿元，实现了渔业增效、渔民增收，成为</w:t>
      </w:r>
      <w:r>
        <w:rPr>
          <w:rFonts w:eastAsiaTheme="minorEastAsia"/>
          <w:sz w:val="24"/>
        </w:rPr>
        <w:t>“</w:t>
      </w:r>
      <w:r>
        <w:rPr>
          <w:rFonts w:eastAsiaTheme="minorEastAsia"/>
          <w:sz w:val="24"/>
        </w:rPr>
        <w:t>一县</w:t>
      </w:r>
      <w:proofErr w:type="gramStart"/>
      <w:r>
        <w:rPr>
          <w:rFonts w:eastAsiaTheme="minorEastAsia"/>
          <w:sz w:val="24"/>
        </w:rPr>
        <w:t>一</w:t>
      </w:r>
      <w:proofErr w:type="gramEnd"/>
      <w:r>
        <w:rPr>
          <w:rFonts w:eastAsiaTheme="minorEastAsia"/>
          <w:sz w:val="24"/>
        </w:rPr>
        <w:t>业</w:t>
      </w:r>
      <w:r>
        <w:rPr>
          <w:rFonts w:eastAsiaTheme="minorEastAsia"/>
          <w:sz w:val="24"/>
        </w:rPr>
        <w:t>”</w:t>
      </w:r>
      <w:r>
        <w:rPr>
          <w:rFonts w:eastAsiaTheme="minorEastAsia"/>
          <w:sz w:val="24"/>
        </w:rPr>
        <w:t>的样板。</w:t>
      </w:r>
    </w:p>
    <w:p w14:paraId="279F597D" w14:textId="77777777" w:rsidR="004F39F6" w:rsidRDefault="00731C67">
      <w:pPr>
        <w:spacing w:line="360" w:lineRule="auto"/>
        <w:ind w:firstLine="420"/>
        <w:rPr>
          <w:rFonts w:eastAsiaTheme="minorEastAsia"/>
          <w:sz w:val="24"/>
        </w:rPr>
      </w:pPr>
      <w:r>
        <w:rPr>
          <w:rFonts w:eastAsiaTheme="minorEastAsia"/>
          <w:sz w:val="24"/>
        </w:rPr>
        <w:t>一、产业基本情况</w:t>
      </w:r>
    </w:p>
    <w:p w14:paraId="2738CF0D" w14:textId="77777777" w:rsidR="004F39F6" w:rsidRDefault="00731C67">
      <w:pPr>
        <w:spacing w:line="360" w:lineRule="auto"/>
        <w:ind w:firstLine="420"/>
        <w:rPr>
          <w:rFonts w:eastAsiaTheme="minorEastAsia"/>
          <w:sz w:val="24"/>
        </w:rPr>
      </w:pPr>
      <w:r>
        <w:rPr>
          <w:rFonts w:eastAsiaTheme="minorEastAsia"/>
          <w:sz w:val="24"/>
        </w:rPr>
        <w:t>（一）育苗育种</w:t>
      </w:r>
    </w:p>
    <w:p w14:paraId="496BF9DE" w14:textId="77777777" w:rsidR="004F39F6" w:rsidRDefault="00731C67">
      <w:pPr>
        <w:spacing w:line="360" w:lineRule="auto"/>
        <w:jc w:val="center"/>
        <w:rPr>
          <w:rFonts w:eastAsiaTheme="minorEastAsia"/>
          <w:sz w:val="24"/>
        </w:rPr>
      </w:pPr>
      <w:r>
        <w:rPr>
          <w:noProof/>
        </w:rPr>
        <w:drawing>
          <wp:inline distT="0" distB="0" distL="0" distR="0" wp14:anchorId="05A32E88" wp14:editId="603CC70F">
            <wp:extent cx="1483995" cy="913765"/>
            <wp:effectExtent l="0" t="0" r="190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83995" cy="913765"/>
                    </a:xfrm>
                    <a:prstGeom prst="rect">
                      <a:avLst/>
                    </a:prstGeom>
                    <a:noFill/>
                    <a:ln>
                      <a:noFill/>
                    </a:ln>
                  </pic:spPr>
                </pic:pic>
              </a:graphicData>
            </a:graphic>
          </wp:inline>
        </w:drawing>
      </w:r>
    </w:p>
    <w:p w14:paraId="4E5D92D0" w14:textId="77777777" w:rsidR="004F39F6" w:rsidRDefault="00731C67">
      <w:pPr>
        <w:spacing w:line="360" w:lineRule="auto"/>
        <w:jc w:val="center"/>
        <w:rPr>
          <w:rFonts w:eastAsiaTheme="minorEastAsia"/>
          <w:sz w:val="24"/>
        </w:rPr>
      </w:pPr>
      <w:r>
        <w:rPr>
          <w:rFonts w:eastAsiaTheme="minorEastAsia"/>
          <w:sz w:val="24"/>
        </w:rPr>
        <w:t>图</w:t>
      </w:r>
      <w:r>
        <w:rPr>
          <w:rFonts w:eastAsiaTheme="minorEastAsia"/>
          <w:sz w:val="24"/>
        </w:rPr>
        <w:t xml:space="preserve">1 </w:t>
      </w:r>
      <w:r>
        <w:rPr>
          <w:rFonts w:eastAsiaTheme="minorEastAsia"/>
          <w:sz w:val="24"/>
        </w:rPr>
        <w:t>三倍体长牡蛎苗种</w:t>
      </w:r>
    </w:p>
    <w:p w14:paraId="76D6153E" w14:textId="77777777" w:rsidR="004F39F6" w:rsidRDefault="00731C67">
      <w:pPr>
        <w:spacing w:line="360" w:lineRule="auto"/>
        <w:ind w:firstLine="420"/>
        <w:rPr>
          <w:rFonts w:eastAsiaTheme="minorEastAsia"/>
          <w:sz w:val="24"/>
        </w:rPr>
      </w:pPr>
      <w:r>
        <w:rPr>
          <w:rFonts w:eastAsiaTheme="minorEastAsia"/>
          <w:sz w:val="24"/>
        </w:rPr>
        <w:lastRenderedPageBreak/>
        <w:t>乳山牡蛎苗种来源主要有两种，一是常规工厂化车间升温育苗（主要），二是海区半人工自然采苗。人工育苗品种主要有长牡蛎</w:t>
      </w:r>
      <w:r>
        <w:rPr>
          <w:rFonts w:eastAsiaTheme="minorEastAsia"/>
          <w:sz w:val="24"/>
        </w:rPr>
        <w:t>“</w:t>
      </w:r>
      <w:r>
        <w:rPr>
          <w:rFonts w:eastAsiaTheme="minorEastAsia"/>
          <w:sz w:val="24"/>
        </w:rPr>
        <w:t>海大</w:t>
      </w:r>
      <w:r>
        <w:rPr>
          <w:rFonts w:eastAsiaTheme="minorEastAsia"/>
          <w:sz w:val="24"/>
        </w:rPr>
        <w:t>1</w:t>
      </w:r>
      <w:r>
        <w:rPr>
          <w:rFonts w:eastAsiaTheme="minorEastAsia"/>
          <w:sz w:val="24"/>
        </w:rPr>
        <w:t>号</w:t>
      </w:r>
      <w:r>
        <w:rPr>
          <w:rFonts w:eastAsiaTheme="minorEastAsia"/>
          <w:sz w:val="24"/>
        </w:rPr>
        <w:t>”“</w:t>
      </w:r>
      <w:r>
        <w:rPr>
          <w:rFonts w:eastAsiaTheme="minorEastAsia"/>
          <w:sz w:val="24"/>
        </w:rPr>
        <w:t>海大</w:t>
      </w:r>
      <w:r>
        <w:rPr>
          <w:rFonts w:eastAsiaTheme="minorEastAsia"/>
          <w:sz w:val="24"/>
        </w:rPr>
        <w:t>2</w:t>
      </w:r>
      <w:r>
        <w:rPr>
          <w:rFonts w:eastAsiaTheme="minorEastAsia"/>
          <w:sz w:val="24"/>
        </w:rPr>
        <w:t>号</w:t>
      </w:r>
      <w:r>
        <w:rPr>
          <w:rFonts w:eastAsiaTheme="minorEastAsia"/>
          <w:sz w:val="24"/>
        </w:rPr>
        <w:t>”“</w:t>
      </w:r>
      <w:r>
        <w:rPr>
          <w:rFonts w:eastAsiaTheme="minorEastAsia"/>
          <w:sz w:val="24"/>
        </w:rPr>
        <w:t>海大</w:t>
      </w:r>
      <w:r>
        <w:rPr>
          <w:rFonts w:eastAsiaTheme="minorEastAsia"/>
          <w:sz w:val="24"/>
        </w:rPr>
        <w:t>3</w:t>
      </w:r>
      <w:r>
        <w:rPr>
          <w:rFonts w:eastAsiaTheme="minorEastAsia"/>
          <w:sz w:val="24"/>
        </w:rPr>
        <w:t>号</w:t>
      </w:r>
      <w:r>
        <w:rPr>
          <w:rFonts w:eastAsiaTheme="minorEastAsia"/>
          <w:sz w:val="24"/>
        </w:rPr>
        <w:t>”“</w:t>
      </w:r>
      <w:r>
        <w:rPr>
          <w:rFonts w:eastAsiaTheme="minorEastAsia"/>
          <w:sz w:val="24"/>
        </w:rPr>
        <w:t>海</w:t>
      </w:r>
      <w:proofErr w:type="gramStart"/>
      <w:r>
        <w:rPr>
          <w:rFonts w:eastAsiaTheme="minorEastAsia"/>
          <w:sz w:val="24"/>
        </w:rPr>
        <w:t>蛎</w:t>
      </w:r>
      <w:proofErr w:type="gramEnd"/>
      <w:r>
        <w:rPr>
          <w:rFonts w:eastAsiaTheme="minorEastAsia"/>
          <w:sz w:val="24"/>
        </w:rPr>
        <w:t>1</w:t>
      </w:r>
      <w:r>
        <w:rPr>
          <w:rFonts w:eastAsiaTheme="minorEastAsia"/>
          <w:sz w:val="24"/>
        </w:rPr>
        <w:t>号</w:t>
      </w:r>
      <w:r>
        <w:rPr>
          <w:rFonts w:eastAsiaTheme="minorEastAsia"/>
          <w:sz w:val="24"/>
        </w:rPr>
        <w:t>”</w:t>
      </w:r>
      <w:r>
        <w:rPr>
          <w:rFonts w:eastAsiaTheme="minorEastAsia"/>
          <w:sz w:val="24"/>
        </w:rPr>
        <w:t>以及三倍体长牡蛎苗种（图</w:t>
      </w:r>
      <w:r>
        <w:rPr>
          <w:rFonts w:eastAsiaTheme="minorEastAsia"/>
          <w:sz w:val="24"/>
        </w:rPr>
        <w:t>1</w:t>
      </w:r>
      <w:r>
        <w:rPr>
          <w:rFonts w:eastAsiaTheme="minorEastAsia"/>
          <w:sz w:val="24"/>
        </w:rPr>
        <w:t>），牡蛎育苗企业</w:t>
      </w:r>
      <w:r>
        <w:rPr>
          <w:rFonts w:eastAsiaTheme="minorEastAsia"/>
          <w:sz w:val="24"/>
        </w:rPr>
        <w:t>6</w:t>
      </w:r>
      <w:r>
        <w:rPr>
          <w:rFonts w:eastAsiaTheme="minorEastAsia"/>
          <w:sz w:val="24"/>
        </w:rPr>
        <w:t>家，育苗水体约</w:t>
      </w:r>
      <w:r>
        <w:rPr>
          <w:rFonts w:eastAsiaTheme="minorEastAsia"/>
          <w:sz w:val="24"/>
        </w:rPr>
        <w:t>24600m³</w:t>
      </w:r>
      <w:r>
        <w:rPr>
          <w:rFonts w:eastAsiaTheme="minorEastAsia"/>
          <w:sz w:val="24"/>
        </w:rPr>
        <w:t>，年育</w:t>
      </w:r>
      <w:r>
        <w:rPr>
          <w:rFonts w:eastAsiaTheme="minorEastAsia"/>
          <w:sz w:val="24"/>
        </w:rPr>
        <w:t>苗量</w:t>
      </w:r>
      <w:r>
        <w:rPr>
          <w:rFonts w:eastAsiaTheme="minorEastAsia"/>
          <w:sz w:val="24"/>
        </w:rPr>
        <w:t>1.72</w:t>
      </w:r>
      <w:r>
        <w:rPr>
          <w:rFonts w:eastAsiaTheme="minorEastAsia"/>
          <w:sz w:val="24"/>
        </w:rPr>
        <w:t>亿片、</w:t>
      </w:r>
      <w:r>
        <w:rPr>
          <w:rFonts w:eastAsiaTheme="minorEastAsia"/>
          <w:sz w:val="24"/>
        </w:rPr>
        <w:t>43</w:t>
      </w:r>
      <w:r>
        <w:rPr>
          <w:rFonts w:eastAsiaTheme="minorEastAsia"/>
          <w:sz w:val="24"/>
        </w:rPr>
        <w:t>亿粒，主要销往山东省内及辽宁省。</w:t>
      </w:r>
    </w:p>
    <w:p w14:paraId="0DF9EA01" w14:textId="77777777" w:rsidR="004F39F6" w:rsidRDefault="00731C67">
      <w:pPr>
        <w:spacing w:line="360" w:lineRule="auto"/>
        <w:ind w:firstLine="420"/>
        <w:rPr>
          <w:rFonts w:eastAsiaTheme="minorEastAsia"/>
          <w:sz w:val="24"/>
        </w:rPr>
      </w:pPr>
      <w:r>
        <w:rPr>
          <w:rFonts w:eastAsiaTheme="minorEastAsia"/>
          <w:sz w:val="24"/>
        </w:rPr>
        <w:t>（二）养殖</w:t>
      </w:r>
    </w:p>
    <w:p w14:paraId="4792F337" w14:textId="77777777" w:rsidR="004F39F6" w:rsidRDefault="00731C67">
      <w:pPr>
        <w:spacing w:line="360" w:lineRule="auto"/>
        <w:ind w:firstLine="420"/>
        <w:rPr>
          <w:rFonts w:eastAsiaTheme="minorEastAsia"/>
          <w:sz w:val="24"/>
        </w:rPr>
      </w:pPr>
      <w:r>
        <w:rPr>
          <w:rFonts w:eastAsiaTheme="minorEastAsia"/>
          <w:sz w:val="24"/>
        </w:rPr>
        <w:t xml:space="preserve">1. </w:t>
      </w:r>
      <w:r>
        <w:rPr>
          <w:rFonts w:eastAsiaTheme="minorEastAsia"/>
          <w:sz w:val="24"/>
        </w:rPr>
        <w:t>养殖环境得天独厚</w:t>
      </w:r>
    </w:p>
    <w:p w14:paraId="6B89706D" w14:textId="77777777" w:rsidR="004F39F6" w:rsidRDefault="00731C67">
      <w:pPr>
        <w:spacing w:line="360" w:lineRule="auto"/>
        <w:ind w:firstLine="420"/>
        <w:rPr>
          <w:rFonts w:eastAsiaTheme="minorEastAsia"/>
          <w:sz w:val="24"/>
        </w:rPr>
      </w:pPr>
      <w:r>
        <w:rPr>
          <w:rFonts w:eastAsiaTheme="minorEastAsia"/>
          <w:sz w:val="24"/>
        </w:rPr>
        <w:t>乳山牡蛎</w:t>
      </w:r>
      <w:proofErr w:type="gramStart"/>
      <w:r>
        <w:rPr>
          <w:rFonts w:eastAsiaTheme="minorEastAsia"/>
          <w:sz w:val="24"/>
        </w:rPr>
        <w:t>个</w:t>
      </w:r>
      <w:proofErr w:type="gramEnd"/>
      <w:r>
        <w:rPr>
          <w:rFonts w:eastAsiaTheme="minorEastAsia"/>
          <w:sz w:val="24"/>
        </w:rPr>
        <w:t>大肥满、肉质爽滑、味道鲜甜，含有丰富的蛋白质、牛磺酸、糖原以及锌、铁、钙、硒、镁等微量元素，多食乳山牡蛎能有效增强体质，提高机体免疫力。乳山牡蛎独一无二的优良品质，得益于乳山优异的养殖环境条件。养殖区主要分布在东至浪暖口、西至乳山口的开阔海域内，属于黄海北部冷温水域，潮流通畅，水交换条件良好，水质洁净，主要理化指标达到国家一类海水标准，海水的温度盐度适中，表层年均水温</w:t>
      </w:r>
      <w:r>
        <w:rPr>
          <w:rFonts w:eastAsiaTheme="minorEastAsia"/>
          <w:sz w:val="24"/>
        </w:rPr>
        <w:t>13.5℃</w:t>
      </w:r>
      <w:r>
        <w:rPr>
          <w:rFonts w:eastAsiaTheme="minorEastAsia"/>
          <w:sz w:val="24"/>
        </w:rPr>
        <w:t>，年均盐度</w:t>
      </w:r>
      <w:r>
        <w:rPr>
          <w:rFonts w:eastAsiaTheme="minorEastAsia"/>
          <w:sz w:val="24"/>
        </w:rPr>
        <w:t>29.3</w:t>
      </w:r>
      <w:r>
        <w:rPr>
          <w:rFonts w:eastAsiaTheme="minorEastAsia"/>
          <w:sz w:val="24"/>
        </w:rPr>
        <w:t>，海底坡度平缓，泥沙底质，水深</w:t>
      </w:r>
      <w:r>
        <w:rPr>
          <w:rFonts w:eastAsiaTheme="minorEastAsia"/>
          <w:sz w:val="24"/>
        </w:rPr>
        <w:t>6m~15m</w:t>
      </w:r>
      <w:r>
        <w:rPr>
          <w:rFonts w:eastAsiaTheme="minorEastAsia"/>
          <w:sz w:val="24"/>
        </w:rPr>
        <w:t>，境内的两大入海河流</w:t>
      </w:r>
      <w:r>
        <w:rPr>
          <w:rFonts w:eastAsiaTheme="minorEastAsia"/>
          <w:sz w:val="24"/>
        </w:rPr>
        <w:t>——</w:t>
      </w:r>
      <w:r>
        <w:rPr>
          <w:rFonts w:eastAsiaTheme="minorEastAsia"/>
          <w:sz w:val="24"/>
        </w:rPr>
        <w:t>乳山河和黄垒河以及黄海沿岸流，为海区提</w:t>
      </w:r>
      <w:r>
        <w:rPr>
          <w:rFonts w:eastAsiaTheme="minorEastAsia"/>
          <w:sz w:val="24"/>
        </w:rPr>
        <w:t>供了丰富的营养盐，水质肥沃，非常利于牡蛎摄食的浮游藻类等基础饵料生物的繁殖和生长。</w:t>
      </w:r>
    </w:p>
    <w:p w14:paraId="12AAF193" w14:textId="77777777" w:rsidR="004F39F6" w:rsidRDefault="00731C67">
      <w:pPr>
        <w:spacing w:line="360" w:lineRule="auto"/>
        <w:ind w:firstLine="420"/>
        <w:rPr>
          <w:rFonts w:eastAsiaTheme="minorEastAsia"/>
          <w:sz w:val="24"/>
        </w:rPr>
      </w:pPr>
      <w:r>
        <w:rPr>
          <w:rFonts w:eastAsiaTheme="minorEastAsia"/>
          <w:sz w:val="24"/>
        </w:rPr>
        <w:t xml:space="preserve">2. </w:t>
      </w:r>
      <w:r>
        <w:rPr>
          <w:rFonts w:eastAsiaTheme="minorEastAsia"/>
          <w:sz w:val="24"/>
        </w:rPr>
        <w:t>养殖模式生态健康</w:t>
      </w:r>
    </w:p>
    <w:p w14:paraId="43023E23" w14:textId="77777777" w:rsidR="004F39F6" w:rsidRDefault="00731C67">
      <w:pPr>
        <w:spacing w:line="360" w:lineRule="auto"/>
        <w:ind w:firstLine="420"/>
        <w:rPr>
          <w:rFonts w:eastAsiaTheme="minorEastAsia"/>
          <w:sz w:val="24"/>
        </w:rPr>
      </w:pPr>
      <w:r>
        <w:rPr>
          <w:rFonts w:eastAsiaTheme="minorEastAsia"/>
          <w:sz w:val="24"/>
        </w:rPr>
        <w:t>乳山市是世界上首</w:t>
      </w:r>
      <w:proofErr w:type="gramStart"/>
      <w:r>
        <w:rPr>
          <w:rFonts w:eastAsiaTheme="minorEastAsia"/>
          <w:sz w:val="24"/>
        </w:rPr>
        <w:t>个</w:t>
      </w:r>
      <w:proofErr w:type="gramEnd"/>
      <w:r>
        <w:rPr>
          <w:rFonts w:eastAsiaTheme="minorEastAsia"/>
          <w:sz w:val="24"/>
        </w:rPr>
        <w:t>采用外海离岸浮筏吊笼养</w:t>
      </w:r>
      <w:proofErr w:type="gramStart"/>
      <w:r>
        <w:rPr>
          <w:rFonts w:eastAsiaTheme="minorEastAsia"/>
          <w:sz w:val="24"/>
        </w:rPr>
        <w:t>殖</w:t>
      </w:r>
      <w:proofErr w:type="gramEnd"/>
      <w:r>
        <w:rPr>
          <w:rFonts w:eastAsiaTheme="minorEastAsia"/>
          <w:sz w:val="24"/>
        </w:rPr>
        <w:t>牡蛎的地区，牡蛎的外海离岸养殖，既保障了产业的规模化发展空间，维持了海洋生态的平衡，又提升了牡蛎品质。</w:t>
      </w:r>
      <w:r>
        <w:rPr>
          <w:rFonts w:eastAsiaTheme="minorEastAsia"/>
          <w:sz w:val="24"/>
        </w:rPr>
        <w:t>“</w:t>
      </w:r>
      <w:r>
        <w:rPr>
          <w:rFonts w:eastAsiaTheme="minorEastAsia"/>
          <w:sz w:val="24"/>
        </w:rPr>
        <w:t>秋播春收</w:t>
      </w:r>
      <w:r>
        <w:rPr>
          <w:rFonts w:eastAsiaTheme="minorEastAsia"/>
          <w:sz w:val="24"/>
        </w:rPr>
        <w:t>”</w:t>
      </w:r>
      <w:r>
        <w:rPr>
          <w:rFonts w:eastAsiaTheme="minorEastAsia"/>
          <w:sz w:val="24"/>
        </w:rPr>
        <w:t>浅海筏式吊笼育肥养殖是乳山牡蛎最主要的养殖模式，该模式是水产技术人员在长期的生产实践中探索出的适合本地实际情况的养殖模式，这种养殖模式不但避开了春、夏两季风暴潮的危害，降低了养殖生产的风险，而且为海区提供了半年的休整时间，有利于海区的自我净化和基础</w:t>
      </w:r>
      <w:r>
        <w:rPr>
          <w:rFonts w:eastAsiaTheme="minorEastAsia"/>
          <w:sz w:val="24"/>
        </w:rPr>
        <w:t>饵料生物的繁育，促进了牡蛎养殖产业的生态可持续发展。</w:t>
      </w:r>
    </w:p>
    <w:p w14:paraId="4816A539" w14:textId="77777777" w:rsidR="004F39F6" w:rsidRDefault="00731C67">
      <w:pPr>
        <w:spacing w:line="360" w:lineRule="auto"/>
        <w:ind w:firstLine="420"/>
        <w:rPr>
          <w:rFonts w:eastAsiaTheme="minorEastAsia"/>
          <w:sz w:val="24"/>
        </w:rPr>
      </w:pPr>
      <w:r>
        <w:rPr>
          <w:rFonts w:eastAsiaTheme="minorEastAsia"/>
          <w:sz w:val="24"/>
        </w:rPr>
        <w:t xml:space="preserve">3. </w:t>
      </w:r>
      <w:r>
        <w:rPr>
          <w:rFonts w:eastAsiaTheme="minorEastAsia"/>
          <w:sz w:val="24"/>
        </w:rPr>
        <w:t>养殖产业融合发展</w:t>
      </w:r>
    </w:p>
    <w:p w14:paraId="27CD53C0" w14:textId="77777777" w:rsidR="004F39F6" w:rsidRDefault="00731C67">
      <w:pPr>
        <w:spacing w:line="360" w:lineRule="auto"/>
        <w:ind w:firstLine="420"/>
        <w:rPr>
          <w:rFonts w:eastAsiaTheme="minorEastAsia"/>
          <w:sz w:val="24"/>
        </w:rPr>
      </w:pPr>
      <w:r>
        <w:rPr>
          <w:rFonts w:eastAsiaTheme="minorEastAsia"/>
          <w:sz w:val="24"/>
        </w:rPr>
        <w:t>目前乳山有牡蛎养殖主体</w:t>
      </w:r>
      <w:r>
        <w:rPr>
          <w:rFonts w:eastAsiaTheme="minorEastAsia"/>
          <w:sz w:val="24"/>
        </w:rPr>
        <w:t>600</w:t>
      </w:r>
      <w:r>
        <w:rPr>
          <w:rFonts w:eastAsiaTheme="minorEastAsia"/>
          <w:sz w:val="24"/>
        </w:rPr>
        <w:t>余个，以家庭渔场（户）为主，占比约</w:t>
      </w:r>
      <w:r>
        <w:rPr>
          <w:rFonts w:eastAsiaTheme="minorEastAsia"/>
          <w:sz w:val="24"/>
        </w:rPr>
        <w:t>98%</w:t>
      </w:r>
      <w:r>
        <w:rPr>
          <w:rFonts w:eastAsiaTheme="minorEastAsia"/>
          <w:sz w:val="24"/>
        </w:rPr>
        <w:t>，正规化养殖企业为副，家庭渔场（户）模式之下亦不乏养殖大户，养殖面积在</w:t>
      </w:r>
      <w:r>
        <w:rPr>
          <w:rFonts w:eastAsiaTheme="minorEastAsia"/>
          <w:sz w:val="24"/>
        </w:rPr>
        <w:t>67hm²</w:t>
      </w:r>
      <w:r>
        <w:rPr>
          <w:rFonts w:eastAsiaTheme="minorEastAsia"/>
          <w:sz w:val="24"/>
        </w:rPr>
        <w:t>以上的大户</w:t>
      </w:r>
      <w:r>
        <w:rPr>
          <w:rFonts w:eastAsiaTheme="minorEastAsia"/>
          <w:sz w:val="24"/>
        </w:rPr>
        <w:t>150</w:t>
      </w:r>
      <w:r>
        <w:rPr>
          <w:rFonts w:eastAsiaTheme="minorEastAsia"/>
          <w:sz w:val="24"/>
        </w:rPr>
        <w:t>余户。为解决小户单干存在的技术、信息、市场盲点，政府引导养殖大户牵头成立养殖合作社</w:t>
      </w:r>
      <w:r>
        <w:rPr>
          <w:rFonts w:eastAsiaTheme="minorEastAsia"/>
          <w:sz w:val="24"/>
        </w:rPr>
        <w:t>40</w:t>
      </w:r>
      <w:r>
        <w:rPr>
          <w:rFonts w:eastAsiaTheme="minorEastAsia"/>
          <w:sz w:val="24"/>
        </w:rPr>
        <w:t>余个，以合作社</w:t>
      </w:r>
      <w:r>
        <w:rPr>
          <w:rFonts w:eastAsiaTheme="minorEastAsia"/>
          <w:sz w:val="24"/>
        </w:rPr>
        <w:t>+</w:t>
      </w:r>
      <w:r>
        <w:rPr>
          <w:rFonts w:eastAsiaTheme="minorEastAsia"/>
          <w:sz w:val="24"/>
        </w:rPr>
        <w:t>农户的模式实现技术、信息和市场的共享，有效增强家庭渔场（户）抵御市场风险的能力。同时为推动牡蛎产业园区化、规模化、集约化发展，建设牡蛎产业融合发展园区</w:t>
      </w:r>
      <w:r>
        <w:rPr>
          <w:rFonts w:eastAsiaTheme="minorEastAsia"/>
          <w:sz w:val="24"/>
        </w:rPr>
        <w:t>4</w:t>
      </w:r>
      <w:r>
        <w:rPr>
          <w:rFonts w:eastAsiaTheme="minorEastAsia"/>
          <w:sz w:val="24"/>
        </w:rPr>
        <w:t>处，安置牡蛎养殖</w:t>
      </w:r>
      <w:r>
        <w:rPr>
          <w:rFonts w:eastAsiaTheme="minorEastAsia"/>
          <w:sz w:val="24"/>
        </w:rPr>
        <w:t>主体</w:t>
      </w:r>
      <w:r>
        <w:rPr>
          <w:rFonts w:eastAsiaTheme="minorEastAsia"/>
          <w:sz w:val="24"/>
        </w:rPr>
        <w:t>400</w:t>
      </w:r>
      <w:r>
        <w:rPr>
          <w:rFonts w:eastAsiaTheme="minorEastAsia"/>
          <w:sz w:val="24"/>
        </w:rPr>
        <w:t>多个，园区内实现了牡蛎养殖、清洗暂养、电商销售、物流快递、生产服务一体化融合发展。</w:t>
      </w:r>
    </w:p>
    <w:p w14:paraId="0B12B0A3" w14:textId="77777777" w:rsidR="004F39F6" w:rsidRDefault="00731C67">
      <w:pPr>
        <w:spacing w:line="360" w:lineRule="auto"/>
        <w:ind w:firstLine="420"/>
        <w:rPr>
          <w:rFonts w:eastAsiaTheme="minorEastAsia"/>
          <w:sz w:val="24"/>
        </w:rPr>
      </w:pPr>
      <w:r>
        <w:rPr>
          <w:rFonts w:eastAsiaTheme="minorEastAsia"/>
          <w:sz w:val="24"/>
        </w:rPr>
        <w:lastRenderedPageBreak/>
        <w:t xml:space="preserve">4. </w:t>
      </w:r>
      <w:r>
        <w:rPr>
          <w:rFonts w:eastAsiaTheme="minorEastAsia"/>
          <w:sz w:val="24"/>
        </w:rPr>
        <w:t>养殖产量</w:t>
      </w:r>
    </w:p>
    <w:p w14:paraId="670F266B" w14:textId="77777777" w:rsidR="004F39F6" w:rsidRDefault="00731C67">
      <w:pPr>
        <w:spacing w:line="360" w:lineRule="auto"/>
        <w:ind w:firstLine="420"/>
        <w:rPr>
          <w:rFonts w:eastAsiaTheme="minorEastAsia"/>
          <w:sz w:val="24"/>
        </w:rPr>
      </w:pPr>
      <w:r>
        <w:rPr>
          <w:rFonts w:eastAsiaTheme="minorEastAsia"/>
          <w:sz w:val="24"/>
        </w:rPr>
        <w:t>据《中国渔业统计年鉴》数据显示，</w:t>
      </w:r>
      <w:r>
        <w:rPr>
          <w:rFonts w:eastAsiaTheme="minorEastAsia"/>
          <w:sz w:val="24"/>
        </w:rPr>
        <w:t>2020</w:t>
      </w:r>
      <w:r>
        <w:rPr>
          <w:rFonts w:eastAsiaTheme="minorEastAsia"/>
          <w:sz w:val="24"/>
        </w:rPr>
        <w:t>年中国牡蛎总产量</w:t>
      </w:r>
      <w:r>
        <w:rPr>
          <w:rFonts w:eastAsiaTheme="minorEastAsia"/>
          <w:sz w:val="24"/>
        </w:rPr>
        <w:t>542.5</w:t>
      </w:r>
      <w:r>
        <w:rPr>
          <w:rFonts w:eastAsiaTheme="minorEastAsia"/>
          <w:sz w:val="24"/>
        </w:rPr>
        <w:t>万</w:t>
      </w:r>
      <w:r>
        <w:rPr>
          <w:rFonts w:eastAsiaTheme="minorEastAsia"/>
          <w:sz w:val="24"/>
        </w:rPr>
        <w:t>t</w:t>
      </w:r>
      <w:r>
        <w:rPr>
          <w:rFonts w:eastAsiaTheme="minorEastAsia"/>
          <w:sz w:val="24"/>
        </w:rPr>
        <w:t>，山东牡蛎产量</w:t>
      </w:r>
      <w:r>
        <w:rPr>
          <w:rFonts w:eastAsiaTheme="minorEastAsia"/>
          <w:sz w:val="24"/>
        </w:rPr>
        <w:t>97.1</w:t>
      </w:r>
      <w:r>
        <w:rPr>
          <w:rFonts w:eastAsiaTheme="minorEastAsia"/>
          <w:sz w:val="24"/>
        </w:rPr>
        <w:t>万</w:t>
      </w:r>
      <w:r>
        <w:rPr>
          <w:rFonts w:eastAsiaTheme="minorEastAsia"/>
          <w:sz w:val="24"/>
        </w:rPr>
        <w:t>t</w:t>
      </w:r>
      <w:r>
        <w:rPr>
          <w:rFonts w:eastAsiaTheme="minorEastAsia"/>
          <w:sz w:val="24"/>
        </w:rPr>
        <w:t>（位列全国第三），乳山牡蛎产量</w:t>
      </w:r>
      <w:r>
        <w:rPr>
          <w:rFonts w:eastAsiaTheme="minorEastAsia"/>
          <w:sz w:val="24"/>
        </w:rPr>
        <w:t>38</w:t>
      </w:r>
      <w:r>
        <w:rPr>
          <w:rFonts w:eastAsiaTheme="minorEastAsia"/>
          <w:sz w:val="24"/>
        </w:rPr>
        <w:t>万</w:t>
      </w:r>
      <w:r>
        <w:rPr>
          <w:rFonts w:eastAsiaTheme="minorEastAsia"/>
          <w:sz w:val="24"/>
        </w:rPr>
        <w:t>t</w:t>
      </w:r>
      <w:r>
        <w:rPr>
          <w:rFonts w:eastAsiaTheme="minorEastAsia"/>
          <w:sz w:val="24"/>
        </w:rPr>
        <w:t>，居全国县级单位首位。</w:t>
      </w:r>
    </w:p>
    <w:p w14:paraId="4B41C278" w14:textId="77777777" w:rsidR="004F39F6" w:rsidRDefault="00731C67">
      <w:pPr>
        <w:spacing w:line="360" w:lineRule="auto"/>
        <w:ind w:firstLine="420"/>
        <w:rPr>
          <w:rFonts w:eastAsiaTheme="minorEastAsia"/>
          <w:sz w:val="24"/>
        </w:rPr>
      </w:pPr>
      <w:r>
        <w:rPr>
          <w:rFonts w:eastAsiaTheme="minorEastAsia"/>
          <w:sz w:val="24"/>
        </w:rPr>
        <w:t>（三）加工</w:t>
      </w:r>
    </w:p>
    <w:p w14:paraId="34CE4924" w14:textId="77777777" w:rsidR="004F39F6" w:rsidRDefault="00731C67">
      <w:pPr>
        <w:spacing w:line="360" w:lineRule="auto"/>
        <w:ind w:firstLine="420"/>
        <w:rPr>
          <w:rFonts w:eastAsiaTheme="minorEastAsia"/>
          <w:sz w:val="24"/>
        </w:rPr>
      </w:pPr>
      <w:r>
        <w:rPr>
          <w:rFonts w:eastAsiaTheme="minorEastAsia"/>
          <w:sz w:val="24"/>
        </w:rPr>
        <w:t>乳山市现有从事牡蛎暂养净化鲜品销售的初级加工企业</w:t>
      </w:r>
      <w:r>
        <w:rPr>
          <w:rFonts w:eastAsiaTheme="minorEastAsia"/>
          <w:sz w:val="24"/>
        </w:rPr>
        <w:t>200</w:t>
      </w:r>
      <w:r>
        <w:rPr>
          <w:rFonts w:eastAsiaTheme="minorEastAsia"/>
          <w:sz w:val="24"/>
        </w:rPr>
        <w:t>余家，年销售洗净及净化牡蛎约</w:t>
      </w:r>
      <w:r>
        <w:rPr>
          <w:rFonts w:eastAsiaTheme="minorEastAsia"/>
          <w:sz w:val="24"/>
        </w:rPr>
        <w:t>25</w:t>
      </w:r>
      <w:r>
        <w:rPr>
          <w:rFonts w:eastAsiaTheme="minorEastAsia"/>
          <w:sz w:val="24"/>
        </w:rPr>
        <w:t>万</w:t>
      </w:r>
      <w:r>
        <w:rPr>
          <w:rFonts w:eastAsiaTheme="minorEastAsia"/>
          <w:sz w:val="24"/>
        </w:rPr>
        <w:t>t</w:t>
      </w:r>
      <w:r>
        <w:rPr>
          <w:rFonts w:eastAsiaTheme="minorEastAsia"/>
          <w:sz w:val="24"/>
        </w:rPr>
        <w:t>，产值约</w:t>
      </w:r>
      <w:r>
        <w:rPr>
          <w:rFonts w:eastAsiaTheme="minorEastAsia"/>
          <w:sz w:val="24"/>
        </w:rPr>
        <w:t>50</w:t>
      </w:r>
      <w:r>
        <w:rPr>
          <w:rFonts w:eastAsiaTheme="minorEastAsia"/>
          <w:sz w:val="24"/>
        </w:rPr>
        <w:t>亿元。现有牡蛎相关加工企业</w:t>
      </w:r>
      <w:r>
        <w:rPr>
          <w:rFonts w:eastAsiaTheme="minorEastAsia"/>
          <w:sz w:val="24"/>
        </w:rPr>
        <w:t>11</w:t>
      </w:r>
      <w:r>
        <w:rPr>
          <w:rFonts w:eastAsiaTheme="minorEastAsia"/>
          <w:sz w:val="24"/>
        </w:rPr>
        <w:t>家，主要</w:t>
      </w:r>
      <w:proofErr w:type="gramStart"/>
      <w:r>
        <w:rPr>
          <w:rFonts w:eastAsiaTheme="minorEastAsia"/>
          <w:sz w:val="24"/>
        </w:rPr>
        <w:t>生产单冻牡蛎</w:t>
      </w:r>
      <w:proofErr w:type="gramEnd"/>
      <w:r>
        <w:rPr>
          <w:rFonts w:eastAsiaTheme="minorEastAsia"/>
          <w:sz w:val="24"/>
        </w:rPr>
        <w:t>肉、半壳牡蛎、牡蛎肽、牡蛎保健品、牡蛎精华素等，年加工产量</w:t>
      </w:r>
      <w:r>
        <w:rPr>
          <w:rFonts w:eastAsiaTheme="minorEastAsia"/>
          <w:sz w:val="24"/>
        </w:rPr>
        <w:t>7</w:t>
      </w:r>
      <w:r>
        <w:rPr>
          <w:rFonts w:eastAsiaTheme="minorEastAsia"/>
          <w:sz w:val="24"/>
        </w:rPr>
        <w:t>万余</w:t>
      </w:r>
      <w:r>
        <w:rPr>
          <w:rFonts w:eastAsiaTheme="minorEastAsia"/>
          <w:sz w:val="24"/>
        </w:rPr>
        <w:t>t</w:t>
      </w:r>
      <w:r>
        <w:rPr>
          <w:rFonts w:eastAsiaTheme="minorEastAsia"/>
          <w:sz w:val="24"/>
        </w:rPr>
        <w:t>，产值达</w:t>
      </w:r>
      <w:r>
        <w:rPr>
          <w:rFonts w:eastAsiaTheme="minorEastAsia"/>
          <w:sz w:val="24"/>
        </w:rPr>
        <w:t>16</w:t>
      </w:r>
      <w:r>
        <w:rPr>
          <w:rFonts w:eastAsiaTheme="minorEastAsia"/>
          <w:sz w:val="24"/>
        </w:rPr>
        <w:t>亿</w:t>
      </w:r>
      <w:r>
        <w:rPr>
          <w:rFonts w:eastAsiaTheme="minorEastAsia"/>
          <w:sz w:val="24"/>
        </w:rPr>
        <w:t>元，产品畅销日本、韩国、东南亚等</w:t>
      </w:r>
      <w:r>
        <w:rPr>
          <w:rFonts w:eastAsiaTheme="minorEastAsia"/>
          <w:sz w:val="24"/>
        </w:rPr>
        <w:t>15</w:t>
      </w:r>
      <w:r>
        <w:rPr>
          <w:rFonts w:eastAsiaTheme="minorEastAsia"/>
          <w:sz w:val="24"/>
        </w:rPr>
        <w:t>个国家和地区。</w:t>
      </w:r>
    </w:p>
    <w:p w14:paraId="68D8B1DB" w14:textId="77777777" w:rsidR="004F39F6" w:rsidRDefault="00731C67">
      <w:pPr>
        <w:spacing w:line="360" w:lineRule="auto"/>
        <w:ind w:firstLine="420"/>
        <w:rPr>
          <w:rFonts w:eastAsiaTheme="minorEastAsia"/>
          <w:sz w:val="24"/>
        </w:rPr>
      </w:pPr>
      <w:r>
        <w:rPr>
          <w:rFonts w:eastAsiaTheme="minorEastAsia"/>
          <w:sz w:val="24"/>
        </w:rPr>
        <w:t>（四）销售</w:t>
      </w:r>
    </w:p>
    <w:p w14:paraId="5C2C1F36" w14:textId="77777777" w:rsidR="004F39F6" w:rsidRDefault="00731C67">
      <w:pPr>
        <w:spacing w:line="360" w:lineRule="auto"/>
        <w:ind w:firstLine="420"/>
        <w:rPr>
          <w:rFonts w:eastAsiaTheme="minorEastAsia"/>
          <w:sz w:val="24"/>
        </w:rPr>
      </w:pPr>
      <w:r>
        <w:rPr>
          <w:rFonts w:eastAsiaTheme="minorEastAsia"/>
          <w:sz w:val="24"/>
        </w:rPr>
        <w:t>据调查，鲜品泥货上岸后直接进入烟台市、威海市、城阳市等地水产批发市场销售量约</w:t>
      </w:r>
      <w:r>
        <w:rPr>
          <w:rFonts w:eastAsiaTheme="minorEastAsia"/>
          <w:sz w:val="24"/>
        </w:rPr>
        <w:t>3</w:t>
      </w:r>
      <w:r>
        <w:rPr>
          <w:rFonts w:eastAsiaTheme="minorEastAsia"/>
          <w:sz w:val="24"/>
        </w:rPr>
        <w:t>万</w:t>
      </w:r>
      <w:r>
        <w:rPr>
          <w:rFonts w:eastAsiaTheme="minorEastAsia"/>
          <w:sz w:val="24"/>
        </w:rPr>
        <w:t>t</w:t>
      </w:r>
      <w:r>
        <w:rPr>
          <w:rFonts w:eastAsiaTheme="minorEastAsia"/>
          <w:sz w:val="24"/>
        </w:rPr>
        <w:t>，进入初级加工厂的销售量约</w:t>
      </w:r>
      <w:r>
        <w:rPr>
          <w:rFonts w:eastAsiaTheme="minorEastAsia"/>
          <w:sz w:val="24"/>
        </w:rPr>
        <w:t>30</w:t>
      </w:r>
      <w:r>
        <w:rPr>
          <w:rFonts w:eastAsiaTheme="minorEastAsia"/>
          <w:sz w:val="24"/>
        </w:rPr>
        <w:t>万</w:t>
      </w:r>
      <w:r>
        <w:rPr>
          <w:rFonts w:eastAsiaTheme="minorEastAsia"/>
          <w:sz w:val="24"/>
        </w:rPr>
        <w:t>t</w:t>
      </w:r>
      <w:r>
        <w:rPr>
          <w:rFonts w:eastAsiaTheme="minorEastAsia"/>
          <w:sz w:val="24"/>
        </w:rPr>
        <w:t>，用于加工冷冻半壳牡蛎、牡蛎罐头、牡蛎肽等深加工用量约</w:t>
      </w:r>
      <w:r>
        <w:rPr>
          <w:rFonts w:eastAsiaTheme="minorEastAsia"/>
          <w:sz w:val="24"/>
        </w:rPr>
        <w:t>5</w:t>
      </w:r>
      <w:r>
        <w:rPr>
          <w:rFonts w:eastAsiaTheme="minorEastAsia"/>
          <w:sz w:val="24"/>
        </w:rPr>
        <w:t>万</w:t>
      </w:r>
      <w:r>
        <w:rPr>
          <w:rFonts w:eastAsiaTheme="minorEastAsia"/>
          <w:sz w:val="24"/>
        </w:rPr>
        <w:t>t</w:t>
      </w:r>
      <w:r>
        <w:rPr>
          <w:rFonts w:eastAsiaTheme="minorEastAsia"/>
          <w:sz w:val="24"/>
        </w:rPr>
        <w:t>（乳山市、蓬莱市、荣成市等地加工厂）。</w:t>
      </w:r>
    </w:p>
    <w:p w14:paraId="23B62FBD" w14:textId="77777777" w:rsidR="004F39F6" w:rsidRDefault="00731C67">
      <w:pPr>
        <w:spacing w:line="360" w:lineRule="auto"/>
        <w:ind w:firstLine="420"/>
        <w:rPr>
          <w:rFonts w:eastAsiaTheme="minorEastAsia"/>
          <w:sz w:val="24"/>
        </w:rPr>
      </w:pPr>
      <w:r>
        <w:rPr>
          <w:rFonts w:eastAsiaTheme="minorEastAsia"/>
          <w:sz w:val="24"/>
        </w:rPr>
        <w:t>乳山牡蛎鲜品销售覆盖北京市、上海市、杭州市、广州市、西安市、成都市、深圳市、厦门市等国内大中城市，在高端市场的占有率居国产牡蛎第一位。近年随着牡蛎鲜品电商销售的快速发展，乳山牡蛎销售范围更是通达全国各地。截至</w:t>
      </w:r>
      <w:r>
        <w:rPr>
          <w:rFonts w:eastAsiaTheme="minorEastAsia"/>
          <w:sz w:val="24"/>
        </w:rPr>
        <w:t>2020</w:t>
      </w:r>
      <w:r>
        <w:rPr>
          <w:rFonts w:eastAsiaTheme="minorEastAsia"/>
          <w:sz w:val="24"/>
        </w:rPr>
        <w:t>年底，乳山市</w:t>
      </w:r>
      <w:proofErr w:type="gramStart"/>
      <w:r>
        <w:rPr>
          <w:rFonts w:eastAsiaTheme="minorEastAsia"/>
          <w:sz w:val="24"/>
        </w:rPr>
        <w:t>牡蛎</w:t>
      </w:r>
      <w:r>
        <w:rPr>
          <w:rFonts w:eastAsiaTheme="minorEastAsia"/>
          <w:sz w:val="24"/>
        </w:rPr>
        <w:t>电</w:t>
      </w:r>
      <w:proofErr w:type="gramEnd"/>
      <w:r>
        <w:rPr>
          <w:rFonts w:eastAsiaTheme="minorEastAsia"/>
          <w:sz w:val="24"/>
        </w:rPr>
        <w:t>商从业人员达</w:t>
      </w:r>
      <w:r>
        <w:rPr>
          <w:rFonts w:eastAsiaTheme="minorEastAsia"/>
          <w:sz w:val="24"/>
        </w:rPr>
        <w:t>0.3</w:t>
      </w:r>
      <w:r>
        <w:rPr>
          <w:rFonts w:eastAsiaTheme="minorEastAsia"/>
          <w:sz w:val="24"/>
        </w:rPr>
        <w:t>万人，</w:t>
      </w:r>
      <w:proofErr w:type="gramStart"/>
      <w:r>
        <w:rPr>
          <w:rFonts w:eastAsiaTheme="minorEastAsia"/>
          <w:sz w:val="24"/>
        </w:rPr>
        <w:t>年电商</w:t>
      </w:r>
      <w:proofErr w:type="gramEnd"/>
      <w:r>
        <w:rPr>
          <w:rFonts w:eastAsiaTheme="minorEastAsia"/>
          <w:sz w:val="24"/>
        </w:rPr>
        <w:t>销售牡蛎达</w:t>
      </w:r>
      <w:r>
        <w:rPr>
          <w:rFonts w:eastAsiaTheme="minorEastAsia"/>
          <w:sz w:val="24"/>
        </w:rPr>
        <w:t>15</w:t>
      </w:r>
      <w:r>
        <w:rPr>
          <w:rFonts w:eastAsiaTheme="minorEastAsia"/>
          <w:sz w:val="24"/>
        </w:rPr>
        <w:t>万</w:t>
      </w:r>
      <w:r>
        <w:rPr>
          <w:rFonts w:eastAsiaTheme="minorEastAsia"/>
          <w:sz w:val="24"/>
        </w:rPr>
        <w:t>t</w:t>
      </w:r>
      <w:r>
        <w:rPr>
          <w:rFonts w:eastAsiaTheme="minorEastAsia"/>
          <w:sz w:val="24"/>
        </w:rPr>
        <w:t>，电商销售额</w:t>
      </w:r>
      <w:r>
        <w:rPr>
          <w:rFonts w:eastAsiaTheme="minorEastAsia"/>
          <w:sz w:val="24"/>
        </w:rPr>
        <w:t>30</w:t>
      </w:r>
      <w:r>
        <w:rPr>
          <w:rFonts w:eastAsiaTheme="minorEastAsia"/>
          <w:sz w:val="24"/>
        </w:rPr>
        <w:t>亿元以上。</w:t>
      </w:r>
    </w:p>
    <w:p w14:paraId="1F522653" w14:textId="77777777" w:rsidR="004F39F6" w:rsidRDefault="00731C67">
      <w:pPr>
        <w:spacing w:line="360" w:lineRule="auto"/>
        <w:ind w:firstLine="420"/>
        <w:rPr>
          <w:rFonts w:eastAsiaTheme="minorEastAsia"/>
          <w:sz w:val="24"/>
        </w:rPr>
      </w:pPr>
      <w:r>
        <w:rPr>
          <w:rFonts w:eastAsiaTheme="minorEastAsia"/>
          <w:sz w:val="24"/>
        </w:rPr>
        <w:t>（五）废弃物利用</w:t>
      </w:r>
    </w:p>
    <w:p w14:paraId="2D950EA0" w14:textId="77777777" w:rsidR="004F39F6" w:rsidRDefault="00731C67">
      <w:pPr>
        <w:spacing w:line="360" w:lineRule="auto"/>
        <w:ind w:firstLine="420"/>
        <w:rPr>
          <w:rFonts w:eastAsiaTheme="minorEastAsia"/>
          <w:sz w:val="24"/>
        </w:rPr>
      </w:pPr>
      <w:r>
        <w:rPr>
          <w:rFonts w:eastAsiaTheme="minorEastAsia"/>
          <w:sz w:val="24"/>
        </w:rPr>
        <w:t>乳山市充分利用牡蛎壳等废弃物，变废为宝，大力发展链条</w:t>
      </w:r>
      <w:r>
        <w:rPr>
          <w:rFonts w:eastAsiaTheme="minorEastAsia"/>
          <w:sz w:val="24"/>
        </w:rPr>
        <w:t>“</w:t>
      </w:r>
      <w:r>
        <w:rPr>
          <w:rFonts w:eastAsiaTheme="minorEastAsia"/>
          <w:sz w:val="24"/>
        </w:rPr>
        <w:t>末端</w:t>
      </w:r>
      <w:r>
        <w:rPr>
          <w:rFonts w:eastAsiaTheme="minorEastAsia"/>
          <w:sz w:val="24"/>
        </w:rPr>
        <w:t>”</w:t>
      </w:r>
      <w:r>
        <w:rPr>
          <w:rFonts w:eastAsiaTheme="minorEastAsia"/>
          <w:sz w:val="24"/>
        </w:rPr>
        <w:t>产业。目前年生产以牡蛎壳为原料加工的土壤调理剂、饲料添加剂等多种相关产品</w:t>
      </w:r>
      <w:r>
        <w:rPr>
          <w:rFonts w:eastAsiaTheme="minorEastAsia"/>
          <w:sz w:val="24"/>
        </w:rPr>
        <w:t>4</w:t>
      </w:r>
      <w:r>
        <w:rPr>
          <w:rFonts w:eastAsiaTheme="minorEastAsia"/>
          <w:sz w:val="24"/>
        </w:rPr>
        <w:t>万余</w:t>
      </w:r>
      <w:r>
        <w:rPr>
          <w:rFonts w:eastAsiaTheme="minorEastAsia"/>
          <w:sz w:val="24"/>
        </w:rPr>
        <w:t>t</w:t>
      </w:r>
      <w:r>
        <w:rPr>
          <w:rFonts w:eastAsiaTheme="minorEastAsia"/>
          <w:sz w:val="24"/>
        </w:rPr>
        <w:t>，产值约</w:t>
      </w:r>
      <w:r>
        <w:rPr>
          <w:rFonts w:eastAsiaTheme="minorEastAsia"/>
          <w:sz w:val="24"/>
        </w:rPr>
        <w:t>6</w:t>
      </w:r>
      <w:r>
        <w:rPr>
          <w:rFonts w:eastAsiaTheme="minorEastAsia"/>
          <w:sz w:val="24"/>
        </w:rPr>
        <w:t>亿元。</w:t>
      </w:r>
    </w:p>
    <w:p w14:paraId="4A5EED1C" w14:textId="77777777" w:rsidR="004F39F6" w:rsidRDefault="00731C67">
      <w:pPr>
        <w:spacing w:line="360" w:lineRule="auto"/>
        <w:ind w:firstLine="420"/>
        <w:rPr>
          <w:rFonts w:eastAsiaTheme="minorEastAsia"/>
          <w:sz w:val="24"/>
        </w:rPr>
      </w:pPr>
      <w:r>
        <w:rPr>
          <w:rFonts w:eastAsiaTheme="minorEastAsia"/>
          <w:sz w:val="24"/>
        </w:rPr>
        <w:t>（六）包装辅料加工</w:t>
      </w:r>
    </w:p>
    <w:p w14:paraId="36BB34F9" w14:textId="77777777" w:rsidR="004F39F6" w:rsidRDefault="00731C67">
      <w:pPr>
        <w:spacing w:line="360" w:lineRule="auto"/>
        <w:ind w:firstLine="420"/>
        <w:rPr>
          <w:rFonts w:eastAsiaTheme="minorEastAsia"/>
          <w:sz w:val="24"/>
        </w:rPr>
      </w:pPr>
      <w:r>
        <w:rPr>
          <w:rFonts w:eastAsiaTheme="minorEastAsia"/>
          <w:sz w:val="24"/>
        </w:rPr>
        <w:t>目前，乳山市包装辅料加工生产的产品主要包括纸盒包装箱、泡沫箱、包装袋、胶带、手套、</w:t>
      </w:r>
      <w:proofErr w:type="gramStart"/>
      <w:r>
        <w:rPr>
          <w:rFonts w:eastAsiaTheme="minorEastAsia"/>
          <w:sz w:val="24"/>
        </w:rPr>
        <w:t>蛎</w:t>
      </w:r>
      <w:proofErr w:type="gramEnd"/>
      <w:r>
        <w:rPr>
          <w:rFonts w:eastAsiaTheme="minorEastAsia"/>
          <w:sz w:val="24"/>
        </w:rPr>
        <w:t>刀、冰袋、标贴等产业配套相关方面用品，年产值约</w:t>
      </w:r>
      <w:r>
        <w:rPr>
          <w:rFonts w:eastAsiaTheme="minorEastAsia"/>
          <w:sz w:val="24"/>
        </w:rPr>
        <w:t>2</w:t>
      </w:r>
      <w:r>
        <w:rPr>
          <w:rFonts w:eastAsiaTheme="minorEastAsia"/>
          <w:sz w:val="24"/>
        </w:rPr>
        <w:t>亿元。</w:t>
      </w:r>
    </w:p>
    <w:p w14:paraId="46EBFA37" w14:textId="77777777" w:rsidR="004F39F6" w:rsidRDefault="00731C67">
      <w:pPr>
        <w:spacing w:line="360" w:lineRule="auto"/>
        <w:ind w:firstLine="420"/>
        <w:rPr>
          <w:rFonts w:eastAsiaTheme="minorEastAsia"/>
          <w:sz w:val="24"/>
        </w:rPr>
      </w:pPr>
      <w:r>
        <w:rPr>
          <w:rFonts w:eastAsiaTheme="minorEastAsia"/>
          <w:sz w:val="24"/>
        </w:rPr>
        <w:t>（七）文化旅游</w:t>
      </w:r>
    </w:p>
    <w:p w14:paraId="65EAEDF0" w14:textId="77777777" w:rsidR="004F39F6" w:rsidRDefault="00731C67">
      <w:pPr>
        <w:spacing w:line="360" w:lineRule="auto"/>
        <w:ind w:firstLine="420"/>
        <w:rPr>
          <w:rFonts w:eastAsiaTheme="minorEastAsia"/>
          <w:sz w:val="24"/>
        </w:rPr>
      </w:pPr>
      <w:r>
        <w:rPr>
          <w:rFonts w:eastAsiaTheme="minorEastAsia"/>
          <w:sz w:val="24"/>
        </w:rPr>
        <w:t>农村三产融合发展是党中央、国务院</w:t>
      </w:r>
      <w:proofErr w:type="gramStart"/>
      <w:r>
        <w:rPr>
          <w:rFonts w:eastAsiaTheme="minorEastAsia"/>
          <w:sz w:val="24"/>
        </w:rPr>
        <w:t>作出</w:t>
      </w:r>
      <w:proofErr w:type="gramEnd"/>
      <w:r>
        <w:rPr>
          <w:rFonts w:eastAsiaTheme="minorEastAsia"/>
          <w:sz w:val="24"/>
        </w:rPr>
        <w:t>的重大决策部署，决定性地助推了牡蛎产业做大做强</w:t>
      </w:r>
      <w:r>
        <w:rPr>
          <w:rFonts w:eastAsiaTheme="minorEastAsia"/>
          <w:sz w:val="24"/>
        </w:rPr>
        <w:t>。乳山牡蛎敢于坚持</w:t>
      </w:r>
      <w:r>
        <w:rPr>
          <w:rFonts w:eastAsiaTheme="minorEastAsia"/>
          <w:sz w:val="24"/>
        </w:rPr>
        <w:t>“</w:t>
      </w:r>
      <w:r>
        <w:rPr>
          <w:rFonts w:eastAsiaTheme="minorEastAsia"/>
          <w:sz w:val="24"/>
        </w:rPr>
        <w:t>跳出农业看农业，用工业理念谋划农业</w:t>
      </w:r>
      <w:r>
        <w:rPr>
          <w:rFonts w:eastAsiaTheme="minorEastAsia"/>
          <w:sz w:val="24"/>
        </w:rPr>
        <w:t>”</w:t>
      </w:r>
      <w:r>
        <w:rPr>
          <w:rFonts w:eastAsiaTheme="minorEastAsia"/>
          <w:sz w:val="24"/>
        </w:rPr>
        <w:t>理念，不断探索</w:t>
      </w:r>
      <w:r>
        <w:rPr>
          <w:rFonts w:eastAsiaTheme="minorEastAsia"/>
          <w:sz w:val="24"/>
        </w:rPr>
        <w:t>“</w:t>
      </w:r>
      <w:r>
        <w:rPr>
          <w:rFonts w:eastAsiaTheme="minorEastAsia"/>
          <w:sz w:val="24"/>
        </w:rPr>
        <w:t>牡蛎</w:t>
      </w:r>
      <w:r>
        <w:rPr>
          <w:rFonts w:eastAsiaTheme="minorEastAsia"/>
          <w:sz w:val="24"/>
        </w:rPr>
        <w:t>+</w:t>
      </w:r>
      <w:r>
        <w:rPr>
          <w:rFonts w:eastAsiaTheme="minorEastAsia"/>
          <w:sz w:val="24"/>
        </w:rPr>
        <w:t>旅游</w:t>
      </w:r>
      <w:r>
        <w:rPr>
          <w:rFonts w:eastAsiaTheme="minorEastAsia"/>
          <w:sz w:val="24"/>
        </w:rPr>
        <w:t>+</w:t>
      </w:r>
      <w:r>
        <w:rPr>
          <w:rFonts w:eastAsiaTheme="minorEastAsia"/>
          <w:sz w:val="24"/>
        </w:rPr>
        <w:t>文化</w:t>
      </w:r>
      <w:r>
        <w:rPr>
          <w:rFonts w:eastAsiaTheme="minorEastAsia"/>
          <w:sz w:val="24"/>
        </w:rPr>
        <w:t>”</w:t>
      </w:r>
      <w:r>
        <w:rPr>
          <w:rFonts w:eastAsiaTheme="minorEastAsia"/>
          <w:sz w:val="24"/>
        </w:rPr>
        <w:t>的特色发展道路，开展牡蛎生产观光游，举办专题牡蛎文化节庆活动，建设牡蛎文化展馆等，向全世界展现了原汁原味的乳山牡蛎故事，打破了以前固有的农业</w:t>
      </w:r>
      <w:r>
        <w:rPr>
          <w:rFonts w:eastAsiaTheme="minorEastAsia"/>
          <w:sz w:val="24"/>
        </w:rPr>
        <w:t>“</w:t>
      </w:r>
      <w:r>
        <w:rPr>
          <w:rFonts w:eastAsiaTheme="minorEastAsia"/>
          <w:sz w:val="24"/>
        </w:rPr>
        <w:t>一产</w:t>
      </w:r>
      <w:r>
        <w:rPr>
          <w:rFonts w:eastAsiaTheme="minorEastAsia"/>
          <w:sz w:val="24"/>
        </w:rPr>
        <w:t>”</w:t>
      </w:r>
      <w:r>
        <w:rPr>
          <w:rFonts w:eastAsiaTheme="minorEastAsia"/>
          <w:sz w:val="24"/>
        </w:rPr>
        <w:t>思维，让牡蛎连接上了工业的</w:t>
      </w:r>
      <w:r>
        <w:rPr>
          <w:rFonts w:eastAsiaTheme="minorEastAsia"/>
          <w:sz w:val="24"/>
        </w:rPr>
        <w:t>“</w:t>
      </w:r>
      <w:r>
        <w:rPr>
          <w:rFonts w:eastAsiaTheme="minorEastAsia"/>
          <w:sz w:val="24"/>
        </w:rPr>
        <w:t>二产</w:t>
      </w:r>
      <w:r>
        <w:rPr>
          <w:rFonts w:eastAsiaTheme="minorEastAsia"/>
          <w:sz w:val="24"/>
        </w:rPr>
        <w:t>”</w:t>
      </w:r>
      <w:r>
        <w:rPr>
          <w:rFonts w:eastAsiaTheme="minorEastAsia"/>
          <w:sz w:val="24"/>
        </w:rPr>
        <w:t>和休闲服务的</w:t>
      </w:r>
      <w:r>
        <w:rPr>
          <w:rFonts w:eastAsiaTheme="minorEastAsia"/>
          <w:sz w:val="24"/>
        </w:rPr>
        <w:t>“</w:t>
      </w:r>
      <w:r>
        <w:rPr>
          <w:rFonts w:eastAsiaTheme="minorEastAsia"/>
          <w:sz w:val="24"/>
        </w:rPr>
        <w:t>三产</w:t>
      </w:r>
      <w:r>
        <w:rPr>
          <w:rFonts w:eastAsiaTheme="minorEastAsia"/>
          <w:sz w:val="24"/>
        </w:rPr>
        <w:t>”</w:t>
      </w:r>
      <w:r>
        <w:rPr>
          <w:rFonts w:eastAsiaTheme="minorEastAsia"/>
          <w:sz w:val="24"/>
        </w:rPr>
        <w:t>，实现</w:t>
      </w:r>
      <w:r>
        <w:rPr>
          <w:rFonts w:eastAsiaTheme="minorEastAsia"/>
          <w:sz w:val="24"/>
        </w:rPr>
        <w:t>“</w:t>
      </w:r>
      <w:r>
        <w:rPr>
          <w:rFonts w:eastAsiaTheme="minorEastAsia"/>
          <w:sz w:val="24"/>
        </w:rPr>
        <w:t>接二连三</w:t>
      </w:r>
      <w:r>
        <w:rPr>
          <w:rFonts w:eastAsiaTheme="minorEastAsia"/>
          <w:sz w:val="24"/>
        </w:rPr>
        <w:t>”</w:t>
      </w:r>
      <w:r>
        <w:rPr>
          <w:rFonts w:eastAsiaTheme="minorEastAsia"/>
          <w:sz w:val="24"/>
        </w:rPr>
        <w:t>牡蛎产业全链条发展，稳步踏上了产业发展的</w:t>
      </w:r>
      <w:r>
        <w:rPr>
          <w:rFonts w:eastAsiaTheme="minorEastAsia"/>
          <w:sz w:val="24"/>
        </w:rPr>
        <w:t>“</w:t>
      </w:r>
      <w:r>
        <w:rPr>
          <w:rFonts w:eastAsiaTheme="minorEastAsia"/>
          <w:sz w:val="24"/>
        </w:rPr>
        <w:t>高速路</w:t>
      </w:r>
      <w:r>
        <w:rPr>
          <w:rFonts w:eastAsiaTheme="minorEastAsia"/>
          <w:sz w:val="24"/>
        </w:rPr>
        <w:t>”</w:t>
      </w:r>
      <w:r>
        <w:rPr>
          <w:rFonts w:eastAsiaTheme="minorEastAsia"/>
          <w:sz w:val="24"/>
        </w:rPr>
        <w:t>。</w:t>
      </w:r>
    </w:p>
    <w:p w14:paraId="00B707DA" w14:textId="77777777" w:rsidR="004F39F6" w:rsidRDefault="00731C67">
      <w:pPr>
        <w:spacing w:line="360" w:lineRule="auto"/>
        <w:ind w:firstLine="420"/>
        <w:rPr>
          <w:rFonts w:eastAsiaTheme="minorEastAsia"/>
          <w:sz w:val="24"/>
        </w:rPr>
      </w:pPr>
      <w:r>
        <w:rPr>
          <w:rFonts w:eastAsiaTheme="minorEastAsia"/>
          <w:sz w:val="24"/>
        </w:rPr>
        <w:lastRenderedPageBreak/>
        <w:t>二、产业发展经验</w:t>
      </w:r>
    </w:p>
    <w:p w14:paraId="08B4ECBF" w14:textId="77777777" w:rsidR="004F39F6" w:rsidRDefault="00731C67">
      <w:pPr>
        <w:spacing w:line="360" w:lineRule="auto"/>
        <w:jc w:val="center"/>
        <w:rPr>
          <w:rFonts w:eastAsiaTheme="minorEastAsia"/>
          <w:sz w:val="24"/>
        </w:rPr>
      </w:pPr>
      <w:r>
        <w:rPr>
          <w:noProof/>
        </w:rPr>
        <w:drawing>
          <wp:inline distT="0" distB="0" distL="0" distR="0" wp14:anchorId="16AD785F" wp14:editId="17EF99E6">
            <wp:extent cx="2201545" cy="1412240"/>
            <wp:effectExtent l="0" t="0" r="8255"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01545" cy="1412240"/>
                    </a:xfrm>
                    <a:prstGeom prst="rect">
                      <a:avLst/>
                    </a:prstGeom>
                    <a:noFill/>
                    <a:ln>
                      <a:noFill/>
                    </a:ln>
                  </pic:spPr>
                </pic:pic>
              </a:graphicData>
            </a:graphic>
          </wp:inline>
        </w:drawing>
      </w:r>
    </w:p>
    <w:p w14:paraId="1FEB17DB" w14:textId="77777777" w:rsidR="004F39F6" w:rsidRDefault="00731C67">
      <w:pPr>
        <w:spacing w:line="360" w:lineRule="auto"/>
        <w:ind w:firstLine="420"/>
        <w:rPr>
          <w:rFonts w:eastAsiaTheme="minorEastAsia"/>
          <w:sz w:val="24"/>
        </w:rPr>
      </w:pPr>
      <w:r>
        <w:rPr>
          <w:rFonts w:eastAsiaTheme="minorEastAsia"/>
          <w:sz w:val="24"/>
        </w:rPr>
        <w:t>（一）保证政策扶持先行</w:t>
      </w:r>
    </w:p>
    <w:p w14:paraId="18FF01F1" w14:textId="77777777" w:rsidR="004F39F6" w:rsidRDefault="00731C67">
      <w:pPr>
        <w:spacing w:line="360" w:lineRule="auto"/>
        <w:ind w:firstLine="420"/>
        <w:rPr>
          <w:rFonts w:eastAsiaTheme="minorEastAsia"/>
          <w:sz w:val="24"/>
        </w:rPr>
      </w:pPr>
      <w:r>
        <w:rPr>
          <w:rFonts w:eastAsiaTheme="minorEastAsia"/>
          <w:sz w:val="24"/>
        </w:rPr>
        <w:t>在夯实乳山牡蛎产业根基的过程中，政府先动了起来，用刚性行政力促进产业持续健康发展，先后出台《关于加快打</w:t>
      </w:r>
      <w:r>
        <w:rPr>
          <w:rFonts w:eastAsiaTheme="minorEastAsia"/>
          <w:sz w:val="24"/>
        </w:rPr>
        <w:t>造现代海洋产业</w:t>
      </w:r>
      <w:r>
        <w:rPr>
          <w:rFonts w:eastAsiaTheme="minorEastAsia"/>
          <w:sz w:val="24"/>
        </w:rPr>
        <w:t>“</w:t>
      </w:r>
      <w:r>
        <w:rPr>
          <w:rFonts w:eastAsiaTheme="minorEastAsia"/>
          <w:sz w:val="24"/>
        </w:rPr>
        <w:t>八大板块</w:t>
      </w:r>
      <w:r>
        <w:rPr>
          <w:rFonts w:eastAsiaTheme="minorEastAsia"/>
          <w:sz w:val="24"/>
        </w:rPr>
        <w:t>”</w:t>
      </w:r>
      <w:r>
        <w:rPr>
          <w:rFonts w:eastAsiaTheme="minorEastAsia"/>
          <w:sz w:val="24"/>
        </w:rPr>
        <w:t>的实施意见》《乳山市保护提升乳山牡蛎品牌工作方案》《关于扶持海洋牧场建设的意见（试行）》《乳山市牡蛎养殖保险实施方案》《乳山牡蛎产业发展规划（</w:t>
      </w:r>
      <w:r>
        <w:rPr>
          <w:rFonts w:eastAsiaTheme="minorEastAsia"/>
          <w:sz w:val="24"/>
        </w:rPr>
        <w:t>2018—2022</w:t>
      </w:r>
      <w:r>
        <w:rPr>
          <w:rFonts w:eastAsiaTheme="minorEastAsia"/>
          <w:sz w:val="24"/>
        </w:rPr>
        <w:t>年）》《乳山市海洋经济发展总体方案（</w:t>
      </w:r>
      <w:r>
        <w:rPr>
          <w:rFonts w:eastAsiaTheme="minorEastAsia"/>
          <w:sz w:val="24"/>
        </w:rPr>
        <w:t>2018—2022</w:t>
      </w:r>
      <w:r>
        <w:rPr>
          <w:rFonts w:eastAsiaTheme="minorEastAsia"/>
          <w:sz w:val="24"/>
        </w:rPr>
        <w:t>年）》《乳山牡蛎产业发展和品牌保护工作实施方案》等指导性文件，从规划层面和政策上精准施策推进乳山牡蛎产业的提档升级和可持续发展。</w:t>
      </w:r>
    </w:p>
    <w:p w14:paraId="09FA406D" w14:textId="77777777" w:rsidR="004F39F6" w:rsidRDefault="00731C67">
      <w:pPr>
        <w:spacing w:line="360" w:lineRule="auto"/>
        <w:ind w:firstLine="420"/>
        <w:rPr>
          <w:rFonts w:eastAsiaTheme="minorEastAsia"/>
          <w:sz w:val="24"/>
        </w:rPr>
      </w:pPr>
      <w:r>
        <w:rPr>
          <w:rFonts w:eastAsiaTheme="minorEastAsia"/>
          <w:sz w:val="24"/>
        </w:rPr>
        <w:t>（二）规范产业发展秩序</w:t>
      </w:r>
    </w:p>
    <w:p w14:paraId="60864477" w14:textId="77777777" w:rsidR="004F39F6" w:rsidRDefault="00731C67">
      <w:pPr>
        <w:spacing w:line="360" w:lineRule="auto"/>
        <w:ind w:firstLine="420"/>
        <w:rPr>
          <w:rFonts w:eastAsiaTheme="minorEastAsia"/>
          <w:sz w:val="24"/>
        </w:rPr>
      </w:pPr>
      <w:r>
        <w:rPr>
          <w:rFonts w:eastAsiaTheme="minorEastAsia"/>
          <w:sz w:val="24"/>
        </w:rPr>
        <w:t>乳山牡蛎产业发展和大多水产养殖业一样，面临着小零散乱的局面，为此乳山市委市政府下定决心，摸清牡蛎养殖销售加工从业主体情况等产业关键底数，统一纳入规范管理；科学规划、合理布局建设集牡蛎养殖、初级加工、销售、物流快递、生产服务一体化的牡蛎产业融合发展园区和配套码头等基础设施；组建牡蛎协会秘书处发挥协会行业自律管理职能，开展乳山牡蛎区域品牌管理等措施，规范牡蛎产业发展秩序，推动牡蛎产业迈上园区化、规模化、集约化发展的新台阶。</w:t>
      </w:r>
    </w:p>
    <w:p w14:paraId="19FD6788" w14:textId="77777777" w:rsidR="004F39F6" w:rsidRDefault="00731C67">
      <w:pPr>
        <w:spacing w:line="360" w:lineRule="auto"/>
        <w:ind w:firstLine="420"/>
        <w:rPr>
          <w:rFonts w:eastAsiaTheme="minorEastAsia"/>
          <w:sz w:val="24"/>
        </w:rPr>
      </w:pPr>
      <w:r>
        <w:rPr>
          <w:rFonts w:eastAsiaTheme="minorEastAsia"/>
          <w:sz w:val="24"/>
        </w:rPr>
        <w:t>（三）提高养殖技术含金量</w:t>
      </w:r>
    </w:p>
    <w:p w14:paraId="2979838E" w14:textId="77777777" w:rsidR="004F39F6" w:rsidRDefault="00731C67">
      <w:pPr>
        <w:spacing w:line="360" w:lineRule="auto"/>
        <w:ind w:firstLine="420"/>
        <w:rPr>
          <w:rFonts w:eastAsiaTheme="minorEastAsia"/>
          <w:sz w:val="24"/>
        </w:rPr>
      </w:pPr>
      <w:r>
        <w:rPr>
          <w:rFonts w:eastAsiaTheme="minorEastAsia"/>
          <w:sz w:val="24"/>
        </w:rPr>
        <w:t>“</w:t>
      </w:r>
      <w:r>
        <w:rPr>
          <w:rFonts w:eastAsiaTheme="minorEastAsia"/>
          <w:sz w:val="24"/>
        </w:rPr>
        <w:t>科学技术是第一生产力</w:t>
      </w:r>
      <w:r>
        <w:rPr>
          <w:rFonts w:eastAsiaTheme="minorEastAsia"/>
          <w:sz w:val="24"/>
        </w:rPr>
        <w:t>”</w:t>
      </w:r>
      <w:r>
        <w:rPr>
          <w:rFonts w:eastAsiaTheme="minorEastAsia"/>
          <w:sz w:val="24"/>
        </w:rPr>
        <w:t>，传统</w:t>
      </w:r>
      <w:r>
        <w:rPr>
          <w:rFonts w:eastAsiaTheme="minorEastAsia"/>
          <w:sz w:val="24"/>
        </w:rPr>
        <w:t>“</w:t>
      </w:r>
      <w:r>
        <w:rPr>
          <w:rFonts w:eastAsiaTheme="minorEastAsia"/>
          <w:sz w:val="24"/>
        </w:rPr>
        <w:t>靠天吃饭</w:t>
      </w:r>
      <w:r>
        <w:rPr>
          <w:rFonts w:eastAsiaTheme="minorEastAsia"/>
          <w:sz w:val="24"/>
        </w:rPr>
        <w:t>”</w:t>
      </w:r>
      <w:r>
        <w:rPr>
          <w:rFonts w:eastAsiaTheme="minorEastAsia"/>
          <w:sz w:val="24"/>
        </w:rPr>
        <w:t>的经验式养殖已远不能</w:t>
      </w:r>
      <w:r>
        <w:rPr>
          <w:rFonts w:eastAsiaTheme="minorEastAsia"/>
          <w:sz w:val="24"/>
        </w:rPr>
        <w:t>满足乳山牡蛎高质量发展的需要，因此多年来，乳山市不断强化与中国科学院海洋研究所、中国水产科学研究院黄海水产研究所、中国海洋大学、山东省海洋生物研究院等高等院校和科研单位的产学研推合作，不断引进养殖新品种、新技术、新设施，养殖技术含金量大幅提升。目前，乳山市成功引进的牡蛎新品种主要有长牡蛎</w:t>
      </w:r>
      <w:r>
        <w:rPr>
          <w:rFonts w:eastAsiaTheme="minorEastAsia"/>
          <w:sz w:val="24"/>
        </w:rPr>
        <w:t>“</w:t>
      </w:r>
      <w:r>
        <w:rPr>
          <w:rFonts w:eastAsiaTheme="minorEastAsia"/>
          <w:sz w:val="24"/>
        </w:rPr>
        <w:t>海大</w:t>
      </w:r>
      <w:r>
        <w:rPr>
          <w:rFonts w:eastAsiaTheme="minorEastAsia"/>
          <w:sz w:val="24"/>
        </w:rPr>
        <w:t>1</w:t>
      </w:r>
      <w:r>
        <w:rPr>
          <w:rFonts w:eastAsiaTheme="minorEastAsia"/>
          <w:sz w:val="24"/>
        </w:rPr>
        <w:t>号</w:t>
      </w:r>
      <w:r>
        <w:rPr>
          <w:rFonts w:eastAsiaTheme="minorEastAsia"/>
          <w:sz w:val="24"/>
        </w:rPr>
        <w:t>”“</w:t>
      </w:r>
      <w:r>
        <w:rPr>
          <w:rFonts w:eastAsiaTheme="minorEastAsia"/>
          <w:sz w:val="24"/>
        </w:rPr>
        <w:t>海大</w:t>
      </w:r>
      <w:r>
        <w:rPr>
          <w:rFonts w:eastAsiaTheme="minorEastAsia"/>
          <w:sz w:val="24"/>
        </w:rPr>
        <w:t>2</w:t>
      </w:r>
      <w:r>
        <w:rPr>
          <w:rFonts w:eastAsiaTheme="minorEastAsia"/>
          <w:sz w:val="24"/>
        </w:rPr>
        <w:t>号</w:t>
      </w:r>
      <w:r>
        <w:rPr>
          <w:rFonts w:eastAsiaTheme="minorEastAsia"/>
          <w:sz w:val="24"/>
        </w:rPr>
        <w:t>”“</w:t>
      </w:r>
      <w:r>
        <w:rPr>
          <w:rFonts w:eastAsiaTheme="minorEastAsia"/>
          <w:sz w:val="24"/>
        </w:rPr>
        <w:t>海大</w:t>
      </w:r>
      <w:r>
        <w:rPr>
          <w:rFonts w:eastAsiaTheme="minorEastAsia"/>
          <w:sz w:val="24"/>
        </w:rPr>
        <w:t>3</w:t>
      </w:r>
      <w:r>
        <w:rPr>
          <w:rFonts w:eastAsiaTheme="minorEastAsia"/>
          <w:sz w:val="24"/>
        </w:rPr>
        <w:t>号</w:t>
      </w:r>
      <w:r>
        <w:rPr>
          <w:rFonts w:eastAsiaTheme="minorEastAsia"/>
          <w:sz w:val="24"/>
        </w:rPr>
        <w:t>”“</w:t>
      </w:r>
      <w:r>
        <w:rPr>
          <w:rFonts w:eastAsiaTheme="minorEastAsia"/>
          <w:sz w:val="24"/>
        </w:rPr>
        <w:t>海</w:t>
      </w:r>
      <w:proofErr w:type="gramStart"/>
      <w:r>
        <w:rPr>
          <w:rFonts w:eastAsiaTheme="minorEastAsia"/>
          <w:sz w:val="24"/>
        </w:rPr>
        <w:t>蛎</w:t>
      </w:r>
      <w:proofErr w:type="gramEnd"/>
      <w:r>
        <w:rPr>
          <w:rFonts w:eastAsiaTheme="minorEastAsia"/>
          <w:sz w:val="24"/>
        </w:rPr>
        <w:t>1</w:t>
      </w:r>
      <w:r>
        <w:rPr>
          <w:rFonts w:eastAsiaTheme="minorEastAsia"/>
          <w:sz w:val="24"/>
        </w:rPr>
        <w:t>号</w:t>
      </w:r>
      <w:r>
        <w:rPr>
          <w:rFonts w:eastAsiaTheme="minorEastAsia"/>
          <w:sz w:val="24"/>
        </w:rPr>
        <w:t>”</w:t>
      </w:r>
      <w:r>
        <w:rPr>
          <w:rFonts w:eastAsiaTheme="minorEastAsia"/>
          <w:sz w:val="24"/>
        </w:rPr>
        <w:t>和三倍体长牡蛎，</w:t>
      </w:r>
      <w:r>
        <w:rPr>
          <w:rFonts w:eastAsiaTheme="minorEastAsia"/>
          <w:sz w:val="24"/>
        </w:rPr>
        <w:t>2020</w:t>
      </w:r>
      <w:r>
        <w:rPr>
          <w:rFonts w:eastAsiaTheme="minorEastAsia"/>
          <w:sz w:val="24"/>
        </w:rPr>
        <w:t>年底牡蛎新品种覆盖率已达</w:t>
      </w:r>
      <w:r>
        <w:rPr>
          <w:rFonts w:eastAsiaTheme="minorEastAsia"/>
          <w:sz w:val="24"/>
        </w:rPr>
        <w:t>90%</w:t>
      </w:r>
      <w:r>
        <w:rPr>
          <w:rFonts w:eastAsiaTheme="minorEastAsia"/>
          <w:sz w:val="24"/>
        </w:rPr>
        <w:t>，其中三倍体长牡蛎占比达</w:t>
      </w:r>
      <w:r>
        <w:rPr>
          <w:rFonts w:eastAsiaTheme="minorEastAsia"/>
          <w:sz w:val="24"/>
        </w:rPr>
        <w:t>30%</w:t>
      </w:r>
      <w:r>
        <w:rPr>
          <w:rFonts w:eastAsiaTheme="minorEastAsia"/>
          <w:sz w:val="24"/>
        </w:rPr>
        <w:t>。</w:t>
      </w:r>
    </w:p>
    <w:p w14:paraId="35B8AC70" w14:textId="77777777" w:rsidR="004F39F6" w:rsidRDefault="00731C67">
      <w:pPr>
        <w:spacing w:line="360" w:lineRule="auto"/>
        <w:ind w:firstLine="420"/>
        <w:rPr>
          <w:rFonts w:eastAsiaTheme="minorEastAsia"/>
          <w:sz w:val="24"/>
        </w:rPr>
      </w:pPr>
      <w:r>
        <w:rPr>
          <w:rFonts w:eastAsiaTheme="minorEastAsia"/>
          <w:sz w:val="24"/>
        </w:rPr>
        <w:t>新品种引进后需要同步推进其养殖技术更新，近年来，水产技术人员研发推广了牡蛎筏式生态育肥养</w:t>
      </w:r>
      <w:r>
        <w:rPr>
          <w:rFonts w:eastAsiaTheme="minorEastAsia"/>
          <w:sz w:val="24"/>
        </w:rPr>
        <w:t>殖技术、三倍体牡蛎浅海筏式养殖技术、贝藻生态轮养或间养技术等，在提</w:t>
      </w:r>
      <w:r>
        <w:rPr>
          <w:rFonts w:eastAsiaTheme="minorEastAsia"/>
          <w:sz w:val="24"/>
        </w:rPr>
        <w:lastRenderedPageBreak/>
        <w:t>高养殖效益的同时保护海域生态环境，达到养殖与生态环境的和谐共存。另外，我们也清楚认识到，养殖工具的落后也是导致养殖效益增长缓慢的重要原因，为此经过多方考察学习，乳山市引进推广了一批先进适用的养殖设施设备，推广新型养殖</w:t>
      </w:r>
      <w:proofErr w:type="gramStart"/>
      <w:r>
        <w:rPr>
          <w:rFonts w:eastAsiaTheme="minorEastAsia"/>
          <w:sz w:val="24"/>
        </w:rPr>
        <w:t>笼</w:t>
      </w:r>
      <w:proofErr w:type="gramEnd"/>
      <w:r>
        <w:rPr>
          <w:rFonts w:eastAsiaTheme="minorEastAsia"/>
          <w:sz w:val="24"/>
        </w:rPr>
        <w:t>5</w:t>
      </w:r>
      <w:r>
        <w:rPr>
          <w:rFonts w:eastAsiaTheme="minorEastAsia"/>
          <w:sz w:val="24"/>
        </w:rPr>
        <w:t>万余个，新型环保养殖浮球</w:t>
      </w:r>
      <w:r>
        <w:rPr>
          <w:rFonts w:eastAsiaTheme="minorEastAsia"/>
          <w:sz w:val="24"/>
        </w:rPr>
        <w:t>50</w:t>
      </w:r>
      <w:r>
        <w:rPr>
          <w:rFonts w:eastAsiaTheme="minorEastAsia"/>
          <w:sz w:val="24"/>
        </w:rPr>
        <w:t>万余个、新型船用液压起吊机</w:t>
      </w:r>
      <w:r>
        <w:rPr>
          <w:rFonts w:eastAsiaTheme="minorEastAsia"/>
          <w:sz w:val="24"/>
        </w:rPr>
        <w:t>110</w:t>
      </w:r>
      <w:r>
        <w:rPr>
          <w:rFonts w:eastAsiaTheme="minorEastAsia"/>
          <w:sz w:val="24"/>
        </w:rPr>
        <w:t>余台、</w:t>
      </w:r>
      <w:proofErr w:type="gramStart"/>
      <w:r>
        <w:rPr>
          <w:rFonts w:eastAsiaTheme="minorEastAsia"/>
          <w:sz w:val="24"/>
        </w:rPr>
        <w:t>倒笼机</w:t>
      </w:r>
      <w:proofErr w:type="gramEnd"/>
      <w:r>
        <w:rPr>
          <w:rFonts w:eastAsiaTheme="minorEastAsia"/>
          <w:sz w:val="24"/>
        </w:rPr>
        <w:t>约</w:t>
      </w:r>
      <w:r>
        <w:rPr>
          <w:rFonts w:eastAsiaTheme="minorEastAsia"/>
          <w:sz w:val="24"/>
        </w:rPr>
        <w:t>40</w:t>
      </w:r>
      <w:r>
        <w:rPr>
          <w:rFonts w:eastAsiaTheme="minorEastAsia"/>
          <w:sz w:val="24"/>
        </w:rPr>
        <w:t>台、清洗机约</w:t>
      </w:r>
      <w:r>
        <w:rPr>
          <w:rFonts w:eastAsiaTheme="minorEastAsia"/>
          <w:sz w:val="24"/>
        </w:rPr>
        <w:t>260</w:t>
      </w:r>
      <w:r>
        <w:rPr>
          <w:rFonts w:eastAsiaTheme="minorEastAsia"/>
          <w:sz w:val="24"/>
        </w:rPr>
        <w:t>台、分拣机约</w:t>
      </w:r>
      <w:r>
        <w:rPr>
          <w:rFonts w:eastAsiaTheme="minorEastAsia"/>
          <w:sz w:val="24"/>
        </w:rPr>
        <w:t>220</w:t>
      </w:r>
      <w:r>
        <w:rPr>
          <w:rFonts w:eastAsiaTheme="minorEastAsia"/>
          <w:sz w:val="24"/>
        </w:rPr>
        <w:t>台、打包机约</w:t>
      </w:r>
      <w:r>
        <w:rPr>
          <w:rFonts w:eastAsiaTheme="minorEastAsia"/>
          <w:sz w:val="24"/>
        </w:rPr>
        <w:t>40</w:t>
      </w:r>
      <w:r>
        <w:rPr>
          <w:rFonts w:eastAsiaTheme="minorEastAsia"/>
          <w:sz w:val="24"/>
        </w:rPr>
        <w:t>台等，不仅节约了人力成本，也极大提高了养殖效率。</w:t>
      </w:r>
    </w:p>
    <w:p w14:paraId="08BC13F7" w14:textId="77777777" w:rsidR="004F39F6" w:rsidRDefault="00731C67">
      <w:pPr>
        <w:spacing w:line="360" w:lineRule="auto"/>
        <w:ind w:firstLine="420"/>
        <w:rPr>
          <w:rFonts w:eastAsiaTheme="minorEastAsia"/>
          <w:sz w:val="24"/>
        </w:rPr>
      </w:pPr>
      <w:r>
        <w:rPr>
          <w:rFonts w:eastAsiaTheme="minorEastAsia"/>
          <w:sz w:val="24"/>
        </w:rPr>
        <w:t>为有效解决渔技推广服务</w:t>
      </w:r>
      <w:r>
        <w:rPr>
          <w:rFonts w:eastAsiaTheme="minorEastAsia"/>
          <w:sz w:val="24"/>
        </w:rPr>
        <w:t>“</w:t>
      </w:r>
      <w:r>
        <w:rPr>
          <w:rFonts w:eastAsiaTheme="minorEastAsia"/>
          <w:sz w:val="24"/>
        </w:rPr>
        <w:t>最后一公里</w:t>
      </w:r>
      <w:r>
        <w:rPr>
          <w:rFonts w:eastAsiaTheme="minorEastAsia"/>
          <w:sz w:val="24"/>
        </w:rPr>
        <w:t>”</w:t>
      </w:r>
      <w:r>
        <w:rPr>
          <w:rFonts w:eastAsiaTheme="minorEastAsia"/>
          <w:sz w:val="24"/>
        </w:rPr>
        <w:t>的问题，在原有县、镇两级渔技推广服务网络的前提下，依托乳山市重点渔业片区内的村委、合作社和龙头企业，创新建设了</w:t>
      </w:r>
      <w:r>
        <w:rPr>
          <w:rFonts w:eastAsiaTheme="minorEastAsia"/>
          <w:sz w:val="24"/>
        </w:rPr>
        <w:t>10</w:t>
      </w:r>
      <w:r>
        <w:rPr>
          <w:rFonts w:eastAsiaTheme="minorEastAsia"/>
          <w:sz w:val="24"/>
        </w:rPr>
        <w:t>个渔业技术推广村级服务站，每个服务站选聘一名养殖经验丰富、责任心强的养殖技术能手担任村级技术员，为乳山市渔业技术推广队伍再添</w:t>
      </w:r>
      <w:r>
        <w:rPr>
          <w:rFonts w:eastAsiaTheme="minorEastAsia"/>
          <w:sz w:val="24"/>
        </w:rPr>
        <w:t>“</w:t>
      </w:r>
      <w:r>
        <w:rPr>
          <w:rFonts w:eastAsiaTheme="minorEastAsia"/>
          <w:sz w:val="24"/>
        </w:rPr>
        <w:t>新能量</w:t>
      </w:r>
      <w:r>
        <w:rPr>
          <w:rFonts w:eastAsiaTheme="minorEastAsia"/>
          <w:sz w:val="24"/>
        </w:rPr>
        <w:t>”</w:t>
      </w:r>
      <w:r>
        <w:rPr>
          <w:rFonts w:eastAsiaTheme="minorEastAsia"/>
          <w:sz w:val="24"/>
        </w:rPr>
        <w:t>，构建起县、镇、村三级渔技推广服务网络体系，目前服务站运行良好，技术指导工作开展到位，受到养殖户的一致好评。</w:t>
      </w:r>
    </w:p>
    <w:p w14:paraId="3256A4F3" w14:textId="77777777" w:rsidR="004F39F6" w:rsidRDefault="00731C67">
      <w:pPr>
        <w:spacing w:line="360" w:lineRule="auto"/>
        <w:ind w:firstLine="420"/>
        <w:rPr>
          <w:rFonts w:eastAsiaTheme="minorEastAsia"/>
          <w:sz w:val="24"/>
        </w:rPr>
      </w:pPr>
      <w:r>
        <w:rPr>
          <w:rFonts w:eastAsiaTheme="minorEastAsia"/>
          <w:sz w:val="24"/>
        </w:rPr>
        <w:t>（四）掌握牡蛎行业标准话语权</w:t>
      </w:r>
    </w:p>
    <w:p w14:paraId="4102DD49" w14:textId="77777777" w:rsidR="004F39F6" w:rsidRDefault="00731C67">
      <w:pPr>
        <w:spacing w:line="360" w:lineRule="auto"/>
        <w:ind w:firstLine="420"/>
        <w:rPr>
          <w:rFonts w:eastAsiaTheme="minorEastAsia"/>
          <w:sz w:val="24"/>
        </w:rPr>
      </w:pPr>
      <w:r>
        <w:rPr>
          <w:rFonts w:eastAsiaTheme="minorEastAsia"/>
          <w:sz w:val="24"/>
        </w:rPr>
        <w:t>多年来，乳山并没有固步在自身牡蛎品质优越的老本中不思进取，而是主动在产业标准化建设上用心</w:t>
      </w:r>
      <w:r>
        <w:rPr>
          <w:rFonts w:eastAsiaTheme="minorEastAsia"/>
          <w:sz w:val="24"/>
        </w:rPr>
        <w:t>用力，先后制定山东省地方标准《地理标志产品乳山牡蛎》和《三倍体单体牡蛎浅海筏式养殖技术规范》，同时组织专业技术人员制定了《太平洋牡蛎筏式生态育肥养殖技术流程》《太平洋牡蛎、龙须菜生态轮养技术流程》《牡蛎与龙须菜浅海生态间养技术流程》《牡蛎与裙带菜浅海生态间养技术流程》，乳山牡蛎行业生产标准化水平大幅提升，乳山牡蛎升级为标准化产品，站上产业标准高地。</w:t>
      </w:r>
    </w:p>
    <w:p w14:paraId="25F01FA6" w14:textId="77777777" w:rsidR="004F39F6" w:rsidRDefault="00731C67">
      <w:pPr>
        <w:spacing w:line="360" w:lineRule="auto"/>
        <w:ind w:firstLine="420"/>
        <w:rPr>
          <w:rFonts w:eastAsiaTheme="minorEastAsia"/>
          <w:sz w:val="24"/>
        </w:rPr>
      </w:pPr>
      <w:r>
        <w:rPr>
          <w:rFonts w:eastAsiaTheme="minorEastAsia"/>
          <w:sz w:val="24"/>
        </w:rPr>
        <w:t>（五）拓展电商营销渠道</w:t>
      </w:r>
    </w:p>
    <w:p w14:paraId="07FAECE3" w14:textId="77777777" w:rsidR="004F39F6" w:rsidRDefault="00731C67">
      <w:pPr>
        <w:spacing w:line="360" w:lineRule="auto"/>
        <w:ind w:firstLine="420"/>
        <w:rPr>
          <w:rFonts w:eastAsiaTheme="minorEastAsia"/>
          <w:sz w:val="24"/>
        </w:rPr>
      </w:pPr>
      <w:r>
        <w:rPr>
          <w:rFonts w:eastAsiaTheme="minorEastAsia"/>
          <w:sz w:val="24"/>
        </w:rPr>
        <w:t>顺应互联网时代大众购物消费新趋势，创新</w:t>
      </w:r>
      <w:r>
        <w:rPr>
          <w:rFonts w:eastAsiaTheme="minorEastAsia"/>
          <w:sz w:val="24"/>
        </w:rPr>
        <w:t>“</w:t>
      </w:r>
      <w:r>
        <w:rPr>
          <w:rFonts w:eastAsiaTheme="minorEastAsia"/>
          <w:sz w:val="24"/>
        </w:rPr>
        <w:t>互联网</w:t>
      </w:r>
      <w:r>
        <w:rPr>
          <w:rFonts w:eastAsiaTheme="minorEastAsia"/>
          <w:sz w:val="24"/>
        </w:rPr>
        <w:t>+</w:t>
      </w:r>
      <w:r>
        <w:rPr>
          <w:rFonts w:eastAsiaTheme="minorEastAsia"/>
          <w:sz w:val="24"/>
        </w:rPr>
        <w:t>电商</w:t>
      </w:r>
      <w:r>
        <w:rPr>
          <w:rFonts w:eastAsiaTheme="minorEastAsia"/>
          <w:sz w:val="24"/>
        </w:rPr>
        <w:t>+</w:t>
      </w:r>
      <w:r>
        <w:rPr>
          <w:rFonts w:eastAsiaTheme="minorEastAsia"/>
          <w:sz w:val="24"/>
        </w:rPr>
        <w:t>牡蛎产业园</w:t>
      </w:r>
      <w:r>
        <w:rPr>
          <w:rFonts w:eastAsiaTheme="minorEastAsia"/>
          <w:sz w:val="24"/>
        </w:rPr>
        <w:t>”</w:t>
      </w:r>
      <w:r>
        <w:rPr>
          <w:rFonts w:eastAsiaTheme="minorEastAsia"/>
          <w:sz w:val="24"/>
        </w:rPr>
        <w:t>营销模式，扩展线上销售渠道，运作了金谷之园电子商务产业园、智创电子商务</w:t>
      </w:r>
      <w:r>
        <w:rPr>
          <w:rFonts w:eastAsiaTheme="minorEastAsia"/>
          <w:sz w:val="24"/>
        </w:rPr>
        <w:t>产业基地等项目。先后搭建了特色中国</w:t>
      </w:r>
      <w:r>
        <w:rPr>
          <w:rFonts w:eastAsiaTheme="minorEastAsia"/>
          <w:sz w:val="24"/>
        </w:rPr>
        <w:t>·</w:t>
      </w:r>
      <w:r>
        <w:rPr>
          <w:rFonts w:eastAsiaTheme="minorEastAsia"/>
          <w:sz w:val="24"/>
        </w:rPr>
        <w:t>乳山馆、京东</w:t>
      </w:r>
      <w:r>
        <w:rPr>
          <w:rFonts w:eastAsiaTheme="minorEastAsia"/>
          <w:sz w:val="24"/>
        </w:rPr>
        <w:t>·</w:t>
      </w:r>
      <w:r>
        <w:rPr>
          <w:rFonts w:eastAsiaTheme="minorEastAsia"/>
          <w:sz w:val="24"/>
        </w:rPr>
        <w:t>乳山馆、</w:t>
      </w:r>
      <w:proofErr w:type="gramStart"/>
      <w:r>
        <w:rPr>
          <w:rFonts w:eastAsiaTheme="minorEastAsia"/>
          <w:sz w:val="24"/>
        </w:rPr>
        <w:t>赶海网</w:t>
      </w:r>
      <w:proofErr w:type="gramEnd"/>
      <w:r>
        <w:rPr>
          <w:rFonts w:eastAsiaTheme="minorEastAsia"/>
          <w:sz w:val="24"/>
        </w:rPr>
        <w:t>等本地电商平台，带动涌现出了贝司令、大乳山老船长、久鼎、南泓村等一批海产品电商销售龙头企业；依托阿里巴巴</w:t>
      </w:r>
      <w:r>
        <w:rPr>
          <w:rFonts w:eastAsiaTheme="minorEastAsia"/>
          <w:sz w:val="24"/>
        </w:rPr>
        <w:t>“</w:t>
      </w:r>
      <w:r>
        <w:rPr>
          <w:rFonts w:eastAsiaTheme="minorEastAsia"/>
          <w:sz w:val="24"/>
        </w:rPr>
        <w:t>千县万村</w:t>
      </w:r>
      <w:r>
        <w:rPr>
          <w:rFonts w:eastAsiaTheme="minorEastAsia"/>
          <w:sz w:val="24"/>
        </w:rPr>
        <w:t>”</w:t>
      </w:r>
      <w:r>
        <w:rPr>
          <w:rFonts w:eastAsiaTheme="minorEastAsia"/>
          <w:sz w:val="24"/>
        </w:rPr>
        <w:t>计划大力</w:t>
      </w:r>
      <w:proofErr w:type="gramStart"/>
      <w:r>
        <w:rPr>
          <w:rFonts w:eastAsiaTheme="minorEastAsia"/>
          <w:sz w:val="24"/>
        </w:rPr>
        <w:t>发展淘宝村</w:t>
      </w:r>
      <w:proofErr w:type="gramEnd"/>
      <w:r>
        <w:rPr>
          <w:rFonts w:eastAsiaTheme="minorEastAsia"/>
          <w:sz w:val="24"/>
        </w:rPr>
        <w:t>、农村电商；对接中国水产商务网等行业网站和京东</w:t>
      </w:r>
      <w:proofErr w:type="gramStart"/>
      <w:r>
        <w:rPr>
          <w:rFonts w:eastAsiaTheme="minorEastAsia"/>
          <w:sz w:val="24"/>
        </w:rPr>
        <w:t>商城等电商</w:t>
      </w:r>
      <w:proofErr w:type="gramEnd"/>
      <w:r>
        <w:rPr>
          <w:rFonts w:eastAsiaTheme="minorEastAsia"/>
          <w:sz w:val="24"/>
        </w:rPr>
        <w:t>企业，设立</w:t>
      </w:r>
      <w:r>
        <w:rPr>
          <w:rFonts w:eastAsiaTheme="minorEastAsia"/>
          <w:sz w:val="24"/>
        </w:rPr>
        <w:t>“</w:t>
      </w:r>
      <w:r>
        <w:rPr>
          <w:rFonts w:eastAsiaTheme="minorEastAsia"/>
          <w:sz w:val="24"/>
        </w:rPr>
        <w:t>乳山牡蛎专营店</w:t>
      </w:r>
      <w:r>
        <w:rPr>
          <w:rFonts w:eastAsiaTheme="minorEastAsia"/>
          <w:sz w:val="24"/>
        </w:rPr>
        <w:t>”</w:t>
      </w:r>
      <w:r>
        <w:rPr>
          <w:rFonts w:eastAsiaTheme="minorEastAsia"/>
          <w:sz w:val="24"/>
        </w:rPr>
        <w:t>，大力推进牡蛎电子交易。同时，利用</w:t>
      </w:r>
      <w:proofErr w:type="gramStart"/>
      <w:r>
        <w:rPr>
          <w:rFonts w:eastAsiaTheme="minorEastAsia"/>
          <w:sz w:val="24"/>
        </w:rPr>
        <w:t>微信平台</w:t>
      </w:r>
      <w:proofErr w:type="gramEnd"/>
      <w:r>
        <w:rPr>
          <w:rFonts w:eastAsiaTheme="minorEastAsia"/>
          <w:sz w:val="24"/>
        </w:rPr>
        <w:t>进行销售的趋势与日俱增。据统计，上市期间乳山牡蛎的网络搜索量、排名、订单量均远超福建省、广东省、广西壮族自治区等国内牡蛎知名产地，线上市场占有率超过</w:t>
      </w:r>
      <w:r>
        <w:rPr>
          <w:rFonts w:eastAsiaTheme="minorEastAsia"/>
          <w:sz w:val="24"/>
        </w:rPr>
        <w:t>70%</w:t>
      </w:r>
      <w:r>
        <w:rPr>
          <w:rFonts w:eastAsiaTheme="minorEastAsia"/>
          <w:sz w:val="24"/>
        </w:rPr>
        <w:t>。</w:t>
      </w:r>
    </w:p>
    <w:p w14:paraId="405E822D" w14:textId="77777777" w:rsidR="004F39F6" w:rsidRDefault="00731C67">
      <w:pPr>
        <w:spacing w:line="360" w:lineRule="auto"/>
        <w:ind w:firstLine="420"/>
        <w:rPr>
          <w:rFonts w:eastAsiaTheme="minorEastAsia"/>
          <w:sz w:val="24"/>
        </w:rPr>
      </w:pPr>
      <w:r>
        <w:rPr>
          <w:rFonts w:eastAsiaTheme="minorEastAsia"/>
          <w:sz w:val="24"/>
        </w:rPr>
        <w:t>（六）放大牡蛎品牌效应</w:t>
      </w:r>
    </w:p>
    <w:p w14:paraId="04B4DDA8" w14:textId="77777777" w:rsidR="004F39F6" w:rsidRDefault="00731C67">
      <w:pPr>
        <w:spacing w:line="360" w:lineRule="auto"/>
        <w:ind w:firstLine="420"/>
        <w:rPr>
          <w:rFonts w:eastAsiaTheme="minorEastAsia"/>
          <w:sz w:val="24"/>
        </w:rPr>
      </w:pPr>
      <w:r>
        <w:rPr>
          <w:rFonts w:eastAsiaTheme="minorEastAsia"/>
          <w:sz w:val="24"/>
        </w:rPr>
        <w:t>乳山牡</w:t>
      </w:r>
      <w:r>
        <w:rPr>
          <w:rFonts w:eastAsiaTheme="minorEastAsia"/>
          <w:sz w:val="24"/>
        </w:rPr>
        <w:t>蛎虽然经历了很长一段时间的</w:t>
      </w:r>
      <w:r>
        <w:rPr>
          <w:rFonts w:eastAsiaTheme="minorEastAsia"/>
          <w:sz w:val="24"/>
        </w:rPr>
        <w:t>“</w:t>
      </w:r>
      <w:r>
        <w:rPr>
          <w:rFonts w:eastAsiaTheme="minorEastAsia"/>
          <w:sz w:val="24"/>
        </w:rPr>
        <w:t>有名品、无名牌</w:t>
      </w:r>
      <w:r>
        <w:rPr>
          <w:rFonts w:eastAsiaTheme="minorEastAsia"/>
          <w:sz w:val="24"/>
        </w:rPr>
        <w:t>”“</w:t>
      </w:r>
      <w:r>
        <w:rPr>
          <w:rFonts w:eastAsiaTheme="minorEastAsia"/>
          <w:sz w:val="24"/>
        </w:rPr>
        <w:t>优质不优价、好货不好销</w:t>
      </w:r>
      <w:r>
        <w:rPr>
          <w:rFonts w:eastAsiaTheme="minorEastAsia"/>
          <w:sz w:val="24"/>
        </w:rPr>
        <w:t>”</w:t>
      </w:r>
      <w:r>
        <w:rPr>
          <w:rFonts w:eastAsiaTheme="minorEastAsia"/>
          <w:sz w:val="24"/>
        </w:rPr>
        <w:t>的困境，但后来乳山市开始重视品牌建设，品牌影响力持续提升。</w:t>
      </w:r>
    </w:p>
    <w:p w14:paraId="29A81953" w14:textId="77777777" w:rsidR="004F39F6" w:rsidRDefault="00731C67">
      <w:pPr>
        <w:spacing w:line="360" w:lineRule="auto"/>
        <w:jc w:val="center"/>
        <w:rPr>
          <w:rFonts w:eastAsiaTheme="minorEastAsia"/>
          <w:sz w:val="24"/>
        </w:rPr>
      </w:pPr>
      <w:r>
        <w:rPr>
          <w:noProof/>
        </w:rPr>
        <w:lastRenderedPageBreak/>
        <w:drawing>
          <wp:inline distT="0" distB="0" distL="0" distR="0" wp14:anchorId="5DEFC7AC" wp14:editId="52CBF763">
            <wp:extent cx="1807845" cy="1223010"/>
            <wp:effectExtent l="0" t="0" r="8255"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07845" cy="1223010"/>
                    </a:xfrm>
                    <a:prstGeom prst="rect">
                      <a:avLst/>
                    </a:prstGeom>
                    <a:noFill/>
                    <a:ln>
                      <a:noFill/>
                    </a:ln>
                  </pic:spPr>
                </pic:pic>
              </a:graphicData>
            </a:graphic>
          </wp:inline>
        </w:drawing>
      </w:r>
    </w:p>
    <w:p w14:paraId="30E04DD6" w14:textId="77777777" w:rsidR="004F39F6" w:rsidRDefault="00731C67">
      <w:pPr>
        <w:spacing w:line="360" w:lineRule="auto"/>
        <w:jc w:val="center"/>
        <w:rPr>
          <w:rFonts w:eastAsiaTheme="minorEastAsia"/>
          <w:sz w:val="24"/>
        </w:rPr>
      </w:pPr>
      <w:r>
        <w:rPr>
          <w:rFonts w:eastAsiaTheme="minorEastAsia"/>
          <w:sz w:val="24"/>
        </w:rPr>
        <w:t>图</w:t>
      </w:r>
      <w:r>
        <w:rPr>
          <w:rFonts w:eastAsiaTheme="minorEastAsia"/>
          <w:sz w:val="24"/>
        </w:rPr>
        <w:t xml:space="preserve">2 </w:t>
      </w:r>
      <w:r>
        <w:rPr>
          <w:rFonts w:eastAsiaTheme="minorEastAsia"/>
          <w:sz w:val="24"/>
        </w:rPr>
        <w:t>海上观光平台</w:t>
      </w:r>
    </w:p>
    <w:p w14:paraId="2816C590" w14:textId="77777777" w:rsidR="004F39F6" w:rsidRDefault="00731C67">
      <w:pPr>
        <w:spacing w:line="360" w:lineRule="auto"/>
        <w:ind w:firstLine="420"/>
        <w:rPr>
          <w:rFonts w:eastAsiaTheme="minorEastAsia"/>
          <w:sz w:val="24"/>
        </w:rPr>
      </w:pPr>
      <w:r>
        <w:rPr>
          <w:rFonts w:eastAsiaTheme="minorEastAsia"/>
          <w:sz w:val="24"/>
        </w:rPr>
        <w:t xml:space="preserve">1. </w:t>
      </w:r>
      <w:r>
        <w:rPr>
          <w:rFonts w:eastAsiaTheme="minorEastAsia"/>
          <w:sz w:val="24"/>
        </w:rPr>
        <w:t>开展牡蛎生产观光游。聘请专业机构对海上休闲旅游产业进行规划，建设</w:t>
      </w:r>
      <w:r>
        <w:rPr>
          <w:rFonts w:eastAsiaTheme="minorEastAsia"/>
          <w:sz w:val="24"/>
        </w:rPr>
        <w:t>“</w:t>
      </w:r>
      <w:r>
        <w:rPr>
          <w:rFonts w:eastAsiaTheme="minorEastAsia"/>
          <w:sz w:val="24"/>
        </w:rPr>
        <w:t>海上田园</w:t>
      </w:r>
      <w:r>
        <w:rPr>
          <w:rFonts w:eastAsiaTheme="minorEastAsia"/>
          <w:sz w:val="24"/>
        </w:rPr>
        <w:t>”“</w:t>
      </w:r>
      <w:r>
        <w:rPr>
          <w:rFonts w:eastAsiaTheme="minorEastAsia"/>
          <w:sz w:val="24"/>
        </w:rPr>
        <w:t>海上牧场</w:t>
      </w:r>
      <w:r>
        <w:rPr>
          <w:rFonts w:eastAsiaTheme="minorEastAsia"/>
          <w:sz w:val="24"/>
        </w:rPr>
        <w:t>”</w:t>
      </w:r>
      <w:r>
        <w:rPr>
          <w:rFonts w:eastAsiaTheme="minorEastAsia"/>
          <w:sz w:val="24"/>
        </w:rPr>
        <w:t>观光区，开展牡蛎生产观光旅游、采收体验游，建设海上观光平台（见图</w:t>
      </w:r>
      <w:r>
        <w:rPr>
          <w:rFonts w:eastAsiaTheme="minorEastAsia"/>
          <w:sz w:val="24"/>
        </w:rPr>
        <w:t>2</w:t>
      </w:r>
      <w:r>
        <w:rPr>
          <w:rFonts w:eastAsiaTheme="minorEastAsia"/>
          <w:sz w:val="24"/>
        </w:rPr>
        <w:t>）提供游览、餐饮、住宿一条龙服务。</w:t>
      </w:r>
    </w:p>
    <w:p w14:paraId="0CA5EF58" w14:textId="77777777" w:rsidR="004F39F6" w:rsidRDefault="00731C67">
      <w:pPr>
        <w:spacing w:line="360" w:lineRule="auto"/>
        <w:ind w:firstLine="420"/>
        <w:rPr>
          <w:rFonts w:eastAsiaTheme="minorEastAsia"/>
          <w:sz w:val="24"/>
        </w:rPr>
      </w:pPr>
      <w:r>
        <w:rPr>
          <w:rFonts w:eastAsiaTheme="minorEastAsia"/>
          <w:sz w:val="24"/>
        </w:rPr>
        <w:t xml:space="preserve">2. </w:t>
      </w:r>
      <w:r>
        <w:rPr>
          <w:rFonts w:eastAsiaTheme="minorEastAsia"/>
          <w:sz w:val="24"/>
        </w:rPr>
        <w:t>开展专题牡蛎文化旅游活动。聘请专业机构对乳山牡蛎品牌进行包装策划，举办牡蛎品鲜季、牡蛎文化节、牡蛎国际高峰论坛，策划</w:t>
      </w:r>
      <w:r>
        <w:rPr>
          <w:rFonts w:eastAsiaTheme="minorEastAsia"/>
          <w:sz w:val="24"/>
        </w:rPr>
        <w:t>“</w:t>
      </w:r>
      <w:r>
        <w:rPr>
          <w:rFonts w:eastAsiaTheme="minorEastAsia"/>
          <w:sz w:val="24"/>
        </w:rPr>
        <w:t>乳山牡蛎体验之旅</w:t>
      </w:r>
      <w:r>
        <w:rPr>
          <w:rFonts w:eastAsiaTheme="minorEastAsia"/>
          <w:sz w:val="24"/>
        </w:rPr>
        <w:t>”</w:t>
      </w:r>
      <w:r>
        <w:rPr>
          <w:rFonts w:eastAsiaTheme="minorEastAsia"/>
          <w:sz w:val="24"/>
        </w:rPr>
        <w:t>线路，推出</w:t>
      </w:r>
      <w:r>
        <w:rPr>
          <w:rFonts w:eastAsiaTheme="minorEastAsia"/>
          <w:sz w:val="24"/>
        </w:rPr>
        <w:t>“</w:t>
      </w:r>
      <w:r>
        <w:rPr>
          <w:rFonts w:eastAsiaTheme="minorEastAsia"/>
          <w:sz w:val="24"/>
        </w:rPr>
        <w:t>牡蛎美食</w:t>
      </w:r>
      <w:r>
        <w:rPr>
          <w:rFonts w:eastAsiaTheme="minorEastAsia"/>
          <w:sz w:val="24"/>
        </w:rPr>
        <w:t>一条街</w:t>
      </w:r>
      <w:r>
        <w:rPr>
          <w:rFonts w:eastAsiaTheme="minorEastAsia"/>
          <w:sz w:val="24"/>
        </w:rPr>
        <w:t>”“</w:t>
      </w:r>
      <w:r>
        <w:rPr>
          <w:rFonts w:eastAsiaTheme="minorEastAsia"/>
          <w:sz w:val="24"/>
        </w:rPr>
        <w:t>牡蛎</w:t>
      </w:r>
      <w:r>
        <w:rPr>
          <w:rFonts w:eastAsiaTheme="minorEastAsia"/>
          <w:sz w:val="24"/>
        </w:rPr>
        <w:t>+</w:t>
      </w:r>
      <w:r>
        <w:rPr>
          <w:rFonts w:eastAsiaTheme="minorEastAsia"/>
          <w:sz w:val="24"/>
        </w:rPr>
        <w:t>干白</w:t>
      </w:r>
      <w:r>
        <w:rPr>
          <w:rFonts w:eastAsiaTheme="minorEastAsia"/>
          <w:sz w:val="24"/>
        </w:rPr>
        <w:t>”“</w:t>
      </w:r>
      <w:r>
        <w:rPr>
          <w:rFonts w:eastAsiaTheme="minorEastAsia"/>
          <w:sz w:val="24"/>
        </w:rPr>
        <w:t>牡蛎</w:t>
      </w:r>
      <w:r>
        <w:rPr>
          <w:rFonts w:eastAsiaTheme="minorEastAsia"/>
          <w:sz w:val="24"/>
        </w:rPr>
        <w:t>+</w:t>
      </w:r>
      <w:r>
        <w:rPr>
          <w:rFonts w:eastAsiaTheme="minorEastAsia"/>
          <w:sz w:val="24"/>
        </w:rPr>
        <w:t>温泉</w:t>
      </w:r>
      <w:r>
        <w:rPr>
          <w:rFonts w:eastAsiaTheme="minorEastAsia"/>
          <w:sz w:val="24"/>
        </w:rPr>
        <w:t>”</w:t>
      </w:r>
      <w:r>
        <w:rPr>
          <w:rFonts w:eastAsiaTheme="minorEastAsia"/>
          <w:sz w:val="24"/>
        </w:rPr>
        <w:t>等系列旅游产品。</w:t>
      </w:r>
    </w:p>
    <w:p w14:paraId="54DBC820" w14:textId="77777777" w:rsidR="004F39F6" w:rsidRDefault="00731C67">
      <w:pPr>
        <w:spacing w:line="360" w:lineRule="auto"/>
        <w:jc w:val="center"/>
        <w:rPr>
          <w:rFonts w:eastAsiaTheme="minorEastAsia"/>
          <w:sz w:val="24"/>
        </w:rPr>
      </w:pPr>
      <w:r>
        <w:rPr>
          <w:noProof/>
        </w:rPr>
        <w:drawing>
          <wp:inline distT="0" distB="0" distL="0" distR="0" wp14:anchorId="75DE6C00" wp14:editId="70E23070">
            <wp:extent cx="1991995" cy="1288415"/>
            <wp:effectExtent l="0" t="0" r="1905"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91995" cy="1288415"/>
                    </a:xfrm>
                    <a:prstGeom prst="rect">
                      <a:avLst/>
                    </a:prstGeom>
                    <a:noFill/>
                    <a:ln>
                      <a:noFill/>
                    </a:ln>
                  </pic:spPr>
                </pic:pic>
              </a:graphicData>
            </a:graphic>
          </wp:inline>
        </w:drawing>
      </w:r>
      <w:r>
        <w:rPr>
          <w:noProof/>
        </w:rPr>
        <w:drawing>
          <wp:inline distT="0" distB="0" distL="0" distR="0" wp14:anchorId="30691D05" wp14:editId="4B8B04AF">
            <wp:extent cx="2348230" cy="1317625"/>
            <wp:effectExtent l="0" t="0" r="127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48230" cy="1317625"/>
                    </a:xfrm>
                    <a:prstGeom prst="rect">
                      <a:avLst/>
                    </a:prstGeom>
                    <a:noFill/>
                    <a:ln>
                      <a:noFill/>
                    </a:ln>
                  </pic:spPr>
                </pic:pic>
              </a:graphicData>
            </a:graphic>
          </wp:inline>
        </w:drawing>
      </w:r>
    </w:p>
    <w:p w14:paraId="0E996691" w14:textId="77777777" w:rsidR="004F39F6" w:rsidRDefault="00731C67">
      <w:pPr>
        <w:spacing w:line="360" w:lineRule="auto"/>
        <w:jc w:val="center"/>
        <w:rPr>
          <w:rFonts w:eastAsiaTheme="minorEastAsia"/>
          <w:sz w:val="24"/>
        </w:rPr>
      </w:pPr>
      <w:r>
        <w:rPr>
          <w:rFonts w:eastAsiaTheme="minorEastAsia"/>
          <w:sz w:val="24"/>
        </w:rPr>
        <w:t>图</w:t>
      </w:r>
      <w:r>
        <w:rPr>
          <w:rFonts w:eastAsiaTheme="minorEastAsia"/>
          <w:sz w:val="24"/>
        </w:rPr>
        <w:t xml:space="preserve">3 </w:t>
      </w:r>
      <w:r>
        <w:rPr>
          <w:rFonts w:eastAsiaTheme="minorEastAsia"/>
          <w:sz w:val="24"/>
        </w:rPr>
        <w:t>首届中国（乳山）牡蛎国际高峰论坛</w:t>
      </w:r>
      <w:r>
        <w:rPr>
          <w:rFonts w:eastAsiaTheme="minorEastAsia" w:hint="eastAsia"/>
          <w:sz w:val="24"/>
        </w:rPr>
        <w:t xml:space="preserve">  </w:t>
      </w:r>
      <w:r>
        <w:rPr>
          <w:rFonts w:eastAsiaTheme="minorEastAsia"/>
          <w:sz w:val="24"/>
        </w:rPr>
        <w:t>图</w:t>
      </w:r>
      <w:r>
        <w:rPr>
          <w:rFonts w:eastAsiaTheme="minorEastAsia"/>
          <w:sz w:val="24"/>
        </w:rPr>
        <w:t xml:space="preserve">4 </w:t>
      </w:r>
      <w:r>
        <w:rPr>
          <w:rFonts w:eastAsiaTheme="minorEastAsia"/>
          <w:sz w:val="24"/>
        </w:rPr>
        <w:t>第八届国际牡蛎研讨会乳山推介会</w:t>
      </w:r>
    </w:p>
    <w:p w14:paraId="2E009494" w14:textId="77777777" w:rsidR="004F39F6" w:rsidRDefault="00731C67">
      <w:pPr>
        <w:spacing w:line="360" w:lineRule="auto"/>
        <w:ind w:firstLine="420"/>
        <w:rPr>
          <w:rFonts w:eastAsiaTheme="minorEastAsia"/>
          <w:sz w:val="24"/>
        </w:rPr>
      </w:pPr>
      <w:r>
        <w:rPr>
          <w:rFonts w:eastAsiaTheme="minorEastAsia"/>
          <w:sz w:val="24"/>
        </w:rPr>
        <w:t>乳山（国际）牡蛎文化节前身是自</w:t>
      </w:r>
      <w:r>
        <w:rPr>
          <w:rFonts w:eastAsiaTheme="minorEastAsia"/>
          <w:sz w:val="24"/>
        </w:rPr>
        <w:t>2014</w:t>
      </w:r>
      <w:r>
        <w:rPr>
          <w:rFonts w:eastAsiaTheme="minorEastAsia"/>
          <w:sz w:val="24"/>
        </w:rPr>
        <w:t>年开始举办的</w:t>
      </w:r>
      <w:r>
        <w:rPr>
          <w:rFonts w:eastAsiaTheme="minorEastAsia"/>
          <w:sz w:val="24"/>
        </w:rPr>
        <w:t>“</w:t>
      </w:r>
      <w:r>
        <w:rPr>
          <w:rFonts w:eastAsiaTheme="minorEastAsia"/>
          <w:sz w:val="24"/>
        </w:rPr>
        <w:t>乳山牡蛎品鲜季</w:t>
      </w:r>
      <w:r>
        <w:rPr>
          <w:rFonts w:eastAsiaTheme="minorEastAsia"/>
          <w:sz w:val="24"/>
        </w:rPr>
        <w:t>”</w:t>
      </w:r>
      <w:r>
        <w:rPr>
          <w:rFonts w:eastAsiaTheme="minorEastAsia"/>
          <w:sz w:val="24"/>
        </w:rPr>
        <w:t>宣传活动；</w:t>
      </w:r>
      <w:r>
        <w:rPr>
          <w:rFonts w:eastAsiaTheme="minorEastAsia"/>
          <w:sz w:val="24"/>
        </w:rPr>
        <w:t>2016</w:t>
      </w:r>
      <w:r>
        <w:rPr>
          <w:rFonts w:eastAsiaTheme="minorEastAsia"/>
          <w:sz w:val="24"/>
        </w:rPr>
        <w:t>年推出乳山（国际）牡蛎文化节，至今牡蛎文化节已举办</w:t>
      </w:r>
      <w:r>
        <w:rPr>
          <w:rFonts w:eastAsiaTheme="minorEastAsia"/>
          <w:sz w:val="24"/>
        </w:rPr>
        <w:t>5</w:t>
      </w:r>
      <w:r>
        <w:rPr>
          <w:rFonts w:eastAsiaTheme="minorEastAsia"/>
          <w:sz w:val="24"/>
        </w:rPr>
        <w:t>届；</w:t>
      </w:r>
      <w:r>
        <w:rPr>
          <w:rFonts w:eastAsiaTheme="minorEastAsia"/>
          <w:sz w:val="24"/>
        </w:rPr>
        <w:t>2018</w:t>
      </w:r>
      <w:r>
        <w:rPr>
          <w:rFonts w:eastAsiaTheme="minorEastAsia"/>
          <w:sz w:val="24"/>
        </w:rPr>
        <w:t>年首届中国（乳山）牡蛎国际高峰论坛（见图</w:t>
      </w:r>
      <w:r>
        <w:rPr>
          <w:rFonts w:eastAsiaTheme="minorEastAsia"/>
          <w:sz w:val="24"/>
        </w:rPr>
        <w:t>3</w:t>
      </w:r>
      <w:r>
        <w:rPr>
          <w:rFonts w:eastAsiaTheme="minorEastAsia"/>
          <w:sz w:val="24"/>
        </w:rPr>
        <w:t>）在乳山市召开；</w:t>
      </w:r>
      <w:r>
        <w:rPr>
          <w:rFonts w:eastAsiaTheme="minorEastAsia"/>
          <w:sz w:val="24"/>
        </w:rPr>
        <w:t>2019</w:t>
      </w:r>
      <w:r>
        <w:rPr>
          <w:rFonts w:eastAsiaTheme="minorEastAsia"/>
          <w:sz w:val="24"/>
        </w:rPr>
        <w:t>年第八届国际牡蛎研讨会乳山推介会（见图</w:t>
      </w:r>
      <w:r>
        <w:rPr>
          <w:rFonts w:eastAsiaTheme="minorEastAsia"/>
          <w:sz w:val="24"/>
        </w:rPr>
        <w:t>4</w:t>
      </w:r>
      <w:r>
        <w:rPr>
          <w:rFonts w:eastAsiaTheme="minorEastAsia"/>
          <w:sz w:val="24"/>
        </w:rPr>
        <w:t>）在乳山市举办，乳山牡蛎名声大噪。</w:t>
      </w:r>
    </w:p>
    <w:p w14:paraId="6750CBAD" w14:textId="77777777" w:rsidR="004F39F6" w:rsidRDefault="00731C67">
      <w:pPr>
        <w:spacing w:line="360" w:lineRule="auto"/>
        <w:jc w:val="center"/>
        <w:rPr>
          <w:rFonts w:eastAsiaTheme="minorEastAsia"/>
          <w:sz w:val="24"/>
        </w:rPr>
      </w:pPr>
      <w:r>
        <w:rPr>
          <w:noProof/>
        </w:rPr>
        <w:drawing>
          <wp:inline distT="0" distB="0" distL="0" distR="0" wp14:anchorId="2F3F8C6F" wp14:editId="33FB5684">
            <wp:extent cx="2021840" cy="1162685"/>
            <wp:effectExtent l="0" t="0" r="1016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021840" cy="1162685"/>
                    </a:xfrm>
                    <a:prstGeom prst="rect">
                      <a:avLst/>
                    </a:prstGeom>
                    <a:noFill/>
                    <a:ln>
                      <a:noFill/>
                    </a:ln>
                  </pic:spPr>
                </pic:pic>
              </a:graphicData>
            </a:graphic>
          </wp:inline>
        </w:drawing>
      </w:r>
    </w:p>
    <w:p w14:paraId="21A2AADA" w14:textId="77777777" w:rsidR="004F39F6" w:rsidRDefault="00731C67">
      <w:pPr>
        <w:spacing w:line="360" w:lineRule="auto"/>
        <w:jc w:val="center"/>
        <w:rPr>
          <w:rFonts w:eastAsiaTheme="minorEastAsia"/>
          <w:sz w:val="24"/>
        </w:rPr>
      </w:pPr>
      <w:r>
        <w:rPr>
          <w:rFonts w:eastAsiaTheme="minorEastAsia"/>
          <w:sz w:val="24"/>
        </w:rPr>
        <w:t>图</w:t>
      </w:r>
      <w:r>
        <w:rPr>
          <w:rFonts w:eastAsiaTheme="minorEastAsia"/>
          <w:sz w:val="24"/>
        </w:rPr>
        <w:t xml:space="preserve">5 </w:t>
      </w:r>
      <w:r>
        <w:rPr>
          <w:rFonts w:eastAsiaTheme="minorEastAsia"/>
          <w:sz w:val="24"/>
        </w:rPr>
        <w:t>乳山牡蛎文化园</w:t>
      </w:r>
    </w:p>
    <w:p w14:paraId="78814276" w14:textId="77777777" w:rsidR="004F39F6" w:rsidRDefault="00731C67">
      <w:pPr>
        <w:spacing w:line="360" w:lineRule="auto"/>
        <w:ind w:firstLine="420"/>
        <w:rPr>
          <w:rFonts w:eastAsiaTheme="minorEastAsia"/>
          <w:sz w:val="24"/>
        </w:rPr>
      </w:pPr>
      <w:r>
        <w:rPr>
          <w:rFonts w:eastAsiaTheme="minorEastAsia"/>
          <w:sz w:val="24"/>
        </w:rPr>
        <w:t xml:space="preserve">3. </w:t>
      </w:r>
      <w:r>
        <w:rPr>
          <w:rFonts w:eastAsiaTheme="minorEastAsia"/>
          <w:sz w:val="24"/>
        </w:rPr>
        <w:t>组织专家学者，深入研讨乳山牡蛎的历史传说、名人佚</w:t>
      </w:r>
      <w:r>
        <w:rPr>
          <w:rFonts w:eastAsiaTheme="minorEastAsia"/>
          <w:sz w:val="24"/>
        </w:rPr>
        <w:t>事等，挖掘牡蛎文化价值，提升产品的文化内涵。建设乳山牡蛎文化园（见图</w:t>
      </w:r>
      <w:r>
        <w:rPr>
          <w:rFonts w:eastAsiaTheme="minorEastAsia"/>
          <w:sz w:val="24"/>
        </w:rPr>
        <w:t>5</w:t>
      </w:r>
      <w:r>
        <w:rPr>
          <w:rFonts w:eastAsiaTheme="minorEastAsia"/>
          <w:sz w:val="24"/>
        </w:rPr>
        <w:t>）、乳山牡蛎文化博物馆等展示乳山牡蛎文化的地标场馆。为面向全国广大消费者宣传乳山牡蛎品牌文化和牡蛎产品，在高端牡蛎</w:t>
      </w:r>
      <w:r>
        <w:rPr>
          <w:rFonts w:eastAsiaTheme="minorEastAsia"/>
          <w:sz w:val="24"/>
        </w:rPr>
        <w:lastRenderedPageBreak/>
        <w:t>消费前沿杭州市的西溪湿地建设乳山牡蛎文化馆，扩大乳山牡蛎在全国的影响力，实现牡蛎文化旅游</w:t>
      </w:r>
      <w:r>
        <w:rPr>
          <w:rFonts w:eastAsiaTheme="minorEastAsia"/>
          <w:sz w:val="24"/>
        </w:rPr>
        <w:t>+</w:t>
      </w:r>
      <w:r>
        <w:rPr>
          <w:rFonts w:eastAsiaTheme="minorEastAsia"/>
          <w:sz w:val="24"/>
        </w:rPr>
        <w:t>高端品牌运营双赢。</w:t>
      </w:r>
    </w:p>
    <w:p w14:paraId="11DF9DD5" w14:textId="77777777" w:rsidR="004F39F6" w:rsidRDefault="00731C67">
      <w:pPr>
        <w:spacing w:line="360" w:lineRule="auto"/>
        <w:ind w:firstLine="420"/>
        <w:rPr>
          <w:rFonts w:eastAsiaTheme="minorEastAsia"/>
          <w:sz w:val="24"/>
        </w:rPr>
      </w:pPr>
      <w:r>
        <w:rPr>
          <w:rFonts w:eastAsiaTheme="minorEastAsia"/>
          <w:sz w:val="24"/>
        </w:rPr>
        <w:t>乳山牡蛎已在全国形成了品牌领先优势，是中国牡蛎产业一张靓丽的名片。</w:t>
      </w:r>
      <w:r>
        <w:rPr>
          <w:rFonts w:eastAsiaTheme="minorEastAsia"/>
          <w:sz w:val="24"/>
        </w:rPr>
        <w:t>2009</w:t>
      </w:r>
      <w:r>
        <w:rPr>
          <w:rFonts w:eastAsiaTheme="minorEastAsia"/>
          <w:sz w:val="24"/>
        </w:rPr>
        <w:t>年</w:t>
      </w:r>
      <w:r>
        <w:rPr>
          <w:rFonts w:eastAsiaTheme="minorEastAsia"/>
          <w:sz w:val="24"/>
        </w:rPr>
        <w:t>“</w:t>
      </w:r>
      <w:r>
        <w:rPr>
          <w:rFonts w:eastAsiaTheme="minorEastAsia"/>
          <w:sz w:val="24"/>
        </w:rPr>
        <w:t>乳山牡蛎</w:t>
      </w:r>
      <w:r>
        <w:rPr>
          <w:rFonts w:eastAsiaTheme="minorEastAsia"/>
          <w:sz w:val="24"/>
        </w:rPr>
        <w:t>”</w:t>
      </w:r>
      <w:r>
        <w:rPr>
          <w:rFonts w:eastAsiaTheme="minorEastAsia"/>
          <w:sz w:val="24"/>
        </w:rPr>
        <w:t>注册为中国地理标志证明商标；</w:t>
      </w:r>
      <w:r>
        <w:rPr>
          <w:rFonts w:eastAsiaTheme="minorEastAsia"/>
          <w:sz w:val="24"/>
        </w:rPr>
        <w:t>“</w:t>
      </w:r>
      <w:r>
        <w:rPr>
          <w:rFonts w:eastAsiaTheme="minorEastAsia"/>
          <w:sz w:val="24"/>
        </w:rPr>
        <w:t>乳山牡蛎</w:t>
      </w:r>
      <w:r>
        <w:rPr>
          <w:rFonts w:eastAsiaTheme="minorEastAsia"/>
          <w:sz w:val="24"/>
        </w:rPr>
        <w:t>”</w:t>
      </w:r>
      <w:r>
        <w:rPr>
          <w:rFonts w:eastAsiaTheme="minorEastAsia"/>
          <w:sz w:val="24"/>
        </w:rPr>
        <w:t>先后荣获</w:t>
      </w:r>
      <w:r>
        <w:rPr>
          <w:rFonts w:eastAsiaTheme="minorEastAsia"/>
          <w:sz w:val="24"/>
        </w:rPr>
        <w:t>“</w:t>
      </w:r>
      <w:r>
        <w:rPr>
          <w:rFonts w:eastAsiaTheme="minorEastAsia"/>
          <w:sz w:val="24"/>
        </w:rPr>
        <w:t>最具影响力水产品区域公用品牌</w:t>
      </w:r>
      <w:r>
        <w:rPr>
          <w:rFonts w:eastAsiaTheme="minorEastAsia"/>
          <w:sz w:val="24"/>
        </w:rPr>
        <w:t>”“</w:t>
      </w:r>
      <w:r>
        <w:rPr>
          <w:rFonts w:eastAsiaTheme="minorEastAsia"/>
          <w:sz w:val="24"/>
        </w:rPr>
        <w:t>山东省优秀地理标志产品</w:t>
      </w:r>
      <w:r>
        <w:rPr>
          <w:rFonts w:eastAsiaTheme="minorEastAsia"/>
          <w:sz w:val="24"/>
        </w:rPr>
        <w:t>”“</w:t>
      </w:r>
      <w:r>
        <w:rPr>
          <w:rFonts w:eastAsiaTheme="minorEastAsia"/>
          <w:sz w:val="24"/>
        </w:rPr>
        <w:t>中华品牌商标博览会金奖</w:t>
      </w:r>
      <w:r>
        <w:rPr>
          <w:rFonts w:eastAsiaTheme="minorEastAsia"/>
          <w:sz w:val="24"/>
        </w:rPr>
        <w:t>”“</w:t>
      </w:r>
      <w:r>
        <w:rPr>
          <w:rFonts w:eastAsiaTheme="minorEastAsia"/>
          <w:sz w:val="24"/>
        </w:rPr>
        <w:t>中国自主品牌博览会山东上榜品牌</w:t>
      </w:r>
      <w:r>
        <w:rPr>
          <w:rFonts w:eastAsiaTheme="minorEastAsia"/>
          <w:sz w:val="24"/>
        </w:rPr>
        <w:t>”“</w:t>
      </w:r>
      <w:r>
        <w:rPr>
          <w:rFonts w:eastAsiaTheme="minorEastAsia"/>
          <w:sz w:val="24"/>
        </w:rPr>
        <w:t>山东省知名农产品区域公用品牌</w:t>
      </w:r>
      <w:r>
        <w:rPr>
          <w:rFonts w:eastAsiaTheme="minorEastAsia"/>
          <w:sz w:val="24"/>
        </w:rPr>
        <w:t>”“</w:t>
      </w:r>
      <w:r>
        <w:rPr>
          <w:rFonts w:eastAsiaTheme="minorEastAsia"/>
          <w:sz w:val="24"/>
        </w:rPr>
        <w:t>山东地标名片</w:t>
      </w:r>
      <w:r>
        <w:rPr>
          <w:rFonts w:eastAsiaTheme="minorEastAsia"/>
          <w:sz w:val="24"/>
        </w:rPr>
        <w:t>”</w:t>
      </w:r>
      <w:r>
        <w:rPr>
          <w:rFonts w:eastAsiaTheme="minorEastAsia"/>
          <w:sz w:val="24"/>
        </w:rPr>
        <w:t>；乳山市被中国水产流通与加工协会授予</w:t>
      </w:r>
      <w:r>
        <w:rPr>
          <w:rFonts w:eastAsiaTheme="minorEastAsia"/>
          <w:sz w:val="24"/>
        </w:rPr>
        <w:t>“</w:t>
      </w:r>
      <w:r>
        <w:rPr>
          <w:rFonts w:eastAsiaTheme="minorEastAsia"/>
          <w:sz w:val="24"/>
        </w:rPr>
        <w:t>中国牡蛎之乡</w:t>
      </w:r>
      <w:r>
        <w:rPr>
          <w:rFonts w:eastAsiaTheme="minorEastAsia"/>
          <w:sz w:val="24"/>
        </w:rPr>
        <w:t>”</w:t>
      </w:r>
      <w:r>
        <w:rPr>
          <w:rFonts w:eastAsiaTheme="minorEastAsia"/>
          <w:sz w:val="24"/>
        </w:rPr>
        <w:t>并入选</w:t>
      </w:r>
      <w:r>
        <w:rPr>
          <w:rFonts w:eastAsiaTheme="minorEastAsia"/>
          <w:sz w:val="24"/>
        </w:rPr>
        <w:t>“</w:t>
      </w:r>
      <w:r>
        <w:rPr>
          <w:rFonts w:eastAsiaTheme="minorEastAsia"/>
          <w:sz w:val="24"/>
        </w:rPr>
        <w:t>首批山东省特色农产品（牡蛎）优势区</w:t>
      </w:r>
      <w:r>
        <w:rPr>
          <w:rFonts w:eastAsiaTheme="minorEastAsia"/>
          <w:sz w:val="24"/>
        </w:rPr>
        <w:t>”“</w:t>
      </w:r>
      <w:r>
        <w:rPr>
          <w:rFonts w:eastAsiaTheme="minorEastAsia"/>
          <w:sz w:val="24"/>
        </w:rPr>
        <w:t>国家地理标志产品保护示范区</w:t>
      </w:r>
      <w:r>
        <w:rPr>
          <w:rFonts w:eastAsiaTheme="minorEastAsia"/>
          <w:sz w:val="24"/>
        </w:rPr>
        <w:t>”</w:t>
      </w:r>
      <w:r>
        <w:rPr>
          <w:rFonts w:eastAsiaTheme="minorEastAsia"/>
          <w:sz w:val="24"/>
        </w:rPr>
        <w:t>。</w:t>
      </w:r>
    </w:p>
    <w:p w14:paraId="4AB6BCAF" w14:textId="77777777" w:rsidR="004F39F6" w:rsidRDefault="00731C67">
      <w:pPr>
        <w:spacing w:line="360" w:lineRule="auto"/>
        <w:ind w:firstLine="420"/>
        <w:rPr>
          <w:rFonts w:eastAsiaTheme="minorEastAsia"/>
          <w:sz w:val="24"/>
        </w:rPr>
      </w:pPr>
      <w:r>
        <w:rPr>
          <w:rFonts w:eastAsiaTheme="minorEastAsia"/>
          <w:sz w:val="24"/>
        </w:rPr>
        <w:t>（七）加强品牌保护力度</w:t>
      </w:r>
    </w:p>
    <w:p w14:paraId="5F716A47" w14:textId="77777777" w:rsidR="004F39F6" w:rsidRDefault="00731C67">
      <w:pPr>
        <w:spacing w:line="360" w:lineRule="auto"/>
        <w:ind w:firstLine="420"/>
        <w:rPr>
          <w:rFonts w:eastAsiaTheme="minorEastAsia"/>
          <w:sz w:val="24"/>
        </w:rPr>
      </w:pPr>
      <w:r>
        <w:rPr>
          <w:rFonts w:eastAsiaTheme="minorEastAsia"/>
          <w:sz w:val="24"/>
        </w:rPr>
        <w:t>随着乳山牡蛎名头的打响，冒牌产品雨后春笋般冒头，很大程度影响了乳山牡蛎市场口碑。针对这一问题，乳山市牡蛎协会积极发挥行业管理职能，出台专项品牌保护方案，规范</w:t>
      </w:r>
      <w:r>
        <w:rPr>
          <w:rFonts w:eastAsiaTheme="minorEastAsia"/>
          <w:sz w:val="24"/>
        </w:rPr>
        <w:t>“</w:t>
      </w:r>
      <w:r>
        <w:rPr>
          <w:rFonts w:eastAsiaTheme="minorEastAsia"/>
          <w:sz w:val="24"/>
        </w:rPr>
        <w:t>乳山牡蛎</w:t>
      </w:r>
      <w:r>
        <w:rPr>
          <w:rFonts w:eastAsiaTheme="minorEastAsia"/>
          <w:sz w:val="24"/>
        </w:rPr>
        <w:t>”</w:t>
      </w:r>
      <w:r>
        <w:rPr>
          <w:rFonts w:eastAsiaTheme="minorEastAsia"/>
          <w:sz w:val="24"/>
        </w:rPr>
        <w:t>商标的授权和使用，未经牡蛎协会授权不得在牡蛎产品及包装上突出使用包含</w:t>
      </w:r>
      <w:r>
        <w:rPr>
          <w:rFonts w:eastAsiaTheme="minorEastAsia"/>
          <w:sz w:val="24"/>
        </w:rPr>
        <w:t>“</w:t>
      </w:r>
      <w:r>
        <w:rPr>
          <w:rFonts w:eastAsiaTheme="minorEastAsia"/>
          <w:sz w:val="24"/>
        </w:rPr>
        <w:t>乳山</w:t>
      </w:r>
      <w:r>
        <w:rPr>
          <w:rFonts w:eastAsiaTheme="minorEastAsia"/>
          <w:sz w:val="24"/>
        </w:rPr>
        <w:t>”</w:t>
      </w:r>
      <w:r>
        <w:rPr>
          <w:rFonts w:eastAsiaTheme="minorEastAsia"/>
          <w:sz w:val="24"/>
        </w:rPr>
        <w:t>地名的宣传词；统一</w:t>
      </w:r>
      <w:r>
        <w:rPr>
          <w:rFonts w:eastAsiaTheme="minorEastAsia"/>
          <w:sz w:val="24"/>
        </w:rPr>
        <w:t>“</w:t>
      </w:r>
      <w:r>
        <w:rPr>
          <w:rFonts w:eastAsiaTheme="minorEastAsia"/>
          <w:sz w:val="24"/>
        </w:rPr>
        <w:t>乳山牡蛎</w:t>
      </w:r>
      <w:r>
        <w:rPr>
          <w:rFonts w:eastAsiaTheme="minorEastAsia"/>
          <w:sz w:val="24"/>
        </w:rPr>
        <w:t>”</w:t>
      </w:r>
      <w:r>
        <w:rPr>
          <w:rFonts w:eastAsiaTheme="minorEastAsia"/>
          <w:sz w:val="24"/>
        </w:rPr>
        <w:t>品牌形象标识，聘请专业品牌策划团队根据乳山牡蛎的人文历史、乳山市的风土人情、乳山牡蛎的品质特点设计一组</w:t>
      </w:r>
      <w:r>
        <w:rPr>
          <w:rFonts w:eastAsiaTheme="minorEastAsia"/>
          <w:sz w:val="24"/>
        </w:rPr>
        <w:t>“</w:t>
      </w:r>
      <w:r>
        <w:rPr>
          <w:rFonts w:eastAsiaTheme="minorEastAsia"/>
          <w:sz w:val="24"/>
        </w:rPr>
        <w:t>乳山牡蛎</w:t>
      </w:r>
      <w:r>
        <w:rPr>
          <w:rFonts w:eastAsiaTheme="minorEastAsia"/>
          <w:sz w:val="24"/>
        </w:rPr>
        <w:t>”</w:t>
      </w:r>
      <w:r>
        <w:rPr>
          <w:rFonts w:eastAsiaTheme="minorEastAsia"/>
          <w:sz w:val="24"/>
        </w:rPr>
        <w:t>图形和文字</w:t>
      </w:r>
      <w:r>
        <w:rPr>
          <w:rFonts w:eastAsiaTheme="minorEastAsia"/>
          <w:sz w:val="24"/>
        </w:rPr>
        <w:t>Logo</w:t>
      </w:r>
      <w:r>
        <w:rPr>
          <w:rFonts w:eastAsiaTheme="minorEastAsia"/>
          <w:sz w:val="24"/>
        </w:rPr>
        <w:t>，作为乳山牡蛎对外宣传、产品包装的统一品牌形象标识，促进</w:t>
      </w:r>
      <w:r>
        <w:rPr>
          <w:rFonts w:eastAsiaTheme="minorEastAsia"/>
          <w:sz w:val="24"/>
        </w:rPr>
        <w:t>“</w:t>
      </w:r>
      <w:r>
        <w:rPr>
          <w:rFonts w:eastAsiaTheme="minorEastAsia"/>
          <w:sz w:val="24"/>
        </w:rPr>
        <w:t>乳山牡蛎</w:t>
      </w:r>
      <w:r>
        <w:rPr>
          <w:rFonts w:eastAsiaTheme="minorEastAsia"/>
          <w:sz w:val="24"/>
        </w:rPr>
        <w:t>”</w:t>
      </w:r>
      <w:r>
        <w:rPr>
          <w:rFonts w:eastAsiaTheme="minorEastAsia"/>
          <w:sz w:val="24"/>
        </w:rPr>
        <w:t>高端品牌形象的塑造，拉升品牌价值；引进国际首创的基于</w:t>
      </w:r>
      <w:r>
        <w:rPr>
          <w:rFonts w:eastAsiaTheme="minorEastAsia"/>
          <w:sz w:val="24"/>
        </w:rPr>
        <w:t>“</w:t>
      </w:r>
      <w:r>
        <w:rPr>
          <w:rFonts w:eastAsiaTheme="minorEastAsia"/>
          <w:sz w:val="24"/>
        </w:rPr>
        <w:t>三方同权</w:t>
      </w:r>
      <w:r>
        <w:rPr>
          <w:rFonts w:eastAsiaTheme="minorEastAsia"/>
          <w:sz w:val="24"/>
        </w:rPr>
        <w:t>”</w:t>
      </w:r>
      <w:r>
        <w:rPr>
          <w:rFonts w:eastAsiaTheme="minorEastAsia"/>
          <w:sz w:val="24"/>
        </w:rPr>
        <w:t>下的三维空间信息合成、液体可变色防伪标识、区块链证据存储于一体的防伪技术，建设了全国首个牡蛎防伪溯源体系，让每一件牡蛎产品带上可溯源查询的唯一身份标签，实现来源可查询、去向可跟踪，真假可辨识、责任可认定。</w:t>
      </w:r>
    </w:p>
    <w:p w14:paraId="1D07046E" w14:textId="77777777" w:rsidR="004F39F6" w:rsidRDefault="00731C67">
      <w:pPr>
        <w:spacing w:line="360" w:lineRule="auto"/>
        <w:ind w:firstLine="420"/>
        <w:rPr>
          <w:rFonts w:eastAsiaTheme="minorEastAsia"/>
          <w:sz w:val="24"/>
        </w:rPr>
      </w:pPr>
      <w:r>
        <w:rPr>
          <w:rFonts w:eastAsiaTheme="minorEastAsia"/>
          <w:sz w:val="24"/>
        </w:rPr>
        <w:t>三、存在的问题</w:t>
      </w:r>
    </w:p>
    <w:p w14:paraId="3141B33F" w14:textId="77777777" w:rsidR="004F39F6" w:rsidRDefault="00731C67">
      <w:pPr>
        <w:spacing w:line="360" w:lineRule="auto"/>
        <w:ind w:firstLine="420"/>
        <w:rPr>
          <w:rFonts w:eastAsiaTheme="minorEastAsia"/>
          <w:sz w:val="24"/>
        </w:rPr>
      </w:pPr>
      <w:r>
        <w:rPr>
          <w:rFonts w:eastAsiaTheme="minorEastAsia"/>
          <w:sz w:val="24"/>
        </w:rPr>
        <w:t>随着乳山牡蛎产业快速发展，</w:t>
      </w:r>
      <w:r>
        <w:rPr>
          <w:rFonts w:eastAsiaTheme="minorEastAsia"/>
          <w:sz w:val="24"/>
        </w:rPr>
        <w:t>一些问题也随之显现，具体表现在：养殖主体</w:t>
      </w:r>
      <w:r>
        <w:rPr>
          <w:rFonts w:eastAsiaTheme="minorEastAsia"/>
          <w:sz w:val="24"/>
        </w:rPr>
        <w:t>“</w:t>
      </w:r>
      <w:r>
        <w:rPr>
          <w:rFonts w:eastAsiaTheme="minorEastAsia"/>
          <w:sz w:val="24"/>
        </w:rPr>
        <w:t>低、小、散</w:t>
      </w:r>
      <w:r>
        <w:rPr>
          <w:rFonts w:eastAsiaTheme="minorEastAsia"/>
          <w:sz w:val="24"/>
        </w:rPr>
        <w:t>”</w:t>
      </w:r>
      <w:r>
        <w:rPr>
          <w:rFonts w:eastAsiaTheme="minorEastAsia"/>
          <w:sz w:val="24"/>
        </w:rPr>
        <w:t>，主要以个体散户为主，大型企业或合作社较少，规模化龙头企业缺乏，管理分散、养殖密度高、布局随意性大，不利于整体产业持续发展；传统养殖方式占主导，虽然近年来引进了一些先进的设施设备，但推广程度仍然不够，总体养殖机械化程度偏低，生产效率不高；区域品牌强大但商业品牌较弱，进口牡蛎主导的高端市场占有率低；精深加工滞后，牡蛎产品</w:t>
      </w:r>
      <w:proofErr w:type="gramStart"/>
      <w:r>
        <w:rPr>
          <w:rFonts w:eastAsiaTheme="minorEastAsia"/>
          <w:sz w:val="24"/>
        </w:rPr>
        <w:t>加工仍</w:t>
      </w:r>
      <w:proofErr w:type="gramEnd"/>
      <w:r>
        <w:rPr>
          <w:rFonts w:eastAsiaTheme="minorEastAsia"/>
          <w:sz w:val="24"/>
        </w:rPr>
        <w:t>以生鲜或冷冻初级加工为主，产品附加值低，保健品、药品、化妆品、牡蛎精深提取物、萃取物等精深加工产业发展不足。</w:t>
      </w:r>
    </w:p>
    <w:p w14:paraId="40865612" w14:textId="77777777" w:rsidR="004F39F6" w:rsidRDefault="00731C67">
      <w:pPr>
        <w:spacing w:line="360" w:lineRule="auto"/>
        <w:ind w:firstLine="420"/>
        <w:rPr>
          <w:rFonts w:eastAsiaTheme="minorEastAsia"/>
          <w:sz w:val="24"/>
        </w:rPr>
      </w:pPr>
      <w:r>
        <w:rPr>
          <w:rFonts w:eastAsiaTheme="minorEastAsia"/>
          <w:sz w:val="24"/>
        </w:rPr>
        <w:t>四、展望未来</w:t>
      </w:r>
    </w:p>
    <w:p w14:paraId="7CA0D6BD" w14:textId="77777777" w:rsidR="004F39F6" w:rsidRDefault="00731C67">
      <w:pPr>
        <w:spacing w:line="360" w:lineRule="auto"/>
        <w:ind w:firstLine="420"/>
        <w:rPr>
          <w:rFonts w:eastAsiaTheme="minorEastAsia"/>
          <w:sz w:val="24"/>
        </w:rPr>
      </w:pPr>
      <w:r>
        <w:rPr>
          <w:rFonts w:eastAsiaTheme="minorEastAsia"/>
          <w:sz w:val="24"/>
        </w:rPr>
        <w:t>虽然乳山</w:t>
      </w:r>
      <w:r>
        <w:rPr>
          <w:rFonts w:eastAsiaTheme="minorEastAsia"/>
          <w:sz w:val="24"/>
        </w:rPr>
        <w:t>牡蛎产业发展过程中仍存在不足，但只要正视问题，扬长避短，坚持新发展理</w:t>
      </w:r>
      <w:r>
        <w:rPr>
          <w:rFonts w:eastAsiaTheme="minorEastAsia"/>
          <w:sz w:val="24"/>
        </w:rPr>
        <w:lastRenderedPageBreak/>
        <w:t>念，实施四大产业提升工程，乳山牡蛎产业未来发展大有可为。</w:t>
      </w:r>
    </w:p>
    <w:p w14:paraId="415B0792" w14:textId="77777777" w:rsidR="004F39F6" w:rsidRDefault="00731C67">
      <w:pPr>
        <w:spacing w:line="360" w:lineRule="auto"/>
        <w:ind w:firstLine="420"/>
        <w:rPr>
          <w:rFonts w:eastAsiaTheme="minorEastAsia"/>
          <w:sz w:val="24"/>
        </w:rPr>
      </w:pPr>
      <w:r>
        <w:rPr>
          <w:rFonts w:eastAsiaTheme="minorEastAsia"/>
          <w:sz w:val="24"/>
        </w:rPr>
        <w:t>（一）实施综合科技支撑能力提升工程</w:t>
      </w:r>
    </w:p>
    <w:p w14:paraId="5C3E5011" w14:textId="77777777" w:rsidR="004F39F6" w:rsidRDefault="00731C67">
      <w:pPr>
        <w:spacing w:line="360" w:lineRule="auto"/>
        <w:ind w:firstLine="420"/>
        <w:rPr>
          <w:rFonts w:eastAsiaTheme="minorEastAsia"/>
          <w:sz w:val="24"/>
        </w:rPr>
      </w:pPr>
      <w:r>
        <w:rPr>
          <w:rFonts w:eastAsiaTheme="minorEastAsia"/>
          <w:sz w:val="24"/>
        </w:rPr>
        <w:t>一是建设牡蛎研究院。建成集育种、养殖、灾害预警、产品质量风险监控于一体的综合技术支撑平台。二是建设牡蛎种业研发中心，投入运营</w:t>
      </w:r>
      <w:r>
        <w:rPr>
          <w:rFonts w:eastAsiaTheme="minorEastAsia"/>
          <w:sz w:val="24"/>
        </w:rPr>
        <w:t>30</w:t>
      </w:r>
      <w:r>
        <w:rPr>
          <w:rFonts w:eastAsiaTheme="minorEastAsia"/>
          <w:sz w:val="24"/>
        </w:rPr>
        <w:t>万</w:t>
      </w:r>
      <w:r>
        <w:rPr>
          <w:rFonts w:eastAsiaTheme="minorEastAsia"/>
          <w:sz w:val="24"/>
        </w:rPr>
        <w:t>m²</w:t>
      </w:r>
      <w:r>
        <w:rPr>
          <w:rFonts w:eastAsiaTheme="minorEastAsia"/>
          <w:sz w:val="24"/>
        </w:rPr>
        <w:t>苗种培育车间，配备先进智能化设施设备，建成后将成为世界规模最大的牡蛎种业研发中心之一，将为乳山市养殖户提供大量的三倍体长牡蛎苗种。三是研发推广先进养殖技术，如牡蛎塑型养殖技术、生食标准净化技术、牡蛎促肥技术等。四是建</w:t>
      </w:r>
      <w:r>
        <w:rPr>
          <w:rFonts w:eastAsiaTheme="minorEastAsia"/>
          <w:sz w:val="24"/>
        </w:rPr>
        <w:t>设现代化海洋牧场，按照</w:t>
      </w:r>
      <w:r>
        <w:rPr>
          <w:rFonts w:eastAsiaTheme="minorEastAsia"/>
          <w:sz w:val="24"/>
        </w:rPr>
        <w:t>“</w:t>
      </w:r>
      <w:r>
        <w:rPr>
          <w:rFonts w:eastAsiaTheme="minorEastAsia"/>
          <w:sz w:val="24"/>
        </w:rPr>
        <w:t>四统一</w:t>
      </w:r>
      <w:r>
        <w:rPr>
          <w:rFonts w:eastAsiaTheme="minorEastAsia"/>
          <w:sz w:val="24"/>
        </w:rPr>
        <w:t>”</w:t>
      </w:r>
      <w:r>
        <w:rPr>
          <w:rFonts w:eastAsiaTheme="minorEastAsia"/>
          <w:sz w:val="24"/>
        </w:rPr>
        <w:t>的原则，确定</w:t>
      </w:r>
      <w:r>
        <w:rPr>
          <w:rFonts w:eastAsiaTheme="minorEastAsia"/>
          <w:sz w:val="24"/>
        </w:rPr>
        <w:t>“</w:t>
      </w:r>
      <w:r>
        <w:rPr>
          <w:rFonts w:eastAsiaTheme="minorEastAsia"/>
          <w:sz w:val="24"/>
        </w:rPr>
        <w:t>一个基地五个中心</w:t>
      </w:r>
      <w:r>
        <w:rPr>
          <w:rFonts w:eastAsiaTheme="minorEastAsia"/>
          <w:sz w:val="24"/>
        </w:rPr>
        <w:t>”</w:t>
      </w:r>
      <w:r>
        <w:rPr>
          <w:rFonts w:eastAsiaTheme="minorEastAsia"/>
          <w:sz w:val="24"/>
        </w:rPr>
        <w:t>的系统布局，采用</w:t>
      </w:r>
      <w:r>
        <w:rPr>
          <w:rFonts w:eastAsiaTheme="minorEastAsia"/>
          <w:sz w:val="24"/>
        </w:rPr>
        <w:t>“</w:t>
      </w:r>
      <w:r>
        <w:rPr>
          <w:rFonts w:eastAsiaTheme="minorEastAsia"/>
          <w:sz w:val="24"/>
        </w:rPr>
        <w:t>生态疏养模式</w:t>
      </w:r>
      <w:r>
        <w:rPr>
          <w:rFonts w:eastAsiaTheme="minorEastAsia"/>
          <w:sz w:val="24"/>
        </w:rPr>
        <w:t>”</w:t>
      </w:r>
      <w:r>
        <w:rPr>
          <w:rFonts w:eastAsiaTheme="minorEastAsia"/>
          <w:sz w:val="24"/>
        </w:rPr>
        <w:t>，使用澳大利亚、日本等先进养殖设施，建成以牡蛎为主导品种的国际一流海洋牧场。</w:t>
      </w:r>
    </w:p>
    <w:p w14:paraId="5D9288D2" w14:textId="77777777" w:rsidR="004F39F6" w:rsidRDefault="00731C67">
      <w:pPr>
        <w:spacing w:line="360" w:lineRule="auto"/>
        <w:ind w:firstLine="420"/>
        <w:rPr>
          <w:rFonts w:eastAsiaTheme="minorEastAsia"/>
          <w:sz w:val="24"/>
        </w:rPr>
      </w:pPr>
      <w:r>
        <w:rPr>
          <w:rFonts w:eastAsiaTheme="minorEastAsia"/>
          <w:sz w:val="24"/>
        </w:rPr>
        <w:t>（二）实施标准化建设提升工程</w:t>
      </w:r>
    </w:p>
    <w:p w14:paraId="5997C8AA" w14:textId="77777777" w:rsidR="004F39F6" w:rsidRDefault="00731C67">
      <w:pPr>
        <w:spacing w:line="360" w:lineRule="auto"/>
        <w:ind w:firstLine="420"/>
        <w:rPr>
          <w:rFonts w:eastAsiaTheme="minorEastAsia"/>
          <w:sz w:val="24"/>
        </w:rPr>
      </w:pPr>
      <w:r>
        <w:rPr>
          <w:rFonts w:eastAsiaTheme="minorEastAsia"/>
          <w:sz w:val="24"/>
        </w:rPr>
        <w:t>一是使用地标的产品严格执行《地理标志产品</w:t>
      </w:r>
      <w:r>
        <w:rPr>
          <w:rFonts w:eastAsiaTheme="minorEastAsia"/>
          <w:sz w:val="24"/>
        </w:rPr>
        <w:t>——</w:t>
      </w:r>
      <w:r>
        <w:rPr>
          <w:rFonts w:eastAsiaTheme="minorEastAsia"/>
          <w:sz w:val="24"/>
        </w:rPr>
        <w:t>乳山牡蛎》标准，构筑牡蛎产品标准体系。二是加快产品加工标准的提档升级，改变以往简单清洗、不分规格混合包装的粗放做法，调整为经流水线筛选、分档，净化后再通过冷链物流直销配送的方式，提升产品附加价值。</w:t>
      </w:r>
    </w:p>
    <w:p w14:paraId="2EF9FC93" w14:textId="77777777" w:rsidR="004F39F6" w:rsidRDefault="00731C67">
      <w:pPr>
        <w:spacing w:line="360" w:lineRule="auto"/>
        <w:ind w:firstLine="420"/>
        <w:rPr>
          <w:rFonts w:eastAsiaTheme="minorEastAsia"/>
          <w:sz w:val="24"/>
        </w:rPr>
      </w:pPr>
      <w:r>
        <w:rPr>
          <w:rFonts w:eastAsiaTheme="minorEastAsia"/>
          <w:sz w:val="24"/>
        </w:rPr>
        <w:t>（三）实施品牌化发展提升工程</w:t>
      </w:r>
    </w:p>
    <w:p w14:paraId="475B4C93" w14:textId="77777777" w:rsidR="004F39F6" w:rsidRDefault="00731C67">
      <w:pPr>
        <w:spacing w:line="360" w:lineRule="auto"/>
        <w:ind w:firstLine="420"/>
        <w:rPr>
          <w:rFonts w:eastAsiaTheme="minorEastAsia"/>
          <w:sz w:val="24"/>
        </w:rPr>
      </w:pPr>
      <w:r>
        <w:rPr>
          <w:rFonts w:eastAsiaTheme="minorEastAsia"/>
          <w:sz w:val="24"/>
        </w:rPr>
        <w:t>一是争取将乳山牡蛎认定为中国驰名商标，进一步提升品牌知名度和影响力。二是继续举办牡蛎文化节、国际高峰论坛等牡蛎系列推介活动，并鼓励牡蛎生产单位参加国内外</w:t>
      </w:r>
      <w:proofErr w:type="gramStart"/>
      <w:r>
        <w:rPr>
          <w:rFonts w:eastAsiaTheme="minorEastAsia"/>
          <w:sz w:val="24"/>
        </w:rPr>
        <w:t>知名渔博会</w:t>
      </w:r>
      <w:proofErr w:type="gramEnd"/>
      <w:r>
        <w:rPr>
          <w:rFonts w:eastAsiaTheme="minorEastAsia"/>
          <w:sz w:val="24"/>
        </w:rPr>
        <w:t>、展销会，推动当地牡蛎产业向更广维度、更深层次、更高目标发展。三是开展乳山牡蛎</w:t>
      </w:r>
      <w:r>
        <w:rPr>
          <w:rFonts w:eastAsiaTheme="minorEastAsia"/>
          <w:sz w:val="24"/>
        </w:rPr>
        <w:t>防伪溯源工作，到</w:t>
      </w:r>
      <w:r>
        <w:rPr>
          <w:rFonts w:eastAsiaTheme="minorEastAsia"/>
          <w:sz w:val="24"/>
        </w:rPr>
        <w:t>2022</w:t>
      </w:r>
      <w:r>
        <w:rPr>
          <w:rFonts w:eastAsiaTheme="minorEastAsia"/>
          <w:sz w:val="24"/>
        </w:rPr>
        <w:t>年所有使用</w:t>
      </w:r>
      <w:r>
        <w:rPr>
          <w:rFonts w:eastAsiaTheme="minorEastAsia"/>
          <w:sz w:val="24"/>
        </w:rPr>
        <w:t>“</w:t>
      </w:r>
      <w:r>
        <w:rPr>
          <w:rFonts w:eastAsiaTheme="minorEastAsia"/>
          <w:sz w:val="24"/>
        </w:rPr>
        <w:t>乳山牡蛎</w:t>
      </w:r>
      <w:r>
        <w:rPr>
          <w:rFonts w:eastAsiaTheme="minorEastAsia"/>
          <w:sz w:val="24"/>
        </w:rPr>
        <w:t>”</w:t>
      </w:r>
      <w:r>
        <w:rPr>
          <w:rFonts w:eastAsiaTheme="minorEastAsia"/>
          <w:sz w:val="24"/>
        </w:rPr>
        <w:t>地理标志证明商标的牡蛎养殖生产单位实现防伪溯源全覆盖。</w:t>
      </w:r>
    </w:p>
    <w:p w14:paraId="14956D96" w14:textId="77777777" w:rsidR="004F39F6" w:rsidRDefault="00731C67">
      <w:pPr>
        <w:spacing w:line="360" w:lineRule="auto"/>
        <w:ind w:firstLine="420"/>
        <w:rPr>
          <w:rFonts w:eastAsiaTheme="minorEastAsia"/>
          <w:sz w:val="24"/>
        </w:rPr>
      </w:pPr>
      <w:r>
        <w:rPr>
          <w:rFonts w:eastAsiaTheme="minorEastAsia"/>
          <w:sz w:val="24"/>
        </w:rPr>
        <w:t>（四）实施全产业</w:t>
      </w:r>
      <w:proofErr w:type="gramStart"/>
      <w:r>
        <w:rPr>
          <w:rFonts w:eastAsiaTheme="minorEastAsia"/>
          <w:sz w:val="24"/>
        </w:rPr>
        <w:t>链价值</w:t>
      </w:r>
      <w:proofErr w:type="gramEnd"/>
      <w:r>
        <w:rPr>
          <w:rFonts w:eastAsiaTheme="minorEastAsia"/>
          <w:sz w:val="24"/>
        </w:rPr>
        <w:t>提升工程</w:t>
      </w:r>
    </w:p>
    <w:p w14:paraId="4399C039" w14:textId="77777777" w:rsidR="004F39F6" w:rsidRDefault="00731C67">
      <w:pPr>
        <w:spacing w:line="360" w:lineRule="auto"/>
        <w:ind w:firstLine="420"/>
        <w:rPr>
          <w:rFonts w:eastAsiaTheme="minorEastAsia"/>
          <w:sz w:val="24"/>
        </w:rPr>
      </w:pPr>
      <w:r>
        <w:rPr>
          <w:rFonts w:eastAsiaTheme="minorEastAsia"/>
          <w:sz w:val="24"/>
        </w:rPr>
        <w:t>一是精深化推进，把链条向加工业延伸。大力研发以牡蛎肉为重点的系列新产品，形成牡蛎从鲜品直销、初粗加工到精深加工的产业化加工体系，实现由常规加工向精深加工转变、由单一加工向多业融合转变。</w:t>
      </w:r>
    </w:p>
    <w:p w14:paraId="7C703567" w14:textId="77777777" w:rsidR="004F39F6" w:rsidRDefault="00731C67">
      <w:pPr>
        <w:spacing w:line="360" w:lineRule="auto"/>
        <w:ind w:firstLine="420"/>
        <w:rPr>
          <w:rFonts w:eastAsiaTheme="minorEastAsia"/>
          <w:sz w:val="24"/>
        </w:rPr>
      </w:pPr>
      <w:r>
        <w:rPr>
          <w:rFonts w:eastAsiaTheme="minorEastAsia"/>
          <w:sz w:val="24"/>
        </w:rPr>
        <w:t>二是融合化发展，把链条继续向服务业延伸。坚持优</w:t>
      </w:r>
      <w:proofErr w:type="gramStart"/>
      <w:r>
        <w:rPr>
          <w:rFonts w:eastAsiaTheme="minorEastAsia"/>
          <w:sz w:val="24"/>
        </w:rPr>
        <w:t>一</w:t>
      </w:r>
      <w:proofErr w:type="gramEnd"/>
      <w:r>
        <w:rPr>
          <w:rFonts w:eastAsiaTheme="minorEastAsia"/>
          <w:sz w:val="24"/>
        </w:rPr>
        <w:t>产、接二产、连三产，推进产业链向服务业延伸，推动一二三产业融合发展。大力发展观光旅游，聘请专业团队对海上休闲旅游产业进行规划，同时研究开发牡蛎旅</w:t>
      </w:r>
      <w:r>
        <w:rPr>
          <w:rFonts w:eastAsiaTheme="minorEastAsia"/>
          <w:sz w:val="24"/>
        </w:rPr>
        <w:t>游食品、纪念品、工艺品，提高综合效益。</w:t>
      </w:r>
    </w:p>
    <w:p w14:paraId="77BDA36E" w14:textId="77777777" w:rsidR="004F39F6" w:rsidRDefault="00731C67">
      <w:pPr>
        <w:spacing w:line="360" w:lineRule="auto"/>
        <w:ind w:firstLine="420"/>
        <w:rPr>
          <w:rFonts w:eastAsiaTheme="minorEastAsia"/>
          <w:sz w:val="24"/>
        </w:rPr>
      </w:pPr>
      <w:r>
        <w:rPr>
          <w:rFonts w:eastAsiaTheme="minorEastAsia"/>
          <w:sz w:val="24"/>
        </w:rPr>
        <w:t>三是多元化营销，把链条向市场延伸。坚持向市场要效益，拓展营销模式，开拓销售市场，让</w:t>
      </w:r>
      <w:r>
        <w:rPr>
          <w:rFonts w:eastAsiaTheme="minorEastAsia"/>
          <w:sz w:val="24"/>
        </w:rPr>
        <w:t>“</w:t>
      </w:r>
      <w:r>
        <w:rPr>
          <w:rFonts w:eastAsiaTheme="minorEastAsia"/>
          <w:sz w:val="24"/>
        </w:rPr>
        <w:t>一粒牡蛎</w:t>
      </w:r>
      <w:r>
        <w:rPr>
          <w:rFonts w:eastAsiaTheme="minorEastAsia"/>
          <w:sz w:val="24"/>
        </w:rPr>
        <w:t>”</w:t>
      </w:r>
      <w:r>
        <w:rPr>
          <w:rFonts w:eastAsiaTheme="minorEastAsia"/>
          <w:sz w:val="24"/>
        </w:rPr>
        <w:t>致富一方。大力发展冷链物流配送项目，加强与大型物流公司和知名超市</w:t>
      </w:r>
      <w:r>
        <w:rPr>
          <w:rFonts w:eastAsiaTheme="minorEastAsia"/>
          <w:sz w:val="24"/>
        </w:rPr>
        <w:lastRenderedPageBreak/>
        <w:t>的合作，构建水产品冷链仓储配送体系，在天猫、京东等</w:t>
      </w:r>
      <w:proofErr w:type="gramStart"/>
      <w:r>
        <w:rPr>
          <w:rFonts w:eastAsiaTheme="minorEastAsia"/>
          <w:sz w:val="24"/>
        </w:rPr>
        <w:t>传统电</w:t>
      </w:r>
      <w:proofErr w:type="gramEnd"/>
      <w:r>
        <w:rPr>
          <w:rFonts w:eastAsiaTheme="minorEastAsia"/>
          <w:sz w:val="24"/>
        </w:rPr>
        <w:t>商平台销售的同时持续拓展微信、</w:t>
      </w:r>
      <w:proofErr w:type="gramStart"/>
      <w:r>
        <w:rPr>
          <w:rFonts w:eastAsiaTheme="minorEastAsia"/>
          <w:sz w:val="24"/>
        </w:rPr>
        <w:t>抖音等</w:t>
      </w:r>
      <w:proofErr w:type="gramEnd"/>
      <w:r>
        <w:rPr>
          <w:rFonts w:eastAsiaTheme="minorEastAsia"/>
          <w:sz w:val="24"/>
        </w:rPr>
        <w:t>新媒体网络销售渠道。充分发挥牡蛎协会作用，加强行业自律，通过统一包装规范、统一质量标准、统一形象标识，保障乳山牡蛎品质，拓宽营销渠道。</w:t>
      </w:r>
    </w:p>
    <w:p w14:paraId="4133AC45" w14:textId="77777777" w:rsidR="004F39F6" w:rsidRDefault="00731C67">
      <w:pPr>
        <w:spacing w:line="360" w:lineRule="auto"/>
        <w:ind w:firstLine="420"/>
        <w:rPr>
          <w:rFonts w:eastAsiaTheme="minorEastAsia"/>
          <w:sz w:val="24"/>
        </w:rPr>
      </w:pPr>
      <w:r>
        <w:rPr>
          <w:rFonts w:eastAsiaTheme="minorEastAsia"/>
          <w:sz w:val="24"/>
        </w:rPr>
        <w:t>四是资源化利用，把链条向末端延伸。秉持循环经济理念，以</w:t>
      </w:r>
      <w:r>
        <w:rPr>
          <w:rFonts w:eastAsiaTheme="minorEastAsia"/>
          <w:sz w:val="24"/>
        </w:rPr>
        <w:t>“</w:t>
      </w:r>
      <w:r>
        <w:rPr>
          <w:rFonts w:eastAsiaTheme="minorEastAsia"/>
          <w:sz w:val="24"/>
        </w:rPr>
        <w:t>减量化、资源化、再利用</w:t>
      </w:r>
      <w:r>
        <w:rPr>
          <w:rFonts w:eastAsiaTheme="minorEastAsia"/>
          <w:sz w:val="24"/>
        </w:rPr>
        <w:t>”</w:t>
      </w:r>
      <w:r>
        <w:rPr>
          <w:rFonts w:eastAsiaTheme="minorEastAsia"/>
          <w:sz w:val="24"/>
        </w:rPr>
        <w:t>为目标</w:t>
      </w:r>
      <w:r>
        <w:rPr>
          <w:rFonts w:eastAsiaTheme="minorEastAsia"/>
          <w:sz w:val="24"/>
        </w:rPr>
        <w:t>，对处于链条末端的牡蛎壳等废弃物进行深加工和再利用，引导企业发展牡蛎壳等废弃物综合利用项目，变废为宝，生产壳聚糖、甲壳素、土壤改良剂、生物有机肥等生物制品，研发硝化曝气生物滤池牡蛎壳填料、新型环保渔礁等新材料产品以及牡蛎钙片、活性化钙粉等医药保健产品，预计年可利用牡蛎壳</w:t>
      </w:r>
      <w:r>
        <w:rPr>
          <w:rFonts w:eastAsiaTheme="minorEastAsia"/>
          <w:sz w:val="24"/>
        </w:rPr>
        <w:t>10</w:t>
      </w:r>
      <w:r>
        <w:rPr>
          <w:rFonts w:eastAsiaTheme="minorEastAsia"/>
          <w:sz w:val="24"/>
        </w:rPr>
        <w:t>万</w:t>
      </w:r>
      <w:r>
        <w:rPr>
          <w:rFonts w:eastAsiaTheme="minorEastAsia"/>
          <w:sz w:val="24"/>
        </w:rPr>
        <w:t>t</w:t>
      </w:r>
      <w:r>
        <w:rPr>
          <w:rFonts w:eastAsiaTheme="minorEastAsia"/>
          <w:sz w:val="24"/>
        </w:rPr>
        <w:t>以上，真正实现废弃资源的高值化利用。</w:t>
      </w:r>
    </w:p>
    <w:p w14:paraId="7664AFE6"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转摘自中国水产</w:t>
      </w:r>
      <w:proofErr w:type="gramStart"/>
      <w:r>
        <w:rPr>
          <w:rStyle w:val="vm"/>
          <w:rFonts w:eastAsiaTheme="minorEastAsia"/>
          <w:szCs w:val="21"/>
        </w:rPr>
        <w:t>微信公众号</w:t>
      </w:r>
      <w:proofErr w:type="gramEnd"/>
    </w:p>
    <w:p w14:paraId="0FBD0CC9" w14:textId="77777777" w:rsidR="004F39F6" w:rsidRDefault="00731C67">
      <w:pPr>
        <w:pStyle w:val="1"/>
        <w:spacing w:line="460" w:lineRule="exact"/>
        <w:rPr>
          <w:rStyle w:val="vm"/>
          <w:rFonts w:eastAsia="黑体"/>
          <w:b w:val="0"/>
          <w:bCs w:val="0"/>
          <w:sz w:val="32"/>
          <w:szCs w:val="32"/>
          <w:bdr w:val="single" w:sz="4" w:space="0" w:color="auto"/>
        </w:rPr>
      </w:pPr>
      <w:bookmarkStart w:id="19" w:name="_Toc95682092"/>
      <w:r>
        <w:rPr>
          <w:rStyle w:val="vm"/>
          <w:rFonts w:eastAsia="黑体"/>
          <w:sz w:val="32"/>
          <w:szCs w:val="32"/>
          <w:bdr w:val="single" w:sz="4" w:space="0" w:color="auto"/>
        </w:rPr>
        <w:t>会议传递</w:t>
      </w:r>
      <w:bookmarkEnd w:id="19"/>
    </w:p>
    <w:p w14:paraId="62A022CE" w14:textId="77777777" w:rsidR="004F39F6" w:rsidRDefault="00731C67">
      <w:pPr>
        <w:pStyle w:val="2"/>
        <w:spacing w:line="460" w:lineRule="exact"/>
        <w:jc w:val="center"/>
        <w:rPr>
          <w:rFonts w:ascii="Times New Roman" w:eastAsiaTheme="minorEastAsia" w:hAnsi="Times New Roman" w:cs="Times New Roman"/>
          <w:sz w:val="24"/>
        </w:rPr>
      </w:pPr>
      <w:bookmarkStart w:id="20" w:name="_Toc95682093"/>
      <w:r>
        <w:rPr>
          <w:rFonts w:ascii="Times New Roman" w:eastAsia="黑体" w:hAnsi="Times New Roman" w:cs="Times New Roman"/>
          <w:sz w:val="32"/>
          <w:szCs w:val="32"/>
        </w:rPr>
        <w:t>2022</w:t>
      </w:r>
      <w:r>
        <w:rPr>
          <w:rFonts w:ascii="Times New Roman" w:eastAsia="黑体" w:hAnsi="Times New Roman" w:cs="Times New Roman"/>
          <w:sz w:val="32"/>
          <w:szCs w:val="32"/>
        </w:rPr>
        <w:t>水产养殖采购会暨水产养殖绿色发展峰会将在漳州召开</w:t>
      </w:r>
      <w:bookmarkEnd w:id="20"/>
    </w:p>
    <w:p w14:paraId="346423FC" w14:textId="77777777" w:rsidR="004F39F6" w:rsidRDefault="00731C67">
      <w:pPr>
        <w:spacing w:line="360" w:lineRule="auto"/>
        <w:ind w:firstLine="420"/>
        <w:rPr>
          <w:rFonts w:eastAsiaTheme="minorEastAsia"/>
          <w:sz w:val="24"/>
        </w:rPr>
      </w:pPr>
      <w:r>
        <w:rPr>
          <w:rFonts w:eastAsiaTheme="minorEastAsia"/>
          <w:sz w:val="24"/>
        </w:rPr>
        <w:t>为贯彻落实农业农村部等十部委提出《关于加快推进水产养殖业绿色发展的若干意见》，推进水产绿色健康养殖</w:t>
      </w:r>
      <w:r>
        <w:rPr>
          <w:rFonts w:eastAsiaTheme="minorEastAsia"/>
          <w:sz w:val="24"/>
        </w:rPr>
        <w:t>“</w:t>
      </w:r>
      <w:r>
        <w:rPr>
          <w:rFonts w:eastAsiaTheme="minorEastAsia"/>
          <w:sz w:val="24"/>
        </w:rPr>
        <w:t>五大行动</w:t>
      </w:r>
      <w:r>
        <w:rPr>
          <w:rFonts w:eastAsiaTheme="minorEastAsia"/>
          <w:sz w:val="24"/>
        </w:rPr>
        <w:t>”</w:t>
      </w:r>
      <w:r>
        <w:rPr>
          <w:rFonts w:eastAsiaTheme="minorEastAsia"/>
          <w:sz w:val="24"/>
        </w:rPr>
        <w:t>，加快水产养殖业绿色发展和补齐发展短板，推动水产养殖业转型升级和绿色高质量发展。由地方渔业行政管理部门、养殖大户、经销商支持的</w:t>
      </w:r>
      <w:r>
        <w:rPr>
          <w:rFonts w:eastAsiaTheme="minorEastAsia"/>
          <w:sz w:val="24"/>
        </w:rPr>
        <w:t>“2022</w:t>
      </w:r>
      <w:r>
        <w:rPr>
          <w:rFonts w:eastAsiaTheme="minorEastAsia"/>
          <w:sz w:val="24"/>
        </w:rPr>
        <w:t>水产养殖（漳州</w:t>
      </w:r>
      <w:r>
        <w:rPr>
          <w:rFonts w:eastAsiaTheme="minorEastAsia"/>
          <w:sz w:val="24"/>
        </w:rPr>
        <w:t>·</w:t>
      </w:r>
      <w:r>
        <w:rPr>
          <w:rFonts w:eastAsiaTheme="minorEastAsia"/>
          <w:sz w:val="24"/>
        </w:rPr>
        <w:t>龙海）采购会</w:t>
      </w:r>
      <w:r>
        <w:rPr>
          <w:rFonts w:eastAsiaTheme="minorEastAsia"/>
          <w:sz w:val="24"/>
        </w:rPr>
        <w:t>”</w:t>
      </w:r>
      <w:r>
        <w:rPr>
          <w:rFonts w:eastAsiaTheme="minorEastAsia"/>
          <w:sz w:val="24"/>
        </w:rPr>
        <w:t>将于</w:t>
      </w:r>
      <w:r>
        <w:rPr>
          <w:rFonts w:eastAsiaTheme="minorEastAsia"/>
          <w:sz w:val="24"/>
        </w:rPr>
        <w:t>2022</w:t>
      </w:r>
      <w:r>
        <w:rPr>
          <w:rFonts w:eastAsiaTheme="minorEastAsia"/>
          <w:sz w:val="24"/>
        </w:rPr>
        <w:t>年</w:t>
      </w:r>
      <w:r>
        <w:rPr>
          <w:rFonts w:eastAsiaTheme="minorEastAsia"/>
          <w:sz w:val="24"/>
        </w:rPr>
        <w:t>3</w:t>
      </w:r>
      <w:r>
        <w:rPr>
          <w:rFonts w:eastAsiaTheme="minorEastAsia"/>
          <w:sz w:val="24"/>
        </w:rPr>
        <w:t>月在漳州</w:t>
      </w:r>
      <w:r>
        <w:rPr>
          <w:rFonts w:eastAsiaTheme="minorEastAsia"/>
          <w:sz w:val="24"/>
        </w:rPr>
        <w:t>·</w:t>
      </w:r>
      <w:r>
        <w:rPr>
          <w:rFonts w:eastAsiaTheme="minorEastAsia"/>
          <w:sz w:val="24"/>
        </w:rPr>
        <w:t>龙海食品博览园召开。这是一次注重资源环境和谐发展，吸纳产业先进观念，分享国内国外先进养殖技术和管理经验的盛会。以种苗、饲料、药物、</w:t>
      </w:r>
      <w:proofErr w:type="gramStart"/>
      <w:r>
        <w:rPr>
          <w:rFonts w:eastAsiaTheme="minorEastAsia"/>
          <w:sz w:val="24"/>
        </w:rPr>
        <w:t>渔机以及</w:t>
      </w:r>
      <w:proofErr w:type="gramEnd"/>
      <w:r>
        <w:rPr>
          <w:rFonts w:eastAsiaTheme="minorEastAsia"/>
          <w:sz w:val="24"/>
        </w:rPr>
        <w:t>设备等为主要内容的全国性重要的水产养殖采购、订货会。为推进我国水产养殖取</w:t>
      </w:r>
      <w:r>
        <w:rPr>
          <w:rFonts w:eastAsiaTheme="minorEastAsia"/>
          <w:sz w:val="24"/>
        </w:rPr>
        <w:t>得持续健康发展作贡献。致力于将展会打造成专家的论坛、商人的舞台、养殖</w:t>
      </w:r>
      <w:proofErr w:type="gramStart"/>
      <w:r>
        <w:rPr>
          <w:rFonts w:eastAsiaTheme="minorEastAsia"/>
          <w:sz w:val="24"/>
        </w:rPr>
        <w:t>户学习</w:t>
      </w:r>
      <w:proofErr w:type="gramEnd"/>
      <w:r>
        <w:rPr>
          <w:rFonts w:eastAsiaTheme="minorEastAsia"/>
          <w:sz w:val="24"/>
        </w:rPr>
        <w:t>的平台。</w:t>
      </w:r>
    </w:p>
    <w:p w14:paraId="00C54AA6" w14:textId="77777777" w:rsidR="004F39F6" w:rsidRDefault="00731C67">
      <w:pPr>
        <w:spacing w:line="360" w:lineRule="auto"/>
        <w:ind w:firstLine="420"/>
        <w:rPr>
          <w:rFonts w:eastAsiaTheme="minorEastAsia"/>
          <w:sz w:val="24"/>
        </w:rPr>
      </w:pPr>
      <w:r>
        <w:rPr>
          <w:rFonts w:eastAsiaTheme="minorEastAsia"/>
          <w:sz w:val="24"/>
        </w:rPr>
        <w:t>3</w:t>
      </w:r>
      <w:r>
        <w:rPr>
          <w:rFonts w:eastAsiaTheme="minorEastAsia"/>
          <w:sz w:val="24"/>
        </w:rPr>
        <w:t>月，诚挚邀请水产养殖行业同仁朋友们欢聚漳州</w:t>
      </w:r>
      <w:r>
        <w:rPr>
          <w:rFonts w:eastAsiaTheme="minorEastAsia"/>
          <w:sz w:val="24"/>
        </w:rPr>
        <w:t>·</w:t>
      </w:r>
      <w:r>
        <w:rPr>
          <w:rFonts w:eastAsiaTheme="minorEastAsia"/>
          <w:sz w:val="24"/>
        </w:rPr>
        <w:t>龙海食品博览园参展、参观、交流！</w:t>
      </w:r>
    </w:p>
    <w:p w14:paraId="2BCD7C73" w14:textId="77777777" w:rsidR="004F39F6" w:rsidRDefault="00731C67">
      <w:pPr>
        <w:spacing w:line="360" w:lineRule="auto"/>
        <w:ind w:firstLine="420"/>
        <w:rPr>
          <w:rFonts w:eastAsiaTheme="minorEastAsia"/>
          <w:sz w:val="24"/>
        </w:rPr>
      </w:pPr>
      <w:r>
        <w:rPr>
          <w:rFonts w:eastAsiaTheme="minorEastAsia"/>
          <w:sz w:val="24"/>
        </w:rPr>
        <w:t>主办单位：</w:t>
      </w:r>
    </w:p>
    <w:p w14:paraId="052C1FD3" w14:textId="77777777" w:rsidR="004F39F6" w:rsidRDefault="00731C67">
      <w:pPr>
        <w:spacing w:line="360" w:lineRule="auto"/>
        <w:ind w:firstLine="420"/>
        <w:rPr>
          <w:rFonts w:eastAsiaTheme="minorEastAsia"/>
          <w:sz w:val="24"/>
        </w:rPr>
      </w:pPr>
      <w:r>
        <w:rPr>
          <w:rFonts w:eastAsiaTheme="minorEastAsia"/>
          <w:sz w:val="24"/>
        </w:rPr>
        <w:t>中国渔业协会智慧渔业分会</w:t>
      </w:r>
    </w:p>
    <w:p w14:paraId="08CD8AAE" w14:textId="77777777" w:rsidR="004F39F6" w:rsidRDefault="00731C67">
      <w:pPr>
        <w:spacing w:line="360" w:lineRule="auto"/>
        <w:ind w:firstLine="420"/>
        <w:rPr>
          <w:rFonts w:eastAsiaTheme="minorEastAsia"/>
          <w:sz w:val="24"/>
        </w:rPr>
      </w:pPr>
      <w:r>
        <w:rPr>
          <w:rFonts w:eastAsiaTheme="minorEastAsia"/>
          <w:sz w:val="24"/>
        </w:rPr>
        <w:t>福建省水产加工流通协会</w:t>
      </w:r>
    </w:p>
    <w:p w14:paraId="504DE6B3" w14:textId="77777777" w:rsidR="004F39F6" w:rsidRDefault="00731C67">
      <w:pPr>
        <w:spacing w:line="360" w:lineRule="auto"/>
        <w:ind w:firstLine="420"/>
        <w:rPr>
          <w:rFonts w:eastAsiaTheme="minorEastAsia"/>
          <w:sz w:val="24"/>
        </w:rPr>
      </w:pPr>
      <w:r>
        <w:rPr>
          <w:rFonts w:eastAsiaTheme="minorEastAsia"/>
          <w:sz w:val="24"/>
        </w:rPr>
        <w:t>厦门市渔业协会</w:t>
      </w:r>
    </w:p>
    <w:p w14:paraId="57984D09" w14:textId="77777777" w:rsidR="004F39F6" w:rsidRDefault="00731C67">
      <w:pPr>
        <w:spacing w:line="360" w:lineRule="auto"/>
        <w:ind w:firstLine="420"/>
        <w:rPr>
          <w:rFonts w:eastAsiaTheme="minorEastAsia"/>
          <w:sz w:val="24"/>
        </w:rPr>
      </w:pPr>
      <w:r>
        <w:rPr>
          <w:rFonts w:eastAsiaTheme="minorEastAsia"/>
          <w:sz w:val="24"/>
        </w:rPr>
        <w:t>厦门市中展世纪商务展览有限公司</w:t>
      </w:r>
    </w:p>
    <w:p w14:paraId="08D038ED" w14:textId="77777777" w:rsidR="004F39F6" w:rsidRDefault="00731C67">
      <w:pPr>
        <w:spacing w:line="360" w:lineRule="auto"/>
        <w:ind w:firstLine="420"/>
        <w:rPr>
          <w:rFonts w:eastAsiaTheme="minorEastAsia"/>
          <w:sz w:val="24"/>
        </w:rPr>
      </w:pPr>
      <w:r>
        <w:rPr>
          <w:rFonts w:eastAsiaTheme="minorEastAsia"/>
          <w:sz w:val="24"/>
        </w:rPr>
        <w:t>协办单位：</w:t>
      </w:r>
    </w:p>
    <w:p w14:paraId="372489BB" w14:textId="77777777" w:rsidR="004F39F6" w:rsidRDefault="00731C67">
      <w:pPr>
        <w:spacing w:line="360" w:lineRule="auto"/>
        <w:ind w:firstLine="420"/>
        <w:rPr>
          <w:rFonts w:eastAsiaTheme="minorEastAsia"/>
          <w:sz w:val="24"/>
        </w:rPr>
      </w:pPr>
      <w:r>
        <w:rPr>
          <w:rFonts w:eastAsiaTheme="minorEastAsia"/>
          <w:sz w:val="24"/>
        </w:rPr>
        <w:lastRenderedPageBreak/>
        <w:t>国家工业化水产养殖与装备科技创新联盟</w:t>
      </w:r>
    </w:p>
    <w:p w14:paraId="0FC4962A" w14:textId="77777777" w:rsidR="004F39F6" w:rsidRDefault="00731C67">
      <w:pPr>
        <w:spacing w:line="360" w:lineRule="auto"/>
        <w:ind w:firstLine="420"/>
        <w:rPr>
          <w:rFonts w:eastAsiaTheme="minorEastAsia"/>
          <w:sz w:val="24"/>
        </w:rPr>
      </w:pPr>
      <w:r>
        <w:rPr>
          <w:rFonts w:eastAsiaTheme="minorEastAsia"/>
          <w:sz w:val="24"/>
        </w:rPr>
        <w:t>厦门（集美）海洋职业技术学院校友会</w:t>
      </w:r>
    </w:p>
    <w:p w14:paraId="03C18AD3" w14:textId="77777777" w:rsidR="004F39F6" w:rsidRDefault="00731C67">
      <w:pPr>
        <w:spacing w:line="360" w:lineRule="auto"/>
        <w:ind w:firstLine="420"/>
        <w:rPr>
          <w:rFonts w:eastAsiaTheme="minorEastAsia"/>
          <w:sz w:val="24"/>
        </w:rPr>
      </w:pPr>
      <w:r>
        <w:rPr>
          <w:rFonts w:eastAsiaTheme="minorEastAsia"/>
          <w:sz w:val="24"/>
        </w:rPr>
        <w:t>集美大学校友会水产行业分会</w:t>
      </w:r>
    </w:p>
    <w:p w14:paraId="32F771A8" w14:textId="77777777" w:rsidR="004F39F6" w:rsidRDefault="00731C67">
      <w:pPr>
        <w:spacing w:line="360" w:lineRule="auto"/>
        <w:ind w:firstLine="420"/>
        <w:rPr>
          <w:rFonts w:eastAsiaTheme="minorEastAsia"/>
          <w:sz w:val="24"/>
        </w:rPr>
      </w:pPr>
      <w:r>
        <w:rPr>
          <w:rFonts w:eastAsiaTheme="minorEastAsia"/>
          <w:sz w:val="24"/>
        </w:rPr>
        <w:t>支持单位：</w:t>
      </w:r>
    </w:p>
    <w:p w14:paraId="59D00BED" w14:textId="77777777" w:rsidR="004F39F6" w:rsidRDefault="00731C67">
      <w:pPr>
        <w:spacing w:line="360" w:lineRule="auto"/>
        <w:ind w:firstLine="420"/>
        <w:rPr>
          <w:rFonts w:eastAsiaTheme="minorEastAsia"/>
          <w:sz w:val="24"/>
        </w:rPr>
      </w:pPr>
      <w:r>
        <w:rPr>
          <w:rFonts w:eastAsiaTheme="minorEastAsia"/>
          <w:sz w:val="24"/>
        </w:rPr>
        <w:t>中国渔业协会水产养殖投入品分会</w:t>
      </w:r>
    </w:p>
    <w:p w14:paraId="1D667165" w14:textId="77777777" w:rsidR="004F39F6" w:rsidRDefault="00731C67">
      <w:pPr>
        <w:spacing w:line="360" w:lineRule="auto"/>
        <w:ind w:firstLine="420"/>
        <w:rPr>
          <w:rFonts w:eastAsiaTheme="minorEastAsia"/>
          <w:sz w:val="24"/>
        </w:rPr>
      </w:pPr>
      <w:r>
        <w:rPr>
          <w:rFonts w:eastAsiaTheme="minorEastAsia"/>
          <w:sz w:val="24"/>
        </w:rPr>
        <w:t>赞助单位：</w:t>
      </w:r>
    </w:p>
    <w:p w14:paraId="7E18F18D" w14:textId="77777777" w:rsidR="004F39F6" w:rsidRDefault="00731C67">
      <w:pPr>
        <w:spacing w:line="360" w:lineRule="auto"/>
        <w:ind w:firstLine="420"/>
        <w:rPr>
          <w:rFonts w:eastAsiaTheme="minorEastAsia"/>
          <w:sz w:val="24"/>
        </w:rPr>
      </w:pPr>
      <w:proofErr w:type="gramStart"/>
      <w:r>
        <w:rPr>
          <w:rFonts w:eastAsiaTheme="minorEastAsia"/>
          <w:sz w:val="24"/>
        </w:rPr>
        <w:t>清水华</w:t>
      </w:r>
      <w:proofErr w:type="gramEnd"/>
      <w:r>
        <w:rPr>
          <w:rFonts w:eastAsiaTheme="minorEastAsia"/>
          <w:sz w:val="24"/>
        </w:rPr>
        <w:t>明</w:t>
      </w:r>
      <w:r>
        <w:rPr>
          <w:rFonts w:eastAsiaTheme="minorEastAsia"/>
          <w:sz w:val="24"/>
        </w:rPr>
        <w:t>(</w:t>
      </w:r>
      <w:r>
        <w:rPr>
          <w:rFonts w:eastAsiaTheme="minorEastAsia"/>
          <w:sz w:val="24"/>
        </w:rPr>
        <w:t>武汉</w:t>
      </w:r>
      <w:r>
        <w:rPr>
          <w:rFonts w:eastAsiaTheme="minorEastAsia"/>
          <w:sz w:val="24"/>
        </w:rPr>
        <w:t>)</w:t>
      </w:r>
      <w:r>
        <w:rPr>
          <w:rFonts w:eastAsiaTheme="minorEastAsia"/>
          <w:sz w:val="24"/>
        </w:rPr>
        <w:t>生态科技有限公司</w:t>
      </w:r>
    </w:p>
    <w:p w14:paraId="1DF7A177" w14:textId="77777777" w:rsidR="004F39F6" w:rsidRDefault="00731C67">
      <w:pPr>
        <w:spacing w:line="360" w:lineRule="auto"/>
        <w:ind w:firstLine="420"/>
        <w:rPr>
          <w:rFonts w:eastAsiaTheme="minorEastAsia"/>
          <w:sz w:val="24"/>
        </w:rPr>
      </w:pPr>
      <w:r>
        <w:rPr>
          <w:rFonts w:eastAsiaTheme="minorEastAsia"/>
          <w:sz w:val="24"/>
        </w:rPr>
        <w:t>河南全印检测技术有限公司</w:t>
      </w:r>
    </w:p>
    <w:p w14:paraId="3FFA13CB" w14:textId="77777777" w:rsidR="004F39F6" w:rsidRDefault="00731C67">
      <w:pPr>
        <w:spacing w:line="360" w:lineRule="auto"/>
        <w:ind w:firstLine="420"/>
        <w:rPr>
          <w:rFonts w:eastAsiaTheme="minorEastAsia"/>
          <w:sz w:val="24"/>
        </w:rPr>
      </w:pPr>
      <w:r>
        <w:rPr>
          <w:rFonts w:eastAsiaTheme="minorEastAsia"/>
          <w:sz w:val="24"/>
        </w:rPr>
        <w:t>郑州渔脉生物科技有限公司</w:t>
      </w:r>
    </w:p>
    <w:p w14:paraId="77D62A1C" w14:textId="77777777" w:rsidR="004F39F6" w:rsidRDefault="00731C67">
      <w:pPr>
        <w:spacing w:line="360" w:lineRule="auto"/>
        <w:ind w:firstLine="420"/>
        <w:rPr>
          <w:rFonts w:eastAsiaTheme="minorEastAsia"/>
          <w:sz w:val="24"/>
        </w:rPr>
      </w:pPr>
      <w:r>
        <w:rPr>
          <w:rFonts w:eastAsiaTheme="minorEastAsia"/>
          <w:sz w:val="24"/>
        </w:rPr>
        <w:t>郑州渔农生物科技有限公司</w:t>
      </w:r>
    </w:p>
    <w:p w14:paraId="6E1A6C6E" w14:textId="77777777" w:rsidR="004F39F6" w:rsidRDefault="00731C67">
      <w:pPr>
        <w:spacing w:line="360" w:lineRule="auto"/>
        <w:ind w:firstLine="420"/>
        <w:rPr>
          <w:rFonts w:eastAsiaTheme="minorEastAsia"/>
          <w:sz w:val="24"/>
        </w:rPr>
      </w:pPr>
      <w:r>
        <w:rPr>
          <w:rFonts w:eastAsiaTheme="minorEastAsia"/>
          <w:sz w:val="24"/>
        </w:rPr>
        <w:t>厦门玛塔生物科技有限公司</w:t>
      </w:r>
    </w:p>
    <w:p w14:paraId="06BEA656" w14:textId="77777777" w:rsidR="004F39F6" w:rsidRDefault="00731C67">
      <w:pPr>
        <w:spacing w:line="360" w:lineRule="auto"/>
        <w:ind w:firstLine="420"/>
        <w:rPr>
          <w:rFonts w:eastAsiaTheme="minorEastAsia"/>
          <w:sz w:val="24"/>
        </w:rPr>
      </w:pPr>
      <w:r>
        <w:rPr>
          <w:rFonts w:eastAsiaTheme="minorEastAsia"/>
          <w:sz w:val="24"/>
        </w:rPr>
        <w:t>展会时间</w:t>
      </w:r>
    </w:p>
    <w:p w14:paraId="5AFFD3C8" w14:textId="77777777" w:rsidR="004F39F6" w:rsidRDefault="00731C67">
      <w:pPr>
        <w:spacing w:line="360" w:lineRule="auto"/>
        <w:ind w:firstLine="420"/>
        <w:rPr>
          <w:rFonts w:eastAsiaTheme="minorEastAsia"/>
          <w:sz w:val="24"/>
        </w:rPr>
      </w:pPr>
      <w:r>
        <w:rPr>
          <w:rFonts w:eastAsiaTheme="minorEastAsia"/>
          <w:sz w:val="24"/>
        </w:rPr>
        <w:t>布展时间：</w:t>
      </w:r>
      <w:r>
        <w:rPr>
          <w:rFonts w:eastAsiaTheme="minorEastAsia"/>
          <w:sz w:val="24"/>
        </w:rPr>
        <w:t>2022</w:t>
      </w:r>
      <w:r>
        <w:rPr>
          <w:rFonts w:eastAsiaTheme="minorEastAsia"/>
          <w:sz w:val="24"/>
        </w:rPr>
        <w:t>年</w:t>
      </w:r>
      <w:r>
        <w:rPr>
          <w:rFonts w:eastAsiaTheme="minorEastAsia"/>
          <w:sz w:val="24"/>
        </w:rPr>
        <w:t>3</w:t>
      </w:r>
      <w:r>
        <w:rPr>
          <w:rFonts w:eastAsiaTheme="minorEastAsia"/>
          <w:sz w:val="24"/>
        </w:rPr>
        <w:t>月</w:t>
      </w:r>
      <w:r>
        <w:rPr>
          <w:rFonts w:eastAsiaTheme="minorEastAsia"/>
          <w:sz w:val="24"/>
        </w:rPr>
        <w:t>9-10</w:t>
      </w:r>
      <w:r>
        <w:rPr>
          <w:rFonts w:eastAsiaTheme="minorEastAsia"/>
          <w:sz w:val="24"/>
        </w:rPr>
        <w:t>日</w:t>
      </w:r>
    </w:p>
    <w:p w14:paraId="236C95BF" w14:textId="77777777" w:rsidR="004F39F6" w:rsidRDefault="00731C67">
      <w:pPr>
        <w:spacing w:line="360" w:lineRule="auto"/>
        <w:ind w:firstLine="420"/>
        <w:rPr>
          <w:rFonts w:eastAsiaTheme="minorEastAsia"/>
          <w:sz w:val="24"/>
        </w:rPr>
      </w:pPr>
      <w:r>
        <w:rPr>
          <w:rFonts w:eastAsiaTheme="minorEastAsia"/>
          <w:sz w:val="24"/>
        </w:rPr>
        <w:t>展示时间：</w:t>
      </w:r>
      <w:r>
        <w:rPr>
          <w:rFonts w:eastAsiaTheme="minorEastAsia"/>
          <w:sz w:val="24"/>
        </w:rPr>
        <w:t>2022</w:t>
      </w:r>
      <w:r>
        <w:rPr>
          <w:rFonts w:eastAsiaTheme="minorEastAsia"/>
          <w:sz w:val="24"/>
        </w:rPr>
        <w:t>年</w:t>
      </w:r>
      <w:r>
        <w:rPr>
          <w:rFonts w:eastAsiaTheme="minorEastAsia"/>
          <w:sz w:val="24"/>
        </w:rPr>
        <w:t>3</w:t>
      </w:r>
      <w:r>
        <w:rPr>
          <w:rFonts w:eastAsiaTheme="minorEastAsia"/>
          <w:sz w:val="24"/>
        </w:rPr>
        <w:t>月</w:t>
      </w:r>
      <w:r>
        <w:rPr>
          <w:rFonts w:eastAsiaTheme="minorEastAsia"/>
          <w:sz w:val="24"/>
        </w:rPr>
        <w:t>11-13</w:t>
      </w:r>
      <w:r>
        <w:rPr>
          <w:rFonts w:eastAsiaTheme="minorEastAsia"/>
          <w:sz w:val="24"/>
        </w:rPr>
        <w:t>日</w:t>
      </w:r>
    </w:p>
    <w:p w14:paraId="17B97E0E" w14:textId="77777777" w:rsidR="004F39F6" w:rsidRDefault="00731C67">
      <w:pPr>
        <w:spacing w:line="360" w:lineRule="auto"/>
        <w:ind w:firstLine="420"/>
        <w:rPr>
          <w:rFonts w:eastAsiaTheme="minorEastAsia"/>
          <w:sz w:val="24"/>
        </w:rPr>
      </w:pPr>
      <w:r>
        <w:rPr>
          <w:rFonts w:eastAsiaTheme="minorEastAsia"/>
          <w:sz w:val="24"/>
        </w:rPr>
        <w:t>撤展时间：</w:t>
      </w:r>
      <w:r>
        <w:rPr>
          <w:rFonts w:eastAsiaTheme="minorEastAsia"/>
          <w:sz w:val="24"/>
        </w:rPr>
        <w:t>2022</w:t>
      </w:r>
      <w:r>
        <w:rPr>
          <w:rFonts w:eastAsiaTheme="minorEastAsia"/>
          <w:sz w:val="24"/>
        </w:rPr>
        <w:t>年</w:t>
      </w:r>
      <w:r>
        <w:rPr>
          <w:rFonts w:eastAsiaTheme="minorEastAsia"/>
          <w:sz w:val="24"/>
        </w:rPr>
        <w:t>3</w:t>
      </w:r>
      <w:r>
        <w:rPr>
          <w:rFonts w:eastAsiaTheme="minorEastAsia"/>
          <w:sz w:val="24"/>
        </w:rPr>
        <w:t>月</w:t>
      </w:r>
      <w:r>
        <w:rPr>
          <w:rFonts w:eastAsiaTheme="minorEastAsia"/>
          <w:sz w:val="24"/>
        </w:rPr>
        <w:t>13</w:t>
      </w:r>
      <w:r>
        <w:rPr>
          <w:rFonts w:eastAsiaTheme="minorEastAsia"/>
          <w:sz w:val="24"/>
        </w:rPr>
        <w:t>日</w:t>
      </w:r>
      <w:r>
        <w:rPr>
          <w:rFonts w:eastAsiaTheme="minorEastAsia"/>
          <w:sz w:val="24"/>
        </w:rPr>
        <w:t>14:00</w:t>
      </w:r>
    </w:p>
    <w:p w14:paraId="4225A55E" w14:textId="77777777" w:rsidR="004F39F6" w:rsidRDefault="00731C67">
      <w:pPr>
        <w:spacing w:line="360" w:lineRule="auto"/>
        <w:ind w:firstLine="420"/>
        <w:rPr>
          <w:rFonts w:eastAsiaTheme="minorEastAsia"/>
          <w:sz w:val="24"/>
        </w:rPr>
      </w:pPr>
      <w:r>
        <w:rPr>
          <w:rFonts w:eastAsiaTheme="minorEastAsia"/>
          <w:sz w:val="24"/>
        </w:rPr>
        <w:t>参展范围</w:t>
      </w:r>
    </w:p>
    <w:p w14:paraId="3945EF86" w14:textId="77777777" w:rsidR="004F39F6" w:rsidRDefault="00731C67">
      <w:pPr>
        <w:spacing w:line="360" w:lineRule="auto"/>
        <w:ind w:firstLine="420"/>
        <w:rPr>
          <w:rFonts w:eastAsiaTheme="minorEastAsia"/>
          <w:sz w:val="24"/>
        </w:rPr>
      </w:pPr>
      <w:r>
        <w:rPr>
          <w:rFonts w:eastAsiaTheme="minorEastAsia"/>
          <w:sz w:val="24"/>
        </w:rPr>
        <w:t>1</w:t>
      </w:r>
      <w:r>
        <w:rPr>
          <w:rFonts w:eastAsiaTheme="minorEastAsia"/>
          <w:sz w:val="24"/>
        </w:rPr>
        <w:t>、</w:t>
      </w:r>
      <w:proofErr w:type="gramStart"/>
      <w:r>
        <w:rPr>
          <w:rFonts w:eastAsiaTheme="minorEastAsia"/>
          <w:sz w:val="24"/>
        </w:rPr>
        <w:t>水产动保类</w:t>
      </w:r>
      <w:proofErr w:type="gramEnd"/>
    </w:p>
    <w:p w14:paraId="4B02C27E" w14:textId="77777777" w:rsidR="004F39F6" w:rsidRDefault="00731C67">
      <w:pPr>
        <w:spacing w:line="360" w:lineRule="auto"/>
        <w:ind w:firstLine="420"/>
        <w:rPr>
          <w:rFonts w:eastAsiaTheme="minorEastAsia"/>
          <w:sz w:val="24"/>
        </w:rPr>
      </w:pPr>
      <w:r>
        <w:rPr>
          <w:rFonts w:eastAsiaTheme="minorEastAsia"/>
          <w:sz w:val="24"/>
        </w:rPr>
        <w:t>水质改良剂、微生物制剂、培藻类、水产消毒剂、内服抗病类、营养添加剂、</w:t>
      </w:r>
      <w:proofErr w:type="gramStart"/>
      <w:r>
        <w:rPr>
          <w:rFonts w:eastAsiaTheme="minorEastAsia"/>
          <w:sz w:val="24"/>
        </w:rPr>
        <w:t>水产渔药等</w:t>
      </w:r>
      <w:proofErr w:type="gramEnd"/>
      <w:r>
        <w:rPr>
          <w:rFonts w:eastAsiaTheme="minorEastAsia"/>
          <w:sz w:val="24"/>
        </w:rPr>
        <w:t>；</w:t>
      </w:r>
    </w:p>
    <w:p w14:paraId="43EC3B4F" w14:textId="77777777" w:rsidR="004F39F6" w:rsidRDefault="00731C67">
      <w:pPr>
        <w:spacing w:line="360" w:lineRule="auto"/>
        <w:ind w:firstLine="420"/>
        <w:rPr>
          <w:rFonts w:eastAsiaTheme="minorEastAsia"/>
          <w:sz w:val="24"/>
        </w:rPr>
      </w:pPr>
      <w:r>
        <w:rPr>
          <w:rFonts w:eastAsiaTheme="minorEastAsia"/>
          <w:sz w:val="24"/>
        </w:rPr>
        <w:t>2</w:t>
      </w:r>
      <w:r>
        <w:rPr>
          <w:rFonts w:eastAsiaTheme="minorEastAsia"/>
          <w:sz w:val="24"/>
        </w:rPr>
        <w:t>、养殖设备类</w:t>
      </w:r>
    </w:p>
    <w:p w14:paraId="58AC0FE1" w14:textId="77777777" w:rsidR="004F39F6" w:rsidRDefault="00731C67">
      <w:pPr>
        <w:spacing w:line="360" w:lineRule="auto"/>
        <w:ind w:firstLine="420"/>
        <w:rPr>
          <w:rFonts w:eastAsiaTheme="minorEastAsia"/>
          <w:sz w:val="24"/>
        </w:rPr>
      </w:pPr>
      <w:r>
        <w:rPr>
          <w:rFonts w:eastAsiaTheme="minorEastAsia"/>
          <w:sz w:val="24"/>
        </w:rPr>
        <w:t>增氧系统、养殖网箱、水质净化与污染控制、养殖模式及设施装备、尾水处理设备、水产品监测仪器、捕捞技术设备等；</w:t>
      </w:r>
    </w:p>
    <w:p w14:paraId="5BE9FDD5" w14:textId="77777777" w:rsidR="004F39F6" w:rsidRDefault="00731C67">
      <w:pPr>
        <w:spacing w:line="360" w:lineRule="auto"/>
        <w:ind w:firstLine="420"/>
        <w:rPr>
          <w:rFonts w:eastAsiaTheme="minorEastAsia"/>
          <w:sz w:val="24"/>
        </w:rPr>
      </w:pPr>
      <w:r>
        <w:rPr>
          <w:rFonts w:eastAsiaTheme="minorEastAsia"/>
          <w:sz w:val="24"/>
        </w:rPr>
        <w:t>3</w:t>
      </w:r>
      <w:r>
        <w:rPr>
          <w:rFonts w:eastAsiaTheme="minorEastAsia"/>
          <w:sz w:val="24"/>
        </w:rPr>
        <w:t>、智慧渔业类</w:t>
      </w:r>
    </w:p>
    <w:p w14:paraId="3ABBBF14" w14:textId="77777777" w:rsidR="004F39F6" w:rsidRDefault="00731C67">
      <w:pPr>
        <w:spacing w:line="360" w:lineRule="auto"/>
        <w:ind w:firstLine="420"/>
        <w:rPr>
          <w:rFonts w:eastAsiaTheme="minorEastAsia"/>
          <w:sz w:val="24"/>
        </w:rPr>
      </w:pPr>
      <w:r>
        <w:rPr>
          <w:rFonts w:eastAsiaTheme="minorEastAsia"/>
          <w:sz w:val="24"/>
        </w:rPr>
        <w:t>养殖技术与信息化、养殖模式与设备、养殖自动化设备及仪器、通讯技术与装备、物联网及养殖信息技术、工厂化养殖技术、水质检测及分析仪器等；</w:t>
      </w:r>
    </w:p>
    <w:p w14:paraId="4F9E2EEB" w14:textId="77777777" w:rsidR="004F39F6" w:rsidRDefault="00731C67">
      <w:pPr>
        <w:spacing w:line="360" w:lineRule="auto"/>
        <w:ind w:firstLine="420"/>
        <w:rPr>
          <w:rFonts w:eastAsiaTheme="minorEastAsia"/>
          <w:sz w:val="24"/>
        </w:rPr>
      </w:pPr>
      <w:r>
        <w:rPr>
          <w:rFonts w:eastAsiaTheme="minorEastAsia"/>
          <w:sz w:val="24"/>
        </w:rPr>
        <w:t>4</w:t>
      </w:r>
      <w:r>
        <w:rPr>
          <w:rFonts w:eastAsiaTheme="minorEastAsia"/>
          <w:sz w:val="24"/>
        </w:rPr>
        <w:t>、水产种苗、亲本、育苗新技术推广</w:t>
      </w:r>
    </w:p>
    <w:p w14:paraId="027AC03F" w14:textId="77777777" w:rsidR="004F39F6" w:rsidRDefault="00731C67">
      <w:pPr>
        <w:spacing w:line="360" w:lineRule="auto"/>
        <w:ind w:firstLine="420"/>
        <w:rPr>
          <w:rFonts w:eastAsiaTheme="minorEastAsia"/>
          <w:sz w:val="24"/>
        </w:rPr>
      </w:pPr>
      <w:r>
        <w:rPr>
          <w:rFonts w:eastAsiaTheme="minorEastAsia"/>
          <w:sz w:val="24"/>
        </w:rPr>
        <w:t>增氧设备、加温及控温设备、水质净化与污染控制设备、尾水处理设备、养殖网箱、网具、拦网设施、水质检测及分析仪器、物联网及养殖信息技术、工厂化养殖技术、渔船渔具等；</w:t>
      </w:r>
    </w:p>
    <w:p w14:paraId="3A2DE051" w14:textId="77777777" w:rsidR="004F39F6" w:rsidRDefault="00731C67">
      <w:pPr>
        <w:spacing w:line="360" w:lineRule="auto"/>
        <w:ind w:firstLine="420"/>
        <w:rPr>
          <w:rFonts w:eastAsiaTheme="minorEastAsia"/>
          <w:sz w:val="24"/>
        </w:rPr>
      </w:pPr>
      <w:r>
        <w:rPr>
          <w:rFonts w:eastAsiaTheme="minorEastAsia"/>
          <w:sz w:val="24"/>
        </w:rPr>
        <w:lastRenderedPageBreak/>
        <w:t>5</w:t>
      </w:r>
      <w:r>
        <w:rPr>
          <w:rFonts w:eastAsiaTheme="minorEastAsia"/>
          <w:sz w:val="24"/>
        </w:rPr>
        <w:t>、水产饲料类</w:t>
      </w:r>
    </w:p>
    <w:p w14:paraId="0D035C72" w14:textId="77777777" w:rsidR="004F39F6" w:rsidRDefault="00731C67">
      <w:pPr>
        <w:spacing w:line="360" w:lineRule="auto"/>
        <w:ind w:firstLine="420"/>
        <w:rPr>
          <w:rFonts w:eastAsiaTheme="minorEastAsia"/>
          <w:sz w:val="24"/>
        </w:rPr>
      </w:pPr>
      <w:r>
        <w:rPr>
          <w:rFonts w:eastAsiaTheme="minorEastAsia"/>
          <w:sz w:val="24"/>
        </w:rPr>
        <w:t>水产饲料、饲料加工、饲料原料、饲料添加剂</w:t>
      </w:r>
      <w:r>
        <w:rPr>
          <w:rFonts w:eastAsiaTheme="minorEastAsia"/>
          <w:sz w:val="24"/>
        </w:rPr>
        <w:t>、饲料机械等方面的新技术、新产品、新工艺等；</w:t>
      </w:r>
    </w:p>
    <w:p w14:paraId="54FE43CD" w14:textId="77777777" w:rsidR="004F39F6" w:rsidRDefault="00731C67">
      <w:pPr>
        <w:spacing w:line="360" w:lineRule="auto"/>
        <w:ind w:firstLine="420"/>
        <w:rPr>
          <w:rFonts w:eastAsiaTheme="minorEastAsia"/>
          <w:sz w:val="24"/>
        </w:rPr>
      </w:pPr>
      <w:r>
        <w:rPr>
          <w:rFonts w:eastAsiaTheme="minorEastAsia"/>
          <w:sz w:val="24"/>
        </w:rPr>
        <w:t>6</w:t>
      </w:r>
      <w:r>
        <w:rPr>
          <w:rFonts w:eastAsiaTheme="minorEastAsia"/>
          <w:sz w:val="24"/>
        </w:rPr>
        <w:t>、远洋捕捞类</w:t>
      </w:r>
    </w:p>
    <w:p w14:paraId="397BE6C4" w14:textId="77777777" w:rsidR="004F39F6" w:rsidRDefault="00731C67">
      <w:pPr>
        <w:spacing w:line="360" w:lineRule="auto"/>
        <w:ind w:firstLine="420"/>
        <w:rPr>
          <w:rFonts w:eastAsiaTheme="minorEastAsia"/>
          <w:sz w:val="24"/>
        </w:rPr>
      </w:pPr>
      <w:r>
        <w:rPr>
          <w:rFonts w:eastAsiaTheme="minorEastAsia"/>
          <w:sz w:val="24"/>
        </w:rPr>
        <w:t>远洋专用绳索、网具、拦网设施、渔船渔具等</w:t>
      </w:r>
    </w:p>
    <w:p w14:paraId="6150B821" w14:textId="77777777" w:rsidR="004F39F6" w:rsidRDefault="00731C67">
      <w:pPr>
        <w:spacing w:line="360" w:lineRule="auto"/>
        <w:ind w:firstLine="420"/>
        <w:jc w:val="right"/>
        <w:rPr>
          <w:rStyle w:val="vm"/>
          <w:rFonts w:eastAsiaTheme="minorEastAsia"/>
          <w:szCs w:val="21"/>
        </w:rPr>
      </w:pPr>
      <w:r>
        <w:rPr>
          <w:rStyle w:val="vm"/>
          <w:rFonts w:eastAsiaTheme="minorEastAsia"/>
          <w:szCs w:val="21"/>
        </w:rPr>
        <w:t>转</w:t>
      </w:r>
      <w:proofErr w:type="gramStart"/>
      <w:r>
        <w:rPr>
          <w:rStyle w:val="vm"/>
          <w:rFonts w:eastAsiaTheme="minorEastAsia"/>
          <w:szCs w:val="21"/>
        </w:rPr>
        <w:t>摘自腾氏水产</w:t>
      </w:r>
      <w:proofErr w:type="gramEnd"/>
      <w:r>
        <w:rPr>
          <w:rStyle w:val="vm"/>
          <w:rFonts w:eastAsiaTheme="minorEastAsia"/>
          <w:szCs w:val="21"/>
        </w:rPr>
        <w:t>商务</w:t>
      </w:r>
      <w:proofErr w:type="gramStart"/>
      <w:r>
        <w:rPr>
          <w:rStyle w:val="vm"/>
          <w:rFonts w:eastAsiaTheme="minorEastAsia"/>
          <w:szCs w:val="21"/>
        </w:rPr>
        <w:t>微信公众号</w:t>
      </w:r>
      <w:proofErr w:type="gramEnd"/>
    </w:p>
    <w:p w14:paraId="70B4BC67" w14:textId="77777777" w:rsidR="004F39F6" w:rsidRDefault="00731C67">
      <w:pPr>
        <w:pStyle w:val="1"/>
        <w:spacing w:before="0" w:after="0" w:line="360" w:lineRule="auto"/>
        <w:rPr>
          <w:rFonts w:eastAsia="黑体"/>
          <w:sz w:val="32"/>
          <w:szCs w:val="32"/>
          <w:bdr w:val="single" w:sz="4" w:space="0" w:color="auto"/>
        </w:rPr>
      </w:pPr>
      <w:bookmarkStart w:id="21" w:name="_Toc95682094"/>
      <w:r>
        <w:rPr>
          <w:rFonts w:eastAsia="黑体"/>
          <w:sz w:val="32"/>
          <w:szCs w:val="32"/>
          <w:bdr w:val="single" w:sz="4" w:space="0" w:color="auto"/>
        </w:rPr>
        <w:t>经营管理</w:t>
      </w:r>
      <w:bookmarkEnd w:id="21"/>
    </w:p>
    <w:p w14:paraId="60ACA344" w14:textId="77777777" w:rsidR="004F39F6" w:rsidRDefault="00731C67">
      <w:pPr>
        <w:pStyle w:val="2"/>
        <w:spacing w:before="0" w:beforeAutospacing="0" w:after="0" w:afterAutospacing="0" w:line="460" w:lineRule="exact"/>
        <w:jc w:val="center"/>
        <w:rPr>
          <w:rFonts w:ascii="Times New Roman" w:eastAsia="黑体" w:hAnsi="Times New Roman" w:cs="Times New Roman"/>
          <w:b w:val="0"/>
          <w:bCs w:val="0"/>
          <w:sz w:val="32"/>
          <w:szCs w:val="32"/>
        </w:rPr>
      </w:pPr>
      <w:bookmarkStart w:id="22" w:name="_Toc95682095"/>
      <w:r>
        <w:rPr>
          <w:rFonts w:ascii="Times New Roman" w:eastAsia="黑体" w:hAnsi="Times New Roman" w:cs="Times New Roman"/>
          <w:sz w:val="32"/>
          <w:szCs w:val="32"/>
        </w:rPr>
        <w:t>企业发展新机遇，来自这四大「新」挑战</w:t>
      </w:r>
      <w:bookmarkEnd w:id="22"/>
    </w:p>
    <w:p w14:paraId="5A005E9D" w14:textId="77777777" w:rsidR="004F39F6" w:rsidRDefault="00731C67">
      <w:pPr>
        <w:jc w:val="center"/>
        <w:rPr>
          <w:kern w:val="0"/>
          <w:szCs w:val="21"/>
        </w:rPr>
      </w:pPr>
      <w:r>
        <w:rPr>
          <w:kern w:val="0"/>
          <w:szCs w:val="21"/>
        </w:rPr>
        <w:t>陈春花</w:t>
      </w:r>
    </w:p>
    <w:p w14:paraId="5B3A90FD" w14:textId="77777777" w:rsidR="004F39F6" w:rsidRDefault="00731C67">
      <w:pPr>
        <w:jc w:val="center"/>
        <w:rPr>
          <w:kern w:val="0"/>
          <w:szCs w:val="21"/>
        </w:rPr>
      </w:pPr>
      <w:r>
        <w:rPr>
          <w:kern w:val="0"/>
          <w:szCs w:val="21"/>
        </w:rPr>
        <w:t>北京大学国家发展研究院</w:t>
      </w:r>
    </w:p>
    <w:p w14:paraId="70D91F96" w14:textId="77777777" w:rsidR="004F39F6" w:rsidRDefault="00731C67">
      <w:pPr>
        <w:spacing w:line="360" w:lineRule="auto"/>
        <w:ind w:firstLine="420"/>
        <w:rPr>
          <w:kern w:val="0"/>
          <w:sz w:val="24"/>
        </w:rPr>
      </w:pPr>
      <w:r>
        <w:rPr>
          <w:kern w:val="0"/>
          <w:sz w:val="24"/>
        </w:rPr>
        <w:t>数字技术的发展带来的不仅仅是机遇，伴随而来的，还有企业数字化转型的颠覆性挑战，</w:t>
      </w:r>
      <w:proofErr w:type="gramStart"/>
      <w:r>
        <w:rPr>
          <w:kern w:val="0"/>
          <w:sz w:val="24"/>
        </w:rPr>
        <w:t>特别</w:t>
      </w:r>
      <w:proofErr w:type="gramEnd"/>
      <w:r>
        <w:rPr>
          <w:kern w:val="0"/>
          <w:sz w:val="24"/>
        </w:rPr>
        <w:t>对于进程缓慢的传统企业而言，更是生死攸关。</w:t>
      </w:r>
    </w:p>
    <w:p w14:paraId="549DA9FD" w14:textId="77777777" w:rsidR="004F39F6" w:rsidRDefault="00731C67">
      <w:pPr>
        <w:spacing w:line="360" w:lineRule="auto"/>
        <w:ind w:firstLine="420"/>
        <w:rPr>
          <w:kern w:val="0"/>
          <w:sz w:val="24"/>
        </w:rPr>
      </w:pPr>
      <w:r>
        <w:rPr>
          <w:kern w:val="0"/>
          <w:sz w:val="24"/>
        </w:rPr>
        <w:t>数字经济时代，所有企业都需要应对以下四个「新」挑战，找到新的发展机会：</w:t>
      </w:r>
    </w:p>
    <w:p w14:paraId="3F8F2959" w14:textId="77777777" w:rsidR="004F39F6" w:rsidRDefault="00731C67">
      <w:pPr>
        <w:spacing w:line="360" w:lineRule="auto"/>
        <w:ind w:firstLine="420"/>
        <w:rPr>
          <w:b/>
          <w:bCs/>
          <w:kern w:val="0"/>
          <w:sz w:val="24"/>
        </w:rPr>
      </w:pPr>
      <w:r>
        <w:rPr>
          <w:b/>
          <w:bCs/>
          <w:kern w:val="0"/>
          <w:sz w:val="24"/>
        </w:rPr>
        <w:t xml:space="preserve">1. </w:t>
      </w:r>
      <w:r>
        <w:rPr>
          <w:b/>
          <w:bCs/>
          <w:kern w:val="0"/>
          <w:sz w:val="24"/>
        </w:rPr>
        <w:t>数字化转型的「新机遇」</w:t>
      </w:r>
    </w:p>
    <w:p w14:paraId="72321E62" w14:textId="77777777" w:rsidR="004F39F6" w:rsidRDefault="00731C67">
      <w:pPr>
        <w:spacing w:line="360" w:lineRule="auto"/>
        <w:ind w:firstLine="420"/>
        <w:rPr>
          <w:kern w:val="0"/>
          <w:sz w:val="24"/>
        </w:rPr>
      </w:pPr>
      <w:r>
        <w:rPr>
          <w:kern w:val="0"/>
          <w:sz w:val="24"/>
        </w:rPr>
        <w:t>在相当长的一段时间内，大多数产业的环境相对稳定，企业发展可以大体通过线性的思维预测。数字技术不仅改善了传统商业活动，更带来了全新的商业</w:t>
      </w:r>
      <w:proofErr w:type="gramStart"/>
      <w:r>
        <w:rPr>
          <w:kern w:val="0"/>
          <w:sz w:val="24"/>
        </w:rPr>
        <w:t>业</w:t>
      </w:r>
      <w:proofErr w:type="gramEnd"/>
      <w:r>
        <w:rPr>
          <w:kern w:val="0"/>
          <w:sz w:val="24"/>
        </w:rPr>
        <w:t>态与跨界的商业模式。企业可以通过数字化提升自身效率，甚至颠覆原有的行业逻辑，获得</w:t>
      </w:r>
      <w:proofErr w:type="gramStart"/>
      <w:r>
        <w:rPr>
          <w:kern w:val="0"/>
          <w:sz w:val="24"/>
        </w:rPr>
        <w:t>指数级</w:t>
      </w:r>
      <w:proofErr w:type="gramEnd"/>
      <w:r>
        <w:rPr>
          <w:kern w:val="0"/>
          <w:sz w:val="24"/>
        </w:rPr>
        <w:t>增长。</w:t>
      </w:r>
    </w:p>
    <w:p w14:paraId="07C49AC1" w14:textId="77777777" w:rsidR="004F39F6" w:rsidRDefault="00731C67">
      <w:pPr>
        <w:spacing w:line="360" w:lineRule="auto"/>
        <w:ind w:firstLine="420"/>
        <w:rPr>
          <w:kern w:val="0"/>
          <w:sz w:val="24"/>
        </w:rPr>
      </w:pPr>
      <w:r>
        <w:rPr>
          <w:kern w:val="0"/>
          <w:sz w:val="24"/>
        </w:rPr>
        <w:t>因此，数字化转型是数字经济时代的企业发展的核心手段，而数字化转型的方向则是如何结合数字技术创造与获取顾客价值。</w:t>
      </w:r>
    </w:p>
    <w:p w14:paraId="1C71890D" w14:textId="77777777" w:rsidR="004F39F6" w:rsidRDefault="00731C67">
      <w:pPr>
        <w:spacing w:line="360" w:lineRule="auto"/>
        <w:ind w:firstLine="420"/>
        <w:rPr>
          <w:kern w:val="0"/>
          <w:sz w:val="24"/>
        </w:rPr>
      </w:pPr>
      <w:r>
        <w:rPr>
          <w:kern w:val="0"/>
          <w:sz w:val="24"/>
        </w:rPr>
        <w:t>如果说互联网、云计算、数字体验、数字智能、数字支付等数字技术让数字化商业与非接触商业成为可能，突如其来的新冠疫情则将这些新业态变为商业的新机会。</w:t>
      </w:r>
    </w:p>
    <w:p w14:paraId="4AA36E45" w14:textId="77777777" w:rsidR="004F39F6" w:rsidRDefault="00731C67">
      <w:pPr>
        <w:spacing w:line="360" w:lineRule="auto"/>
        <w:ind w:firstLine="420"/>
        <w:rPr>
          <w:kern w:val="0"/>
          <w:sz w:val="24"/>
        </w:rPr>
      </w:pPr>
      <w:r>
        <w:rPr>
          <w:kern w:val="0"/>
          <w:sz w:val="24"/>
        </w:rPr>
        <w:t>无论是数字化商业还是非接</w:t>
      </w:r>
      <w:r>
        <w:rPr>
          <w:kern w:val="0"/>
          <w:sz w:val="24"/>
        </w:rPr>
        <w:t>触商业，企业提早合理利用数字技术进行数字化布局，能为自身带来的创造与获取顾客价值的新机会，最终穿越危机。</w:t>
      </w:r>
    </w:p>
    <w:p w14:paraId="7ACA2FE5" w14:textId="77777777" w:rsidR="004F39F6" w:rsidRDefault="00731C67">
      <w:pPr>
        <w:spacing w:line="360" w:lineRule="auto"/>
        <w:ind w:firstLine="420"/>
        <w:rPr>
          <w:b/>
          <w:bCs/>
          <w:kern w:val="0"/>
          <w:sz w:val="24"/>
        </w:rPr>
      </w:pPr>
      <w:r>
        <w:rPr>
          <w:b/>
          <w:bCs/>
          <w:kern w:val="0"/>
          <w:sz w:val="24"/>
        </w:rPr>
        <w:t xml:space="preserve">2. </w:t>
      </w:r>
      <w:r>
        <w:rPr>
          <w:b/>
          <w:bCs/>
          <w:kern w:val="0"/>
          <w:sz w:val="24"/>
        </w:rPr>
        <w:t>能被顾客感知与体验的「新价值」</w:t>
      </w:r>
    </w:p>
    <w:p w14:paraId="399C546F" w14:textId="77777777" w:rsidR="004F39F6" w:rsidRDefault="00731C67">
      <w:pPr>
        <w:spacing w:line="360" w:lineRule="auto"/>
        <w:ind w:firstLine="420"/>
        <w:rPr>
          <w:kern w:val="0"/>
          <w:sz w:val="24"/>
        </w:rPr>
      </w:pPr>
      <w:r>
        <w:rPr>
          <w:kern w:val="0"/>
          <w:sz w:val="24"/>
        </w:rPr>
        <w:t>传统商业活动中，顾客价值是由企业定义的，在此基础上，企业统筹相关价值链上的合作伙伴进行价值创造，最后通过交易，单向传递顾客，完成价值捕获。</w:t>
      </w:r>
    </w:p>
    <w:p w14:paraId="3D60040F" w14:textId="77777777" w:rsidR="004F39F6" w:rsidRDefault="00731C67">
      <w:pPr>
        <w:spacing w:line="360" w:lineRule="auto"/>
        <w:ind w:firstLine="420"/>
        <w:rPr>
          <w:kern w:val="0"/>
          <w:sz w:val="24"/>
        </w:rPr>
      </w:pPr>
      <w:r>
        <w:rPr>
          <w:kern w:val="0"/>
          <w:sz w:val="24"/>
        </w:rPr>
        <w:t>数字经济时代，顾客只愿意为自身认同的价值付费。所以，企业必须将顾客纳入价值创造与获取的过程中，协同所有合作伙伴围绕顾客创造与捕获价值。</w:t>
      </w:r>
    </w:p>
    <w:p w14:paraId="27889635" w14:textId="77777777" w:rsidR="004F39F6" w:rsidRDefault="00731C67">
      <w:pPr>
        <w:spacing w:line="360" w:lineRule="auto"/>
        <w:ind w:firstLine="420"/>
        <w:rPr>
          <w:kern w:val="0"/>
          <w:sz w:val="24"/>
        </w:rPr>
      </w:pPr>
      <w:r>
        <w:rPr>
          <w:kern w:val="0"/>
          <w:sz w:val="24"/>
        </w:rPr>
        <w:t>数字技术不但改进了企业的生产效率，还通过改进顾客的数字化体验，催生了顾客多样化、个性化的需求</w:t>
      </w:r>
      <w:r>
        <w:rPr>
          <w:kern w:val="0"/>
          <w:sz w:val="24"/>
        </w:rPr>
        <w:t>，进而使得顾客对企业提出了新的要求。</w:t>
      </w:r>
    </w:p>
    <w:p w14:paraId="3DF7322A" w14:textId="77777777" w:rsidR="004F39F6" w:rsidRDefault="00731C67">
      <w:pPr>
        <w:spacing w:line="360" w:lineRule="auto"/>
        <w:ind w:firstLine="420"/>
        <w:rPr>
          <w:kern w:val="0"/>
          <w:sz w:val="24"/>
        </w:rPr>
      </w:pPr>
      <w:r>
        <w:rPr>
          <w:kern w:val="0"/>
          <w:sz w:val="24"/>
        </w:rPr>
        <w:lastRenderedPageBreak/>
        <w:t>数字经济时代的顾客价值，已经不仅仅是传统的交易价值，更重要的是顾客的体验价值。体验价值产生于顾客参与的交互商业活动，并能被顾客所强烈感知，而数字化技术加强了顾客的价值感知与体验。</w:t>
      </w:r>
    </w:p>
    <w:p w14:paraId="4F4C56F7" w14:textId="77777777" w:rsidR="004F39F6" w:rsidRDefault="00731C67">
      <w:pPr>
        <w:spacing w:line="360" w:lineRule="auto"/>
        <w:ind w:firstLine="420"/>
        <w:rPr>
          <w:kern w:val="0"/>
          <w:sz w:val="24"/>
        </w:rPr>
      </w:pPr>
      <w:r>
        <w:rPr>
          <w:kern w:val="0"/>
          <w:sz w:val="24"/>
        </w:rPr>
        <w:t>自此，商业活动便存在两种价值，那些能被顾客所感知与体验的价值和没有价值。因为，那些无法被感知的价值，或者难以被顾客认知的价值，都将受到参与价值创造与获取活动各方的质疑，并随着活动发展消失不见。</w:t>
      </w:r>
    </w:p>
    <w:p w14:paraId="3EB1162D" w14:textId="77777777" w:rsidR="004F39F6" w:rsidRDefault="00731C67">
      <w:pPr>
        <w:spacing w:line="360" w:lineRule="auto"/>
        <w:ind w:firstLine="420"/>
        <w:rPr>
          <w:b/>
          <w:bCs/>
          <w:kern w:val="0"/>
          <w:sz w:val="24"/>
        </w:rPr>
      </w:pPr>
      <w:r>
        <w:rPr>
          <w:b/>
          <w:bCs/>
          <w:kern w:val="0"/>
          <w:sz w:val="24"/>
        </w:rPr>
        <w:t xml:space="preserve">3. </w:t>
      </w:r>
      <w:r>
        <w:rPr>
          <w:b/>
          <w:bCs/>
          <w:kern w:val="0"/>
          <w:sz w:val="24"/>
        </w:rPr>
        <w:t>从零和博弈到价值共生的「新逻辑」</w:t>
      </w:r>
    </w:p>
    <w:p w14:paraId="2AAC8B06" w14:textId="77777777" w:rsidR="004F39F6" w:rsidRDefault="00731C67">
      <w:pPr>
        <w:spacing w:line="360" w:lineRule="auto"/>
        <w:ind w:firstLine="420"/>
        <w:rPr>
          <w:kern w:val="0"/>
          <w:sz w:val="24"/>
        </w:rPr>
      </w:pPr>
      <w:r>
        <w:rPr>
          <w:kern w:val="0"/>
          <w:sz w:val="24"/>
        </w:rPr>
        <w:t>数字经济时代顾客价值的交互要求，使得企业很难独自完成顾客价值</w:t>
      </w:r>
      <w:r>
        <w:rPr>
          <w:kern w:val="0"/>
          <w:sz w:val="24"/>
        </w:rPr>
        <w:t>从创造与获取。因此，突破工业时代的零和博弈思维，与所有的客户利益相关者合作共生是数字经济时代企业的一大挑战。</w:t>
      </w:r>
    </w:p>
    <w:p w14:paraId="385E3461" w14:textId="77777777" w:rsidR="004F39F6" w:rsidRDefault="00731C67">
      <w:pPr>
        <w:spacing w:line="360" w:lineRule="auto"/>
        <w:ind w:firstLine="420"/>
        <w:rPr>
          <w:kern w:val="0"/>
          <w:sz w:val="24"/>
        </w:rPr>
      </w:pPr>
      <w:r>
        <w:rPr>
          <w:kern w:val="0"/>
          <w:sz w:val="24"/>
        </w:rPr>
        <w:t>数字经济时代的商业逻辑从</w:t>
      </w:r>
      <w:r>
        <w:rPr>
          <w:kern w:val="0"/>
          <w:sz w:val="24"/>
        </w:rPr>
        <w:t>“</w:t>
      </w:r>
      <w:r>
        <w:rPr>
          <w:kern w:val="0"/>
          <w:sz w:val="24"/>
        </w:rPr>
        <w:t>求赢</w:t>
      </w:r>
      <w:r>
        <w:rPr>
          <w:kern w:val="0"/>
          <w:sz w:val="24"/>
        </w:rPr>
        <w:t>”</w:t>
      </w:r>
      <w:r>
        <w:rPr>
          <w:kern w:val="0"/>
          <w:sz w:val="24"/>
        </w:rPr>
        <w:t>的竞争逻辑转变为</w:t>
      </w:r>
      <w:r>
        <w:rPr>
          <w:kern w:val="0"/>
          <w:sz w:val="24"/>
        </w:rPr>
        <w:t>“</w:t>
      </w:r>
      <w:r>
        <w:rPr>
          <w:kern w:val="0"/>
          <w:sz w:val="24"/>
        </w:rPr>
        <w:t>寻找生长空间</w:t>
      </w:r>
      <w:r>
        <w:rPr>
          <w:kern w:val="0"/>
          <w:sz w:val="24"/>
        </w:rPr>
        <w:t>”</w:t>
      </w:r>
      <w:r>
        <w:rPr>
          <w:kern w:val="0"/>
          <w:sz w:val="24"/>
        </w:rPr>
        <w:t>的共生逻辑。</w:t>
      </w:r>
    </w:p>
    <w:p w14:paraId="110C46DB" w14:textId="77777777" w:rsidR="004F39F6" w:rsidRDefault="00731C67">
      <w:pPr>
        <w:spacing w:line="360" w:lineRule="auto"/>
        <w:ind w:firstLine="420"/>
        <w:rPr>
          <w:kern w:val="0"/>
          <w:sz w:val="24"/>
        </w:rPr>
      </w:pPr>
      <w:r>
        <w:rPr>
          <w:kern w:val="0"/>
          <w:sz w:val="24"/>
        </w:rPr>
        <w:t>两者的差异在于：前者将企业放在中心，考虑如何战胜竞争对手，而后者将顾客放在中心，寻求与顾客、价值共创者们的更广阔共生成长空间。</w:t>
      </w:r>
    </w:p>
    <w:p w14:paraId="1F06FC54" w14:textId="77777777" w:rsidR="004F39F6" w:rsidRDefault="00731C67">
      <w:pPr>
        <w:spacing w:line="360" w:lineRule="auto"/>
        <w:ind w:firstLine="420"/>
        <w:rPr>
          <w:kern w:val="0"/>
          <w:sz w:val="24"/>
        </w:rPr>
      </w:pPr>
      <w:r>
        <w:rPr>
          <w:kern w:val="0"/>
          <w:sz w:val="24"/>
        </w:rPr>
        <w:t>在今天，为了能够给顾客更高效地创造价值，有很大一块的价值，其实是由共生伙伴来做创造。因而，整个价值创造就有来自企业的价值、来自客户的价值以及来自共生伙伴的价值，共同形成一个新的价值定位。</w:t>
      </w:r>
    </w:p>
    <w:p w14:paraId="6A0AE1E7" w14:textId="77777777" w:rsidR="004F39F6" w:rsidRDefault="00731C67">
      <w:pPr>
        <w:spacing w:line="360" w:lineRule="auto"/>
        <w:ind w:firstLine="420"/>
        <w:rPr>
          <w:kern w:val="0"/>
          <w:sz w:val="24"/>
        </w:rPr>
      </w:pPr>
      <w:r>
        <w:rPr>
          <w:kern w:val="0"/>
          <w:sz w:val="24"/>
        </w:rPr>
        <w:t>美的从</w:t>
      </w:r>
      <w:r>
        <w:rPr>
          <w:kern w:val="0"/>
          <w:sz w:val="24"/>
        </w:rPr>
        <w:t>1</w:t>
      </w:r>
      <w:r>
        <w:rPr>
          <w:kern w:val="0"/>
          <w:sz w:val="24"/>
        </w:rPr>
        <w:t>3</w:t>
      </w:r>
      <w:r>
        <w:rPr>
          <w:kern w:val="0"/>
          <w:sz w:val="24"/>
        </w:rPr>
        <w:t>年就开始去做数字化转型。在转型当中，它一直在构建从</w:t>
      </w:r>
      <w:proofErr w:type="gramStart"/>
      <w:r>
        <w:rPr>
          <w:kern w:val="0"/>
          <w:sz w:val="24"/>
        </w:rPr>
        <w:t>全价值</w:t>
      </w:r>
      <w:proofErr w:type="gramEnd"/>
      <w:r>
        <w:rPr>
          <w:kern w:val="0"/>
          <w:sz w:val="24"/>
        </w:rPr>
        <w:t>链的端到端的协同共生框架。当它把框架做好了之后，</w:t>
      </w:r>
      <w:r>
        <w:rPr>
          <w:kern w:val="0"/>
          <w:sz w:val="24"/>
        </w:rPr>
        <w:t>2020</w:t>
      </w:r>
      <w:r>
        <w:rPr>
          <w:kern w:val="0"/>
          <w:sz w:val="24"/>
        </w:rPr>
        <w:t>年它评选为灯塔工厂，接着在制造业当中创造了最高的市值，有非常强劲的成长性。更重要的美的赋能了整个传统制造业，尤其是家庭电器产品的转化。</w:t>
      </w:r>
    </w:p>
    <w:p w14:paraId="3E894E62" w14:textId="77777777" w:rsidR="004F39F6" w:rsidRDefault="00731C67">
      <w:pPr>
        <w:spacing w:line="360" w:lineRule="auto"/>
        <w:ind w:firstLine="420"/>
        <w:rPr>
          <w:kern w:val="0"/>
          <w:sz w:val="24"/>
        </w:rPr>
      </w:pPr>
      <w:r>
        <w:rPr>
          <w:kern w:val="0"/>
          <w:sz w:val="24"/>
        </w:rPr>
        <w:t>美的从</w:t>
      </w:r>
      <w:r>
        <w:rPr>
          <w:kern w:val="0"/>
          <w:sz w:val="24"/>
        </w:rPr>
        <w:t>13</w:t>
      </w:r>
      <w:r>
        <w:rPr>
          <w:kern w:val="0"/>
          <w:sz w:val="24"/>
        </w:rPr>
        <w:t>年就开始去做数字化转型。在转型当中，它一直在构建从</w:t>
      </w:r>
      <w:proofErr w:type="gramStart"/>
      <w:r>
        <w:rPr>
          <w:kern w:val="0"/>
          <w:sz w:val="24"/>
        </w:rPr>
        <w:t>全价值</w:t>
      </w:r>
      <w:proofErr w:type="gramEnd"/>
      <w:r>
        <w:rPr>
          <w:kern w:val="0"/>
          <w:sz w:val="24"/>
        </w:rPr>
        <w:t>链的端到端的协同共生框架。当它把框架做好了之后，</w:t>
      </w:r>
      <w:r>
        <w:rPr>
          <w:kern w:val="0"/>
          <w:sz w:val="24"/>
        </w:rPr>
        <w:t>2020</w:t>
      </w:r>
      <w:r>
        <w:rPr>
          <w:kern w:val="0"/>
          <w:sz w:val="24"/>
        </w:rPr>
        <w:t>年它评选为灯塔工厂，接着在制造业当中创造了最高的市值，有非常强劲的成长性。更重要的美的赋能了整个传统制造业，尤其是家庭电器产品的转化。</w:t>
      </w:r>
    </w:p>
    <w:p w14:paraId="3490DBEC" w14:textId="77777777" w:rsidR="004F39F6" w:rsidRDefault="00731C67">
      <w:pPr>
        <w:spacing w:line="360" w:lineRule="auto"/>
        <w:ind w:firstLine="420"/>
        <w:rPr>
          <w:b/>
          <w:bCs/>
          <w:kern w:val="0"/>
          <w:sz w:val="24"/>
        </w:rPr>
      </w:pPr>
      <w:r>
        <w:rPr>
          <w:b/>
          <w:bCs/>
          <w:kern w:val="0"/>
          <w:sz w:val="24"/>
        </w:rPr>
        <w:t>4.</w:t>
      </w:r>
      <w:r>
        <w:rPr>
          <w:b/>
          <w:bCs/>
          <w:kern w:val="0"/>
          <w:sz w:val="24"/>
        </w:rPr>
        <w:t xml:space="preserve"> </w:t>
      </w:r>
      <w:r>
        <w:rPr>
          <w:b/>
          <w:bCs/>
          <w:kern w:val="0"/>
          <w:sz w:val="24"/>
        </w:rPr>
        <w:t>人与机器的「新协同」</w:t>
      </w:r>
    </w:p>
    <w:p w14:paraId="3451A9CD" w14:textId="77777777" w:rsidR="004F39F6" w:rsidRDefault="00731C67">
      <w:pPr>
        <w:spacing w:line="360" w:lineRule="auto"/>
        <w:ind w:firstLine="420"/>
        <w:rPr>
          <w:kern w:val="0"/>
          <w:sz w:val="24"/>
        </w:rPr>
      </w:pPr>
      <w:r>
        <w:rPr>
          <w:kern w:val="0"/>
          <w:sz w:val="24"/>
        </w:rPr>
        <w:t>在数字技术快速发展的今天，在很多场景中，那些可以被量化、衡量进而程序化的工作，比起人类，机器与智能毫无疑问是更高效与更胜任的。因此，出现了一种假象，顾客更愿意接受手机中机器智能的建议，而不是身边的人类朋友。</w:t>
      </w:r>
    </w:p>
    <w:p w14:paraId="3BEBF8BC" w14:textId="77777777" w:rsidR="004F39F6" w:rsidRDefault="00731C67">
      <w:pPr>
        <w:spacing w:line="360" w:lineRule="auto"/>
        <w:ind w:firstLine="420"/>
        <w:rPr>
          <w:kern w:val="0"/>
          <w:sz w:val="24"/>
        </w:rPr>
      </w:pPr>
      <w:r>
        <w:rPr>
          <w:kern w:val="0"/>
          <w:sz w:val="24"/>
        </w:rPr>
        <w:t>看起来机器智能的算法貌似控制了人类，但是细想之下，算法的起点是人类的每一次点</w:t>
      </w:r>
      <w:r>
        <w:rPr>
          <w:kern w:val="0"/>
          <w:sz w:val="24"/>
        </w:rPr>
        <w:lastRenderedPageBreak/>
        <w:t>击，所以算法是可以被管理，甚至教育的。</w:t>
      </w:r>
    </w:p>
    <w:p w14:paraId="66B22746" w14:textId="77777777" w:rsidR="004F39F6" w:rsidRDefault="00731C67">
      <w:pPr>
        <w:spacing w:line="360" w:lineRule="auto"/>
        <w:ind w:firstLine="420"/>
        <w:rPr>
          <w:kern w:val="0"/>
          <w:sz w:val="24"/>
        </w:rPr>
      </w:pPr>
      <w:r>
        <w:rPr>
          <w:kern w:val="0"/>
          <w:sz w:val="24"/>
        </w:rPr>
        <w:t>一旦认知到人类可以教育算法的时候，便是我们发挥机器智能优势的开端。将想象成功变为现实的过程中，需要经历多次失败，而机器智能可以通过模拟的方式代替人类经历失败，进而降低人类发挥想象力的试错成本。</w:t>
      </w:r>
    </w:p>
    <w:p w14:paraId="5B99A69C" w14:textId="77777777" w:rsidR="004F39F6" w:rsidRDefault="00731C67">
      <w:pPr>
        <w:spacing w:line="360" w:lineRule="auto"/>
        <w:ind w:firstLine="420"/>
        <w:rPr>
          <w:kern w:val="0"/>
          <w:sz w:val="24"/>
        </w:rPr>
      </w:pPr>
      <w:r>
        <w:rPr>
          <w:kern w:val="0"/>
          <w:sz w:val="24"/>
        </w:rPr>
        <w:t>机器与智能的迭代速度显然超过了人类的进化速度，但是人类特有的</w:t>
      </w:r>
      <w:proofErr w:type="gramStart"/>
      <w:r>
        <w:rPr>
          <w:kern w:val="0"/>
          <w:sz w:val="24"/>
        </w:rPr>
        <w:t>同理心</w:t>
      </w:r>
      <w:proofErr w:type="gramEnd"/>
      <w:r>
        <w:rPr>
          <w:kern w:val="0"/>
          <w:sz w:val="24"/>
        </w:rPr>
        <w:t>与基于此的创新却难以被超越。如果说效率对于商业发展而言是不可或缺的催化剂，那么基于人类之间相互理解的价值创新则是推动社会进步的根本动力。（</w:t>
      </w:r>
    </w:p>
    <w:p w14:paraId="30998404" w14:textId="77777777" w:rsidR="004F39F6" w:rsidRDefault="00731C67">
      <w:pPr>
        <w:spacing w:line="360" w:lineRule="auto"/>
        <w:ind w:firstLine="420"/>
        <w:rPr>
          <w:kern w:val="0"/>
          <w:sz w:val="24"/>
        </w:rPr>
      </w:pPr>
      <w:r>
        <w:rPr>
          <w:kern w:val="0"/>
          <w:sz w:val="24"/>
        </w:rPr>
        <w:t>今天，所有企业都会遇到数字化的挑战，数字化转型已经成为企业必选项。如何跨越数字化生命周期？如何应对数字化转型带来</w:t>
      </w:r>
      <w:r>
        <w:rPr>
          <w:kern w:val="0"/>
          <w:sz w:val="24"/>
        </w:rPr>
        <w:t>的新挑战与新机遇？企业需要更新战略底层逻辑，从竞争逻辑转向共生逻辑，进行新价值创造，实现数字化时代的协同共生与价值共生！</w:t>
      </w:r>
    </w:p>
    <w:p w14:paraId="0C6A6306" w14:textId="77777777" w:rsidR="004F39F6" w:rsidRDefault="00731C67">
      <w:pPr>
        <w:spacing w:line="360" w:lineRule="auto"/>
        <w:ind w:firstLine="420"/>
        <w:jc w:val="right"/>
        <w:rPr>
          <w:rFonts w:eastAsiaTheme="minorEastAsia"/>
          <w:szCs w:val="21"/>
        </w:rPr>
      </w:pPr>
      <w:r>
        <w:rPr>
          <w:rFonts w:eastAsiaTheme="minorEastAsia"/>
          <w:szCs w:val="21"/>
        </w:rPr>
        <w:t>摘自春暖花开</w:t>
      </w:r>
      <w:proofErr w:type="gramStart"/>
      <w:r>
        <w:rPr>
          <w:rFonts w:eastAsiaTheme="minorEastAsia"/>
          <w:szCs w:val="21"/>
        </w:rPr>
        <w:t>微信公众号</w:t>
      </w:r>
      <w:proofErr w:type="gramEnd"/>
    </w:p>
    <w:p w14:paraId="6865A14A" w14:textId="77777777" w:rsidR="004F39F6" w:rsidRDefault="00731C67">
      <w:pPr>
        <w:pStyle w:val="1"/>
        <w:spacing w:line="460" w:lineRule="exact"/>
        <w:rPr>
          <w:rStyle w:val="vm"/>
          <w:rFonts w:eastAsia="黑体"/>
          <w:b w:val="0"/>
          <w:bCs w:val="0"/>
          <w:sz w:val="32"/>
          <w:szCs w:val="32"/>
          <w:bdr w:val="single" w:sz="4" w:space="0" w:color="auto"/>
        </w:rPr>
      </w:pPr>
      <w:bookmarkStart w:id="23" w:name="_Toc95682096"/>
      <w:r>
        <w:rPr>
          <w:rStyle w:val="vm"/>
          <w:rFonts w:eastAsia="黑体"/>
          <w:sz w:val="32"/>
          <w:szCs w:val="32"/>
          <w:bdr w:val="single" w:sz="4" w:space="0" w:color="auto"/>
        </w:rPr>
        <w:t>研究进展</w:t>
      </w:r>
      <w:bookmarkEnd w:id="23"/>
    </w:p>
    <w:p w14:paraId="1DE971FF"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24" w:name="_Toc95682097"/>
      <w:r>
        <w:rPr>
          <w:rFonts w:ascii="Times New Roman" w:eastAsia="黑体" w:hAnsi="Times New Roman" w:cs="Times New Roman"/>
          <w:sz w:val="32"/>
          <w:szCs w:val="32"/>
        </w:rPr>
        <w:t>大豆抗原蛋白对水生动物肠道健康的影响及改善对策</w:t>
      </w:r>
      <w:bookmarkEnd w:id="24"/>
    </w:p>
    <w:p w14:paraId="1FC6FC82" w14:textId="77777777" w:rsidR="004F39F6" w:rsidRDefault="00731C67">
      <w:pPr>
        <w:ind w:firstLineChars="200" w:firstLine="420"/>
        <w:jc w:val="center"/>
        <w:rPr>
          <w:szCs w:val="21"/>
        </w:rPr>
      </w:pPr>
      <w:r>
        <w:rPr>
          <w:szCs w:val="21"/>
        </w:rPr>
        <w:t>李登来</w:t>
      </w:r>
      <w:r>
        <w:rPr>
          <w:szCs w:val="21"/>
        </w:rPr>
        <w:t xml:space="preserve">  </w:t>
      </w:r>
      <w:proofErr w:type="gramStart"/>
      <w:r>
        <w:rPr>
          <w:szCs w:val="21"/>
        </w:rPr>
        <w:t>杨智勇</w:t>
      </w:r>
      <w:proofErr w:type="gramEnd"/>
      <w:r>
        <w:rPr>
          <w:szCs w:val="21"/>
        </w:rPr>
        <w:t xml:space="preserve">  </w:t>
      </w:r>
      <w:r>
        <w:rPr>
          <w:szCs w:val="21"/>
        </w:rPr>
        <w:t>朱</w:t>
      </w:r>
      <w:r>
        <w:rPr>
          <w:szCs w:val="21"/>
        </w:rPr>
        <w:t xml:space="preserve"> </w:t>
      </w:r>
      <w:r>
        <w:rPr>
          <w:szCs w:val="21"/>
        </w:rPr>
        <w:t>瑞</w:t>
      </w:r>
      <w:r>
        <w:rPr>
          <w:szCs w:val="21"/>
        </w:rPr>
        <w:t xml:space="preserve">  </w:t>
      </w:r>
      <w:r>
        <w:rPr>
          <w:szCs w:val="21"/>
        </w:rPr>
        <w:t>李</w:t>
      </w:r>
      <w:r>
        <w:rPr>
          <w:szCs w:val="21"/>
        </w:rPr>
        <w:t xml:space="preserve"> </w:t>
      </w:r>
      <w:r>
        <w:rPr>
          <w:szCs w:val="21"/>
        </w:rPr>
        <w:t>良</w:t>
      </w:r>
      <w:r>
        <w:rPr>
          <w:szCs w:val="21"/>
        </w:rPr>
        <w:t xml:space="preserve">  </w:t>
      </w:r>
      <w:r>
        <w:rPr>
          <w:szCs w:val="21"/>
        </w:rPr>
        <w:t>于</w:t>
      </w:r>
      <w:r>
        <w:rPr>
          <w:szCs w:val="21"/>
        </w:rPr>
        <w:t xml:space="preserve"> </w:t>
      </w:r>
      <w:r>
        <w:rPr>
          <w:szCs w:val="21"/>
        </w:rPr>
        <w:t>哲</w:t>
      </w:r>
      <w:r>
        <w:rPr>
          <w:szCs w:val="21"/>
        </w:rPr>
        <w:t xml:space="preserve">  </w:t>
      </w:r>
      <w:r>
        <w:rPr>
          <w:szCs w:val="21"/>
        </w:rPr>
        <w:t>吴莉芳</w:t>
      </w:r>
    </w:p>
    <w:p w14:paraId="2FD1DBE6" w14:textId="77777777" w:rsidR="004F39F6" w:rsidRDefault="00731C67">
      <w:pPr>
        <w:ind w:firstLineChars="200" w:firstLine="420"/>
        <w:jc w:val="center"/>
        <w:rPr>
          <w:szCs w:val="21"/>
        </w:rPr>
      </w:pPr>
      <w:r>
        <w:rPr>
          <w:szCs w:val="21"/>
        </w:rPr>
        <w:t>（</w:t>
      </w:r>
      <w:r>
        <w:rPr>
          <w:szCs w:val="21"/>
        </w:rPr>
        <w:t>1.</w:t>
      </w:r>
      <w:r>
        <w:rPr>
          <w:szCs w:val="21"/>
        </w:rPr>
        <w:t>吉林农业大学</w:t>
      </w:r>
      <w:r>
        <w:rPr>
          <w:szCs w:val="21"/>
        </w:rPr>
        <w:t xml:space="preserve"> </w:t>
      </w:r>
      <w:r>
        <w:rPr>
          <w:szCs w:val="21"/>
        </w:rPr>
        <w:t>动物科学技术学院</w:t>
      </w:r>
      <w:r>
        <w:rPr>
          <w:szCs w:val="21"/>
        </w:rPr>
        <w:t>/</w:t>
      </w:r>
      <w:r>
        <w:rPr>
          <w:szCs w:val="21"/>
        </w:rPr>
        <w:t>动物医学院</w:t>
      </w:r>
      <w:r>
        <w:rPr>
          <w:szCs w:val="21"/>
        </w:rPr>
        <w:t>/</w:t>
      </w:r>
      <w:r>
        <w:rPr>
          <w:szCs w:val="21"/>
        </w:rPr>
        <w:t>动物生产及产品质量安全教育部重点实验室</w:t>
      </w:r>
    </w:p>
    <w:p w14:paraId="20EDC3C6" w14:textId="77777777" w:rsidR="004F39F6" w:rsidRDefault="00731C67">
      <w:pPr>
        <w:ind w:firstLineChars="200" w:firstLine="420"/>
        <w:jc w:val="center"/>
        <w:rPr>
          <w:szCs w:val="21"/>
        </w:rPr>
      </w:pPr>
      <w:r>
        <w:rPr>
          <w:szCs w:val="21"/>
        </w:rPr>
        <w:t>/</w:t>
      </w:r>
      <w:r>
        <w:rPr>
          <w:szCs w:val="21"/>
        </w:rPr>
        <w:t>动物营养与饲料科学重点实验室，吉林</w:t>
      </w:r>
      <w:r>
        <w:rPr>
          <w:szCs w:val="21"/>
        </w:rPr>
        <w:t xml:space="preserve"> </w:t>
      </w:r>
      <w:r>
        <w:rPr>
          <w:szCs w:val="21"/>
        </w:rPr>
        <w:t>长春</w:t>
      </w:r>
      <w:r>
        <w:rPr>
          <w:szCs w:val="21"/>
        </w:rPr>
        <w:t xml:space="preserve"> 130118</w:t>
      </w:r>
      <w:r>
        <w:rPr>
          <w:szCs w:val="21"/>
        </w:rPr>
        <w:t>）</w:t>
      </w:r>
    </w:p>
    <w:p w14:paraId="5C7C45C4" w14:textId="77777777" w:rsidR="004F39F6" w:rsidRDefault="00731C67">
      <w:r>
        <w:rPr>
          <w:b/>
          <w:bCs/>
        </w:rPr>
        <w:t>摘要：</w:t>
      </w:r>
      <w:r>
        <w:t>大豆抗原蛋白作为一种致敏蛋白，进入动物机体后，能引起水生动物肠道过敏反应和氧化损伤，破坏肠道结构，降低机体消化吸收功能，从而抑制水生动物的生长发育，导致大豆蛋白在水生动物配合饲料中应用受限。添加可靠的免疫添加剂可以缓解大豆抗原蛋白引起的水生动物肠道损伤，从而提高大豆蛋白的利用率。本文对大豆抗原蛋白对水生动物肠道组织结构、生长发育、消化酶活性、抗氧化能力和肠道菌群的影响进行了系统综述，并提出了由大豆抗原蛋白引起的水生动物肠道损伤的改善对策，为提高大豆蛋白源的利用率，缓解我国水产配合饲料对鱼粉资源的依赖，优化饲</w:t>
      </w:r>
      <w:r>
        <w:t>料配方，降低饲料成本提供理论依据。。</w:t>
      </w:r>
    </w:p>
    <w:p w14:paraId="268D4AF1" w14:textId="77777777" w:rsidR="004F39F6" w:rsidRDefault="00731C67">
      <w:pPr>
        <w:rPr>
          <w:i/>
          <w:iCs/>
          <w:szCs w:val="21"/>
        </w:rPr>
      </w:pPr>
      <w:r>
        <w:rPr>
          <w:b/>
          <w:bCs/>
        </w:rPr>
        <w:t>关键词：</w:t>
      </w:r>
      <w:r>
        <w:t>大豆抗原蛋白；水生动物；肠道健康</w:t>
      </w:r>
    </w:p>
    <w:p w14:paraId="1580D81E" w14:textId="77777777" w:rsidR="004F39F6" w:rsidRDefault="00731C67">
      <w:pPr>
        <w:jc w:val="center"/>
        <w:rPr>
          <w:b/>
          <w:bCs/>
          <w:sz w:val="24"/>
        </w:rPr>
      </w:pPr>
      <w:r>
        <w:rPr>
          <w:b/>
          <w:bCs/>
          <w:sz w:val="24"/>
        </w:rPr>
        <w:t>Effects of Glycinin on Intestinal Health of Aquatic Animals and Its Improvement Measures</w:t>
      </w:r>
    </w:p>
    <w:p w14:paraId="0AEFC534" w14:textId="77777777" w:rsidR="004F39F6" w:rsidRDefault="00731C67">
      <w:pPr>
        <w:jc w:val="center"/>
        <w:rPr>
          <w:i/>
          <w:iCs/>
          <w:szCs w:val="21"/>
        </w:rPr>
      </w:pPr>
      <w:r>
        <w:rPr>
          <w:szCs w:val="21"/>
        </w:rPr>
        <w:t>LI Deng-</w:t>
      </w:r>
      <w:proofErr w:type="spellStart"/>
      <w:r>
        <w:rPr>
          <w:szCs w:val="21"/>
        </w:rPr>
        <w:t>lai</w:t>
      </w:r>
      <w:proofErr w:type="spellEnd"/>
      <w:r>
        <w:rPr>
          <w:szCs w:val="21"/>
        </w:rPr>
        <w:t>，</w:t>
      </w:r>
      <w:r>
        <w:rPr>
          <w:szCs w:val="21"/>
        </w:rPr>
        <w:t xml:space="preserve">YANG </w:t>
      </w:r>
      <w:proofErr w:type="spellStart"/>
      <w:r>
        <w:rPr>
          <w:szCs w:val="21"/>
        </w:rPr>
        <w:t>Zhi-yong</w:t>
      </w:r>
      <w:proofErr w:type="spellEnd"/>
      <w:r>
        <w:rPr>
          <w:szCs w:val="21"/>
        </w:rPr>
        <w:t>，</w:t>
      </w:r>
      <w:r>
        <w:rPr>
          <w:szCs w:val="21"/>
        </w:rPr>
        <w:t>ZHU Rui</w:t>
      </w:r>
      <w:r>
        <w:rPr>
          <w:szCs w:val="21"/>
        </w:rPr>
        <w:t>，</w:t>
      </w:r>
      <w:r>
        <w:rPr>
          <w:szCs w:val="21"/>
        </w:rPr>
        <w:t>LI Liang</w:t>
      </w:r>
      <w:r>
        <w:rPr>
          <w:szCs w:val="21"/>
        </w:rPr>
        <w:t>，</w:t>
      </w:r>
      <w:r>
        <w:rPr>
          <w:szCs w:val="21"/>
        </w:rPr>
        <w:t xml:space="preserve">YU </w:t>
      </w:r>
      <w:proofErr w:type="spellStart"/>
      <w:r>
        <w:rPr>
          <w:szCs w:val="21"/>
        </w:rPr>
        <w:t>Zhe</w:t>
      </w:r>
      <w:proofErr w:type="spellEnd"/>
      <w:r>
        <w:rPr>
          <w:szCs w:val="21"/>
        </w:rPr>
        <w:t>，</w:t>
      </w:r>
      <w:r>
        <w:rPr>
          <w:szCs w:val="21"/>
        </w:rPr>
        <w:t>WU Li-Fang</w:t>
      </w:r>
      <w:r>
        <w:rPr>
          <w:i/>
          <w:iCs/>
          <w:szCs w:val="21"/>
        </w:rPr>
        <w:t xml:space="preserve"> </w:t>
      </w:r>
    </w:p>
    <w:p w14:paraId="2B6D0840" w14:textId="77777777" w:rsidR="004F39F6" w:rsidRDefault="00731C67">
      <w:pPr>
        <w:jc w:val="center"/>
        <w:rPr>
          <w:i/>
          <w:iCs/>
          <w:szCs w:val="21"/>
        </w:rPr>
      </w:pPr>
      <w:r>
        <w:rPr>
          <w:i/>
          <w:iCs/>
          <w:szCs w:val="21"/>
        </w:rPr>
        <w:t>(( College of Animal Science and Technology /Animal Medical Colle</w:t>
      </w:r>
      <w:r>
        <w:rPr>
          <w:i/>
          <w:iCs/>
          <w:szCs w:val="21"/>
        </w:rPr>
        <w:t>ge</w:t>
      </w:r>
      <w:r>
        <w:rPr>
          <w:i/>
          <w:iCs/>
          <w:szCs w:val="21"/>
        </w:rPr>
        <w:t>，</w:t>
      </w:r>
      <w:r>
        <w:rPr>
          <w:i/>
          <w:iCs/>
          <w:szCs w:val="21"/>
        </w:rPr>
        <w:t>Jilin Agricultural University /Key Laboratory of Animal Production and Product Quality and Safety</w:t>
      </w:r>
      <w:r>
        <w:rPr>
          <w:i/>
          <w:iCs/>
          <w:szCs w:val="21"/>
        </w:rPr>
        <w:t>，</w:t>
      </w:r>
      <w:r>
        <w:rPr>
          <w:i/>
          <w:iCs/>
          <w:szCs w:val="21"/>
        </w:rPr>
        <w:t>Ministry of Education /Key Laboratory of Animal Nutrition and Feeding Science</w:t>
      </w:r>
      <w:r>
        <w:rPr>
          <w:i/>
          <w:iCs/>
          <w:szCs w:val="21"/>
        </w:rPr>
        <w:t>，</w:t>
      </w:r>
      <w:r>
        <w:rPr>
          <w:i/>
          <w:iCs/>
          <w:szCs w:val="21"/>
        </w:rPr>
        <w:t>Changchun 130118</w:t>
      </w:r>
      <w:r>
        <w:rPr>
          <w:i/>
          <w:iCs/>
          <w:szCs w:val="21"/>
        </w:rPr>
        <w:t>，</w:t>
      </w:r>
      <w:r>
        <w:rPr>
          <w:i/>
          <w:iCs/>
          <w:szCs w:val="21"/>
        </w:rPr>
        <w:t>China)</w:t>
      </w:r>
    </w:p>
    <w:p w14:paraId="10E2471C" w14:textId="77777777" w:rsidR="004F39F6" w:rsidRDefault="00731C67">
      <w:pPr>
        <w:rPr>
          <w:szCs w:val="21"/>
        </w:rPr>
      </w:pPr>
      <w:r>
        <w:rPr>
          <w:b/>
          <w:bCs/>
          <w:szCs w:val="21"/>
        </w:rPr>
        <w:t>Abstract</w:t>
      </w:r>
      <w:r>
        <w:rPr>
          <w:b/>
          <w:bCs/>
          <w:szCs w:val="21"/>
        </w:rPr>
        <w:t>：</w:t>
      </w:r>
      <w:r>
        <w:rPr>
          <w:szCs w:val="21"/>
        </w:rPr>
        <w:t>As an allergenic protein</w:t>
      </w:r>
      <w:r>
        <w:rPr>
          <w:szCs w:val="21"/>
        </w:rPr>
        <w:t>，</w:t>
      </w:r>
      <w:r>
        <w:rPr>
          <w:szCs w:val="21"/>
        </w:rPr>
        <w:t>soybean antigen pro</w:t>
      </w:r>
      <w:r>
        <w:rPr>
          <w:szCs w:val="21"/>
        </w:rPr>
        <w:t>tein cause intestinal allergic reaction and oxidative damage in aquatic animals</w:t>
      </w:r>
      <w:r>
        <w:rPr>
          <w:szCs w:val="21"/>
        </w:rPr>
        <w:t>，</w:t>
      </w:r>
      <w:r>
        <w:rPr>
          <w:szCs w:val="21"/>
        </w:rPr>
        <w:t>destroy intestinal structure</w:t>
      </w:r>
      <w:r>
        <w:rPr>
          <w:szCs w:val="21"/>
        </w:rPr>
        <w:t>，</w:t>
      </w:r>
      <w:r>
        <w:rPr>
          <w:szCs w:val="21"/>
        </w:rPr>
        <w:t>reduce digestion and absorption function</w:t>
      </w:r>
      <w:r>
        <w:rPr>
          <w:szCs w:val="21"/>
        </w:rPr>
        <w:t>，</w:t>
      </w:r>
      <w:r>
        <w:rPr>
          <w:szCs w:val="21"/>
        </w:rPr>
        <w:t>and inhibit the growth and development of aquatic animals</w:t>
      </w:r>
      <w:r>
        <w:rPr>
          <w:szCs w:val="21"/>
        </w:rPr>
        <w:t>．</w:t>
      </w:r>
      <w:r>
        <w:rPr>
          <w:szCs w:val="21"/>
        </w:rPr>
        <w:t xml:space="preserve"> So the application of soybean protein in aquati</w:t>
      </w:r>
      <w:r>
        <w:rPr>
          <w:szCs w:val="21"/>
        </w:rPr>
        <w:t>c animal feed is limited</w:t>
      </w:r>
      <w:r>
        <w:rPr>
          <w:szCs w:val="21"/>
        </w:rPr>
        <w:t>．</w:t>
      </w:r>
      <w:r>
        <w:rPr>
          <w:szCs w:val="21"/>
        </w:rPr>
        <w:t xml:space="preserve"> In order to overcome this problem</w:t>
      </w:r>
      <w:r>
        <w:rPr>
          <w:szCs w:val="21"/>
        </w:rPr>
        <w:t>，</w:t>
      </w:r>
      <w:r>
        <w:rPr>
          <w:szCs w:val="21"/>
        </w:rPr>
        <w:t>it is an effective way to find safe and reliable immune additives to alleviate intestinal injury of aquatic animals caused by soybean antigen protein and to improve the utilization rate of soybean</w:t>
      </w:r>
      <w:r>
        <w:rPr>
          <w:szCs w:val="21"/>
        </w:rPr>
        <w:t xml:space="preserve"> protein</w:t>
      </w:r>
      <w:r>
        <w:rPr>
          <w:szCs w:val="21"/>
        </w:rPr>
        <w:t>．</w:t>
      </w:r>
      <w:r>
        <w:rPr>
          <w:szCs w:val="21"/>
        </w:rPr>
        <w:t xml:space="preserve"> The previous research results showed that adding functional feed additives such as </w:t>
      </w:r>
      <w:r>
        <w:rPr>
          <w:szCs w:val="21"/>
        </w:rPr>
        <w:lastRenderedPageBreak/>
        <w:t>sodium butyrate</w:t>
      </w:r>
      <w:r>
        <w:rPr>
          <w:szCs w:val="21"/>
        </w:rPr>
        <w:t>，</w:t>
      </w:r>
      <w:r>
        <w:rPr>
          <w:szCs w:val="21"/>
        </w:rPr>
        <w:t>acetylcysteine and glutamine could effectively alleviate intestinal damage of aquatic animals caused by soybean antigen protein</w:t>
      </w:r>
      <w:r>
        <w:rPr>
          <w:szCs w:val="21"/>
        </w:rPr>
        <w:t>．</w:t>
      </w:r>
      <w:r>
        <w:rPr>
          <w:szCs w:val="21"/>
        </w:rPr>
        <w:t xml:space="preserve"> This paper summari</w:t>
      </w:r>
      <w:r>
        <w:rPr>
          <w:szCs w:val="21"/>
        </w:rPr>
        <w:t>zed the effects of soybean antigen protein on intestinal structure</w:t>
      </w:r>
      <w:r>
        <w:rPr>
          <w:szCs w:val="21"/>
        </w:rPr>
        <w:t>，</w:t>
      </w:r>
      <w:r>
        <w:rPr>
          <w:szCs w:val="21"/>
        </w:rPr>
        <w:t>growth and development</w:t>
      </w:r>
      <w:r>
        <w:rPr>
          <w:szCs w:val="21"/>
        </w:rPr>
        <w:t>，</w:t>
      </w:r>
      <w:r>
        <w:rPr>
          <w:szCs w:val="21"/>
        </w:rPr>
        <w:t>digestive enzyme activity</w:t>
      </w:r>
      <w:r>
        <w:rPr>
          <w:szCs w:val="21"/>
        </w:rPr>
        <w:t>，</w:t>
      </w:r>
      <w:r>
        <w:rPr>
          <w:szCs w:val="21"/>
        </w:rPr>
        <w:t>antioxidant ability and intestinal flora of aquatic animals</w:t>
      </w:r>
      <w:r>
        <w:rPr>
          <w:szCs w:val="21"/>
        </w:rPr>
        <w:t>，</w:t>
      </w:r>
      <w:r>
        <w:rPr>
          <w:szCs w:val="21"/>
        </w:rPr>
        <w:t>and put forward some countermeasures to improve intestinal injury of aquatic ani</w:t>
      </w:r>
      <w:r>
        <w:rPr>
          <w:szCs w:val="21"/>
        </w:rPr>
        <w:t>mals caused by soybean antigen protein</w:t>
      </w:r>
      <w:r>
        <w:rPr>
          <w:szCs w:val="21"/>
        </w:rPr>
        <w:t>．</w:t>
      </w:r>
      <w:r>
        <w:rPr>
          <w:szCs w:val="21"/>
        </w:rPr>
        <w:t xml:space="preserve"> This paper aimed to provide theoretical basis for improving the utilization rate of soybean protein source</w:t>
      </w:r>
      <w:r>
        <w:rPr>
          <w:szCs w:val="21"/>
        </w:rPr>
        <w:t>，</w:t>
      </w:r>
      <w:r>
        <w:rPr>
          <w:szCs w:val="21"/>
        </w:rPr>
        <w:t>alleviating the dependence of aquatic feed on fish meal resources in China</w:t>
      </w:r>
      <w:r>
        <w:rPr>
          <w:szCs w:val="21"/>
        </w:rPr>
        <w:t>，</w:t>
      </w:r>
      <w:r>
        <w:rPr>
          <w:szCs w:val="21"/>
        </w:rPr>
        <w:t>optimizing feed formula and reduci</w:t>
      </w:r>
      <w:r>
        <w:rPr>
          <w:szCs w:val="21"/>
        </w:rPr>
        <w:t>ng feed cost.</w:t>
      </w:r>
    </w:p>
    <w:p w14:paraId="53CEB811" w14:textId="77777777" w:rsidR="004F39F6" w:rsidRDefault="00731C67">
      <w:pPr>
        <w:rPr>
          <w:szCs w:val="21"/>
        </w:rPr>
      </w:pPr>
      <w:r>
        <w:rPr>
          <w:b/>
          <w:bCs/>
          <w:szCs w:val="21"/>
        </w:rPr>
        <w:t>Key words</w:t>
      </w:r>
      <w:r>
        <w:rPr>
          <w:szCs w:val="21"/>
        </w:rPr>
        <w:t>：</w:t>
      </w:r>
      <w:r>
        <w:rPr>
          <w:szCs w:val="21"/>
        </w:rPr>
        <w:t>Soybean antigen protein; Aquatic animals; Intestinal health</w:t>
      </w:r>
    </w:p>
    <w:p w14:paraId="3C78352C" w14:textId="77777777" w:rsidR="004F39F6" w:rsidRDefault="004F39F6">
      <w:pPr>
        <w:rPr>
          <w:i/>
          <w:iCs/>
          <w:szCs w:val="21"/>
        </w:rPr>
      </w:pPr>
    </w:p>
    <w:p w14:paraId="6A9CC062" w14:textId="77777777" w:rsidR="004F39F6" w:rsidRDefault="00731C67">
      <w:pPr>
        <w:spacing w:line="360" w:lineRule="auto"/>
        <w:ind w:firstLineChars="200" w:firstLine="480"/>
        <w:rPr>
          <w:sz w:val="24"/>
        </w:rPr>
      </w:pPr>
      <w:r>
        <w:rPr>
          <w:sz w:val="24"/>
        </w:rPr>
        <w:t>大豆蛋白源具有蛋白质含量高、氨基酸组成相对均衡、价格合理等优点，已经成为水产配合饲料中主要的蛋白源之一</w:t>
      </w:r>
      <w:r>
        <w:rPr>
          <w:sz w:val="24"/>
          <w:vertAlign w:val="superscript"/>
        </w:rPr>
        <w:t>[1]</w:t>
      </w:r>
      <w:r>
        <w:rPr>
          <w:sz w:val="24"/>
        </w:rPr>
        <w:t>。然而，研究表明饲料中过量的大豆制品会导致水生动物生长缓慢、健康状况受到影响，从而限制了大豆制品在水生动物配合饲料中的广泛应用，其主要原因与大豆抗营养因子有关</w:t>
      </w:r>
      <w:r>
        <w:rPr>
          <w:sz w:val="24"/>
          <w:vertAlign w:val="superscript"/>
        </w:rPr>
        <w:t>[2]</w:t>
      </w:r>
      <w:r>
        <w:rPr>
          <w:sz w:val="24"/>
        </w:rPr>
        <w:t>。大豆抗营养因子主要包括</w:t>
      </w:r>
      <w:r>
        <w:rPr>
          <w:sz w:val="24"/>
        </w:rPr>
        <w:t>:</w:t>
      </w:r>
      <w:r>
        <w:rPr>
          <w:sz w:val="24"/>
        </w:rPr>
        <w:t>胰蛋白酶抑制因子、抗原蛋白、凝集素、单宁、皂</w:t>
      </w:r>
      <w:proofErr w:type="gramStart"/>
      <w:r>
        <w:rPr>
          <w:sz w:val="24"/>
        </w:rPr>
        <w:t>甙</w:t>
      </w:r>
      <w:proofErr w:type="gramEnd"/>
      <w:r>
        <w:rPr>
          <w:sz w:val="24"/>
        </w:rPr>
        <w:t>和生物碱等</w:t>
      </w:r>
      <w:r>
        <w:rPr>
          <w:sz w:val="24"/>
          <w:vertAlign w:val="superscript"/>
        </w:rPr>
        <w:t>[3]</w:t>
      </w:r>
      <w:r>
        <w:rPr>
          <w:sz w:val="24"/>
        </w:rPr>
        <w:t>。其中大豆抗原蛋白具有很强的致敏性和免疫原性，</w:t>
      </w:r>
      <w:r>
        <w:rPr>
          <w:sz w:val="24"/>
        </w:rPr>
        <w:t xml:space="preserve"> </w:t>
      </w:r>
      <w:r>
        <w:rPr>
          <w:sz w:val="24"/>
        </w:rPr>
        <w:t>是大豆及其制品中影响最大的抗营养因子之一，同时，作为大豆中的主要热稳定性抗营养因子，普通的热处理不能有效灭活其免疫原性</w:t>
      </w:r>
      <w:r>
        <w:rPr>
          <w:sz w:val="24"/>
          <w:vertAlign w:val="superscript"/>
        </w:rPr>
        <w:t>[4-5]</w:t>
      </w:r>
      <w:r>
        <w:rPr>
          <w:sz w:val="24"/>
        </w:rPr>
        <w:t>。因此，大豆抗原蛋白进入动物机体后易引起动物机体的过敏反应</w:t>
      </w:r>
      <w:r>
        <w:rPr>
          <w:sz w:val="24"/>
          <w:vertAlign w:val="superscript"/>
        </w:rPr>
        <w:t>[6]</w:t>
      </w:r>
      <w:r>
        <w:rPr>
          <w:sz w:val="24"/>
        </w:rPr>
        <w:t>。过敏反应会干扰动物肠道的生理功能，影响肠道的新陈代谢以及对营养物质的消化吸收，进而影响动物特别是幼年动物的生长发育</w:t>
      </w:r>
      <w:r>
        <w:rPr>
          <w:sz w:val="24"/>
          <w:vertAlign w:val="superscript"/>
        </w:rPr>
        <w:t>[7-11]</w:t>
      </w:r>
      <w:r>
        <w:rPr>
          <w:sz w:val="24"/>
        </w:rPr>
        <w:t>。到目前为止，已发现的大豆抗原蛋白有</w:t>
      </w:r>
      <w:r>
        <w:rPr>
          <w:sz w:val="24"/>
        </w:rPr>
        <w:t>32</w:t>
      </w:r>
      <w:r>
        <w:rPr>
          <w:sz w:val="24"/>
        </w:rPr>
        <w:t>种，其中大豆球蛋白和</w:t>
      </w:r>
      <w:r>
        <w:rPr>
          <w:sz w:val="24"/>
        </w:rPr>
        <w:t>β</w:t>
      </w:r>
      <w:r>
        <w:rPr>
          <w:sz w:val="24"/>
        </w:rPr>
        <w:t>－伴大豆球蛋白是大豆抗原蛋白中免疫原性最强的两种蛋白</w:t>
      </w:r>
      <w:r>
        <w:rPr>
          <w:sz w:val="24"/>
          <w:vertAlign w:val="superscript"/>
        </w:rPr>
        <w:t>[12]</w:t>
      </w:r>
      <w:r>
        <w:rPr>
          <w:sz w:val="24"/>
        </w:rPr>
        <w:t>。目前，已有关于大豆抗原蛋白对水生动物肠道健康影响的研究，在中华绒</w:t>
      </w:r>
      <w:proofErr w:type="gramStart"/>
      <w:r>
        <w:rPr>
          <w:sz w:val="24"/>
        </w:rPr>
        <w:t>螯</w:t>
      </w:r>
      <w:proofErr w:type="gramEnd"/>
      <w:r>
        <w:rPr>
          <w:sz w:val="24"/>
        </w:rPr>
        <w:t>蟹</w:t>
      </w:r>
      <w:r>
        <w:rPr>
          <w:sz w:val="24"/>
        </w:rPr>
        <w:t xml:space="preserve"> (</w:t>
      </w:r>
      <w:proofErr w:type="spellStart"/>
      <w:r>
        <w:rPr>
          <w:i/>
          <w:iCs/>
          <w:sz w:val="24"/>
        </w:rPr>
        <w:t>Eriocheir</w:t>
      </w:r>
      <w:proofErr w:type="spellEnd"/>
      <w:r>
        <w:rPr>
          <w:i/>
          <w:iCs/>
          <w:sz w:val="24"/>
        </w:rPr>
        <w:t xml:space="preserve"> sinensis</w:t>
      </w:r>
      <w:r>
        <w:rPr>
          <w:sz w:val="24"/>
        </w:rPr>
        <w:t>)</w:t>
      </w:r>
      <w:r>
        <w:rPr>
          <w:sz w:val="24"/>
          <w:vertAlign w:val="superscript"/>
        </w:rPr>
        <w:t>[13]</w:t>
      </w:r>
      <w:r>
        <w:rPr>
          <w:sz w:val="24"/>
        </w:rPr>
        <w:t>、</w:t>
      </w:r>
      <w:proofErr w:type="gramStart"/>
      <w:r>
        <w:rPr>
          <w:sz w:val="24"/>
        </w:rPr>
        <w:t>凡纳滨对虾</w:t>
      </w:r>
      <w:proofErr w:type="gramEnd"/>
      <w:r>
        <w:rPr>
          <w:sz w:val="24"/>
        </w:rPr>
        <w:t>(</w:t>
      </w:r>
      <w:r>
        <w:rPr>
          <w:i/>
          <w:iCs/>
          <w:sz w:val="24"/>
        </w:rPr>
        <w:t xml:space="preserve">Penaeus </w:t>
      </w:r>
      <w:proofErr w:type="spellStart"/>
      <w:r>
        <w:rPr>
          <w:i/>
          <w:iCs/>
          <w:sz w:val="24"/>
        </w:rPr>
        <w:t>vanname</w:t>
      </w:r>
      <w:proofErr w:type="spellEnd"/>
      <w:r>
        <w:rPr>
          <w:sz w:val="24"/>
        </w:rPr>
        <w:t>)</w:t>
      </w:r>
      <w:r>
        <w:rPr>
          <w:sz w:val="24"/>
          <w:vertAlign w:val="superscript"/>
        </w:rPr>
        <w:t xml:space="preserve"> [14]</w:t>
      </w:r>
      <w:r>
        <w:rPr>
          <w:sz w:val="24"/>
        </w:rPr>
        <w:t>、罗氏沼虾</w:t>
      </w:r>
      <w:r>
        <w:rPr>
          <w:sz w:val="24"/>
        </w:rPr>
        <w:t xml:space="preserve"> (</w:t>
      </w:r>
      <w:proofErr w:type="spellStart"/>
      <w:r>
        <w:rPr>
          <w:i/>
          <w:iCs/>
          <w:sz w:val="24"/>
        </w:rPr>
        <w:t>Macrobrachium</w:t>
      </w:r>
      <w:proofErr w:type="spellEnd"/>
      <w:r>
        <w:rPr>
          <w:i/>
          <w:iCs/>
          <w:sz w:val="24"/>
        </w:rPr>
        <w:t xml:space="preserve"> </w:t>
      </w:r>
      <w:proofErr w:type="spellStart"/>
      <w:r>
        <w:rPr>
          <w:i/>
          <w:iCs/>
          <w:sz w:val="24"/>
        </w:rPr>
        <w:t>rosenbergii</w:t>
      </w:r>
      <w:proofErr w:type="spellEnd"/>
      <w:r>
        <w:rPr>
          <w:sz w:val="24"/>
        </w:rPr>
        <w:t>)</w:t>
      </w:r>
      <w:r>
        <w:rPr>
          <w:sz w:val="24"/>
          <w:vertAlign w:val="superscript"/>
        </w:rPr>
        <w:t xml:space="preserve"> [15]</w:t>
      </w:r>
      <w:r>
        <w:rPr>
          <w:sz w:val="24"/>
        </w:rPr>
        <w:t>、鲤</w:t>
      </w:r>
      <w:r>
        <w:rPr>
          <w:sz w:val="24"/>
        </w:rPr>
        <w:t>(</w:t>
      </w:r>
      <w:proofErr w:type="spellStart"/>
      <w:r>
        <w:rPr>
          <w:i/>
          <w:iCs/>
          <w:sz w:val="24"/>
        </w:rPr>
        <w:t>Cyrinuscarpio</w:t>
      </w:r>
      <w:proofErr w:type="spellEnd"/>
      <w:r>
        <w:rPr>
          <w:sz w:val="24"/>
        </w:rPr>
        <w:t>)</w:t>
      </w:r>
      <w:r>
        <w:rPr>
          <w:sz w:val="24"/>
          <w:vertAlign w:val="superscript"/>
        </w:rPr>
        <w:t>[16]</w:t>
      </w:r>
      <w:r>
        <w:rPr>
          <w:sz w:val="24"/>
        </w:rPr>
        <w:t>、埃及胡子</w:t>
      </w:r>
      <w:proofErr w:type="gramStart"/>
      <w:r>
        <w:rPr>
          <w:sz w:val="24"/>
        </w:rPr>
        <w:t>鲶</w:t>
      </w:r>
      <w:proofErr w:type="gramEnd"/>
      <w:r>
        <w:rPr>
          <w:sz w:val="24"/>
        </w:rPr>
        <w:t xml:space="preserve"> (</w:t>
      </w:r>
      <w:proofErr w:type="spellStart"/>
      <w:r>
        <w:rPr>
          <w:i/>
          <w:iCs/>
          <w:sz w:val="24"/>
        </w:rPr>
        <w:t>Clarias</w:t>
      </w:r>
      <w:proofErr w:type="spellEnd"/>
      <w:r>
        <w:rPr>
          <w:i/>
          <w:iCs/>
          <w:sz w:val="24"/>
        </w:rPr>
        <w:t xml:space="preserve"> </w:t>
      </w:r>
      <w:proofErr w:type="spellStart"/>
      <w:r>
        <w:rPr>
          <w:i/>
          <w:iCs/>
          <w:sz w:val="24"/>
        </w:rPr>
        <w:t>lazera</w:t>
      </w:r>
      <w:proofErr w:type="spellEnd"/>
      <w:r>
        <w:rPr>
          <w:i/>
          <w:iCs/>
          <w:sz w:val="24"/>
        </w:rPr>
        <w:t xml:space="preserve"> </w:t>
      </w:r>
      <w:r>
        <w:rPr>
          <w:sz w:val="24"/>
        </w:rPr>
        <w:t>)</w:t>
      </w:r>
      <w:r>
        <w:rPr>
          <w:sz w:val="24"/>
          <w:vertAlign w:val="superscript"/>
        </w:rPr>
        <w:t>[16]</w:t>
      </w:r>
      <w:r>
        <w:rPr>
          <w:sz w:val="24"/>
        </w:rPr>
        <w:t>、草</w:t>
      </w:r>
      <w:r>
        <w:rPr>
          <w:sz w:val="24"/>
        </w:rPr>
        <w:t xml:space="preserve"> </w:t>
      </w:r>
      <w:r>
        <w:rPr>
          <w:sz w:val="24"/>
        </w:rPr>
        <w:t>鱼</w:t>
      </w:r>
      <w:r>
        <w:rPr>
          <w:sz w:val="24"/>
        </w:rPr>
        <w:t xml:space="preserve"> (</w:t>
      </w:r>
      <w:proofErr w:type="spellStart"/>
      <w:r>
        <w:rPr>
          <w:i/>
          <w:iCs/>
          <w:sz w:val="24"/>
        </w:rPr>
        <w:t>Ctenopharyngod</w:t>
      </w:r>
      <w:r>
        <w:rPr>
          <w:i/>
          <w:iCs/>
          <w:sz w:val="24"/>
        </w:rPr>
        <w:t>on</w:t>
      </w:r>
      <w:proofErr w:type="spellEnd"/>
      <w:r>
        <w:rPr>
          <w:i/>
          <w:iCs/>
          <w:sz w:val="24"/>
        </w:rPr>
        <w:t xml:space="preserve"> </w:t>
      </w:r>
      <w:proofErr w:type="spellStart"/>
      <w:r>
        <w:rPr>
          <w:i/>
          <w:iCs/>
          <w:sz w:val="24"/>
        </w:rPr>
        <w:t>idella</w:t>
      </w:r>
      <w:proofErr w:type="spellEnd"/>
      <w:r>
        <w:rPr>
          <w:sz w:val="24"/>
        </w:rPr>
        <w:t>)</w:t>
      </w:r>
      <w:r>
        <w:rPr>
          <w:sz w:val="24"/>
          <w:vertAlign w:val="superscript"/>
        </w:rPr>
        <w:t>[17]</w:t>
      </w:r>
      <w:r>
        <w:rPr>
          <w:sz w:val="24"/>
        </w:rPr>
        <w:t>、大菱</w:t>
      </w:r>
      <w:proofErr w:type="gramStart"/>
      <w:r>
        <w:rPr>
          <w:sz w:val="24"/>
        </w:rPr>
        <w:t>鲆</w:t>
      </w:r>
      <w:proofErr w:type="gramEnd"/>
      <w:r>
        <w:rPr>
          <w:sz w:val="24"/>
        </w:rPr>
        <w:t>(</w:t>
      </w:r>
      <w:r>
        <w:rPr>
          <w:i/>
          <w:iCs/>
          <w:sz w:val="24"/>
        </w:rPr>
        <w:t>Scophthalmus maximus</w:t>
      </w:r>
      <w:r>
        <w:rPr>
          <w:sz w:val="24"/>
        </w:rPr>
        <w:t>)</w:t>
      </w:r>
      <w:r>
        <w:rPr>
          <w:sz w:val="24"/>
          <w:vertAlign w:val="superscript"/>
        </w:rPr>
        <w:t>[18]</w:t>
      </w:r>
      <w:r>
        <w:rPr>
          <w:sz w:val="24"/>
        </w:rPr>
        <w:t>、虹鳟</w:t>
      </w:r>
      <w:r>
        <w:rPr>
          <w:sz w:val="24"/>
        </w:rPr>
        <w:t>(</w:t>
      </w:r>
      <w:r>
        <w:rPr>
          <w:i/>
          <w:iCs/>
          <w:sz w:val="24"/>
        </w:rPr>
        <w:t>Oncorhynchus mykiss</w:t>
      </w:r>
      <w:r>
        <w:rPr>
          <w:sz w:val="24"/>
        </w:rPr>
        <w:t xml:space="preserve">) </w:t>
      </w:r>
      <w:r>
        <w:rPr>
          <w:sz w:val="24"/>
          <w:vertAlign w:val="superscript"/>
        </w:rPr>
        <w:t>[19]</w:t>
      </w:r>
      <w:r>
        <w:rPr>
          <w:sz w:val="24"/>
        </w:rPr>
        <w:t>、建鲤</w:t>
      </w:r>
      <w:r>
        <w:rPr>
          <w:sz w:val="24"/>
        </w:rPr>
        <w:t xml:space="preserve">(Cyprinus </w:t>
      </w:r>
      <w:proofErr w:type="spellStart"/>
      <w:r>
        <w:rPr>
          <w:sz w:val="24"/>
        </w:rPr>
        <w:t>carpiovar</w:t>
      </w:r>
      <w:proofErr w:type="spellEnd"/>
      <w:r>
        <w:rPr>
          <w:sz w:val="24"/>
        </w:rPr>
        <w:t>．</w:t>
      </w:r>
      <w:r>
        <w:rPr>
          <w:sz w:val="24"/>
        </w:rPr>
        <w:t xml:space="preserve"> Jian)</w:t>
      </w:r>
      <w:r>
        <w:rPr>
          <w:sz w:val="24"/>
          <w:vertAlign w:val="superscript"/>
        </w:rPr>
        <w:t>[20]</w:t>
      </w:r>
      <w:r>
        <w:rPr>
          <w:sz w:val="24"/>
        </w:rPr>
        <w:t>、</w:t>
      </w:r>
      <w:proofErr w:type="gramStart"/>
      <w:r>
        <w:rPr>
          <w:sz w:val="24"/>
        </w:rPr>
        <w:t>洛</w:t>
      </w:r>
      <w:proofErr w:type="gramEnd"/>
      <w:r>
        <w:rPr>
          <w:sz w:val="24"/>
        </w:rPr>
        <w:t>氏鱥</w:t>
      </w:r>
      <w:r>
        <w:rPr>
          <w:sz w:val="24"/>
        </w:rPr>
        <w:t xml:space="preserve">( </w:t>
      </w:r>
      <w:proofErr w:type="spellStart"/>
      <w:r>
        <w:rPr>
          <w:i/>
          <w:iCs/>
          <w:sz w:val="24"/>
        </w:rPr>
        <w:t>Rhynchocypris</w:t>
      </w:r>
      <w:proofErr w:type="spellEnd"/>
      <w:r>
        <w:rPr>
          <w:i/>
          <w:iCs/>
          <w:sz w:val="24"/>
        </w:rPr>
        <w:t xml:space="preserve"> </w:t>
      </w:r>
      <w:proofErr w:type="spellStart"/>
      <w:r>
        <w:rPr>
          <w:i/>
          <w:iCs/>
          <w:sz w:val="24"/>
        </w:rPr>
        <w:t>lagowskii</w:t>
      </w:r>
      <w:proofErr w:type="spellEnd"/>
      <w:r>
        <w:rPr>
          <w:i/>
          <w:iCs/>
          <w:sz w:val="24"/>
        </w:rPr>
        <w:t xml:space="preserve"> </w:t>
      </w:r>
      <w:proofErr w:type="spellStart"/>
      <w:r>
        <w:rPr>
          <w:i/>
          <w:iCs/>
          <w:sz w:val="24"/>
        </w:rPr>
        <w:t>Dybowski</w:t>
      </w:r>
      <w:proofErr w:type="spellEnd"/>
      <w:r>
        <w:rPr>
          <w:sz w:val="24"/>
        </w:rPr>
        <w:t xml:space="preserve">) </w:t>
      </w:r>
      <w:r>
        <w:rPr>
          <w:sz w:val="24"/>
          <w:vertAlign w:val="superscript"/>
        </w:rPr>
        <w:t>[21]</w:t>
      </w:r>
      <w:r>
        <w:rPr>
          <w:sz w:val="24"/>
        </w:rPr>
        <w:t>等水生动物的研究中发现，水生动物不能有效降解饲料中的大豆抗原蛋白，极小部分大</w:t>
      </w:r>
      <w:r>
        <w:rPr>
          <w:sz w:val="24"/>
        </w:rPr>
        <w:t xml:space="preserve"> </w:t>
      </w:r>
      <w:r>
        <w:rPr>
          <w:sz w:val="24"/>
        </w:rPr>
        <w:t>豆抗原蛋白会以大分子抗原的形式通过肠黏膜进入血液循环，从而引起全身免疫反应，并最终降低水生动物的生长性能。因此，迫切需要找到安全有效的</w:t>
      </w:r>
      <w:r>
        <w:rPr>
          <w:sz w:val="24"/>
        </w:rPr>
        <w:t>功能性添加剂来减缓大豆抗原蛋白引起的肠道过敏损伤。研究表明，在饲料中补充丁酸钠和谷氨酰胺等功能性饲料添加剂可有效减轻大豆</w:t>
      </w:r>
      <w:proofErr w:type="gramStart"/>
      <w:r>
        <w:rPr>
          <w:sz w:val="24"/>
        </w:rPr>
        <w:t>抗原蛋对水生动物</w:t>
      </w:r>
      <w:proofErr w:type="gramEnd"/>
      <w:r>
        <w:rPr>
          <w:sz w:val="24"/>
        </w:rPr>
        <w:t>造成的肠道损伤，肠道炎症和肠道有害菌群减少，可以提高大豆蛋白源的利用水平，从而降低饲料成本。本文对大豆抗原蛋白对水生动物的肠道组织结构、消化酶活性、抗氧化能力和肠道菌群的影响进行了系统综述，并提出了通过添加功能性饲料添加剂来缓解大豆抗原蛋白引起水生动物肠道损伤的改善对策，从而促</w:t>
      </w:r>
      <w:r>
        <w:rPr>
          <w:sz w:val="24"/>
        </w:rPr>
        <w:lastRenderedPageBreak/>
        <w:t>进大豆蛋白在水生动物配合饲料中广泛应用，并为合理开发利用大豆蛋白源、降低饲料成本、优化饲料配方提供</w:t>
      </w:r>
      <w:r>
        <w:rPr>
          <w:sz w:val="24"/>
        </w:rPr>
        <w:t>理论依据。</w:t>
      </w:r>
    </w:p>
    <w:p w14:paraId="1A8D62EB" w14:textId="77777777" w:rsidR="004F39F6" w:rsidRDefault="00731C67">
      <w:pPr>
        <w:pStyle w:val="af3"/>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大豆抗原蛋白对水生动物肠道健康的影响</w:t>
      </w:r>
      <w:r>
        <w:rPr>
          <w:rFonts w:ascii="Times New Roman" w:eastAsia="宋体" w:hAnsi="Times New Roman" w:cs="Times New Roman"/>
          <w:sz w:val="24"/>
          <w:szCs w:val="24"/>
        </w:rPr>
        <w:t xml:space="preserve"> </w:t>
      </w:r>
    </w:p>
    <w:p w14:paraId="3D1899C1" w14:textId="77777777" w:rsidR="004F39F6" w:rsidRDefault="00731C67">
      <w:pPr>
        <w:spacing w:line="360" w:lineRule="auto"/>
        <w:rPr>
          <w:sz w:val="24"/>
        </w:rPr>
      </w:pPr>
      <w:r>
        <w:rPr>
          <w:sz w:val="24"/>
        </w:rPr>
        <w:t xml:space="preserve">1.1  </w:t>
      </w:r>
      <w:r>
        <w:rPr>
          <w:sz w:val="24"/>
        </w:rPr>
        <w:t>大豆抗原蛋白对水生动物肠道组织结构的影响</w:t>
      </w:r>
      <w:r>
        <w:rPr>
          <w:sz w:val="24"/>
        </w:rPr>
        <w:t xml:space="preserve"> </w:t>
      </w:r>
    </w:p>
    <w:p w14:paraId="73CF466B" w14:textId="77777777" w:rsidR="004F39F6" w:rsidRDefault="00731C67">
      <w:pPr>
        <w:spacing w:line="360" w:lineRule="auto"/>
        <w:ind w:firstLineChars="200" w:firstLine="480"/>
        <w:rPr>
          <w:sz w:val="24"/>
        </w:rPr>
      </w:pPr>
      <w:r>
        <w:rPr>
          <w:sz w:val="24"/>
        </w:rPr>
        <w:t>肠道是水生动物重要的器官之一，起源于内胚层和中胚层，位于腹腔内或背部，连接于食道或胃后，止于肛门，由外至</w:t>
      </w:r>
      <w:proofErr w:type="gramStart"/>
      <w:r>
        <w:rPr>
          <w:sz w:val="24"/>
        </w:rPr>
        <w:t>里分为</w:t>
      </w:r>
      <w:proofErr w:type="gramEnd"/>
      <w:r>
        <w:rPr>
          <w:sz w:val="24"/>
        </w:rPr>
        <w:t>黏膜层、黏膜下层、肌肉层以及浆膜层。黏膜层具有褶皱和肠道微绒毛，是肠道吸收营养物质的重要保障，也是肠道机械免疫的重要组成部分</w:t>
      </w:r>
      <w:r>
        <w:rPr>
          <w:sz w:val="24"/>
          <w:vertAlign w:val="superscript"/>
        </w:rPr>
        <w:t>[22]</w:t>
      </w:r>
      <w:r>
        <w:rPr>
          <w:sz w:val="24"/>
        </w:rPr>
        <w:t>。水生动物的肠道发挥着多种作用，例如消化和吸收营养物质、抵抗病原微生物和食物抗原对机体的影响、参与抗菌肽和摄食调控类激素的分泌等</w:t>
      </w:r>
      <w:r>
        <w:rPr>
          <w:sz w:val="24"/>
          <w:vertAlign w:val="superscript"/>
        </w:rPr>
        <w:t>[23-24]</w:t>
      </w:r>
      <w:r>
        <w:rPr>
          <w:sz w:val="24"/>
        </w:rPr>
        <w:t>。当水生动物摄入过量的大豆制品时，其中的大豆抗原蛋白会破坏水生动物的肠道组织结构，进而影响肠道健康</w:t>
      </w:r>
      <w:r>
        <w:rPr>
          <w:sz w:val="24"/>
          <w:vertAlign w:val="superscript"/>
        </w:rPr>
        <w:t>[2]</w:t>
      </w:r>
      <w:r>
        <w:rPr>
          <w:sz w:val="24"/>
        </w:rPr>
        <w:t>。李民等</w:t>
      </w:r>
      <w:r>
        <w:rPr>
          <w:sz w:val="24"/>
          <w:vertAlign w:val="superscript"/>
        </w:rPr>
        <w:t>[25]</w:t>
      </w:r>
      <w:r>
        <w:rPr>
          <w:sz w:val="24"/>
        </w:rPr>
        <w:t>研究表明</w:t>
      </w:r>
      <w:r>
        <w:rPr>
          <w:sz w:val="24"/>
        </w:rPr>
        <w:t>，饲料中大豆球蛋白添加量达到</w:t>
      </w:r>
      <w:r>
        <w:rPr>
          <w:sz w:val="24"/>
        </w:rPr>
        <w:t>30g·kg</w:t>
      </w:r>
      <w:r>
        <w:rPr>
          <w:sz w:val="24"/>
          <w:vertAlign w:val="superscript"/>
        </w:rPr>
        <w:t>-1</w:t>
      </w:r>
      <w:r>
        <w:rPr>
          <w:sz w:val="24"/>
        </w:rPr>
        <w:t>时，黄金鲫</w:t>
      </w:r>
      <w:r>
        <w:rPr>
          <w:sz w:val="24"/>
        </w:rPr>
        <w:t>(</w:t>
      </w:r>
      <w:proofErr w:type="spellStart"/>
      <w:r>
        <w:rPr>
          <w:i/>
          <w:iCs/>
          <w:sz w:val="24"/>
        </w:rPr>
        <w:t>Cyprinuscarpio</w:t>
      </w:r>
      <w:proofErr w:type="spellEnd"/>
      <w:r>
        <w:rPr>
          <w:i/>
          <w:iCs/>
          <w:sz w:val="24"/>
        </w:rPr>
        <w:t xml:space="preserve"> ×</w:t>
      </w:r>
      <w:proofErr w:type="spellStart"/>
      <w:r>
        <w:rPr>
          <w:i/>
          <w:iCs/>
          <w:sz w:val="24"/>
        </w:rPr>
        <w:t>Carassiusauratus</w:t>
      </w:r>
      <w:proofErr w:type="spellEnd"/>
      <w:r>
        <w:rPr>
          <w:sz w:val="24"/>
        </w:rPr>
        <w:t>)</w:t>
      </w:r>
      <w:r>
        <w:rPr>
          <w:sz w:val="24"/>
        </w:rPr>
        <w:t>的肠道绒毛出现部分断裂，且固有层与肠粘膜分离。同样，</w:t>
      </w:r>
      <w:r>
        <w:rPr>
          <w:sz w:val="24"/>
        </w:rPr>
        <w:t>Li</w:t>
      </w:r>
      <w:r>
        <w:rPr>
          <w:sz w:val="24"/>
        </w:rPr>
        <w:t>等</w:t>
      </w:r>
      <w:r>
        <w:rPr>
          <w:sz w:val="24"/>
          <w:vertAlign w:val="superscript"/>
        </w:rPr>
        <w:t>[26]</w:t>
      </w:r>
      <w:r>
        <w:rPr>
          <w:sz w:val="24"/>
        </w:rPr>
        <w:t>的研究也发现</w:t>
      </w:r>
      <w:r>
        <w:rPr>
          <w:sz w:val="24"/>
        </w:rPr>
        <w:t>β</w:t>
      </w:r>
      <w:r>
        <w:rPr>
          <w:sz w:val="24"/>
        </w:rPr>
        <w:t>－伴大豆球蛋白能使黄金</w:t>
      </w:r>
      <w:proofErr w:type="gramStart"/>
      <w:r>
        <w:rPr>
          <w:sz w:val="24"/>
        </w:rPr>
        <w:t>鲫</w:t>
      </w:r>
      <w:proofErr w:type="gramEnd"/>
      <w:r>
        <w:rPr>
          <w:sz w:val="24"/>
        </w:rPr>
        <w:t>部分肠上皮细胞与固有层分离，以及肠绒毛脱落，从而破坏黄金</w:t>
      </w:r>
      <w:proofErr w:type="gramStart"/>
      <w:r>
        <w:rPr>
          <w:sz w:val="24"/>
        </w:rPr>
        <w:t>鲫肠组织</w:t>
      </w:r>
      <w:proofErr w:type="gramEnd"/>
      <w:r>
        <w:rPr>
          <w:sz w:val="24"/>
        </w:rPr>
        <w:t>结构的完整性。水生动物由于饲养环境、发育时期以及食性的差异，对大豆抗原蛋白的耐受水平有所不同</w:t>
      </w:r>
      <w:r>
        <w:rPr>
          <w:sz w:val="24"/>
          <w:vertAlign w:val="superscript"/>
        </w:rPr>
        <w:t>[16]</w:t>
      </w:r>
      <w:r>
        <w:rPr>
          <w:sz w:val="24"/>
        </w:rPr>
        <w:t>。吴莉芳等</w:t>
      </w:r>
      <w:r>
        <w:rPr>
          <w:sz w:val="24"/>
          <w:vertAlign w:val="superscript"/>
        </w:rPr>
        <w:t>[27]</w:t>
      </w:r>
      <w:r>
        <w:rPr>
          <w:sz w:val="24"/>
        </w:rPr>
        <w:t>在鲤鱼的研究中发现，当饲料中大豆球蛋白的添加量达到</w:t>
      </w:r>
      <w:r>
        <w:rPr>
          <w:sz w:val="24"/>
        </w:rPr>
        <w:t>30g·kg</w:t>
      </w:r>
      <w:r>
        <w:rPr>
          <w:sz w:val="24"/>
          <w:vertAlign w:val="superscript"/>
        </w:rPr>
        <w:t>-1</w:t>
      </w:r>
      <w:r>
        <w:rPr>
          <w:sz w:val="24"/>
        </w:rPr>
        <w:t>及以上时，鲤</w:t>
      </w:r>
      <w:proofErr w:type="gramStart"/>
      <w:r>
        <w:rPr>
          <w:sz w:val="24"/>
        </w:rPr>
        <w:t>稚</w:t>
      </w:r>
      <w:proofErr w:type="gramEnd"/>
      <w:r>
        <w:rPr>
          <w:sz w:val="24"/>
        </w:rPr>
        <w:t>鱼的肠绒毛开始出现局部断</w:t>
      </w:r>
      <w:r>
        <w:rPr>
          <w:sz w:val="24"/>
        </w:rPr>
        <w:t>裂或破损；而鲤幼鱼对大豆抗原蛋白的耐受水平则较高，当大豆球蛋白的添加量为</w:t>
      </w:r>
      <w:r>
        <w:rPr>
          <w:sz w:val="24"/>
        </w:rPr>
        <w:t>60g·kg</w:t>
      </w:r>
      <w:r>
        <w:rPr>
          <w:sz w:val="24"/>
          <w:vertAlign w:val="superscript"/>
        </w:rPr>
        <w:t>-1</w:t>
      </w:r>
      <w:r>
        <w:rPr>
          <w:sz w:val="24"/>
        </w:rPr>
        <w:t>时才会引起</w:t>
      </w:r>
      <w:proofErr w:type="gramStart"/>
      <w:r>
        <w:rPr>
          <w:sz w:val="24"/>
        </w:rPr>
        <w:t>鲤</w:t>
      </w:r>
      <w:proofErr w:type="gramEnd"/>
      <w:r>
        <w:rPr>
          <w:sz w:val="24"/>
        </w:rPr>
        <w:t>幼鱼肠道组织结构受损。相关研究表明，饲料中添加</w:t>
      </w:r>
      <w:r>
        <w:rPr>
          <w:sz w:val="24"/>
        </w:rPr>
        <w:t>3%</w:t>
      </w:r>
      <w:r>
        <w:rPr>
          <w:sz w:val="24"/>
        </w:rPr>
        <w:t>～</w:t>
      </w:r>
      <w:r>
        <w:rPr>
          <w:sz w:val="24"/>
        </w:rPr>
        <w:t>6%</w:t>
      </w:r>
      <w:r>
        <w:rPr>
          <w:sz w:val="24"/>
        </w:rPr>
        <w:t>的大豆球蛋白会引起鲤</w:t>
      </w:r>
      <w:r>
        <w:rPr>
          <w:sz w:val="24"/>
          <w:vertAlign w:val="superscript"/>
        </w:rPr>
        <w:t>[16]</w:t>
      </w:r>
      <w:r>
        <w:rPr>
          <w:sz w:val="24"/>
        </w:rPr>
        <w:t>、草鱼</w:t>
      </w:r>
      <w:r>
        <w:rPr>
          <w:sz w:val="24"/>
          <w:vertAlign w:val="superscript"/>
        </w:rPr>
        <w:t>[17]</w:t>
      </w:r>
      <w:r>
        <w:rPr>
          <w:sz w:val="24"/>
        </w:rPr>
        <w:t>和</w:t>
      </w:r>
      <w:proofErr w:type="gramStart"/>
      <w:r>
        <w:rPr>
          <w:sz w:val="24"/>
        </w:rPr>
        <w:t>洛</w:t>
      </w:r>
      <w:proofErr w:type="gramEnd"/>
      <w:r>
        <w:rPr>
          <w:sz w:val="24"/>
        </w:rPr>
        <w:t>氏鱥</w:t>
      </w:r>
      <w:r>
        <w:rPr>
          <w:sz w:val="24"/>
          <w:vertAlign w:val="superscript"/>
        </w:rPr>
        <w:t>[21]</w:t>
      </w:r>
      <w:r>
        <w:rPr>
          <w:sz w:val="24"/>
        </w:rPr>
        <w:t>等淡水鱼类的肠道组织结构受损，而饲料中添加</w:t>
      </w:r>
      <w:r>
        <w:rPr>
          <w:sz w:val="24"/>
        </w:rPr>
        <w:t>8%</w:t>
      </w:r>
      <w:r>
        <w:rPr>
          <w:sz w:val="24"/>
        </w:rPr>
        <w:t>的大豆球蛋白并不能显著影响大菱</w:t>
      </w:r>
      <w:proofErr w:type="gramStart"/>
      <w:r>
        <w:rPr>
          <w:sz w:val="24"/>
        </w:rPr>
        <w:t>鲆</w:t>
      </w:r>
      <w:proofErr w:type="gramEnd"/>
      <w:r>
        <w:rPr>
          <w:sz w:val="24"/>
        </w:rPr>
        <w:t>幼鱼的肠道组织结构</w:t>
      </w:r>
      <w:r>
        <w:rPr>
          <w:sz w:val="24"/>
          <w:vertAlign w:val="superscript"/>
        </w:rPr>
        <w:t>[18]</w:t>
      </w:r>
      <w:r>
        <w:rPr>
          <w:sz w:val="24"/>
        </w:rPr>
        <w:t>。大豆抗原蛋白对虾蟹等甲壳动物的肠道组织也能造成损伤。</w:t>
      </w:r>
      <w:r>
        <w:rPr>
          <w:sz w:val="24"/>
        </w:rPr>
        <w:t>Han</w:t>
      </w:r>
      <w:r>
        <w:rPr>
          <w:sz w:val="24"/>
        </w:rPr>
        <w:t>等</w:t>
      </w:r>
      <w:r>
        <w:rPr>
          <w:sz w:val="24"/>
          <w:vertAlign w:val="superscript"/>
        </w:rPr>
        <w:t>[13]</w:t>
      </w:r>
      <w:r>
        <w:rPr>
          <w:sz w:val="24"/>
        </w:rPr>
        <w:t>在对中华绒</w:t>
      </w:r>
      <w:proofErr w:type="gramStart"/>
      <w:r>
        <w:rPr>
          <w:sz w:val="24"/>
        </w:rPr>
        <w:t>螯</w:t>
      </w:r>
      <w:proofErr w:type="gramEnd"/>
      <w:r>
        <w:rPr>
          <w:sz w:val="24"/>
        </w:rPr>
        <w:t>蟹的研究中发现，</w:t>
      </w:r>
      <w:r>
        <w:rPr>
          <w:sz w:val="24"/>
        </w:rPr>
        <w:t>大豆抗原蛋白导致了肠道上皮细胞与皱襞分离，并破坏中华绒</w:t>
      </w:r>
      <w:proofErr w:type="gramStart"/>
      <w:r>
        <w:rPr>
          <w:sz w:val="24"/>
        </w:rPr>
        <w:t>螯</w:t>
      </w:r>
      <w:proofErr w:type="gramEnd"/>
      <w:r>
        <w:rPr>
          <w:sz w:val="24"/>
        </w:rPr>
        <w:t>蟹的围食膜和肠道上皮细胞结构。上述研究表明，大豆抗原蛋白能引起水生动物的肠道绒毛断裂、上皮粘膜与固有层分离，并降低肠道肌层厚度，从而对肠道组织结构产生负面影响。作为一种致过敏蛋白，大豆抗原蛋白能引起水生动物肠道过敏反应，从而诱发炎症和氧化损伤，并最终导致肠道组织结构受损</w:t>
      </w:r>
      <w:r>
        <w:rPr>
          <w:sz w:val="24"/>
          <w:vertAlign w:val="superscript"/>
        </w:rPr>
        <w:t>[17]</w:t>
      </w:r>
      <w:r>
        <w:rPr>
          <w:sz w:val="24"/>
        </w:rPr>
        <w:t>。</w:t>
      </w:r>
      <w:r>
        <w:rPr>
          <w:sz w:val="24"/>
        </w:rPr>
        <w:t xml:space="preserve"> </w:t>
      </w:r>
    </w:p>
    <w:p w14:paraId="71CD77BF" w14:textId="77777777" w:rsidR="004F39F6" w:rsidRDefault="00731C67">
      <w:pPr>
        <w:pStyle w:val="af3"/>
        <w:numPr>
          <w:ilvl w:val="1"/>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大豆抗原蛋白对水生动物肠道生长发育的影响</w:t>
      </w:r>
      <w:r>
        <w:rPr>
          <w:rFonts w:ascii="Times New Roman" w:eastAsia="宋体" w:hAnsi="Times New Roman" w:cs="Times New Roman"/>
          <w:sz w:val="24"/>
          <w:szCs w:val="24"/>
        </w:rPr>
        <w:t xml:space="preserve"> </w:t>
      </w:r>
    </w:p>
    <w:p w14:paraId="7277C468" w14:textId="77777777" w:rsidR="004F39F6" w:rsidRDefault="00731C67">
      <w:pPr>
        <w:spacing w:line="360" w:lineRule="auto"/>
        <w:ind w:firstLineChars="200" w:firstLine="480"/>
        <w:rPr>
          <w:sz w:val="24"/>
        </w:rPr>
      </w:pPr>
      <w:r>
        <w:rPr>
          <w:sz w:val="24"/>
        </w:rPr>
        <w:t>正常的生长发育是水生动物肠道发挥生理功能的基础，通常用肠长、肠重和皱襞高度等肠道生长指标来反映肠道生长发育的状况</w:t>
      </w:r>
      <w:r>
        <w:rPr>
          <w:sz w:val="24"/>
          <w:vertAlign w:val="superscript"/>
        </w:rPr>
        <w:t>[28]</w:t>
      </w:r>
      <w:r>
        <w:rPr>
          <w:sz w:val="24"/>
        </w:rPr>
        <w:t>。肠道生</w:t>
      </w:r>
      <w:r>
        <w:rPr>
          <w:sz w:val="24"/>
        </w:rPr>
        <w:t>长发育受诸多因素影响，其中食物的影响较大。相关研究表明，当饲料中大豆球蛋白添加量超过</w:t>
      </w:r>
      <w:r>
        <w:rPr>
          <w:sz w:val="24"/>
        </w:rPr>
        <w:t>30g·kg</w:t>
      </w:r>
      <w:r>
        <w:rPr>
          <w:sz w:val="24"/>
          <w:vertAlign w:val="superscript"/>
        </w:rPr>
        <w:t>-1</w:t>
      </w:r>
      <w:r>
        <w:rPr>
          <w:sz w:val="24"/>
        </w:rPr>
        <w:t>时，会显著降低黄金</w:t>
      </w:r>
      <w:r>
        <w:rPr>
          <w:sz w:val="24"/>
        </w:rPr>
        <w:lastRenderedPageBreak/>
        <w:t>鲫的前、中、后肠的皱襞高度，并减少黄金鲫</w:t>
      </w:r>
      <w:proofErr w:type="gramStart"/>
      <w:r>
        <w:rPr>
          <w:sz w:val="24"/>
        </w:rPr>
        <w:t>的肠长和</w:t>
      </w:r>
      <w:proofErr w:type="gramEnd"/>
      <w:r>
        <w:rPr>
          <w:sz w:val="24"/>
        </w:rPr>
        <w:t>肠重，对肠道生长发育产生负面影响</w:t>
      </w:r>
      <w:r>
        <w:rPr>
          <w:sz w:val="24"/>
          <w:vertAlign w:val="superscript"/>
        </w:rPr>
        <w:t>[25]</w:t>
      </w:r>
      <w:r>
        <w:rPr>
          <w:sz w:val="24"/>
        </w:rPr>
        <w:t>。且对与不同种类的水生动物及其不同生长阶段而言，大豆抗原蛋白对其肠道生长发育状况影响也有所不同。吴莉芳等</w:t>
      </w:r>
      <w:r>
        <w:rPr>
          <w:sz w:val="24"/>
          <w:vertAlign w:val="superscript"/>
        </w:rPr>
        <w:t>[27]</w:t>
      </w:r>
      <w:r>
        <w:rPr>
          <w:sz w:val="24"/>
        </w:rPr>
        <w:t>在鲤</w:t>
      </w:r>
      <w:proofErr w:type="gramStart"/>
      <w:r>
        <w:rPr>
          <w:sz w:val="24"/>
        </w:rPr>
        <w:t>稚</w:t>
      </w:r>
      <w:proofErr w:type="gramEnd"/>
      <w:r>
        <w:rPr>
          <w:sz w:val="24"/>
        </w:rPr>
        <w:t>鱼和幼鱼的研究中发现，当饲料中大豆抗原蛋白添加量达到</w:t>
      </w:r>
      <w:r>
        <w:rPr>
          <w:sz w:val="24"/>
        </w:rPr>
        <w:t>30g·kg</w:t>
      </w:r>
      <w:r>
        <w:rPr>
          <w:sz w:val="24"/>
          <w:vertAlign w:val="superscript"/>
        </w:rPr>
        <w:t>-1</w:t>
      </w:r>
      <w:r>
        <w:rPr>
          <w:sz w:val="24"/>
        </w:rPr>
        <w:t>时，能引起中肠和后肠皱襞高度下降；当大豆抗原蛋白的添加量为</w:t>
      </w:r>
      <w:r>
        <w:rPr>
          <w:sz w:val="24"/>
        </w:rPr>
        <w:t xml:space="preserve">60g·kg </w:t>
      </w:r>
      <w:r>
        <w:rPr>
          <w:sz w:val="24"/>
          <w:vertAlign w:val="superscript"/>
        </w:rPr>
        <w:t>-1</w:t>
      </w:r>
      <w:r>
        <w:rPr>
          <w:sz w:val="24"/>
        </w:rPr>
        <w:t>时，则会引起</w:t>
      </w:r>
      <w:proofErr w:type="gramStart"/>
      <w:r>
        <w:rPr>
          <w:sz w:val="24"/>
        </w:rPr>
        <w:t>鲤</w:t>
      </w:r>
      <w:proofErr w:type="gramEnd"/>
      <w:r>
        <w:rPr>
          <w:sz w:val="24"/>
        </w:rPr>
        <w:t>幼鱼后肠皱襞高度下降，从而影响</w:t>
      </w:r>
      <w:r>
        <w:rPr>
          <w:sz w:val="24"/>
        </w:rPr>
        <w:t>肠道的正常生长发育；且在大豆抗原蛋白对不同食性鱼类影响的研究中发现，大豆球蛋白和</w:t>
      </w:r>
      <w:r>
        <w:rPr>
          <w:sz w:val="24"/>
        </w:rPr>
        <w:t>β</w:t>
      </w:r>
      <w:r>
        <w:rPr>
          <w:sz w:val="24"/>
        </w:rPr>
        <w:t>－伴大豆球蛋白能显著</w:t>
      </w:r>
      <w:proofErr w:type="gramStart"/>
      <w:r>
        <w:rPr>
          <w:sz w:val="24"/>
        </w:rPr>
        <w:t>降低鲤和埃及</w:t>
      </w:r>
      <w:proofErr w:type="gramEnd"/>
      <w:r>
        <w:rPr>
          <w:sz w:val="24"/>
        </w:rPr>
        <w:t>胡子</w:t>
      </w:r>
      <w:proofErr w:type="gramStart"/>
      <w:r>
        <w:rPr>
          <w:sz w:val="24"/>
        </w:rPr>
        <w:t>鲶</w:t>
      </w:r>
      <w:proofErr w:type="gramEnd"/>
      <w:r>
        <w:rPr>
          <w:sz w:val="24"/>
        </w:rPr>
        <w:t>中肠和后肠，以及草鱼前肠、中肠和后肠的皱襞高度</w:t>
      </w:r>
      <w:r>
        <w:rPr>
          <w:sz w:val="24"/>
          <w:vertAlign w:val="superscript"/>
        </w:rPr>
        <w:t>[11]</w:t>
      </w:r>
      <w:r>
        <w:rPr>
          <w:sz w:val="24"/>
        </w:rPr>
        <w:t>。此外，</w:t>
      </w:r>
      <w:r>
        <w:rPr>
          <w:sz w:val="24"/>
        </w:rPr>
        <w:t>Jiang</w:t>
      </w:r>
      <w:r>
        <w:rPr>
          <w:sz w:val="24"/>
        </w:rPr>
        <w:t>等</w:t>
      </w:r>
      <w:r>
        <w:rPr>
          <w:sz w:val="24"/>
          <w:vertAlign w:val="superscript"/>
        </w:rPr>
        <w:t>[20]</w:t>
      </w:r>
      <w:r>
        <w:rPr>
          <w:sz w:val="24"/>
        </w:rPr>
        <w:t>对幼年建鲤的研究中发现，饲料中添加</w:t>
      </w:r>
      <w:r>
        <w:rPr>
          <w:sz w:val="24"/>
        </w:rPr>
        <w:t>80g·kg</w:t>
      </w:r>
      <w:r>
        <w:rPr>
          <w:sz w:val="24"/>
          <w:vertAlign w:val="superscript"/>
        </w:rPr>
        <w:t>-1</w:t>
      </w:r>
      <w:r>
        <w:rPr>
          <w:sz w:val="24"/>
        </w:rPr>
        <w:t>大豆球</w:t>
      </w:r>
      <w:proofErr w:type="gramStart"/>
      <w:r>
        <w:rPr>
          <w:sz w:val="24"/>
        </w:rPr>
        <w:t>蛋显著</w:t>
      </w:r>
      <w:proofErr w:type="gramEnd"/>
      <w:r>
        <w:rPr>
          <w:sz w:val="24"/>
        </w:rPr>
        <w:t>降低了</w:t>
      </w:r>
      <w:proofErr w:type="gramStart"/>
      <w:r>
        <w:rPr>
          <w:sz w:val="24"/>
        </w:rPr>
        <w:t>建鲤肠重</w:t>
      </w:r>
      <w:proofErr w:type="gramEnd"/>
      <w:r>
        <w:rPr>
          <w:sz w:val="24"/>
        </w:rPr>
        <w:t>、</w:t>
      </w:r>
      <w:proofErr w:type="gramStart"/>
      <w:r>
        <w:rPr>
          <w:sz w:val="24"/>
        </w:rPr>
        <w:t>肠长以及</w:t>
      </w:r>
      <w:proofErr w:type="gramEnd"/>
      <w:r>
        <w:rPr>
          <w:sz w:val="24"/>
        </w:rPr>
        <w:t>前肠和中肠的皱襞高度。综上所述，饲料中过量的大豆抗原蛋白可降低水生动物的肠长、肠重和皱襞高度，抑制水生动物的肠道发育。潜在的原因可能是大豆抗原蛋白会破坏水生动物肠道组织结构，降低肠道对营养物质消化吸收的能力，从而造成水生动物</w:t>
      </w:r>
      <w:r>
        <w:rPr>
          <w:sz w:val="24"/>
        </w:rPr>
        <w:t>肠道生长发育缓慢；且大豆抗原蛋白还含有</w:t>
      </w:r>
      <w:r>
        <w:rPr>
          <w:sz w:val="24"/>
        </w:rPr>
        <w:t>-SH</w:t>
      </w:r>
      <w:r>
        <w:rPr>
          <w:sz w:val="24"/>
        </w:rPr>
        <w:t>基团，容易形成稳定的凝胶，这些凝胶不易被肠道消化吸收，可降低肠道对营养物质的利用，从而抑制肠道的生长发育</w:t>
      </w:r>
      <w:r>
        <w:rPr>
          <w:sz w:val="24"/>
          <w:vertAlign w:val="superscript"/>
        </w:rPr>
        <w:t>[7-8]</w:t>
      </w:r>
      <w:r>
        <w:rPr>
          <w:sz w:val="24"/>
        </w:rPr>
        <w:t>。</w:t>
      </w:r>
      <w:r>
        <w:rPr>
          <w:sz w:val="24"/>
        </w:rPr>
        <w:t xml:space="preserve"> </w:t>
      </w:r>
    </w:p>
    <w:p w14:paraId="77B6CAE1" w14:textId="77777777" w:rsidR="004F39F6" w:rsidRDefault="00731C67">
      <w:pPr>
        <w:pStyle w:val="af3"/>
        <w:numPr>
          <w:ilvl w:val="1"/>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大豆抗原蛋白对水生动物肠道消化酶活性的影响</w:t>
      </w:r>
      <w:r>
        <w:rPr>
          <w:rFonts w:ascii="Times New Roman" w:eastAsia="宋体" w:hAnsi="Times New Roman" w:cs="Times New Roman"/>
          <w:sz w:val="24"/>
          <w:szCs w:val="24"/>
        </w:rPr>
        <w:t xml:space="preserve"> </w:t>
      </w:r>
    </w:p>
    <w:p w14:paraId="3A9218BE" w14:textId="77777777" w:rsidR="004F39F6" w:rsidRDefault="00731C67">
      <w:pPr>
        <w:spacing w:line="360" w:lineRule="auto"/>
        <w:ind w:firstLineChars="200" w:firstLine="480"/>
        <w:rPr>
          <w:sz w:val="24"/>
        </w:rPr>
      </w:pPr>
      <w:r>
        <w:rPr>
          <w:sz w:val="24"/>
        </w:rPr>
        <w:t>水生动物对营养物质的消化吸收需要肠道消化酶的参与，肠道消化酶包括肠道蛋白酶、肠道淀粉酶以及其他类型的肠道消化酶，其来源于机体自身分泌、肠道微生物以及外界摄入，是肠道的重要组成部分，参与肠道许多重要生物化学过程和物质循环，在维持肠道健康方面具有重要作用</w:t>
      </w:r>
      <w:r>
        <w:rPr>
          <w:sz w:val="24"/>
          <w:vertAlign w:val="superscript"/>
        </w:rPr>
        <w:t>[29]</w:t>
      </w:r>
      <w:r>
        <w:rPr>
          <w:sz w:val="24"/>
        </w:rPr>
        <w:t>。赖红娥等</w:t>
      </w:r>
      <w:r>
        <w:rPr>
          <w:sz w:val="24"/>
          <w:vertAlign w:val="superscript"/>
        </w:rPr>
        <w:t>[30]</w:t>
      </w:r>
      <w:r>
        <w:rPr>
          <w:sz w:val="24"/>
        </w:rPr>
        <w:t>研究了饲料中添加不同比例的</w:t>
      </w:r>
      <w:r>
        <w:rPr>
          <w:sz w:val="24"/>
        </w:rPr>
        <w:t>大豆抗原蛋白对鲤</w:t>
      </w:r>
      <w:proofErr w:type="gramStart"/>
      <w:r>
        <w:rPr>
          <w:sz w:val="24"/>
        </w:rPr>
        <w:t>稚</w:t>
      </w:r>
      <w:proofErr w:type="gramEnd"/>
      <w:r>
        <w:rPr>
          <w:sz w:val="24"/>
        </w:rPr>
        <w:t>鱼和幼鱼肠道消化酶活性的影响，结果表明大豆抗原蛋白能显著降低鲤</w:t>
      </w:r>
      <w:proofErr w:type="gramStart"/>
      <w:r>
        <w:rPr>
          <w:sz w:val="24"/>
        </w:rPr>
        <w:t>稚</w:t>
      </w:r>
      <w:proofErr w:type="gramEnd"/>
      <w:r>
        <w:rPr>
          <w:sz w:val="24"/>
        </w:rPr>
        <w:t>鱼前肠和后肠的蛋白酶活性。</w:t>
      </w:r>
      <w:r>
        <w:rPr>
          <w:sz w:val="24"/>
        </w:rPr>
        <w:t>Li</w:t>
      </w:r>
      <w:r>
        <w:rPr>
          <w:sz w:val="24"/>
        </w:rPr>
        <w:t>等</w:t>
      </w:r>
      <w:r>
        <w:rPr>
          <w:sz w:val="24"/>
          <w:vertAlign w:val="superscript"/>
        </w:rPr>
        <w:t>[31]</w:t>
      </w:r>
      <w:r>
        <w:rPr>
          <w:sz w:val="24"/>
        </w:rPr>
        <w:t>对黄金鲫的研究发现，</w:t>
      </w:r>
      <w:r>
        <w:rPr>
          <w:sz w:val="24"/>
        </w:rPr>
        <w:t>β</w:t>
      </w:r>
      <w:r>
        <w:rPr>
          <w:sz w:val="24"/>
        </w:rPr>
        <w:t>－伴大豆球蛋白可显著抑制中肠和后肠的蛋白酶活性。在水生甲壳类动物的研究中发现，大豆抗原蛋白也降低了罗氏沼虾</w:t>
      </w:r>
      <w:r>
        <w:rPr>
          <w:sz w:val="24"/>
          <w:vertAlign w:val="superscript"/>
        </w:rPr>
        <w:t>[32]</w:t>
      </w:r>
      <w:r>
        <w:rPr>
          <w:sz w:val="24"/>
        </w:rPr>
        <w:t>和中华绒</w:t>
      </w:r>
      <w:proofErr w:type="gramStart"/>
      <w:r>
        <w:rPr>
          <w:sz w:val="24"/>
        </w:rPr>
        <w:t>螯</w:t>
      </w:r>
      <w:proofErr w:type="gramEnd"/>
      <w:r>
        <w:rPr>
          <w:sz w:val="24"/>
        </w:rPr>
        <w:t>蟹</w:t>
      </w:r>
      <w:r>
        <w:rPr>
          <w:sz w:val="24"/>
          <w:vertAlign w:val="superscript"/>
        </w:rPr>
        <w:t>[13]</w:t>
      </w:r>
      <w:r>
        <w:rPr>
          <w:sz w:val="24"/>
        </w:rPr>
        <w:t>肠道的蛋白酶和淀粉酶活性。</w:t>
      </w:r>
      <w:r>
        <w:rPr>
          <w:sz w:val="24"/>
        </w:rPr>
        <w:t>Zhang</w:t>
      </w:r>
      <w:r>
        <w:rPr>
          <w:sz w:val="24"/>
        </w:rPr>
        <w:t>等</w:t>
      </w:r>
      <w:r>
        <w:rPr>
          <w:sz w:val="24"/>
          <w:vertAlign w:val="superscript"/>
        </w:rPr>
        <w:t>[33]</w:t>
      </w:r>
      <w:r>
        <w:rPr>
          <w:sz w:val="24"/>
        </w:rPr>
        <w:t>对黄鳝</w:t>
      </w:r>
      <w:r>
        <w:rPr>
          <w:sz w:val="24"/>
        </w:rPr>
        <w:t>(</w:t>
      </w:r>
      <w:proofErr w:type="spellStart"/>
      <w:r>
        <w:rPr>
          <w:sz w:val="24"/>
        </w:rPr>
        <w:t>Monopterus</w:t>
      </w:r>
      <w:proofErr w:type="spellEnd"/>
      <w:r>
        <w:rPr>
          <w:sz w:val="24"/>
        </w:rPr>
        <w:t xml:space="preserve"> albus)</w:t>
      </w:r>
      <w:r>
        <w:rPr>
          <w:sz w:val="24"/>
        </w:rPr>
        <w:t>的研究发现，过量的大豆蛋白粉会显著降低黄鳝肠道胰蛋白酶的活性。综上所述，饲料中的大豆抗原蛋白能够降低水生动物肠道消化酶的活性，进而影响机体对营养物</w:t>
      </w:r>
      <w:r>
        <w:rPr>
          <w:sz w:val="24"/>
        </w:rPr>
        <w:t>质的吸收。这可能跟肠道损伤有关，大豆抗原蛋白引发的肠道损伤抑制了肠道发育，从而减少肠道消化酶的分泌</w:t>
      </w:r>
      <w:r>
        <w:rPr>
          <w:sz w:val="24"/>
          <w:vertAlign w:val="superscript"/>
        </w:rPr>
        <w:t>[34]</w:t>
      </w:r>
      <w:r>
        <w:rPr>
          <w:sz w:val="24"/>
        </w:rPr>
        <w:t>。</w:t>
      </w:r>
      <w:r>
        <w:rPr>
          <w:sz w:val="24"/>
        </w:rPr>
        <w:t xml:space="preserve"> </w:t>
      </w:r>
    </w:p>
    <w:p w14:paraId="11CC065F" w14:textId="77777777" w:rsidR="004F39F6" w:rsidRDefault="00731C67">
      <w:pPr>
        <w:pStyle w:val="af3"/>
        <w:numPr>
          <w:ilvl w:val="1"/>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大豆抗原蛋白对水生动物肠道抗氧化能力的影响</w:t>
      </w:r>
      <w:r>
        <w:rPr>
          <w:rFonts w:ascii="Times New Roman" w:eastAsia="宋体" w:hAnsi="Times New Roman" w:cs="Times New Roman"/>
          <w:sz w:val="24"/>
          <w:szCs w:val="24"/>
        </w:rPr>
        <w:t xml:space="preserve"> </w:t>
      </w:r>
    </w:p>
    <w:p w14:paraId="5B1D19B7" w14:textId="77777777" w:rsidR="004F39F6" w:rsidRDefault="00731C67">
      <w:pPr>
        <w:spacing w:line="360" w:lineRule="auto"/>
        <w:rPr>
          <w:sz w:val="24"/>
        </w:rPr>
      </w:pPr>
      <w:r>
        <w:rPr>
          <w:sz w:val="24"/>
        </w:rPr>
        <w:t>水生动物的氧化应激是由细胞内氧化物和抗氧化物之间失衡造成的，与体内活性氧</w:t>
      </w:r>
      <w:r>
        <w:rPr>
          <w:sz w:val="24"/>
        </w:rPr>
        <w:t xml:space="preserve">(ROS) </w:t>
      </w:r>
      <w:r>
        <w:rPr>
          <w:sz w:val="24"/>
        </w:rPr>
        <w:t>的含量密切相关。当水生动物体内</w:t>
      </w:r>
      <w:r>
        <w:rPr>
          <w:sz w:val="24"/>
        </w:rPr>
        <w:t>ROS</w:t>
      </w:r>
      <w:r>
        <w:rPr>
          <w:sz w:val="24"/>
        </w:rPr>
        <w:t>过量增加，而抗氧化物不足或细胞缓冲系统无法维持氧化还原平衡时，易导致细胞氧化损伤，从而引发疾病</w:t>
      </w:r>
      <w:r>
        <w:rPr>
          <w:sz w:val="24"/>
          <w:vertAlign w:val="superscript"/>
        </w:rPr>
        <w:t>[35]</w:t>
      </w:r>
      <w:r>
        <w:rPr>
          <w:sz w:val="24"/>
        </w:rPr>
        <w:t>。肠道抗氧化能力由肠道内抗</w:t>
      </w:r>
      <w:r>
        <w:rPr>
          <w:sz w:val="24"/>
        </w:rPr>
        <w:lastRenderedPageBreak/>
        <w:t>氧化酶和相关抗氧化物共同作用而形成，用于清除多余</w:t>
      </w:r>
      <w:r>
        <w:rPr>
          <w:sz w:val="24"/>
        </w:rPr>
        <w:t>ROS</w:t>
      </w:r>
      <w:r>
        <w:rPr>
          <w:sz w:val="24"/>
        </w:rPr>
        <w:t>，维持肠道氧化还原的平衡。研究表明，当饲料中大豆抗原</w:t>
      </w:r>
      <w:r>
        <w:rPr>
          <w:sz w:val="24"/>
        </w:rPr>
        <w:t>蛋白的含量过高时，会导致中华绒</w:t>
      </w:r>
      <w:proofErr w:type="gramStart"/>
      <w:r>
        <w:rPr>
          <w:sz w:val="24"/>
        </w:rPr>
        <w:t>螯</w:t>
      </w:r>
      <w:proofErr w:type="gramEnd"/>
      <w:r>
        <w:rPr>
          <w:sz w:val="24"/>
        </w:rPr>
        <w:t>蟹肠道内过氧化氢酶</w:t>
      </w:r>
      <w:r>
        <w:rPr>
          <w:sz w:val="24"/>
        </w:rPr>
        <w:t>(CAT)</w:t>
      </w:r>
      <w:r>
        <w:rPr>
          <w:sz w:val="24"/>
        </w:rPr>
        <w:t>、总超氧化物歧化酶</w:t>
      </w:r>
      <w:r>
        <w:rPr>
          <w:sz w:val="24"/>
        </w:rPr>
        <w:t>(T-SOD)</w:t>
      </w:r>
      <w:r>
        <w:rPr>
          <w:sz w:val="24"/>
        </w:rPr>
        <w:t>和谷胱甘肽巯基转移酶的活性下降，并增加丙二醛</w:t>
      </w:r>
      <w:r>
        <w:rPr>
          <w:sz w:val="24"/>
        </w:rPr>
        <w:t xml:space="preserve">(MDA) </w:t>
      </w:r>
      <w:r>
        <w:rPr>
          <w:sz w:val="24"/>
        </w:rPr>
        <w:t>的含量，从而降低肠道抗氧化功能</w:t>
      </w:r>
      <w:r>
        <w:rPr>
          <w:sz w:val="24"/>
          <w:vertAlign w:val="superscript"/>
        </w:rPr>
        <w:t>[13]</w:t>
      </w:r>
      <w:r>
        <w:rPr>
          <w:sz w:val="24"/>
        </w:rPr>
        <w:t>。</w:t>
      </w:r>
      <w:r>
        <w:rPr>
          <w:sz w:val="24"/>
        </w:rPr>
        <w:t>Zhang</w:t>
      </w:r>
      <w:r>
        <w:rPr>
          <w:sz w:val="24"/>
        </w:rPr>
        <w:t>等</w:t>
      </w:r>
      <w:r>
        <w:rPr>
          <w:sz w:val="24"/>
          <w:vertAlign w:val="superscript"/>
        </w:rPr>
        <w:t>[19]</w:t>
      </w:r>
      <w:r>
        <w:rPr>
          <w:sz w:val="24"/>
        </w:rPr>
        <w:t>对草鱼幼鱼的研究表明，当饲料中含有</w:t>
      </w:r>
      <w:r>
        <w:rPr>
          <w:sz w:val="24"/>
        </w:rPr>
        <w:t>80g·kg</w:t>
      </w:r>
      <w:r>
        <w:rPr>
          <w:sz w:val="24"/>
          <w:vertAlign w:val="superscript"/>
        </w:rPr>
        <w:t>-1</w:t>
      </w:r>
      <w:r>
        <w:rPr>
          <w:sz w:val="24"/>
        </w:rPr>
        <w:t>大豆抗原蛋白时，草鱼幼鱼肠道的磷脂酰胆碱</w:t>
      </w:r>
      <w:r>
        <w:rPr>
          <w:sz w:val="24"/>
        </w:rPr>
        <w:t>(PC)</w:t>
      </w:r>
      <w:r>
        <w:rPr>
          <w:sz w:val="24"/>
        </w:rPr>
        <w:t>、</w:t>
      </w:r>
      <w:r>
        <w:rPr>
          <w:sz w:val="24"/>
        </w:rPr>
        <w:t>MDA</w:t>
      </w:r>
      <w:r>
        <w:rPr>
          <w:sz w:val="24"/>
        </w:rPr>
        <w:t>含量显高于对照组，而超氧化物歧化酶</w:t>
      </w:r>
      <w:r>
        <w:rPr>
          <w:sz w:val="24"/>
        </w:rPr>
        <w:t>(SOD)</w:t>
      </w:r>
      <w:r>
        <w:rPr>
          <w:sz w:val="24"/>
        </w:rPr>
        <w:t>、</w:t>
      </w:r>
      <w:r>
        <w:rPr>
          <w:sz w:val="24"/>
        </w:rPr>
        <w:t>CAT</w:t>
      </w:r>
      <w:r>
        <w:rPr>
          <w:sz w:val="24"/>
        </w:rPr>
        <w:t>和谷胱甘肽过氧化物酶</w:t>
      </w:r>
      <w:r>
        <w:rPr>
          <w:sz w:val="24"/>
        </w:rPr>
        <w:t>(</w:t>
      </w:r>
      <w:proofErr w:type="spellStart"/>
      <w:r>
        <w:rPr>
          <w:sz w:val="24"/>
        </w:rPr>
        <w:t>GPx</w:t>
      </w:r>
      <w:proofErr w:type="spellEnd"/>
      <w:r>
        <w:rPr>
          <w:sz w:val="24"/>
        </w:rPr>
        <w:t>)</w:t>
      </w:r>
      <w:r>
        <w:rPr>
          <w:sz w:val="24"/>
        </w:rPr>
        <w:t>活性显著低于对照组，导致肠道抗氧化能力减弱。</w:t>
      </w:r>
      <w:r>
        <w:rPr>
          <w:sz w:val="24"/>
        </w:rPr>
        <w:t>Li</w:t>
      </w:r>
      <w:r>
        <w:rPr>
          <w:sz w:val="24"/>
        </w:rPr>
        <w:t>等</w:t>
      </w:r>
      <w:r>
        <w:rPr>
          <w:sz w:val="24"/>
          <w:vertAlign w:val="superscript"/>
        </w:rPr>
        <w:t>[26]</w:t>
      </w:r>
      <w:r>
        <w:rPr>
          <w:sz w:val="24"/>
        </w:rPr>
        <w:t>研究表明，随着饲料中大豆抗原蛋白的含量逐步增加，大菱</w:t>
      </w:r>
      <w:proofErr w:type="gramStart"/>
      <w:r>
        <w:rPr>
          <w:sz w:val="24"/>
        </w:rPr>
        <w:t>鲆</w:t>
      </w:r>
      <w:proofErr w:type="gramEnd"/>
      <w:r>
        <w:rPr>
          <w:sz w:val="24"/>
        </w:rPr>
        <w:t>肠道</w:t>
      </w:r>
      <w:r>
        <w:rPr>
          <w:sz w:val="24"/>
        </w:rPr>
        <w:t>内</w:t>
      </w:r>
      <w:r>
        <w:rPr>
          <w:sz w:val="24"/>
        </w:rPr>
        <w:t>SOD</w:t>
      </w:r>
      <w:proofErr w:type="gramStart"/>
      <w:r>
        <w:rPr>
          <w:sz w:val="24"/>
        </w:rPr>
        <w:t>活性会</w:t>
      </w:r>
      <w:proofErr w:type="gramEnd"/>
      <w:r>
        <w:rPr>
          <w:sz w:val="24"/>
        </w:rPr>
        <w:t>逐渐降低，从而对大菱</w:t>
      </w:r>
      <w:proofErr w:type="gramStart"/>
      <w:r>
        <w:rPr>
          <w:sz w:val="24"/>
        </w:rPr>
        <w:t>鲆</w:t>
      </w:r>
      <w:proofErr w:type="gramEnd"/>
      <w:r>
        <w:rPr>
          <w:sz w:val="24"/>
        </w:rPr>
        <w:t>肠道抗氧化能力造成负面影响。</w:t>
      </w:r>
      <w:r>
        <w:rPr>
          <w:sz w:val="24"/>
        </w:rPr>
        <w:t>Duan</w:t>
      </w:r>
      <w:r>
        <w:rPr>
          <w:sz w:val="24"/>
        </w:rPr>
        <w:t>等</w:t>
      </w:r>
      <w:r>
        <w:rPr>
          <w:sz w:val="24"/>
          <w:vertAlign w:val="superscript"/>
        </w:rPr>
        <w:t>[34]</w:t>
      </w:r>
      <w:r>
        <w:rPr>
          <w:sz w:val="24"/>
        </w:rPr>
        <w:t>对草鱼的研究发现，饲料中</w:t>
      </w:r>
      <w:r>
        <w:rPr>
          <w:sz w:val="24"/>
        </w:rPr>
        <w:t>β</w:t>
      </w:r>
      <w:r>
        <w:rPr>
          <w:sz w:val="24"/>
        </w:rPr>
        <w:t>－伴大豆球蛋白显著提高</w:t>
      </w:r>
      <w:proofErr w:type="gramStart"/>
      <w:r>
        <w:rPr>
          <w:sz w:val="24"/>
        </w:rPr>
        <w:t>了草</w:t>
      </w:r>
      <w:proofErr w:type="gramEnd"/>
      <w:r>
        <w:rPr>
          <w:sz w:val="24"/>
        </w:rPr>
        <w:t>鱼后肠中</w:t>
      </w:r>
      <w:r>
        <w:rPr>
          <w:sz w:val="24"/>
        </w:rPr>
        <w:t>MDA</w:t>
      </w:r>
      <w:r>
        <w:rPr>
          <w:sz w:val="24"/>
        </w:rPr>
        <w:t>和蛋白质羰基的含量，并增加了中肠中</w:t>
      </w:r>
      <w:r>
        <w:rPr>
          <w:sz w:val="24"/>
        </w:rPr>
        <w:t>PC</w:t>
      </w:r>
      <w:r>
        <w:rPr>
          <w:sz w:val="24"/>
        </w:rPr>
        <w:t>含量，反映了肠道抗氧化能力的减弱。</w:t>
      </w:r>
      <w:r>
        <w:rPr>
          <w:sz w:val="24"/>
        </w:rPr>
        <w:t>Li</w:t>
      </w:r>
      <w:r>
        <w:rPr>
          <w:sz w:val="24"/>
        </w:rPr>
        <w:t>等</w:t>
      </w:r>
      <w:r>
        <w:rPr>
          <w:sz w:val="24"/>
          <w:vertAlign w:val="superscript"/>
        </w:rPr>
        <w:t>[21]</w:t>
      </w:r>
      <w:r>
        <w:rPr>
          <w:sz w:val="24"/>
        </w:rPr>
        <w:t>对</w:t>
      </w:r>
      <w:proofErr w:type="gramStart"/>
      <w:r>
        <w:rPr>
          <w:sz w:val="24"/>
        </w:rPr>
        <w:t>洛</w:t>
      </w:r>
      <w:proofErr w:type="gramEnd"/>
      <w:r>
        <w:rPr>
          <w:sz w:val="24"/>
        </w:rPr>
        <w:t>氏鱥的研究中表明，饲喂</w:t>
      </w:r>
      <w:r>
        <w:rPr>
          <w:sz w:val="24"/>
        </w:rPr>
        <w:t>40</w:t>
      </w:r>
      <w:r>
        <w:rPr>
          <w:sz w:val="24"/>
        </w:rPr>
        <w:t>～</w:t>
      </w:r>
      <w:r>
        <w:rPr>
          <w:sz w:val="24"/>
        </w:rPr>
        <w:t>80g·kg</w:t>
      </w:r>
      <w:r>
        <w:rPr>
          <w:sz w:val="24"/>
          <w:vertAlign w:val="superscript"/>
        </w:rPr>
        <w:t>-1</w:t>
      </w:r>
      <w:r>
        <w:rPr>
          <w:sz w:val="24"/>
        </w:rPr>
        <w:t>β</w:t>
      </w:r>
      <w:r>
        <w:rPr>
          <w:sz w:val="24"/>
        </w:rPr>
        <w:t>－伴大豆球蛋白可显著降低</w:t>
      </w:r>
      <w:proofErr w:type="gramStart"/>
      <w:r>
        <w:rPr>
          <w:sz w:val="24"/>
        </w:rPr>
        <w:t>洛</w:t>
      </w:r>
      <w:proofErr w:type="gramEnd"/>
      <w:r>
        <w:rPr>
          <w:sz w:val="24"/>
        </w:rPr>
        <w:t>氏鱥前肠的</w:t>
      </w:r>
      <w:r>
        <w:rPr>
          <w:sz w:val="24"/>
        </w:rPr>
        <w:t>CAT</w:t>
      </w:r>
      <w:r>
        <w:rPr>
          <w:sz w:val="24"/>
        </w:rPr>
        <w:t>、</w:t>
      </w:r>
      <w:proofErr w:type="spellStart"/>
      <w:r>
        <w:rPr>
          <w:sz w:val="24"/>
        </w:rPr>
        <w:t>GPx</w:t>
      </w:r>
      <w:proofErr w:type="spellEnd"/>
      <w:r>
        <w:rPr>
          <w:sz w:val="24"/>
        </w:rPr>
        <w:t>以及</w:t>
      </w:r>
      <w:r>
        <w:rPr>
          <w:sz w:val="24"/>
        </w:rPr>
        <w:t>T-SOD</w:t>
      </w:r>
      <w:r>
        <w:rPr>
          <w:sz w:val="24"/>
        </w:rPr>
        <w:t>的活性，对肠道抗氧化能力造成负面影响。以上研究表明当饲料中大豆抗原蛋白含量过高时，会增加水生动物肠道内</w:t>
      </w:r>
      <w:r>
        <w:rPr>
          <w:sz w:val="24"/>
        </w:rPr>
        <w:t>MDA</w:t>
      </w:r>
      <w:r>
        <w:rPr>
          <w:sz w:val="24"/>
        </w:rPr>
        <w:t>的含量，并降低肠道抗氧化酶的活性，从而降低肠道抗氧化能力</w:t>
      </w:r>
      <w:r>
        <w:rPr>
          <w:sz w:val="24"/>
        </w:rPr>
        <w:t>。研究表明，大豆抗原蛋白能够通过激</w:t>
      </w:r>
      <w:r>
        <w:rPr>
          <w:sz w:val="24"/>
        </w:rPr>
        <w:t>Keap1-Nrf2-ARE</w:t>
      </w:r>
      <w:r>
        <w:rPr>
          <w:sz w:val="24"/>
        </w:rPr>
        <w:t>信号通路，来抑制水生动物肠道抗氧化酶的转录，从而降低抗氧化能力</w:t>
      </w:r>
      <w:r>
        <w:rPr>
          <w:sz w:val="24"/>
          <w:vertAlign w:val="superscript"/>
        </w:rPr>
        <w:t>[36]</w:t>
      </w:r>
      <w:r>
        <w:rPr>
          <w:sz w:val="24"/>
        </w:rPr>
        <w:t>。这可能是因为大豆抗原蛋白持续增加了肠道中</w:t>
      </w:r>
      <w:r>
        <w:rPr>
          <w:sz w:val="24"/>
        </w:rPr>
        <w:t>ROS</w:t>
      </w:r>
      <w:r>
        <w:rPr>
          <w:sz w:val="24"/>
        </w:rPr>
        <w:t>的含量，而抗氧化系统不能及时清除多余的</w:t>
      </w:r>
      <w:r>
        <w:rPr>
          <w:sz w:val="24"/>
        </w:rPr>
        <w:t>ROS</w:t>
      </w:r>
      <w:r>
        <w:rPr>
          <w:sz w:val="24"/>
        </w:rPr>
        <w:t>，从而导致肠道氧化损伤，下调了抗氧</w:t>
      </w:r>
      <w:proofErr w:type="gramStart"/>
      <w:r>
        <w:rPr>
          <w:sz w:val="24"/>
        </w:rPr>
        <w:t>化相关</w:t>
      </w:r>
      <w:proofErr w:type="gramEnd"/>
      <w:r>
        <w:rPr>
          <w:sz w:val="24"/>
        </w:rPr>
        <w:t>基因的表达，并最终降低了肠道抗氧化能力</w:t>
      </w:r>
      <w:r>
        <w:rPr>
          <w:sz w:val="24"/>
          <w:vertAlign w:val="superscript"/>
        </w:rPr>
        <w:t>[20]</w:t>
      </w:r>
      <w:r>
        <w:rPr>
          <w:sz w:val="24"/>
        </w:rPr>
        <w:t>。</w:t>
      </w:r>
      <w:r>
        <w:rPr>
          <w:sz w:val="24"/>
        </w:rPr>
        <w:t xml:space="preserve"> </w:t>
      </w:r>
    </w:p>
    <w:p w14:paraId="06706BF5" w14:textId="77777777" w:rsidR="004F39F6" w:rsidRDefault="00731C67">
      <w:pPr>
        <w:pStyle w:val="af3"/>
        <w:numPr>
          <w:ilvl w:val="1"/>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大豆抗原蛋白对水生动物肠道菌群的影响</w:t>
      </w:r>
      <w:r>
        <w:rPr>
          <w:rFonts w:ascii="Times New Roman" w:eastAsia="宋体" w:hAnsi="Times New Roman" w:cs="Times New Roman"/>
          <w:sz w:val="24"/>
          <w:szCs w:val="24"/>
        </w:rPr>
        <w:t xml:space="preserve"> </w:t>
      </w:r>
    </w:p>
    <w:p w14:paraId="21EA4DC1" w14:textId="77777777" w:rsidR="004F39F6" w:rsidRDefault="00731C67">
      <w:pPr>
        <w:spacing w:line="360" w:lineRule="auto"/>
        <w:ind w:firstLineChars="200" w:firstLine="480"/>
        <w:rPr>
          <w:sz w:val="24"/>
        </w:rPr>
      </w:pPr>
      <w:r>
        <w:rPr>
          <w:sz w:val="24"/>
        </w:rPr>
        <w:t>水生动物的肠道菌群是由水生动物肠道黏膜以及肠腔内的微生物构成的，其肠道健康与这些肠道菌群的数量和组成密切相关</w:t>
      </w:r>
      <w:r>
        <w:rPr>
          <w:sz w:val="24"/>
          <w:vertAlign w:val="superscript"/>
        </w:rPr>
        <w:t>[37]</w:t>
      </w:r>
      <w:r>
        <w:rPr>
          <w:sz w:val="24"/>
        </w:rPr>
        <w:t>。目前，大豆抗原蛋白对水生动物肠道菌群的影响也逐渐成为研究热点。</w:t>
      </w:r>
      <w:r>
        <w:rPr>
          <w:sz w:val="24"/>
        </w:rPr>
        <w:t>Han</w:t>
      </w:r>
      <w:r>
        <w:rPr>
          <w:sz w:val="24"/>
        </w:rPr>
        <w:t>等</w:t>
      </w:r>
      <w:r>
        <w:rPr>
          <w:sz w:val="24"/>
          <w:vertAlign w:val="superscript"/>
        </w:rPr>
        <w:t>[13]</w:t>
      </w:r>
      <w:r>
        <w:rPr>
          <w:sz w:val="24"/>
        </w:rPr>
        <w:t>对中华绒</w:t>
      </w:r>
      <w:proofErr w:type="gramStart"/>
      <w:r>
        <w:rPr>
          <w:sz w:val="24"/>
        </w:rPr>
        <w:t>螯</w:t>
      </w:r>
      <w:proofErr w:type="gramEnd"/>
      <w:r>
        <w:rPr>
          <w:sz w:val="24"/>
        </w:rPr>
        <w:t>蟹的研究表明，饲料中添加大豆球蛋</w:t>
      </w:r>
      <w:r>
        <w:rPr>
          <w:sz w:val="24"/>
        </w:rPr>
        <w:t>β</w:t>
      </w:r>
      <w:r>
        <w:rPr>
          <w:sz w:val="24"/>
        </w:rPr>
        <w:t>－伴大豆球蛋白能改变中华绒</w:t>
      </w:r>
      <w:proofErr w:type="gramStart"/>
      <w:r>
        <w:rPr>
          <w:sz w:val="24"/>
        </w:rPr>
        <w:t>螯</w:t>
      </w:r>
      <w:proofErr w:type="gramEnd"/>
      <w:r>
        <w:rPr>
          <w:sz w:val="24"/>
        </w:rPr>
        <w:t>蟹幼蟹的肠道菌群结构，提高</w:t>
      </w:r>
      <w:proofErr w:type="gramStart"/>
      <w:r>
        <w:rPr>
          <w:sz w:val="24"/>
        </w:rPr>
        <w:t>变形菌门的</w:t>
      </w:r>
      <w:proofErr w:type="gramEnd"/>
      <w:r>
        <w:rPr>
          <w:sz w:val="24"/>
        </w:rPr>
        <w:t>丰度；同时改变肠道菌群微生物群落的平衡，并降低肠道对多糖的消化能力，增加中华绒</w:t>
      </w:r>
      <w:proofErr w:type="gramStart"/>
      <w:r>
        <w:rPr>
          <w:sz w:val="24"/>
        </w:rPr>
        <w:t>螯蟹感染</w:t>
      </w:r>
      <w:proofErr w:type="gramEnd"/>
      <w:r>
        <w:rPr>
          <w:sz w:val="24"/>
        </w:rPr>
        <w:t>疾病的风险。</w:t>
      </w:r>
      <w:r>
        <w:rPr>
          <w:sz w:val="24"/>
        </w:rPr>
        <w:t>Li</w:t>
      </w:r>
      <w:r>
        <w:rPr>
          <w:sz w:val="24"/>
        </w:rPr>
        <w:t>等</w:t>
      </w:r>
      <w:r>
        <w:rPr>
          <w:sz w:val="24"/>
          <w:vertAlign w:val="superscript"/>
        </w:rPr>
        <w:t>[18]</w:t>
      </w:r>
      <w:r>
        <w:rPr>
          <w:sz w:val="24"/>
        </w:rPr>
        <w:t>对大菱</w:t>
      </w:r>
      <w:proofErr w:type="gramStart"/>
      <w:r>
        <w:rPr>
          <w:sz w:val="24"/>
        </w:rPr>
        <w:t>鲆</w:t>
      </w:r>
      <w:proofErr w:type="gramEnd"/>
      <w:r>
        <w:rPr>
          <w:sz w:val="24"/>
        </w:rPr>
        <w:t>的研究发现，饲料中添加大豆球蛋白对肠道菌群的总体结构没有显著影响，</w:t>
      </w:r>
      <w:proofErr w:type="gramStart"/>
      <w:r>
        <w:rPr>
          <w:sz w:val="24"/>
        </w:rPr>
        <w:t>但显著</w:t>
      </w:r>
      <w:proofErr w:type="gramEnd"/>
      <w:r>
        <w:rPr>
          <w:sz w:val="24"/>
        </w:rPr>
        <w:t>降低了核心微生物</w:t>
      </w:r>
      <w:r>
        <w:rPr>
          <w:sz w:val="24"/>
        </w:rPr>
        <w:t>之一</w:t>
      </w:r>
      <w:proofErr w:type="gramStart"/>
      <w:r>
        <w:rPr>
          <w:sz w:val="24"/>
        </w:rPr>
        <w:t>弧菌属</w:t>
      </w:r>
      <w:proofErr w:type="gramEnd"/>
      <w:r>
        <w:rPr>
          <w:sz w:val="24"/>
        </w:rPr>
        <w:t>的相对丰度，且与剂量无关。此外，关于大豆蛋白替代鱼粉对水生动物的肠道菌群的影响也有报道。在银鲫</w:t>
      </w:r>
      <w:r>
        <w:rPr>
          <w:sz w:val="24"/>
        </w:rPr>
        <w:t>(</w:t>
      </w:r>
      <w:r>
        <w:rPr>
          <w:i/>
          <w:iCs/>
          <w:sz w:val="24"/>
        </w:rPr>
        <w:t xml:space="preserve">Carassius </w:t>
      </w:r>
      <w:proofErr w:type="spellStart"/>
      <w:r>
        <w:rPr>
          <w:i/>
          <w:iCs/>
          <w:sz w:val="24"/>
        </w:rPr>
        <w:t>auratusgibelio</w:t>
      </w:r>
      <w:proofErr w:type="spellEnd"/>
      <w:r>
        <w:rPr>
          <w:sz w:val="24"/>
        </w:rPr>
        <w:t>)</w:t>
      </w:r>
      <w:r>
        <w:rPr>
          <w:sz w:val="24"/>
          <w:vertAlign w:val="superscript"/>
        </w:rPr>
        <w:t>[38]</w:t>
      </w:r>
      <w:r>
        <w:rPr>
          <w:sz w:val="24"/>
        </w:rPr>
        <w:t>、大西洋</w:t>
      </w:r>
      <w:proofErr w:type="gramStart"/>
      <w:r>
        <w:rPr>
          <w:sz w:val="24"/>
        </w:rPr>
        <w:t>鲑</w:t>
      </w:r>
      <w:proofErr w:type="gramEnd"/>
      <w:r>
        <w:rPr>
          <w:sz w:val="24"/>
        </w:rPr>
        <w:t xml:space="preserve">(Salmo </w:t>
      </w:r>
      <w:proofErr w:type="spellStart"/>
      <w:r>
        <w:rPr>
          <w:sz w:val="24"/>
        </w:rPr>
        <w:t>salar</w:t>
      </w:r>
      <w:proofErr w:type="spellEnd"/>
      <w:r>
        <w:rPr>
          <w:sz w:val="24"/>
        </w:rPr>
        <w:t>)</w:t>
      </w:r>
      <w:r>
        <w:rPr>
          <w:sz w:val="24"/>
          <w:vertAlign w:val="superscript"/>
        </w:rPr>
        <w:t>[39]</w:t>
      </w:r>
      <w:r>
        <w:rPr>
          <w:sz w:val="24"/>
        </w:rPr>
        <w:t>和虹鳟</w:t>
      </w:r>
      <w:r>
        <w:rPr>
          <w:sz w:val="24"/>
          <w:vertAlign w:val="superscript"/>
        </w:rPr>
        <w:t>[40]</w:t>
      </w:r>
      <w:r>
        <w:rPr>
          <w:sz w:val="24"/>
        </w:rPr>
        <w:t>的研究中发现，与鱼粉组相比，大豆蛋白组的菌群总体数量有所增加，</w:t>
      </w:r>
      <w:proofErr w:type="gramStart"/>
      <w:r>
        <w:rPr>
          <w:sz w:val="24"/>
        </w:rPr>
        <w:t>变形菌门丰度</w:t>
      </w:r>
      <w:proofErr w:type="gramEnd"/>
      <w:r>
        <w:rPr>
          <w:sz w:val="24"/>
        </w:rPr>
        <w:t>显著下降，且厚壁</w:t>
      </w:r>
      <w:proofErr w:type="gramStart"/>
      <w:r>
        <w:rPr>
          <w:sz w:val="24"/>
        </w:rPr>
        <w:t>菌门数量</w:t>
      </w:r>
      <w:proofErr w:type="gramEnd"/>
      <w:r>
        <w:rPr>
          <w:sz w:val="24"/>
        </w:rPr>
        <w:t>显著增加，此外，棒状杆菌科、</w:t>
      </w:r>
      <w:proofErr w:type="gramStart"/>
      <w:r>
        <w:rPr>
          <w:sz w:val="24"/>
        </w:rPr>
        <w:t>乳杆</w:t>
      </w:r>
      <w:proofErr w:type="gramEnd"/>
      <w:r>
        <w:rPr>
          <w:sz w:val="24"/>
        </w:rPr>
        <w:t xml:space="preserve"> </w:t>
      </w:r>
      <w:r>
        <w:rPr>
          <w:sz w:val="24"/>
        </w:rPr>
        <w:t>菌科、弧菌科、链球菌科丰度也都有不同程度的变化。上述研究表明，大豆抗原蛋白能改变水生</w:t>
      </w:r>
      <w:r>
        <w:rPr>
          <w:sz w:val="24"/>
        </w:rPr>
        <w:lastRenderedPageBreak/>
        <w:t>动物肠道部分菌群丰度，破坏肠道菌群平衡，影响肠道菌群结构。目前，关于大豆抗</w:t>
      </w:r>
      <w:r>
        <w:rPr>
          <w:sz w:val="24"/>
        </w:rPr>
        <w:t>原蛋白对水生动物肠道菌群影响的报道较少，还有待进一步研究。</w:t>
      </w:r>
      <w:r>
        <w:rPr>
          <w:sz w:val="24"/>
        </w:rPr>
        <w:t xml:space="preserve"> </w:t>
      </w:r>
    </w:p>
    <w:p w14:paraId="34B59DFC" w14:textId="77777777" w:rsidR="004F39F6" w:rsidRDefault="00731C67">
      <w:pPr>
        <w:spacing w:line="360" w:lineRule="auto"/>
        <w:rPr>
          <w:sz w:val="24"/>
        </w:rPr>
      </w:pPr>
      <w:r>
        <w:rPr>
          <w:sz w:val="24"/>
        </w:rPr>
        <w:t xml:space="preserve">2  </w:t>
      </w:r>
      <w:r>
        <w:rPr>
          <w:sz w:val="24"/>
        </w:rPr>
        <w:t>大豆抗原蛋白引起水生动物肠道损伤的修复对策</w:t>
      </w:r>
      <w:r>
        <w:rPr>
          <w:sz w:val="24"/>
        </w:rPr>
        <w:t xml:space="preserve"> </w:t>
      </w:r>
    </w:p>
    <w:p w14:paraId="367AA137" w14:textId="77777777" w:rsidR="004F39F6" w:rsidRDefault="00731C67">
      <w:pPr>
        <w:spacing w:line="360" w:lineRule="auto"/>
        <w:ind w:firstLineChars="200" w:firstLine="480"/>
        <w:rPr>
          <w:sz w:val="24"/>
        </w:rPr>
      </w:pPr>
      <w:r>
        <w:rPr>
          <w:sz w:val="24"/>
        </w:rPr>
        <w:t>目前，通常使用大豆蛋白源作为水产动物配合饲料的主要蛋白源之一，其中含有的大豆抗原蛋白可能会对水生动物健康产生影响。因此，寻找安全，可靠的免疫添加剂用以缓解大豆抗原蛋白引起的水生动物肠道损伤成为研究热点。研究表明，甘露寡糖和功能性氨基酸能显著改善大鼠和断奶猪的肠道组织形态，增加肠道绒毛的高度及隐窝的深度，保持绒毛的健康状态，并能在一定程度上修复肠道损伤</w:t>
      </w:r>
      <w:r>
        <w:rPr>
          <w:sz w:val="24"/>
          <w:vertAlign w:val="superscript"/>
        </w:rPr>
        <w:t>[41-42]</w:t>
      </w:r>
      <w:r>
        <w:rPr>
          <w:sz w:val="24"/>
        </w:rPr>
        <w:t>。在水生动物上，</w:t>
      </w:r>
      <w:r>
        <w:rPr>
          <w:sz w:val="24"/>
        </w:rPr>
        <w:t>Jiang</w:t>
      </w:r>
      <w:r>
        <w:rPr>
          <w:sz w:val="24"/>
        </w:rPr>
        <w:t>等</w:t>
      </w:r>
      <w:r>
        <w:rPr>
          <w:sz w:val="24"/>
          <w:vertAlign w:val="superscript"/>
        </w:rPr>
        <w:t>[2</w:t>
      </w:r>
      <w:r>
        <w:rPr>
          <w:sz w:val="24"/>
          <w:vertAlign w:val="superscript"/>
        </w:rPr>
        <w:t>0]</w:t>
      </w:r>
      <w:r>
        <w:rPr>
          <w:sz w:val="24"/>
        </w:rPr>
        <w:t>对建</w:t>
      </w:r>
      <w:r>
        <w:rPr>
          <w:sz w:val="24"/>
        </w:rPr>
        <w:t xml:space="preserve"> </w:t>
      </w:r>
      <w:r>
        <w:rPr>
          <w:sz w:val="24"/>
        </w:rPr>
        <w:t>鲤的研究表明，饲料中添加谷氨酰胺能显著改善由大豆球蛋白引起鱼</w:t>
      </w:r>
      <w:proofErr w:type="gramStart"/>
      <w:r>
        <w:rPr>
          <w:sz w:val="24"/>
        </w:rPr>
        <w:t>的肠重</w:t>
      </w:r>
      <w:proofErr w:type="gramEnd"/>
      <w:r>
        <w:rPr>
          <w:sz w:val="24"/>
        </w:rPr>
        <w:t>(IW)</w:t>
      </w:r>
      <w:r>
        <w:rPr>
          <w:sz w:val="24"/>
        </w:rPr>
        <w:t>、肠道蛋含量</w:t>
      </w:r>
      <w:r>
        <w:rPr>
          <w:sz w:val="24"/>
        </w:rPr>
        <w:t>(IPC)</w:t>
      </w:r>
      <w:r>
        <w:rPr>
          <w:sz w:val="24"/>
        </w:rPr>
        <w:t>、</w:t>
      </w:r>
      <w:proofErr w:type="gramStart"/>
      <w:r>
        <w:rPr>
          <w:sz w:val="24"/>
        </w:rPr>
        <w:t>肠长</w:t>
      </w:r>
      <w:proofErr w:type="gramEnd"/>
      <w:r>
        <w:rPr>
          <w:sz w:val="24"/>
        </w:rPr>
        <w:t>(IL)</w:t>
      </w:r>
      <w:r>
        <w:rPr>
          <w:sz w:val="24"/>
        </w:rPr>
        <w:t>以及肠道折叠高度降低的情况，甚至完全恢复到与对照</w:t>
      </w:r>
      <w:proofErr w:type="gramStart"/>
      <w:r>
        <w:rPr>
          <w:sz w:val="24"/>
        </w:rPr>
        <w:t>组相当</w:t>
      </w:r>
      <w:proofErr w:type="gramEnd"/>
      <w:r>
        <w:rPr>
          <w:sz w:val="24"/>
        </w:rPr>
        <w:t>的水平。</w:t>
      </w:r>
      <w:r>
        <w:rPr>
          <w:sz w:val="24"/>
        </w:rPr>
        <w:t>Liu</w:t>
      </w:r>
      <w:r>
        <w:rPr>
          <w:sz w:val="24"/>
        </w:rPr>
        <w:t>等</w:t>
      </w:r>
      <w:r>
        <w:rPr>
          <w:sz w:val="24"/>
          <w:vertAlign w:val="superscript"/>
        </w:rPr>
        <w:t>[43]</w:t>
      </w:r>
      <w:r>
        <w:rPr>
          <w:sz w:val="24"/>
        </w:rPr>
        <w:t>对大菱</w:t>
      </w:r>
      <w:proofErr w:type="gramStart"/>
      <w:r>
        <w:rPr>
          <w:sz w:val="24"/>
        </w:rPr>
        <w:t>鲆</w:t>
      </w:r>
      <w:proofErr w:type="gramEnd"/>
      <w:r>
        <w:rPr>
          <w:sz w:val="24"/>
        </w:rPr>
        <w:t>的研究表明，鱼体摄入过量的豆</w:t>
      </w:r>
      <w:proofErr w:type="gramStart"/>
      <w:r>
        <w:rPr>
          <w:sz w:val="24"/>
        </w:rPr>
        <w:t>粕</w:t>
      </w:r>
      <w:proofErr w:type="gramEnd"/>
      <w:r>
        <w:rPr>
          <w:sz w:val="24"/>
        </w:rPr>
        <w:t>会出现肠粘膜吸收表面积下降，固有层有明显的混合白细胞浸润等的肠病典型症状，而在饲料中添加谷氨酰胺能使大菱</w:t>
      </w:r>
      <w:proofErr w:type="gramStart"/>
      <w:r>
        <w:rPr>
          <w:sz w:val="24"/>
        </w:rPr>
        <w:t>鲆</w:t>
      </w:r>
      <w:proofErr w:type="gramEnd"/>
      <w:r>
        <w:rPr>
          <w:sz w:val="24"/>
        </w:rPr>
        <w:t>肠道组织结构趋于完整，提高肠粘膜屏障功能，并抑制炎症的发生。</w:t>
      </w:r>
      <w:r>
        <w:rPr>
          <w:sz w:val="24"/>
        </w:rPr>
        <w:t>Zhan</w:t>
      </w:r>
      <w:r>
        <w:rPr>
          <w:sz w:val="24"/>
        </w:rPr>
        <w:t>等</w:t>
      </w:r>
      <w:r>
        <w:rPr>
          <w:sz w:val="24"/>
          <w:vertAlign w:val="superscript"/>
        </w:rPr>
        <w:t>[12]</w:t>
      </w:r>
      <w:r>
        <w:rPr>
          <w:sz w:val="24"/>
        </w:rPr>
        <w:t>对草鱼的研究表明，与单独摄入大豆球蛋白相比，谷氨酰胺与大豆球蛋白合用可部分增强肠道功能，减轻</w:t>
      </w:r>
      <w:r>
        <w:rPr>
          <w:sz w:val="24"/>
        </w:rPr>
        <w:t>肠道炎症。</w:t>
      </w:r>
      <w:r>
        <w:rPr>
          <w:sz w:val="24"/>
        </w:rPr>
        <w:t>Gu</w:t>
      </w:r>
      <w:r>
        <w:rPr>
          <w:sz w:val="24"/>
        </w:rPr>
        <w:t>等</w:t>
      </w:r>
      <w:r>
        <w:rPr>
          <w:sz w:val="24"/>
          <w:vertAlign w:val="superscript"/>
        </w:rPr>
        <w:t>[44]</w:t>
      </w:r>
      <w:r>
        <w:rPr>
          <w:sz w:val="24"/>
        </w:rPr>
        <w:t>对大菱</w:t>
      </w:r>
      <w:proofErr w:type="gramStart"/>
      <w:r>
        <w:rPr>
          <w:sz w:val="24"/>
        </w:rPr>
        <w:t>鲆</w:t>
      </w:r>
      <w:proofErr w:type="gramEnd"/>
      <w:r>
        <w:rPr>
          <w:sz w:val="24"/>
        </w:rPr>
        <w:t>的研究表明，豆</w:t>
      </w:r>
      <w:proofErr w:type="gramStart"/>
      <w:r>
        <w:rPr>
          <w:sz w:val="24"/>
        </w:rPr>
        <w:t>粕</w:t>
      </w:r>
      <w:proofErr w:type="gramEnd"/>
      <w:r>
        <w:rPr>
          <w:sz w:val="24"/>
        </w:rPr>
        <w:t>可引起大菱</w:t>
      </w:r>
      <w:proofErr w:type="gramStart"/>
      <w:r>
        <w:rPr>
          <w:sz w:val="24"/>
        </w:rPr>
        <w:t>鲆</w:t>
      </w:r>
      <w:proofErr w:type="gramEnd"/>
      <w:r>
        <w:rPr>
          <w:sz w:val="24"/>
        </w:rPr>
        <w:t>肠炎，并降低其免疫力，而饲料中添加谷氨酰胺和精氨酸能显著提高绒毛高度和微绒毛的完整性，减少固有层白细胞的浸润以及炎症的发生。</w:t>
      </w:r>
      <w:r>
        <w:rPr>
          <w:sz w:val="24"/>
        </w:rPr>
        <w:t>Jiang</w:t>
      </w:r>
      <w:r>
        <w:rPr>
          <w:sz w:val="24"/>
        </w:rPr>
        <w:t>等</w:t>
      </w:r>
      <w:r>
        <w:rPr>
          <w:sz w:val="24"/>
          <w:vertAlign w:val="superscript"/>
        </w:rPr>
        <w:t>[20]</w:t>
      </w:r>
      <w:r>
        <w:rPr>
          <w:sz w:val="24"/>
        </w:rPr>
        <w:t>对建鲤的研究表明，大豆抗原蛋白能够增加肠内</w:t>
      </w:r>
      <w:r>
        <w:rPr>
          <w:sz w:val="24"/>
        </w:rPr>
        <w:t>ROS</w:t>
      </w:r>
      <w:r>
        <w:rPr>
          <w:sz w:val="24"/>
        </w:rPr>
        <w:t>含量，造成肠道损伤，而添加谷氨酰胺能显著降低草鱼</w:t>
      </w:r>
      <w:r>
        <w:rPr>
          <w:sz w:val="24"/>
        </w:rPr>
        <w:t>MI</w:t>
      </w:r>
      <w:r>
        <w:rPr>
          <w:sz w:val="24"/>
        </w:rPr>
        <w:t>的</w:t>
      </w:r>
      <w:r>
        <w:rPr>
          <w:sz w:val="24"/>
        </w:rPr>
        <w:t>ROS</w:t>
      </w:r>
      <w:r>
        <w:rPr>
          <w:sz w:val="24"/>
        </w:rPr>
        <w:t>、</w:t>
      </w:r>
      <w:r>
        <w:rPr>
          <w:sz w:val="24"/>
        </w:rPr>
        <w:t>PC</w:t>
      </w:r>
      <w:r>
        <w:rPr>
          <w:sz w:val="24"/>
        </w:rPr>
        <w:t>和</w:t>
      </w:r>
      <w:r>
        <w:rPr>
          <w:sz w:val="24"/>
        </w:rPr>
        <w:t>MDA</w:t>
      </w:r>
      <w:r>
        <w:rPr>
          <w:sz w:val="24"/>
        </w:rPr>
        <w:t>的含量。此外，</w:t>
      </w:r>
      <w:r>
        <w:rPr>
          <w:sz w:val="24"/>
        </w:rPr>
        <w:t>Han</w:t>
      </w:r>
      <w:r>
        <w:rPr>
          <w:sz w:val="24"/>
        </w:rPr>
        <w:t>等</w:t>
      </w:r>
      <w:r>
        <w:rPr>
          <w:sz w:val="24"/>
          <w:vertAlign w:val="superscript"/>
        </w:rPr>
        <w:t>[45]</w:t>
      </w:r>
      <w:r>
        <w:rPr>
          <w:sz w:val="24"/>
        </w:rPr>
        <w:t>对中华绒</w:t>
      </w:r>
      <w:proofErr w:type="gramStart"/>
      <w:r>
        <w:rPr>
          <w:sz w:val="24"/>
        </w:rPr>
        <w:t>螯</w:t>
      </w:r>
      <w:proofErr w:type="gramEnd"/>
      <w:r>
        <w:rPr>
          <w:sz w:val="24"/>
        </w:rPr>
        <w:t>蟹的研究发现，饲料中补充丁酸钠可有效减轻大豆球蛋白造成的肠道损伤，如生长抑制、肠道炎症和肠道有害菌群减少。综上所述，功能性氨基酸、甘露寡糖、氮乙酰</w:t>
      </w:r>
      <w:r>
        <w:rPr>
          <w:sz w:val="24"/>
        </w:rPr>
        <w:t>半胱氨酸、谷氨酰胺以及丁酸钠等物质均能通过营养调控作用缓解大豆抗原蛋白对肠道组织结构造成的负面影响，这可以提高大豆蛋白源的利用水平，从而降低饲料成本。</w:t>
      </w:r>
    </w:p>
    <w:p w14:paraId="19879E90" w14:textId="77777777" w:rsidR="004F39F6" w:rsidRDefault="00731C67">
      <w:pPr>
        <w:pStyle w:val="af3"/>
        <w:numPr>
          <w:ilvl w:val="0"/>
          <w:numId w:val="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展</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望</w:t>
      </w:r>
      <w:r>
        <w:rPr>
          <w:rFonts w:ascii="Times New Roman" w:eastAsia="宋体" w:hAnsi="Times New Roman" w:cs="Times New Roman"/>
          <w:sz w:val="24"/>
          <w:szCs w:val="24"/>
        </w:rPr>
        <w:t xml:space="preserve"> </w:t>
      </w:r>
    </w:p>
    <w:p w14:paraId="02DABD27" w14:textId="77777777" w:rsidR="004F39F6" w:rsidRDefault="00731C67">
      <w:pPr>
        <w:spacing w:line="360" w:lineRule="auto"/>
        <w:ind w:firstLineChars="200" w:firstLine="480"/>
        <w:rPr>
          <w:sz w:val="24"/>
        </w:rPr>
      </w:pPr>
      <w:r>
        <w:rPr>
          <w:sz w:val="24"/>
        </w:rPr>
        <w:t>综上所述，大豆抗原蛋白是限制大豆蛋白</w:t>
      </w:r>
      <w:proofErr w:type="gramStart"/>
      <w:r>
        <w:rPr>
          <w:sz w:val="24"/>
        </w:rPr>
        <w:t>源广泛</w:t>
      </w:r>
      <w:proofErr w:type="gramEnd"/>
      <w:r>
        <w:rPr>
          <w:sz w:val="24"/>
        </w:rPr>
        <w:t>使用的重要因素。虽然人们在大豆抗原蛋白对水生动物肠道健康方面的影响已经有诸多报道，但还是缺乏较为深入系统的研究。未来如何降低大豆抗原蛋白对水生动物的肠道损伤，从而提高大豆蛋白在水产配合饲料中的使用率，并促进水生动物健康生长是研究重点。例如采用</w:t>
      </w:r>
      <w:proofErr w:type="gramStart"/>
      <w:r>
        <w:rPr>
          <w:sz w:val="24"/>
        </w:rPr>
        <w:t>转录组</w:t>
      </w:r>
      <w:proofErr w:type="gramEnd"/>
      <w:r>
        <w:rPr>
          <w:sz w:val="24"/>
        </w:rPr>
        <w:t>学、蛋白质组学、</w:t>
      </w:r>
      <w:proofErr w:type="gramStart"/>
      <w:r>
        <w:rPr>
          <w:sz w:val="24"/>
        </w:rPr>
        <w:t>代谢组</w:t>
      </w:r>
      <w:proofErr w:type="gramEnd"/>
      <w:r>
        <w:rPr>
          <w:sz w:val="24"/>
        </w:rPr>
        <w:t>学、微生物组学等手段从分子营养学角度进</w:t>
      </w:r>
      <w:r>
        <w:rPr>
          <w:sz w:val="24"/>
        </w:rPr>
        <w:t>一步揭示大豆抗原蛋白对水生动物肠道健康的影响机制；提高水生动物肠道免疫功能；降低大豆抗原蛋白的致敏性；寻找新型绿色高</w:t>
      </w:r>
      <w:r>
        <w:rPr>
          <w:sz w:val="24"/>
        </w:rPr>
        <w:lastRenderedPageBreak/>
        <w:t>效的功能性饲料添加剂，抑制肠道炎症并使肠道有害菌群减少，从而缓解大豆抗原蛋白引起的水生动物肠道损伤。这对合理开发利用大豆蛋白源，缓解我国水配合饲料对鱼粉资源的依赖，从而保障水产养殖的可持续发展具有重要的现实意义。</w:t>
      </w:r>
    </w:p>
    <w:p w14:paraId="1C97358C" w14:textId="77777777" w:rsidR="004F39F6" w:rsidRDefault="00731C67">
      <w:pPr>
        <w:spacing w:line="360" w:lineRule="auto"/>
        <w:rPr>
          <w:sz w:val="24"/>
        </w:rPr>
      </w:pPr>
      <w:r>
        <w:rPr>
          <w:sz w:val="24"/>
        </w:rPr>
        <w:t>参考文献：略</w:t>
      </w:r>
    </w:p>
    <w:p w14:paraId="6FEDEE10" w14:textId="77777777" w:rsidR="004F39F6" w:rsidRDefault="00731C67">
      <w:pPr>
        <w:spacing w:line="360" w:lineRule="auto"/>
        <w:ind w:firstLineChars="700" w:firstLine="1470"/>
        <w:jc w:val="right"/>
        <w:rPr>
          <w:rStyle w:val="vm"/>
          <w:sz w:val="24"/>
        </w:rPr>
      </w:pPr>
      <w:r>
        <w:rPr>
          <w:szCs w:val="21"/>
        </w:rPr>
        <w:t>原文刊登在《大豆科学》，</w:t>
      </w:r>
      <w:r>
        <w:rPr>
          <w:color w:val="333333"/>
          <w:szCs w:val="21"/>
          <w:shd w:val="clear" w:color="auto" w:fill="FFFFFF"/>
        </w:rPr>
        <w:t>2021, 40(3): 420-425.</w:t>
      </w:r>
    </w:p>
    <w:p w14:paraId="15D2C11E"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25" w:name="_Toc95682098"/>
      <w:r>
        <w:rPr>
          <w:rFonts w:ascii="Times New Roman" w:eastAsia="黑体" w:hAnsi="Times New Roman" w:cs="Times New Roman"/>
          <w:sz w:val="32"/>
          <w:szCs w:val="32"/>
        </w:rPr>
        <w:t>功能性氨基酸在水产甲壳类动物中研究进展和应用前景</w:t>
      </w:r>
      <w:bookmarkEnd w:id="25"/>
    </w:p>
    <w:p w14:paraId="5147658D" w14:textId="77777777" w:rsidR="004F39F6" w:rsidRDefault="00731C67">
      <w:pPr>
        <w:jc w:val="center"/>
        <w:rPr>
          <w:szCs w:val="22"/>
        </w:rPr>
      </w:pPr>
      <w:proofErr w:type="gramStart"/>
      <w:r>
        <w:rPr>
          <w:szCs w:val="22"/>
        </w:rPr>
        <w:t>程开敏</w:t>
      </w:r>
      <w:proofErr w:type="gramEnd"/>
      <w:r>
        <w:rPr>
          <w:szCs w:val="22"/>
          <w:vertAlign w:val="superscript"/>
        </w:rPr>
        <w:t>1</w:t>
      </w:r>
      <w:r>
        <w:rPr>
          <w:szCs w:val="22"/>
        </w:rPr>
        <w:t xml:space="preserve"> </w:t>
      </w:r>
      <w:r>
        <w:rPr>
          <w:szCs w:val="22"/>
        </w:rPr>
        <w:t>张震</w:t>
      </w:r>
      <w:r>
        <w:rPr>
          <w:szCs w:val="22"/>
          <w:vertAlign w:val="superscript"/>
        </w:rPr>
        <w:t>2</w:t>
      </w:r>
      <w:r>
        <w:rPr>
          <w:szCs w:val="22"/>
        </w:rPr>
        <w:t xml:space="preserve"> </w:t>
      </w:r>
      <w:proofErr w:type="gramStart"/>
      <w:r>
        <w:rPr>
          <w:szCs w:val="22"/>
        </w:rPr>
        <w:t>李沛洋</w:t>
      </w:r>
      <w:proofErr w:type="gramEnd"/>
      <w:r>
        <w:rPr>
          <w:szCs w:val="22"/>
          <w:vertAlign w:val="superscript"/>
        </w:rPr>
        <w:t>1</w:t>
      </w:r>
      <w:r>
        <w:rPr>
          <w:szCs w:val="22"/>
        </w:rPr>
        <w:t xml:space="preserve"> </w:t>
      </w:r>
      <w:proofErr w:type="gramStart"/>
      <w:r>
        <w:rPr>
          <w:szCs w:val="22"/>
        </w:rPr>
        <w:t>郑石轩</w:t>
      </w:r>
      <w:proofErr w:type="gramEnd"/>
      <w:r>
        <w:rPr>
          <w:szCs w:val="22"/>
          <w:vertAlign w:val="superscript"/>
        </w:rPr>
        <w:t>1</w:t>
      </w:r>
      <w:r>
        <w:rPr>
          <w:szCs w:val="22"/>
        </w:rPr>
        <w:t xml:space="preserve"> </w:t>
      </w:r>
      <w:r>
        <w:rPr>
          <w:szCs w:val="22"/>
        </w:rPr>
        <w:t>李新宇</w:t>
      </w:r>
      <w:r>
        <w:rPr>
          <w:szCs w:val="22"/>
          <w:vertAlign w:val="superscript"/>
        </w:rPr>
        <w:t>1</w:t>
      </w:r>
    </w:p>
    <w:p w14:paraId="3B0FC144" w14:textId="77777777" w:rsidR="004F39F6" w:rsidRDefault="00731C67">
      <w:pPr>
        <w:jc w:val="center"/>
        <w:rPr>
          <w:szCs w:val="22"/>
        </w:rPr>
      </w:pPr>
      <w:r>
        <w:rPr>
          <w:szCs w:val="22"/>
        </w:rPr>
        <w:t>(1.</w:t>
      </w:r>
      <w:r>
        <w:rPr>
          <w:szCs w:val="22"/>
        </w:rPr>
        <w:t>广东粤海饲料集团股份有限公司，湛江</w:t>
      </w:r>
      <w:r>
        <w:rPr>
          <w:szCs w:val="22"/>
        </w:rPr>
        <w:t xml:space="preserve"> 524017</w:t>
      </w:r>
      <w:r>
        <w:rPr>
          <w:szCs w:val="22"/>
        </w:rPr>
        <w:t>；</w:t>
      </w:r>
      <w:r>
        <w:rPr>
          <w:szCs w:val="22"/>
        </w:rPr>
        <w:t>2.</w:t>
      </w:r>
      <w:r>
        <w:rPr>
          <w:szCs w:val="22"/>
        </w:rPr>
        <w:t>中国农业科学院饲料研究所，中国</w:t>
      </w:r>
      <w:r>
        <w:rPr>
          <w:szCs w:val="22"/>
        </w:rPr>
        <w:t>-</w:t>
      </w:r>
      <w:r>
        <w:rPr>
          <w:szCs w:val="22"/>
        </w:rPr>
        <w:t>挪威鱼类消化道微生物联合实验室，北京</w:t>
      </w:r>
      <w:r>
        <w:rPr>
          <w:szCs w:val="22"/>
        </w:rPr>
        <w:t xml:space="preserve"> 100081)</w:t>
      </w:r>
    </w:p>
    <w:p w14:paraId="66762EE2" w14:textId="77777777" w:rsidR="004F39F6" w:rsidRDefault="00731C67">
      <w:pPr>
        <w:rPr>
          <w:szCs w:val="22"/>
        </w:rPr>
      </w:pPr>
      <w:r>
        <w:rPr>
          <w:b/>
          <w:bCs/>
          <w:szCs w:val="22"/>
        </w:rPr>
        <w:t>摘要：</w:t>
      </w:r>
      <w:r>
        <w:rPr>
          <w:szCs w:val="22"/>
        </w:rPr>
        <w:t>传统氨基酸根据其在体内合成能力，一般分为必需氨基酸和非必需氨基酸。目前最新学术观点认为，部分氨基酸除了合成蛋白质以外，也能够合成一系列功能性物质，并对动物营养代谢和免疫功能具有十分重要的调节功能</w:t>
      </w:r>
      <w:r>
        <w:rPr>
          <w:szCs w:val="22"/>
        </w:rPr>
        <w:t>,</w:t>
      </w:r>
      <w:r>
        <w:rPr>
          <w:szCs w:val="22"/>
        </w:rPr>
        <w:t>为此提出功能性氨基酸这一概念。相关功能性氨基酸在甲壳类中也得到一定的研究，在促生长，提高免疫和存活率等方面效果显著。近些年来，甲壳类动物养殖病害严重，对高效抗病功能</w:t>
      </w:r>
      <w:r>
        <w:rPr>
          <w:szCs w:val="22"/>
        </w:rPr>
        <w:t>性饲料需求较高。功能性氨基酸将在未来甲壳</w:t>
      </w:r>
      <w:proofErr w:type="gramStart"/>
      <w:r>
        <w:rPr>
          <w:szCs w:val="22"/>
        </w:rPr>
        <w:t>类配合</w:t>
      </w:r>
      <w:proofErr w:type="gramEnd"/>
      <w:r>
        <w:rPr>
          <w:szCs w:val="22"/>
        </w:rPr>
        <w:t>饲料升级中扮演着重要的角色。本文总结功能性氨基酸在甲壳类蜕壳、抗应激、增强饲料</w:t>
      </w:r>
      <w:proofErr w:type="gramStart"/>
      <w:r>
        <w:rPr>
          <w:szCs w:val="22"/>
        </w:rPr>
        <w:t>诱</w:t>
      </w:r>
      <w:proofErr w:type="gramEnd"/>
      <w:r>
        <w:rPr>
          <w:szCs w:val="22"/>
        </w:rPr>
        <w:t>食性、以及提高繁殖和幼体培育等方面的具体作用，为相关功能性饲料技术开发提供参考。</w:t>
      </w:r>
    </w:p>
    <w:p w14:paraId="5EF1847E" w14:textId="77777777" w:rsidR="004F39F6" w:rsidRDefault="00731C67">
      <w:pPr>
        <w:rPr>
          <w:szCs w:val="22"/>
        </w:rPr>
      </w:pPr>
      <w:r>
        <w:rPr>
          <w:b/>
          <w:bCs/>
          <w:szCs w:val="22"/>
        </w:rPr>
        <w:t>关键词</w:t>
      </w:r>
      <w:r>
        <w:rPr>
          <w:szCs w:val="22"/>
        </w:rPr>
        <w:t>：甲壳类；氨基酸；功能性；健康</w:t>
      </w:r>
    </w:p>
    <w:p w14:paraId="7274C14B" w14:textId="77777777" w:rsidR="004F39F6" w:rsidRDefault="00731C67">
      <w:pPr>
        <w:jc w:val="center"/>
        <w:rPr>
          <w:b/>
          <w:bCs/>
          <w:sz w:val="24"/>
        </w:rPr>
      </w:pPr>
      <w:r>
        <w:rPr>
          <w:b/>
          <w:bCs/>
          <w:sz w:val="24"/>
        </w:rPr>
        <w:t xml:space="preserve">The Role of Functional Amino Acids in Aquatic Crustaceans </w:t>
      </w:r>
    </w:p>
    <w:p w14:paraId="04284D31" w14:textId="77777777" w:rsidR="004F39F6" w:rsidRDefault="00731C67">
      <w:pPr>
        <w:jc w:val="center"/>
        <w:rPr>
          <w:szCs w:val="21"/>
        </w:rPr>
      </w:pPr>
      <w:r>
        <w:rPr>
          <w:szCs w:val="21"/>
        </w:rPr>
        <w:t>CHENG Kaimin</w:t>
      </w:r>
      <w:r>
        <w:rPr>
          <w:szCs w:val="21"/>
          <w:vertAlign w:val="superscript"/>
        </w:rPr>
        <w:t>1</w:t>
      </w:r>
      <w:r>
        <w:rPr>
          <w:szCs w:val="21"/>
        </w:rPr>
        <w:t xml:space="preserve"> ZHANG Zhen</w:t>
      </w:r>
      <w:r>
        <w:rPr>
          <w:szCs w:val="21"/>
          <w:vertAlign w:val="superscript"/>
        </w:rPr>
        <w:t>2</w:t>
      </w:r>
      <w:r>
        <w:rPr>
          <w:szCs w:val="21"/>
        </w:rPr>
        <w:t xml:space="preserve"> LI Peiyang</w:t>
      </w:r>
      <w:r>
        <w:rPr>
          <w:szCs w:val="21"/>
          <w:vertAlign w:val="superscript"/>
        </w:rPr>
        <w:t>1</w:t>
      </w:r>
      <w:r>
        <w:rPr>
          <w:szCs w:val="21"/>
        </w:rPr>
        <w:t xml:space="preserve"> ZHENG Shixuan</w:t>
      </w:r>
      <w:r>
        <w:rPr>
          <w:szCs w:val="21"/>
          <w:vertAlign w:val="superscript"/>
        </w:rPr>
        <w:t>1</w:t>
      </w:r>
      <w:r>
        <w:rPr>
          <w:szCs w:val="21"/>
        </w:rPr>
        <w:t xml:space="preserve"> LI Xinyu</w:t>
      </w:r>
      <w:r>
        <w:rPr>
          <w:szCs w:val="21"/>
          <w:vertAlign w:val="superscript"/>
        </w:rPr>
        <w:t>1</w:t>
      </w:r>
    </w:p>
    <w:p w14:paraId="1925F67E" w14:textId="77777777" w:rsidR="004F39F6" w:rsidRDefault="00731C67">
      <w:pPr>
        <w:jc w:val="center"/>
        <w:rPr>
          <w:i/>
          <w:iCs/>
          <w:szCs w:val="21"/>
        </w:rPr>
      </w:pPr>
      <w:r>
        <w:rPr>
          <w:i/>
          <w:iCs/>
          <w:szCs w:val="21"/>
        </w:rPr>
        <w:t>(</w:t>
      </w:r>
      <w:proofErr w:type="gramStart"/>
      <w:r>
        <w:rPr>
          <w:szCs w:val="21"/>
        </w:rPr>
        <w:t>1</w:t>
      </w:r>
      <w:r>
        <w:rPr>
          <w:i/>
          <w:iCs/>
          <w:szCs w:val="21"/>
        </w:rPr>
        <w:t>.Guangdong</w:t>
      </w:r>
      <w:proofErr w:type="gramEnd"/>
      <w:r>
        <w:rPr>
          <w:i/>
          <w:iCs/>
          <w:szCs w:val="21"/>
        </w:rPr>
        <w:t xml:space="preserve"> </w:t>
      </w:r>
      <w:proofErr w:type="spellStart"/>
      <w:r>
        <w:rPr>
          <w:i/>
          <w:iCs/>
          <w:szCs w:val="21"/>
        </w:rPr>
        <w:t>Yuehai</w:t>
      </w:r>
      <w:proofErr w:type="spellEnd"/>
      <w:r>
        <w:rPr>
          <w:i/>
          <w:iCs/>
          <w:szCs w:val="21"/>
        </w:rPr>
        <w:t xml:space="preserve"> Feeds Group Co., Ltd., Zhanjiang </w:t>
      </w:r>
      <w:r>
        <w:rPr>
          <w:szCs w:val="21"/>
        </w:rPr>
        <w:t>524017</w:t>
      </w:r>
      <w:r>
        <w:rPr>
          <w:i/>
          <w:iCs/>
          <w:szCs w:val="21"/>
        </w:rPr>
        <w:t xml:space="preserve">, China; </w:t>
      </w:r>
      <w:r>
        <w:rPr>
          <w:szCs w:val="21"/>
        </w:rPr>
        <w:t>2</w:t>
      </w:r>
      <w:r>
        <w:rPr>
          <w:i/>
          <w:iCs/>
          <w:szCs w:val="21"/>
        </w:rPr>
        <w:t xml:space="preserve">.China-Norway Joint Lab on Fish Gut Microbiota, Chinese Academy of Agricultural Sciences, Beijing </w:t>
      </w:r>
      <w:r>
        <w:rPr>
          <w:szCs w:val="21"/>
        </w:rPr>
        <w:t>100081</w:t>
      </w:r>
      <w:r>
        <w:rPr>
          <w:i/>
          <w:iCs/>
          <w:szCs w:val="21"/>
        </w:rPr>
        <w:t xml:space="preserve">, China) </w:t>
      </w:r>
    </w:p>
    <w:p w14:paraId="606E0142" w14:textId="77777777" w:rsidR="004F39F6" w:rsidRDefault="00731C67">
      <w:pPr>
        <w:widowControl/>
        <w:rPr>
          <w:color w:val="000000"/>
          <w:kern w:val="0"/>
          <w:szCs w:val="21"/>
          <w:lang w:bidi="ar"/>
        </w:rPr>
      </w:pPr>
      <w:r>
        <w:rPr>
          <w:b/>
          <w:bCs/>
          <w:color w:val="000000"/>
          <w:kern w:val="0"/>
          <w:szCs w:val="21"/>
          <w:lang w:bidi="ar"/>
        </w:rPr>
        <w:t>Abstract</w:t>
      </w:r>
      <w:r>
        <w:rPr>
          <w:b/>
          <w:bCs/>
        </w:rPr>
        <w:t>：</w:t>
      </w:r>
      <w:r>
        <w:rPr>
          <w:szCs w:val="22"/>
        </w:rPr>
        <w:t xml:space="preserve">Traditionally, amino acids are classified as essential amino </w:t>
      </w:r>
      <w:r>
        <w:rPr>
          <w:szCs w:val="22"/>
        </w:rPr>
        <w:t>acids and non-essential amino acids based on their ability of syntheses from metabolic intermediates. Currently, many scientists gave a new concept of functional amino acids, which are defined as those amino acids that participate in and regulate key metab</w:t>
      </w:r>
      <w:r>
        <w:rPr>
          <w:szCs w:val="22"/>
        </w:rPr>
        <w:t>olic pathways and immune systems. These amino acids not only provide blocks for protein synthesis, but also as substrates for many functional compounds. It has been reported that these amino acids can improve health, survival, growth, development, and repr</w:t>
      </w:r>
      <w:r>
        <w:rPr>
          <w:szCs w:val="22"/>
        </w:rPr>
        <w:t>oduction of organisms. Crustaceans (e.g., shrimp and crabs) are the second largest aquaculture species worldwide, their feed development play a vital role in industry development. Functional amino acids hold great promise in prevention and treatment of met</w:t>
      </w:r>
      <w:r>
        <w:rPr>
          <w:szCs w:val="22"/>
        </w:rPr>
        <w:t>abolic diseases, intrauterine growth restriction, and infectious diseases (including viral infections). However, there are still some technical difficulties and challenges in the use of crystalline amino acids for research and practical production. At pres</w:t>
      </w:r>
      <w:r>
        <w:rPr>
          <w:szCs w:val="22"/>
        </w:rPr>
        <w:t>ent, the knowledge about amino acid metabolism and functions in crustaceans is still limited, and much of them are based on studies of mammals and fish species. This article highlights current knowledge about the functions of amino acids on molt, adaptatio</w:t>
      </w:r>
      <w:r>
        <w:rPr>
          <w:szCs w:val="22"/>
        </w:rPr>
        <w:t>n of stress, immune, and antioxidant responses, spawning and larval development of crustaceans. It will help to advance the field of protein nutrition and guide the development of future crustacean feeds.</w:t>
      </w:r>
    </w:p>
    <w:p w14:paraId="773337BC" w14:textId="77777777" w:rsidR="004F39F6" w:rsidRDefault="00731C67">
      <w:pPr>
        <w:widowControl/>
        <w:rPr>
          <w:color w:val="000000"/>
          <w:kern w:val="0"/>
          <w:szCs w:val="21"/>
          <w:lang w:bidi="ar"/>
        </w:rPr>
      </w:pPr>
      <w:r>
        <w:rPr>
          <w:b/>
          <w:bCs/>
          <w:szCs w:val="22"/>
        </w:rPr>
        <w:t>Key words</w:t>
      </w:r>
      <w:r>
        <w:rPr>
          <w:b/>
          <w:bCs/>
          <w:szCs w:val="22"/>
        </w:rPr>
        <w:t>：</w:t>
      </w:r>
      <w:r>
        <w:rPr>
          <w:szCs w:val="22"/>
        </w:rPr>
        <w:t>Crustaceans</w:t>
      </w:r>
      <w:r>
        <w:t>；</w:t>
      </w:r>
      <w:r>
        <w:rPr>
          <w:szCs w:val="22"/>
        </w:rPr>
        <w:t>Amino acids</w:t>
      </w:r>
      <w:r>
        <w:rPr>
          <w:szCs w:val="22"/>
        </w:rPr>
        <w:t>；</w:t>
      </w:r>
      <w:r>
        <w:rPr>
          <w:szCs w:val="22"/>
        </w:rPr>
        <w:t>Functional</w:t>
      </w:r>
      <w:r>
        <w:rPr>
          <w:szCs w:val="22"/>
        </w:rPr>
        <w:t>；</w:t>
      </w:r>
      <w:r>
        <w:rPr>
          <w:szCs w:val="22"/>
        </w:rPr>
        <w:t>Health</w:t>
      </w:r>
    </w:p>
    <w:p w14:paraId="02EE23AF" w14:textId="77777777" w:rsidR="004F39F6" w:rsidRDefault="004F39F6">
      <w:pPr>
        <w:widowControl/>
        <w:jc w:val="center"/>
        <w:rPr>
          <w:color w:val="000000"/>
          <w:kern w:val="0"/>
          <w:szCs w:val="21"/>
          <w:lang w:bidi="ar"/>
        </w:rPr>
      </w:pPr>
    </w:p>
    <w:p w14:paraId="04DB91C5" w14:textId="77777777" w:rsidR="004F39F6" w:rsidRDefault="00731C67">
      <w:pPr>
        <w:spacing w:line="360" w:lineRule="auto"/>
        <w:ind w:firstLineChars="200" w:firstLine="480"/>
        <w:rPr>
          <w:sz w:val="24"/>
        </w:rPr>
      </w:pPr>
      <w:r>
        <w:rPr>
          <w:sz w:val="24"/>
        </w:rPr>
        <w:t>甲壳类是重要水产养殖种类，主要包括十足类虾蟹种类。甲壳动物含有丰富的蛋白质、</w:t>
      </w:r>
      <w:r>
        <w:rPr>
          <w:sz w:val="24"/>
        </w:rPr>
        <w:lastRenderedPageBreak/>
        <w:t>脂肪酸、矿物盐等多种营养物质，深受市场欢迎。我国甲壳类水产品资源丰富，种类繁多，是世界甲壳类水产品主要供给国。根据</w:t>
      </w:r>
      <w:r>
        <w:rPr>
          <w:sz w:val="24"/>
        </w:rPr>
        <w:t>2021</w:t>
      </w:r>
      <w:r>
        <w:rPr>
          <w:sz w:val="24"/>
        </w:rPr>
        <w:t>年中国渔业统计年鉴数据，</w:t>
      </w:r>
      <w:r>
        <w:rPr>
          <w:sz w:val="24"/>
        </w:rPr>
        <w:t>2020</w:t>
      </w:r>
      <w:r>
        <w:rPr>
          <w:sz w:val="24"/>
        </w:rPr>
        <w:t>年我国甲壳类的养殖和捕捞产量分别为</w:t>
      </w:r>
      <w:r>
        <w:rPr>
          <w:sz w:val="24"/>
        </w:rPr>
        <w:t>603</w:t>
      </w:r>
      <w:r>
        <w:rPr>
          <w:sz w:val="24"/>
        </w:rPr>
        <w:t>万和</w:t>
      </w:r>
      <w:r>
        <w:rPr>
          <w:sz w:val="24"/>
        </w:rPr>
        <w:t>197</w:t>
      </w:r>
      <w:r>
        <w:rPr>
          <w:sz w:val="24"/>
        </w:rPr>
        <w:t>万吨。甲壳类水产动物在我国社会经济发展和食品良性供应上发挥着重要的作用。我国主要养殖的甲壳类品种（如南美白对虾、斑节对虾、中华绒</w:t>
      </w:r>
      <w:proofErr w:type="gramStart"/>
      <w:r>
        <w:rPr>
          <w:sz w:val="24"/>
        </w:rPr>
        <w:t>螯</w:t>
      </w:r>
      <w:proofErr w:type="gramEnd"/>
      <w:r>
        <w:rPr>
          <w:sz w:val="24"/>
        </w:rPr>
        <w:t>蟹、三疣梭子蟹等）均为杂食性或肉食性动物，能够摄食鱼、虾、贝、藻，甚至同类相食，个别种类</w:t>
      </w:r>
      <w:proofErr w:type="gramStart"/>
      <w:r>
        <w:rPr>
          <w:sz w:val="24"/>
        </w:rPr>
        <w:t>喜腐食</w:t>
      </w:r>
      <w:proofErr w:type="gramEnd"/>
      <w:r>
        <w:rPr>
          <w:sz w:val="24"/>
        </w:rPr>
        <w:t>，对</w:t>
      </w:r>
      <w:r>
        <w:rPr>
          <w:sz w:val="24"/>
        </w:rPr>
        <w:t>蛋白质和氨基酸要求较高。大部分养殖品种已能够做到利用人工配合饲料进行养殖，并且效果显著。个别品种，如三疣梭子蟹和青蟹，仍旧以投喂冰鲜杂鱼为主，由于冰鲜杂鱼品质不稳定，极易引起污染环境、浪费严重、饲料系数高、易诱发疾病及破坏资源等问题</w:t>
      </w:r>
      <w:r>
        <w:rPr>
          <w:sz w:val="24"/>
          <w:vertAlign w:val="superscript"/>
        </w:rPr>
        <w:t>[1]</w:t>
      </w:r>
      <w:r>
        <w:rPr>
          <w:sz w:val="24"/>
        </w:rPr>
        <w:t>。另一方面，采用配合饲料养殖甲壳类，不仅可避免上述缺点，也能提高养殖动物产品品质与营养价值。</w:t>
      </w:r>
    </w:p>
    <w:p w14:paraId="7673F7F3" w14:textId="77777777" w:rsidR="004F39F6" w:rsidRDefault="00731C67">
      <w:pPr>
        <w:spacing w:line="360" w:lineRule="auto"/>
        <w:ind w:firstLineChars="200" w:firstLine="480"/>
        <w:rPr>
          <w:sz w:val="24"/>
          <w:szCs w:val="22"/>
        </w:rPr>
      </w:pPr>
      <w:r>
        <w:rPr>
          <w:sz w:val="24"/>
        </w:rPr>
        <w:t>过去几十年里，我国甲壳类水产养殖产业（尤其对虾产业）得到较好的发展，相关配套产业（如饲料加工和开发）也比较成熟。但是，目前主要存在以下几点问题：（</w:t>
      </w:r>
      <w:r>
        <w:rPr>
          <w:sz w:val="24"/>
        </w:rPr>
        <w:t>1</w:t>
      </w:r>
      <w:r>
        <w:rPr>
          <w:sz w:val="24"/>
        </w:rPr>
        <w:t>）养殖问题：个别甲壳类（如对虾）</w:t>
      </w:r>
      <w:r>
        <w:rPr>
          <w:sz w:val="24"/>
        </w:rPr>
        <w:t>养殖密度高，且病害严重，例如南美白对虾的白便问题一直未能得到解决；（</w:t>
      </w:r>
      <w:r>
        <w:rPr>
          <w:sz w:val="24"/>
        </w:rPr>
        <w:t>2</w:t>
      </w:r>
      <w:r>
        <w:rPr>
          <w:sz w:val="24"/>
        </w:rPr>
        <w:t>）环境问题：甲壳类养殖地区水体盐度温度变化大，养殖密度大，且养殖池塘底部有害物质沉积严重，养殖动物长期应对不同养殖胁迫条件，导致蜕壳和生长受阻；（</w:t>
      </w:r>
      <w:r>
        <w:rPr>
          <w:sz w:val="24"/>
        </w:rPr>
        <w:t>3</w:t>
      </w:r>
      <w:r>
        <w:rPr>
          <w:sz w:val="24"/>
        </w:rPr>
        <w:t>）饲料问题：对虾摄食快慢是决定养殖效果的关键因素之一，如何在营养方面提高饲料</w:t>
      </w:r>
      <w:proofErr w:type="gramStart"/>
      <w:r>
        <w:rPr>
          <w:sz w:val="24"/>
        </w:rPr>
        <w:t>诱</w:t>
      </w:r>
      <w:proofErr w:type="gramEnd"/>
      <w:r>
        <w:rPr>
          <w:sz w:val="24"/>
        </w:rPr>
        <w:t>食性是关键；（</w:t>
      </w:r>
      <w:r>
        <w:rPr>
          <w:sz w:val="24"/>
        </w:rPr>
        <w:t>4</w:t>
      </w:r>
      <w:r>
        <w:rPr>
          <w:sz w:val="24"/>
        </w:rPr>
        <w:t>）产品品质：我国对个别甲壳类品种（如蟹类）的品质要求较高，如大众对</w:t>
      </w:r>
      <w:r>
        <w:rPr>
          <w:sz w:val="24"/>
        </w:rPr>
        <w:t>“</w:t>
      </w:r>
      <w:r>
        <w:rPr>
          <w:sz w:val="24"/>
        </w:rPr>
        <w:t>红膏蟹</w:t>
      </w:r>
      <w:r>
        <w:rPr>
          <w:sz w:val="24"/>
        </w:rPr>
        <w:t>”</w:t>
      </w:r>
      <w:r>
        <w:rPr>
          <w:sz w:val="24"/>
        </w:rPr>
        <w:t>比较青睐。近些年来，国内外许多研究也报道了甲壳类的基本营养需求，这在一定程度上为该品种配合饲料的发展提供一定的基础。在三大类</w:t>
      </w:r>
      <w:r>
        <w:rPr>
          <w:sz w:val="24"/>
        </w:rPr>
        <w:t>营养物质中，蛋白质（氨基酸）在甲壳类生长、发育和免疫中起到了关键性的作用，它不仅提供甲壳类所需的能量，也是其功能性物质的重要成分或前体。因此，最近几年国内外研究者相继提出</w:t>
      </w:r>
      <w:r>
        <w:rPr>
          <w:sz w:val="24"/>
        </w:rPr>
        <w:t>“</w:t>
      </w:r>
      <w:r>
        <w:rPr>
          <w:sz w:val="24"/>
        </w:rPr>
        <w:t>功能性氨基酸</w:t>
      </w:r>
      <w:r>
        <w:rPr>
          <w:sz w:val="24"/>
        </w:rPr>
        <w:t>”</w:t>
      </w:r>
      <w:r>
        <w:rPr>
          <w:sz w:val="24"/>
        </w:rPr>
        <w:t>这一概念，指除了合成蛋白质外还具有其它特殊功能的氨基酸，其不仅对动物的正常生长及维持是必需的，而且对多种生物活性物质的合成也是必需的</w:t>
      </w:r>
      <w:r>
        <w:rPr>
          <w:sz w:val="24"/>
          <w:vertAlign w:val="superscript"/>
        </w:rPr>
        <w:t>[2]</w:t>
      </w:r>
      <w:r>
        <w:rPr>
          <w:sz w:val="24"/>
        </w:rPr>
        <w:t>。近些年，相关工作在甲壳类中得到一定开展。因此，本文希望通过总结相关研究工作，为甲壳类水产养殖动物的饲料开发和技术升级提供理论依据。</w:t>
      </w:r>
    </w:p>
    <w:p w14:paraId="59FC1DC0" w14:textId="77777777" w:rsidR="004F39F6" w:rsidRDefault="00731C67">
      <w:pPr>
        <w:spacing w:line="360" w:lineRule="auto"/>
        <w:rPr>
          <w:sz w:val="24"/>
          <w:szCs w:val="22"/>
        </w:rPr>
      </w:pPr>
      <w:r>
        <w:rPr>
          <w:sz w:val="24"/>
          <w:szCs w:val="22"/>
        </w:rPr>
        <w:t xml:space="preserve">1  </w:t>
      </w:r>
      <w:r>
        <w:rPr>
          <w:sz w:val="24"/>
          <w:szCs w:val="22"/>
        </w:rPr>
        <w:t>提供组织能量</w:t>
      </w:r>
    </w:p>
    <w:p w14:paraId="380E42D1" w14:textId="77777777" w:rsidR="004F39F6" w:rsidRDefault="00731C67">
      <w:pPr>
        <w:spacing w:line="360" w:lineRule="auto"/>
        <w:ind w:firstLineChars="200" w:firstLine="480"/>
        <w:rPr>
          <w:sz w:val="24"/>
        </w:rPr>
      </w:pPr>
      <w:proofErr w:type="gramStart"/>
      <w:r>
        <w:rPr>
          <w:sz w:val="24"/>
        </w:rPr>
        <w:t>相比较于猪和</w:t>
      </w:r>
      <w:proofErr w:type="gramEnd"/>
      <w:r>
        <w:rPr>
          <w:sz w:val="24"/>
        </w:rPr>
        <w:t>家禽动物，鱼类对饲料蛋</w:t>
      </w:r>
      <w:r>
        <w:rPr>
          <w:sz w:val="24"/>
        </w:rPr>
        <w:t>白质需求量高，其中主要原因之一是鱼类大量利用氨基酸为能量物质，而对脂肪酸和葡萄糖作为能源利用相对较低</w:t>
      </w:r>
      <w:r>
        <w:rPr>
          <w:sz w:val="24"/>
          <w:vertAlign w:val="superscript"/>
        </w:rPr>
        <w:t>[3,4]</w:t>
      </w:r>
      <w:r>
        <w:rPr>
          <w:sz w:val="24"/>
        </w:rPr>
        <w:t>。与鱼类相似，甲壳类的蛋白质需求量较高，大多在</w:t>
      </w:r>
      <w:r>
        <w:rPr>
          <w:sz w:val="24"/>
        </w:rPr>
        <w:t>30 %-50 %</w:t>
      </w:r>
      <w:r>
        <w:rPr>
          <w:sz w:val="24"/>
        </w:rPr>
        <w:t>之间，例如南美白对虾幼虾蛋白质需求量在</w:t>
      </w:r>
      <w:r>
        <w:rPr>
          <w:sz w:val="24"/>
        </w:rPr>
        <w:lastRenderedPageBreak/>
        <w:t>40 %</w:t>
      </w:r>
      <w:r>
        <w:rPr>
          <w:sz w:val="24"/>
        </w:rPr>
        <w:t>左右</w:t>
      </w:r>
      <w:r>
        <w:rPr>
          <w:sz w:val="24"/>
          <w:vertAlign w:val="superscript"/>
        </w:rPr>
        <w:t>[5-8]</w:t>
      </w:r>
      <w:r>
        <w:rPr>
          <w:sz w:val="24"/>
        </w:rPr>
        <w:t>。此外，甲壳类对饲料非蛋白能利用相对有限，对脂肪和淀粉的需求分别为</w:t>
      </w:r>
      <w:r>
        <w:rPr>
          <w:sz w:val="24"/>
        </w:rPr>
        <w:t>≤10 %</w:t>
      </w:r>
      <w:r>
        <w:rPr>
          <w:sz w:val="24"/>
        </w:rPr>
        <w:t>和</w:t>
      </w:r>
      <w:r>
        <w:rPr>
          <w:sz w:val="24"/>
        </w:rPr>
        <w:t>≤20 %</w:t>
      </w:r>
      <w:r>
        <w:rPr>
          <w:sz w:val="24"/>
          <w:vertAlign w:val="superscript"/>
        </w:rPr>
        <w:t>[9,10]</w:t>
      </w:r>
      <w:r>
        <w:rPr>
          <w:sz w:val="24"/>
        </w:rPr>
        <w:t>。另一方面，甲壳类的饲料氮保留</w:t>
      </w:r>
      <w:proofErr w:type="gramStart"/>
      <w:r>
        <w:rPr>
          <w:sz w:val="24"/>
        </w:rPr>
        <w:t>率整体</w:t>
      </w:r>
      <w:proofErr w:type="gramEnd"/>
      <w:r>
        <w:rPr>
          <w:sz w:val="24"/>
        </w:rPr>
        <w:t>不高，在</w:t>
      </w:r>
      <w:r>
        <w:rPr>
          <w:sz w:val="24"/>
        </w:rPr>
        <w:t>17 %-30 %</w:t>
      </w:r>
      <w:r>
        <w:rPr>
          <w:sz w:val="24"/>
        </w:rPr>
        <w:t>之间，甚至低于一些肉食性鱼类</w:t>
      </w:r>
      <w:r>
        <w:rPr>
          <w:sz w:val="24"/>
          <w:vertAlign w:val="superscript"/>
        </w:rPr>
        <w:t>[11-13]</w:t>
      </w:r>
      <w:r>
        <w:rPr>
          <w:sz w:val="24"/>
        </w:rPr>
        <w:t>。这也间接证明大量饲料氨基酸未能成为体蛋白，而是直接作为能源被降解。此外，</w:t>
      </w:r>
      <w:r>
        <w:rPr>
          <w:sz w:val="24"/>
        </w:rPr>
        <w:t>甲壳类（如南美白对虾和中华绒</w:t>
      </w:r>
      <w:proofErr w:type="gramStart"/>
      <w:r>
        <w:rPr>
          <w:sz w:val="24"/>
        </w:rPr>
        <w:t>螯</w:t>
      </w:r>
      <w:proofErr w:type="gramEnd"/>
      <w:r>
        <w:rPr>
          <w:sz w:val="24"/>
        </w:rPr>
        <w:t>蟹）的耗氧：</w:t>
      </w:r>
      <w:proofErr w:type="gramStart"/>
      <w:r>
        <w:rPr>
          <w:sz w:val="24"/>
        </w:rPr>
        <w:t>氮排率</w:t>
      </w:r>
      <w:proofErr w:type="gramEnd"/>
      <w:r>
        <w:rPr>
          <w:sz w:val="24"/>
        </w:rPr>
        <w:t>普遍小于</w:t>
      </w:r>
      <w:r>
        <w:rPr>
          <w:sz w:val="24"/>
        </w:rPr>
        <w:t>40</w:t>
      </w:r>
      <w:r>
        <w:rPr>
          <w:sz w:val="24"/>
        </w:rPr>
        <w:t>，也证明氨基酸是其重要的能量底物</w:t>
      </w:r>
      <w:r>
        <w:rPr>
          <w:sz w:val="24"/>
          <w:vertAlign w:val="superscript"/>
        </w:rPr>
        <w:t>[14-16]</w:t>
      </w:r>
      <w:r>
        <w:rPr>
          <w:sz w:val="24"/>
        </w:rPr>
        <w:t>。</w:t>
      </w:r>
      <w:r>
        <w:rPr>
          <w:sz w:val="24"/>
        </w:rPr>
        <w:t>Rosas</w:t>
      </w:r>
      <w:r>
        <w:rPr>
          <w:sz w:val="24"/>
        </w:rPr>
        <w:t>等</w:t>
      </w:r>
      <w:r>
        <w:rPr>
          <w:sz w:val="24"/>
          <w:vertAlign w:val="superscript"/>
        </w:rPr>
        <w:t>[17]</w:t>
      </w:r>
      <w:r>
        <w:rPr>
          <w:sz w:val="24"/>
        </w:rPr>
        <w:t>指出，南美白对虾能够较好适应以蛋白质为主要能量来源的饲料，而非基于淀粉基础的饲料。我们同位素示踪实验结果也证明，氨基酸是南美白对虾的主要能量物质，当然在各个器官中所占比重有所不同</w:t>
      </w:r>
      <w:r>
        <w:rPr>
          <w:sz w:val="24"/>
          <w:vertAlign w:val="superscript"/>
        </w:rPr>
        <w:t>[18]</w:t>
      </w:r>
      <w:r>
        <w:rPr>
          <w:sz w:val="24"/>
        </w:rPr>
        <w:t>。例如，谷氨酰胺和天冬氨酸是肌肉重要能量底物，其氧化效率显著高于其它能量底物</w:t>
      </w:r>
      <w:r>
        <w:rPr>
          <w:sz w:val="24"/>
        </w:rPr>
        <w:t>(</w:t>
      </w:r>
      <w:r>
        <w:rPr>
          <w:sz w:val="24"/>
        </w:rPr>
        <w:t>如葡萄糖和棕榈酸</w:t>
      </w:r>
      <w:r>
        <w:rPr>
          <w:sz w:val="24"/>
        </w:rPr>
        <w:t>)</w:t>
      </w:r>
      <w:r>
        <w:rPr>
          <w:sz w:val="24"/>
        </w:rPr>
        <w:t>。南美白对虾鳃部对葡萄糖氧化效率最高，其次是谷氨酰胺和天冬氨酸。对虾在应对不同胁迫情况下，往往需要更多</w:t>
      </w:r>
      <w:r>
        <w:rPr>
          <w:sz w:val="24"/>
        </w:rPr>
        <w:t>能量或功能物质去调节体内生理平衡。例如，研究发现环境低温及高温均会导致</w:t>
      </w:r>
      <w:r>
        <w:rPr>
          <w:sz w:val="24"/>
        </w:rPr>
        <w:t>ATP</w:t>
      </w:r>
      <w:r>
        <w:rPr>
          <w:sz w:val="24"/>
        </w:rPr>
        <w:t>含量增加，表明南美白对虾在应对温度胁迫的过程中可能需要更多能量</w:t>
      </w:r>
      <w:r>
        <w:rPr>
          <w:sz w:val="24"/>
          <w:vertAlign w:val="superscript"/>
        </w:rPr>
        <w:t>[19]</w:t>
      </w:r>
      <w:r>
        <w:rPr>
          <w:sz w:val="24"/>
        </w:rPr>
        <w:t>。早期研究已表明，氨基酸（如丙氨酸）是非常重要的功能和能量物质，在应对环境急性渗透压的变化中起到非常重要的作用</w:t>
      </w:r>
      <w:r>
        <w:rPr>
          <w:sz w:val="24"/>
          <w:vertAlign w:val="superscript"/>
        </w:rPr>
        <w:t>[20]</w:t>
      </w:r>
      <w:r>
        <w:rPr>
          <w:sz w:val="24"/>
        </w:rPr>
        <w:t>。由此可见，氨基酸作为部分器官或组织的重要能源，能够保障甲壳</w:t>
      </w:r>
      <w:proofErr w:type="gramStart"/>
      <w:r>
        <w:rPr>
          <w:sz w:val="24"/>
        </w:rPr>
        <w:t>类适应</w:t>
      </w:r>
      <w:proofErr w:type="gramEnd"/>
      <w:r>
        <w:rPr>
          <w:sz w:val="24"/>
        </w:rPr>
        <w:t>不同环境，也是发挥氨基酸功能性的重要机制之一。另一方面，关于甲壳类利用氨基酸作为能源的研究相对有限，相关结论仍存在一定争议，未来需要大量工作进一步验证。氨基酸也是糖类、脂类、其它功能</w:t>
      </w:r>
      <w:r>
        <w:rPr>
          <w:sz w:val="24"/>
        </w:rPr>
        <w:t>物质的前体物，在生理上扮演重要的功能，这里不做详细介绍。</w:t>
      </w:r>
    </w:p>
    <w:p w14:paraId="16260D44" w14:textId="77777777" w:rsidR="004F39F6" w:rsidRDefault="00731C67">
      <w:pPr>
        <w:spacing w:line="360" w:lineRule="auto"/>
        <w:rPr>
          <w:sz w:val="24"/>
          <w:szCs w:val="22"/>
        </w:rPr>
      </w:pPr>
      <w:r>
        <w:rPr>
          <w:sz w:val="24"/>
          <w:szCs w:val="22"/>
        </w:rPr>
        <w:t xml:space="preserve">2  </w:t>
      </w:r>
      <w:r>
        <w:rPr>
          <w:sz w:val="24"/>
          <w:szCs w:val="22"/>
        </w:rPr>
        <w:t>促进蜕壳</w:t>
      </w:r>
    </w:p>
    <w:p w14:paraId="4CD7AC2A" w14:textId="77777777" w:rsidR="004F39F6" w:rsidRDefault="00731C67">
      <w:pPr>
        <w:spacing w:line="360" w:lineRule="auto"/>
        <w:ind w:firstLineChars="200" w:firstLine="480"/>
        <w:rPr>
          <w:sz w:val="24"/>
        </w:rPr>
      </w:pPr>
      <w:r>
        <w:rPr>
          <w:sz w:val="24"/>
        </w:rPr>
        <w:t>众所周知，蜕壳是甲壳类养殖非常重要的一个生理环节，其主要作用是：</w:t>
      </w:r>
      <w:r>
        <w:rPr>
          <w:sz w:val="24"/>
        </w:rPr>
        <w:t>(1)</w:t>
      </w:r>
      <w:r>
        <w:rPr>
          <w:sz w:val="24"/>
        </w:rPr>
        <w:t>生长需要，蜕</w:t>
      </w:r>
      <w:proofErr w:type="gramStart"/>
      <w:r>
        <w:rPr>
          <w:sz w:val="24"/>
        </w:rPr>
        <w:t>去旧壳有利于</w:t>
      </w:r>
      <w:proofErr w:type="gramEnd"/>
      <w:r>
        <w:rPr>
          <w:sz w:val="24"/>
        </w:rPr>
        <w:t>生长；</w:t>
      </w:r>
      <w:r>
        <w:rPr>
          <w:sz w:val="24"/>
        </w:rPr>
        <w:t>(2)</w:t>
      </w:r>
      <w:r>
        <w:rPr>
          <w:sz w:val="24"/>
        </w:rPr>
        <w:t>繁殖需要；</w:t>
      </w:r>
      <w:r>
        <w:rPr>
          <w:sz w:val="24"/>
        </w:rPr>
        <w:t>(3)</w:t>
      </w:r>
      <w:r>
        <w:rPr>
          <w:sz w:val="24"/>
        </w:rPr>
        <w:t>除去旧壳上的寄生虫和细菌。蜕壳后期水的摄入非常重要，因为这一过程决定下一生长阶段的身体大小</w:t>
      </w:r>
      <w:r>
        <w:rPr>
          <w:sz w:val="24"/>
          <w:vertAlign w:val="superscript"/>
        </w:rPr>
        <w:t>[21]</w:t>
      </w:r>
      <w:r>
        <w:rPr>
          <w:sz w:val="24"/>
        </w:rPr>
        <w:t>。蜕壳是一种复杂生理活动，氨基酸在各个阶段中扮演着重要的作用（表</w:t>
      </w:r>
      <w:r>
        <w:rPr>
          <w:sz w:val="24"/>
        </w:rPr>
        <w:t>1</w:t>
      </w:r>
      <w:r>
        <w:rPr>
          <w:sz w:val="24"/>
        </w:rPr>
        <w:t>）。例如，蜕壳后期是能量和矿物盐的急需期，需要注意营养物质的充足提供。一般认为，蜕壳后对</w:t>
      </w:r>
      <w:proofErr w:type="gramStart"/>
      <w:r>
        <w:rPr>
          <w:sz w:val="24"/>
        </w:rPr>
        <w:t>钙需求</w:t>
      </w:r>
      <w:proofErr w:type="gramEnd"/>
      <w:r>
        <w:rPr>
          <w:sz w:val="24"/>
        </w:rPr>
        <w:t>大，需要根据各个水环境不同盐度和硬度调整钙的补充。但值得注</w:t>
      </w:r>
      <w:r>
        <w:rPr>
          <w:sz w:val="24"/>
        </w:rPr>
        <w:t>意的是，虾壳通常含有</w:t>
      </w:r>
      <w:r>
        <w:rPr>
          <w:sz w:val="24"/>
        </w:rPr>
        <w:t>25 %-40 %</w:t>
      </w:r>
      <w:r>
        <w:rPr>
          <w:sz w:val="24"/>
        </w:rPr>
        <w:t>的蛋白质、</w:t>
      </w:r>
      <w:r>
        <w:rPr>
          <w:sz w:val="24"/>
        </w:rPr>
        <w:t>15 %-20 %</w:t>
      </w:r>
      <w:r>
        <w:rPr>
          <w:sz w:val="24"/>
        </w:rPr>
        <w:t>几丁质、</w:t>
      </w:r>
      <w:r>
        <w:rPr>
          <w:sz w:val="24"/>
        </w:rPr>
        <w:t>45 %-50 %</w:t>
      </w:r>
      <w:r>
        <w:rPr>
          <w:sz w:val="24"/>
        </w:rPr>
        <w:t>的碳酸钙，</w:t>
      </w:r>
      <w:r>
        <w:rPr>
          <w:sz w:val="24"/>
        </w:rPr>
        <w:t>15-40mg/kg</w:t>
      </w:r>
      <w:r>
        <w:rPr>
          <w:sz w:val="24"/>
        </w:rPr>
        <w:t>的虾青素，其中蛋白质中含有</w:t>
      </w:r>
      <w:r>
        <w:rPr>
          <w:sz w:val="24"/>
        </w:rPr>
        <w:t>60 %</w:t>
      </w:r>
      <w:r>
        <w:rPr>
          <w:sz w:val="24"/>
        </w:rPr>
        <w:t>的胶原蛋白</w:t>
      </w:r>
      <w:r>
        <w:rPr>
          <w:sz w:val="24"/>
          <w:vertAlign w:val="superscript"/>
        </w:rPr>
        <w:t>[22,23]</w:t>
      </w:r>
      <w:r>
        <w:rPr>
          <w:sz w:val="24"/>
        </w:rPr>
        <w:t>。因此，氨基酸和蛋白质的补充对蜕壳的成功和新壳的形成起到非常重要的作用。蜕壳和生长并不是完全相关，在某些非正常条件下，如温度和盐度刺激可提高蜕壳频率，但对生长</w:t>
      </w:r>
      <w:proofErr w:type="gramStart"/>
      <w:r>
        <w:rPr>
          <w:sz w:val="24"/>
        </w:rPr>
        <w:t>反而无</w:t>
      </w:r>
      <w:proofErr w:type="gramEnd"/>
      <w:r>
        <w:rPr>
          <w:sz w:val="24"/>
        </w:rPr>
        <w:t>帮助</w:t>
      </w:r>
      <w:r>
        <w:rPr>
          <w:sz w:val="24"/>
          <w:vertAlign w:val="superscript"/>
        </w:rPr>
        <w:t>[29,30]</w:t>
      </w:r>
      <w:r>
        <w:rPr>
          <w:sz w:val="24"/>
        </w:rPr>
        <w:t>。通过环境因子改变而促进的蜕壳能否带来总体养殖效率的提高还不得而知。已有部分证据表明，这种方式会引起蜕壳成功率下降，导致不必要的损失</w:t>
      </w:r>
      <w:r>
        <w:rPr>
          <w:sz w:val="24"/>
          <w:vertAlign w:val="superscript"/>
        </w:rPr>
        <w:t>[31-33]</w:t>
      </w:r>
      <w:r>
        <w:rPr>
          <w:sz w:val="24"/>
        </w:rPr>
        <w:t>。</w:t>
      </w:r>
      <w:r>
        <w:rPr>
          <w:sz w:val="24"/>
        </w:rPr>
        <w:lastRenderedPageBreak/>
        <w:t>与</w:t>
      </w:r>
      <w:r>
        <w:rPr>
          <w:sz w:val="24"/>
        </w:rPr>
        <w:t>此相反，通过功能性氨基酸添加，强化饲料营养而提高蜕壳成功率和生长是比较可取之道。氨基酸在甲壳类蜕壳中扮演的作用已得到一定的研究，虾体内游离氨基酸的组成也从侧面反映出虾对饲料氨基酸的需求。例如，游离脯氨酸和甘氨酸被证明是蜕壳期间的重要能量物质，也是在蜕壳前期合成新壳的重要底物</w:t>
      </w:r>
      <w:r>
        <w:rPr>
          <w:sz w:val="24"/>
          <w:vertAlign w:val="superscript"/>
        </w:rPr>
        <w:t>[29,30]</w:t>
      </w:r>
      <w:r>
        <w:rPr>
          <w:sz w:val="24"/>
        </w:rPr>
        <w:t>。研究结果表明，中华绒</w:t>
      </w:r>
      <w:proofErr w:type="gramStart"/>
      <w:r>
        <w:rPr>
          <w:sz w:val="24"/>
        </w:rPr>
        <w:t>螯</w:t>
      </w:r>
      <w:proofErr w:type="gramEnd"/>
      <w:r>
        <w:rPr>
          <w:sz w:val="24"/>
        </w:rPr>
        <w:t>蟹的血清蜕壳激素和蜕皮甾酮随着饲料添加</w:t>
      </w:r>
      <w:r>
        <w:rPr>
          <w:sz w:val="24"/>
        </w:rPr>
        <w:t>1 %-2 %</w:t>
      </w:r>
      <w:r>
        <w:rPr>
          <w:sz w:val="24"/>
        </w:rPr>
        <w:t>精氨酸而增加，并且可提高蜕壳频率</w:t>
      </w:r>
      <w:r>
        <w:rPr>
          <w:sz w:val="24"/>
          <w:vertAlign w:val="superscript"/>
        </w:rPr>
        <w:t>[31]</w:t>
      </w:r>
      <w:r>
        <w:rPr>
          <w:sz w:val="24"/>
        </w:rPr>
        <w:t>。在表</w:t>
      </w:r>
      <w:r>
        <w:rPr>
          <w:sz w:val="24"/>
        </w:rPr>
        <w:t>1</w:t>
      </w:r>
      <w:r>
        <w:rPr>
          <w:sz w:val="24"/>
        </w:rPr>
        <w:t>中，我们总结氨基酸在不同蜕壳期间的作用，相关研究相对有限，需要进一步验证。</w:t>
      </w:r>
    </w:p>
    <w:p w14:paraId="08F4A585" w14:textId="77777777" w:rsidR="004F39F6" w:rsidRDefault="00731C67">
      <w:pPr>
        <w:widowControl/>
        <w:jc w:val="center"/>
      </w:pPr>
      <w:r>
        <w:rPr>
          <w:noProof/>
          <w:kern w:val="0"/>
          <w:sz w:val="24"/>
          <w:lang w:bidi="ar"/>
        </w:rPr>
        <w:drawing>
          <wp:inline distT="0" distB="0" distL="114300" distR="114300" wp14:anchorId="4C32D7C6" wp14:editId="558CAE41">
            <wp:extent cx="4883785" cy="1214120"/>
            <wp:effectExtent l="0" t="0" r="5715" b="508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29"/>
                    <a:stretch>
                      <a:fillRect/>
                    </a:stretch>
                  </pic:blipFill>
                  <pic:spPr>
                    <a:xfrm>
                      <a:off x="0" y="0"/>
                      <a:ext cx="4892658" cy="1214120"/>
                    </a:xfrm>
                    <a:prstGeom prst="rect">
                      <a:avLst/>
                    </a:prstGeom>
                    <a:noFill/>
                    <a:ln w="9525">
                      <a:noFill/>
                    </a:ln>
                  </pic:spPr>
                </pic:pic>
              </a:graphicData>
            </a:graphic>
          </wp:inline>
        </w:drawing>
      </w:r>
    </w:p>
    <w:p w14:paraId="2C7EA620" w14:textId="77777777" w:rsidR="004F39F6" w:rsidRDefault="00731C67">
      <w:pPr>
        <w:widowControl/>
        <w:jc w:val="center"/>
        <w:rPr>
          <w:sz w:val="24"/>
        </w:rPr>
      </w:pPr>
      <w:r>
        <w:rPr>
          <w:noProof/>
          <w:kern w:val="0"/>
          <w:sz w:val="24"/>
          <w:lang w:bidi="ar"/>
        </w:rPr>
        <w:drawing>
          <wp:inline distT="0" distB="0" distL="114300" distR="114300" wp14:anchorId="1105DFF6" wp14:editId="296DACDF">
            <wp:extent cx="4942840" cy="998220"/>
            <wp:effectExtent l="0" t="0" r="10160" b="508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30"/>
                    <a:stretch>
                      <a:fillRect/>
                    </a:stretch>
                  </pic:blipFill>
                  <pic:spPr>
                    <a:xfrm>
                      <a:off x="0" y="0"/>
                      <a:ext cx="4951371" cy="998220"/>
                    </a:xfrm>
                    <a:prstGeom prst="rect">
                      <a:avLst/>
                    </a:prstGeom>
                    <a:noFill/>
                    <a:ln w="9525">
                      <a:noFill/>
                    </a:ln>
                  </pic:spPr>
                </pic:pic>
              </a:graphicData>
            </a:graphic>
          </wp:inline>
        </w:drawing>
      </w:r>
    </w:p>
    <w:p w14:paraId="11B7E60E" w14:textId="77777777" w:rsidR="004F39F6" w:rsidRDefault="00731C67">
      <w:pPr>
        <w:spacing w:line="360" w:lineRule="auto"/>
        <w:rPr>
          <w:sz w:val="24"/>
        </w:rPr>
      </w:pPr>
      <w:r>
        <w:rPr>
          <w:sz w:val="24"/>
        </w:rPr>
        <w:t xml:space="preserve">3  </w:t>
      </w:r>
      <w:r>
        <w:rPr>
          <w:sz w:val="24"/>
        </w:rPr>
        <w:t>抵抗环境胁迫</w:t>
      </w:r>
    </w:p>
    <w:p w14:paraId="5701650D" w14:textId="77777777" w:rsidR="004F39F6" w:rsidRDefault="00731C67">
      <w:pPr>
        <w:spacing w:line="360" w:lineRule="auto"/>
        <w:ind w:firstLineChars="200" w:firstLine="480"/>
        <w:rPr>
          <w:sz w:val="24"/>
        </w:rPr>
      </w:pPr>
      <w:r>
        <w:rPr>
          <w:sz w:val="24"/>
        </w:rPr>
        <w:t>由于养殖环境复杂多变，甲壳类动物往往面临环境盐度、温度和氨氮变化等的胁迫。其中，渗透压调节能力是甲壳类养殖成功的重要因素</w:t>
      </w:r>
      <w:r>
        <w:rPr>
          <w:sz w:val="24"/>
          <w:vertAlign w:val="superscript"/>
        </w:rPr>
        <w:t>[32]</w:t>
      </w:r>
      <w:r>
        <w:rPr>
          <w:sz w:val="24"/>
        </w:rPr>
        <w:t>。相比较于脊椎动物，甲壳类动物体内含有较高的游离氨基酸，主要为甘氨酸、谷氨酸、丙氨酸、精氨酸和牛磺酸</w:t>
      </w:r>
      <w:r>
        <w:rPr>
          <w:sz w:val="24"/>
          <w:vertAlign w:val="superscript"/>
        </w:rPr>
        <w:t>[33,34]</w:t>
      </w:r>
      <w:r>
        <w:rPr>
          <w:sz w:val="24"/>
        </w:rPr>
        <w:t>。研究证实，血淋巴游离氨基酸水平会随着外界应激条件刺激而产生变动</w:t>
      </w:r>
      <w:r>
        <w:rPr>
          <w:sz w:val="24"/>
          <w:vertAlign w:val="superscript"/>
        </w:rPr>
        <w:t>[31]</w:t>
      </w:r>
      <w:r>
        <w:rPr>
          <w:sz w:val="24"/>
        </w:rPr>
        <w:t>。值得注意的是，游离谷氨酸、脯氨酸、甘氨酸、丙氨酸、牛磺酸和精氨酸已被证明是海洋无脊椎动物渗透</w:t>
      </w:r>
      <w:r>
        <w:rPr>
          <w:sz w:val="24"/>
        </w:rPr>
        <w:t>压调节的重要物质</w:t>
      </w:r>
      <w:r>
        <w:rPr>
          <w:sz w:val="24"/>
          <w:vertAlign w:val="superscript"/>
        </w:rPr>
        <w:t>[35-39]</w:t>
      </w:r>
      <w:r>
        <w:rPr>
          <w:sz w:val="24"/>
        </w:rPr>
        <w:t>。例如，对三疣梭子蟹（</w:t>
      </w:r>
      <w:proofErr w:type="spellStart"/>
      <w:r>
        <w:rPr>
          <w:i/>
          <w:iCs/>
          <w:sz w:val="24"/>
        </w:rPr>
        <w:t>Portunus</w:t>
      </w:r>
      <w:proofErr w:type="spellEnd"/>
      <w:r>
        <w:rPr>
          <w:i/>
          <w:iCs/>
          <w:sz w:val="24"/>
        </w:rPr>
        <w:t xml:space="preserve"> </w:t>
      </w:r>
      <w:proofErr w:type="spellStart"/>
      <w:r>
        <w:rPr>
          <w:i/>
          <w:iCs/>
          <w:sz w:val="24"/>
        </w:rPr>
        <w:t>trituberculatus</w:t>
      </w:r>
      <w:proofErr w:type="spellEnd"/>
      <w:r>
        <w:rPr>
          <w:sz w:val="24"/>
        </w:rPr>
        <w:t>）的研究表明，体内游离氨基酸（主要包括丙氨酸、甘氨酸、天冬氨酸和谷氨酸）在适应环境盐度骤变中发挥着重要的作用</w:t>
      </w:r>
      <w:r>
        <w:rPr>
          <w:sz w:val="24"/>
          <w:vertAlign w:val="superscript"/>
        </w:rPr>
        <w:t>[40]</w:t>
      </w:r>
      <w:r>
        <w:rPr>
          <w:sz w:val="24"/>
        </w:rPr>
        <w:t>。有研究表明，适当提高饲料蛋白水平是应对盐度应激的有效办法</w:t>
      </w:r>
      <w:r>
        <w:rPr>
          <w:sz w:val="24"/>
          <w:vertAlign w:val="superscript"/>
        </w:rPr>
        <w:t>[41]</w:t>
      </w:r>
      <w:r>
        <w:rPr>
          <w:sz w:val="24"/>
        </w:rPr>
        <w:t>。南美白对虾</w:t>
      </w:r>
      <w:r>
        <w:rPr>
          <w:sz w:val="24"/>
        </w:rPr>
        <w:t>(</w:t>
      </w:r>
      <w:proofErr w:type="spellStart"/>
      <w:r>
        <w:rPr>
          <w:i/>
          <w:iCs/>
          <w:sz w:val="24"/>
        </w:rPr>
        <w:t>Litopenaeus</w:t>
      </w:r>
      <w:proofErr w:type="spellEnd"/>
      <w:r>
        <w:rPr>
          <w:i/>
          <w:iCs/>
          <w:sz w:val="24"/>
        </w:rPr>
        <w:t xml:space="preserve"> </w:t>
      </w:r>
      <w:proofErr w:type="spellStart"/>
      <w:r>
        <w:rPr>
          <w:i/>
          <w:iCs/>
          <w:sz w:val="24"/>
        </w:rPr>
        <w:t>vannamei</w:t>
      </w:r>
      <w:proofErr w:type="spellEnd"/>
      <w:r>
        <w:rPr>
          <w:sz w:val="24"/>
        </w:rPr>
        <w:t>)</w:t>
      </w:r>
      <w:r>
        <w:rPr>
          <w:sz w:val="24"/>
        </w:rPr>
        <w:t>幼虾投喂含有额外添加的</w:t>
      </w:r>
      <w:r>
        <w:rPr>
          <w:sz w:val="24"/>
        </w:rPr>
        <w:t>2.26 %-2.70 %</w:t>
      </w:r>
      <w:r>
        <w:rPr>
          <w:sz w:val="24"/>
        </w:rPr>
        <w:t>甘氨酸能够有效提高急性盐度刺激下的存活率</w:t>
      </w:r>
      <w:r>
        <w:rPr>
          <w:sz w:val="24"/>
          <w:vertAlign w:val="superscript"/>
        </w:rPr>
        <w:t>[42]</w:t>
      </w:r>
      <w:r>
        <w:rPr>
          <w:sz w:val="24"/>
        </w:rPr>
        <w:t>。在应激条件下，动物往往需要更多能量去适应新的生活环境。作为甲壳类动物重要的能</w:t>
      </w:r>
      <w:r>
        <w:rPr>
          <w:sz w:val="24"/>
        </w:rPr>
        <w:t>量物质，氨基酸在抵抗其它应激中也扮演着比较重要的作用。过去研究结果表明，氨基酸在提升甲壳类抵抗其它各类胁迫（如低温、饥饿和高氨氮）过程中扮演着重要的角色</w:t>
      </w:r>
      <w:r>
        <w:rPr>
          <w:sz w:val="24"/>
          <w:vertAlign w:val="superscript"/>
        </w:rPr>
        <w:t>[36,43-45]</w:t>
      </w:r>
      <w:r>
        <w:rPr>
          <w:sz w:val="24"/>
        </w:rPr>
        <w:t>。例如，高温与氨氮复合胁迫对南美白对虾游离氨基酸含量影响显著，从而造成南美白对虾渗透压生理调节功能紊乱</w:t>
      </w:r>
      <w:r>
        <w:rPr>
          <w:sz w:val="24"/>
          <w:vertAlign w:val="superscript"/>
        </w:rPr>
        <w:t>[38]</w:t>
      </w:r>
      <w:r>
        <w:rPr>
          <w:sz w:val="24"/>
        </w:rPr>
        <w:t>。此外，肝胰腺中脯氨酸和丙氨酸</w:t>
      </w:r>
      <w:r>
        <w:rPr>
          <w:sz w:val="24"/>
        </w:rPr>
        <w:lastRenderedPageBreak/>
        <w:t>的积累是甲壳</w:t>
      </w:r>
      <w:proofErr w:type="gramStart"/>
      <w:r>
        <w:rPr>
          <w:sz w:val="24"/>
        </w:rPr>
        <w:t>类适应</w:t>
      </w:r>
      <w:proofErr w:type="gramEnd"/>
      <w:r>
        <w:rPr>
          <w:sz w:val="24"/>
        </w:rPr>
        <w:t>低温胁迫的主要手段之一</w:t>
      </w:r>
      <w:r>
        <w:rPr>
          <w:sz w:val="24"/>
          <w:vertAlign w:val="superscript"/>
        </w:rPr>
        <w:t>[46-48]</w:t>
      </w:r>
      <w:r>
        <w:rPr>
          <w:sz w:val="24"/>
        </w:rPr>
        <w:t>。对南美白对虾</w:t>
      </w:r>
      <w:r>
        <w:rPr>
          <w:sz w:val="24"/>
        </w:rPr>
        <w:t>(</w:t>
      </w:r>
      <w:r>
        <w:rPr>
          <w:i/>
          <w:iCs/>
          <w:sz w:val="24"/>
        </w:rPr>
        <w:t xml:space="preserve">L. </w:t>
      </w:r>
      <w:proofErr w:type="spellStart"/>
      <w:r>
        <w:rPr>
          <w:i/>
          <w:iCs/>
          <w:sz w:val="24"/>
        </w:rPr>
        <w:t>vannamei</w:t>
      </w:r>
      <w:proofErr w:type="spellEnd"/>
      <w:r>
        <w:rPr>
          <w:sz w:val="24"/>
        </w:rPr>
        <w:t>)</w:t>
      </w:r>
      <w:r>
        <w:rPr>
          <w:sz w:val="24"/>
        </w:rPr>
        <w:t>的研究表明，低鱼粉基础饲料通过添加额外脯氨酸提升饲料脯氨酸从</w:t>
      </w:r>
      <w:r>
        <w:rPr>
          <w:sz w:val="24"/>
        </w:rPr>
        <w:t>2.02 %</w:t>
      </w:r>
      <w:r>
        <w:rPr>
          <w:sz w:val="24"/>
        </w:rPr>
        <w:t>至</w:t>
      </w:r>
      <w:r>
        <w:rPr>
          <w:sz w:val="24"/>
        </w:rPr>
        <w:t>2.6 %</w:t>
      </w:r>
      <w:r>
        <w:rPr>
          <w:sz w:val="24"/>
        </w:rPr>
        <w:t>能够显著性增加幼虾</w:t>
      </w:r>
      <w:proofErr w:type="gramStart"/>
      <w:r>
        <w:rPr>
          <w:sz w:val="24"/>
        </w:rPr>
        <w:t>抵御</w:t>
      </w:r>
      <w:r>
        <w:rPr>
          <w:sz w:val="24"/>
        </w:rPr>
        <w:t>高</w:t>
      </w:r>
      <w:proofErr w:type="gramEnd"/>
      <w:r>
        <w:rPr>
          <w:sz w:val="24"/>
        </w:rPr>
        <w:t>氨氮环境</w:t>
      </w:r>
      <w:r>
        <w:rPr>
          <w:sz w:val="24"/>
          <w:vertAlign w:val="superscript"/>
        </w:rPr>
        <w:t>[49]</w:t>
      </w:r>
      <w:r>
        <w:rPr>
          <w:sz w:val="24"/>
        </w:rPr>
        <w:t>。由此可见，氨基酸作为能量和渗透压调节物质在抵御各种胁迫中发挥重要的作用。</w:t>
      </w:r>
    </w:p>
    <w:p w14:paraId="6B8E85E0" w14:textId="77777777" w:rsidR="004F39F6" w:rsidRDefault="00731C67">
      <w:pPr>
        <w:spacing w:line="360" w:lineRule="auto"/>
        <w:rPr>
          <w:sz w:val="24"/>
        </w:rPr>
      </w:pPr>
      <w:r>
        <w:rPr>
          <w:sz w:val="24"/>
        </w:rPr>
        <w:t xml:space="preserve">4  </w:t>
      </w:r>
      <w:proofErr w:type="gramStart"/>
      <w:r>
        <w:rPr>
          <w:sz w:val="24"/>
        </w:rPr>
        <w:t>诱</w:t>
      </w:r>
      <w:proofErr w:type="gramEnd"/>
      <w:r>
        <w:rPr>
          <w:sz w:val="24"/>
        </w:rPr>
        <w:t>食剂</w:t>
      </w:r>
    </w:p>
    <w:p w14:paraId="55B2E0A1" w14:textId="77777777" w:rsidR="004F39F6" w:rsidRDefault="00731C67">
      <w:pPr>
        <w:spacing w:line="360" w:lineRule="auto"/>
        <w:ind w:firstLineChars="200" w:firstLine="480"/>
        <w:rPr>
          <w:sz w:val="24"/>
        </w:rPr>
      </w:pPr>
      <w:r>
        <w:rPr>
          <w:sz w:val="24"/>
        </w:rPr>
        <w:t>游离氨基酸已被证明是鱼虾的重要</w:t>
      </w:r>
      <w:proofErr w:type="gramStart"/>
      <w:r>
        <w:rPr>
          <w:sz w:val="24"/>
        </w:rPr>
        <w:t>诱</w:t>
      </w:r>
      <w:proofErr w:type="gramEnd"/>
      <w:r>
        <w:rPr>
          <w:sz w:val="24"/>
        </w:rPr>
        <w:t>食剂。例如，真龙虾（</w:t>
      </w:r>
      <w:proofErr w:type="spellStart"/>
      <w:r>
        <w:rPr>
          <w:i/>
          <w:iCs/>
          <w:sz w:val="24"/>
        </w:rPr>
        <w:t>Panulirus</w:t>
      </w:r>
      <w:proofErr w:type="spellEnd"/>
      <w:r>
        <w:rPr>
          <w:i/>
          <w:iCs/>
          <w:sz w:val="24"/>
        </w:rPr>
        <w:t xml:space="preserve"> argus</w:t>
      </w:r>
      <w:r>
        <w:rPr>
          <w:sz w:val="24"/>
        </w:rPr>
        <w:t>）的嗅觉和味觉对牛磺酸及其衍生物非常敏感</w:t>
      </w:r>
      <w:r>
        <w:rPr>
          <w:sz w:val="24"/>
          <w:vertAlign w:val="superscript"/>
        </w:rPr>
        <w:t>[51]</w:t>
      </w:r>
      <w:r>
        <w:rPr>
          <w:sz w:val="24"/>
        </w:rPr>
        <w:t>。对罗氏沼虾的研究表明，复合氨基酸（甘氨酸</w:t>
      </w:r>
      <w:r>
        <w:rPr>
          <w:sz w:val="24"/>
        </w:rPr>
        <w:t>+</w:t>
      </w:r>
      <w:r>
        <w:rPr>
          <w:sz w:val="24"/>
        </w:rPr>
        <w:t>丙氨酸）的</w:t>
      </w:r>
      <w:proofErr w:type="gramStart"/>
      <w:r>
        <w:rPr>
          <w:sz w:val="24"/>
        </w:rPr>
        <w:t>诱</w:t>
      </w:r>
      <w:proofErr w:type="gramEnd"/>
      <w:r>
        <w:rPr>
          <w:sz w:val="24"/>
        </w:rPr>
        <w:t>食效果好于单一氨基酸和中草药，且氨基酸类</w:t>
      </w:r>
      <w:proofErr w:type="gramStart"/>
      <w:r>
        <w:rPr>
          <w:sz w:val="24"/>
        </w:rPr>
        <w:t>诱食剂比中草药</w:t>
      </w:r>
      <w:proofErr w:type="gramEnd"/>
      <w:r>
        <w:rPr>
          <w:sz w:val="24"/>
        </w:rPr>
        <w:t>更有助于提高罗氏沼虾肝胰腺消化酶的活性</w:t>
      </w:r>
      <w:r>
        <w:rPr>
          <w:sz w:val="24"/>
          <w:vertAlign w:val="superscript"/>
        </w:rPr>
        <w:t>[52]</w:t>
      </w:r>
      <w:r>
        <w:rPr>
          <w:sz w:val="24"/>
        </w:rPr>
        <w:t>。对中华绒</w:t>
      </w:r>
      <w:proofErr w:type="gramStart"/>
      <w:r>
        <w:rPr>
          <w:sz w:val="24"/>
        </w:rPr>
        <w:t>螯</w:t>
      </w:r>
      <w:proofErr w:type="gramEnd"/>
      <w:r>
        <w:rPr>
          <w:sz w:val="24"/>
        </w:rPr>
        <w:t>蟹</w:t>
      </w:r>
      <w:r>
        <w:rPr>
          <w:sz w:val="24"/>
        </w:rPr>
        <w:t>(</w:t>
      </w:r>
      <w:proofErr w:type="spellStart"/>
      <w:r>
        <w:rPr>
          <w:i/>
          <w:iCs/>
          <w:sz w:val="24"/>
        </w:rPr>
        <w:t>Eriocheir</w:t>
      </w:r>
      <w:proofErr w:type="spellEnd"/>
      <w:r>
        <w:rPr>
          <w:i/>
          <w:iCs/>
          <w:sz w:val="24"/>
        </w:rPr>
        <w:t xml:space="preserve"> sinensis</w:t>
      </w:r>
      <w:r>
        <w:rPr>
          <w:sz w:val="24"/>
        </w:rPr>
        <w:t>)</w:t>
      </w:r>
      <w:r>
        <w:rPr>
          <w:sz w:val="24"/>
        </w:rPr>
        <w:t>的研究表明，各个单体氨基酸（苯丙氨酸除外）都具有一定的</w:t>
      </w:r>
      <w:proofErr w:type="gramStart"/>
      <w:r>
        <w:rPr>
          <w:sz w:val="24"/>
        </w:rPr>
        <w:t>诱</w:t>
      </w:r>
      <w:proofErr w:type="gramEnd"/>
      <w:r>
        <w:rPr>
          <w:sz w:val="24"/>
        </w:rPr>
        <w:t>食效果</w:t>
      </w:r>
      <w:r>
        <w:rPr>
          <w:sz w:val="24"/>
          <w:vertAlign w:val="superscript"/>
        </w:rPr>
        <w:t>[</w:t>
      </w:r>
      <w:r>
        <w:rPr>
          <w:sz w:val="24"/>
          <w:vertAlign w:val="superscript"/>
        </w:rPr>
        <w:t>53]</w:t>
      </w:r>
      <w:r>
        <w:rPr>
          <w:sz w:val="24"/>
        </w:rPr>
        <w:t>。值得注意的是，同一氨基酸其在不同种类中的刺激性有一定差别，甚至起到相反的作用。因此，相关氨基酸的</w:t>
      </w:r>
      <w:proofErr w:type="gramStart"/>
      <w:r>
        <w:rPr>
          <w:sz w:val="24"/>
        </w:rPr>
        <w:t>诱</w:t>
      </w:r>
      <w:proofErr w:type="gramEnd"/>
      <w:r>
        <w:rPr>
          <w:sz w:val="24"/>
        </w:rPr>
        <w:t>食性在不同甲壳类养殖品种中应该谨慎对待。此外，酵母粉、乌贼膏、</w:t>
      </w:r>
      <w:proofErr w:type="gramStart"/>
      <w:r>
        <w:rPr>
          <w:sz w:val="24"/>
        </w:rPr>
        <w:t>鱼溶浆</w:t>
      </w:r>
      <w:proofErr w:type="gramEnd"/>
      <w:r>
        <w:rPr>
          <w:sz w:val="24"/>
        </w:rPr>
        <w:t>、磷虾粉等也被认为具有较好的</w:t>
      </w:r>
      <w:proofErr w:type="gramStart"/>
      <w:r>
        <w:rPr>
          <w:sz w:val="24"/>
        </w:rPr>
        <w:t>诱</w:t>
      </w:r>
      <w:proofErr w:type="gramEnd"/>
      <w:r>
        <w:rPr>
          <w:sz w:val="24"/>
        </w:rPr>
        <w:t>食效果</w:t>
      </w:r>
      <w:r>
        <w:rPr>
          <w:sz w:val="24"/>
          <w:vertAlign w:val="superscript"/>
        </w:rPr>
        <w:t>[54]</w:t>
      </w:r>
      <w:r>
        <w:rPr>
          <w:sz w:val="24"/>
        </w:rPr>
        <w:t>，可以和氨基酸配合使用。另一方面，虽然很多原料或氨基酸对幼虾有较好的摄食刺激性，但考虑到加工加热等因素，可能导致有效游离氨基酸减少，作用减弱。相关研究表明，乌贼粉和</w:t>
      </w:r>
      <w:proofErr w:type="gramStart"/>
      <w:r>
        <w:rPr>
          <w:sz w:val="24"/>
        </w:rPr>
        <w:t>乌贼膏对南美</w:t>
      </w:r>
      <w:proofErr w:type="gramEnd"/>
      <w:r>
        <w:rPr>
          <w:sz w:val="24"/>
        </w:rPr>
        <w:t>白对虾</w:t>
      </w:r>
      <w:r>
        <w:rPr>
          <w:sz w:val="24"/>
        </w:rPr>
        <w:t>(</w:t>
      </w:r>
      <w:r>
        <w:rPr>
          <w:i/>
          <w:iCs/>
          <w:sz w:val="24"/>
        </w:rPr>
        <w:t xml:space="preserve">L. </w:t>
      </w:r>
      <w:proofErr w:type="spellStart"/>
      <w:r>
        <w:rPr>
          <w:i/>
          <w:iCs/>
          <w:sz w:val="24"/>
        </w:rPr>
        <w:t>vannamei</w:t>
      </w:r>
      <w:proofErr w:type="spellEnd"/>
      <w:r>
        <w:rPr>
          <w:sz w:val="24"/>
        </w:rPr>
        <w:t>)</w:t>
      </w:r>
      <w:r>
        <w:rPr>
          <w:sz w:val="24"/>
        </w:rPr>
        <w:t>摄食无显著性提高</w:t>
      </w:r>
      <w:r>
        <w:rPr>
          <w:sz w:val="24"/>
          <w:vertAlign w:val="superscript"/>
        </w:rPr>
        <w:t>[55]</w:t>
      </w:r>
      <w:r>
        <w:rPr>
          <w:sz w:val="24"/>
        </w:rPr>
        <w:t>，这可能与饲料加工方式有关。国外研究者基于氨基酸</w:t>
      </w:r>
      <w:proofErr w:type="gramStart"/>
      <w:r>
        <w:rPr>
          <w:sz w:val="24"/>
        </w:rPr>
        <w:t>诱</w:t>
      </w:r>
      <w:proofErr w:type="gramEnd"/>
      <w:r>
        <w:rPr>
          <w:sz w:val="24"/>
        </w:rPr>
        <w:t>食性原理，利</w:t>
      </w:r>
      <w:r>
        <w:rPr>
          <w:sz w:val="24"/>
        </w:rPr>
        <w:t>用金枪鱼副产品水解物加粘合剂与已完成制粒的饲料搅拌混匀，然后投喂南美白对虾，</w:t>
      </w:r>
      <w:proofErr w:type="gramStart"/>
      <w:r>
        <w:rPr>
          <w:sz w:val="24"/>
        </w:rPr>
        <w:t>诱</w:t>
      </w:r>
      <w:proofErr w:type="gramEnd"/>
      <w:r>
        <w:rPr>
          <w:sz w:val="24"/>
        </w:rPr>
        <w:t>食效果明显</w:t>
      </w:r>
      <w:r>
        <w:rPr>
          <w:sz w:val="24"/>
          <w:vertAlign w:val="superscript"/>
        </w:rPr>
        <w:t>[56]</w:t>
      </w:r>
      <w:r>
        <w:rPr>
          <w:sz w:val="24"/>
        </w:rPr>
        <w:t>。氨基酸的</w:t>
      </w:r>
      <w:proofErr w:type="gramStart"/>
      <w:r>
        <w:rPr>
          <w:sz w:val="24"/>
        </w:rPr>
        <w:t>诱食作用</w:t>
      </w:r>
      <w:proofErr w:type="gramEnd"/>
      <w:r>
        <w:rPr>
          <w:sz w:val="24"/>
        </w:rPr>
        <w:t>也可能与养殖动物消化能力的提升有关。例如，微胶囊和晶体蛋氨酸有助于提高南美白对虾</w:t>
      </w:r>
      <w:r>
        <w:rPr>
          <w:sz w:val="24"/>
        </w:rPr>
        <w:t>(</w:t>
      </w:r>
      <w:r>
        <w:rPr>
          <w:i/>
          <w:iCs/>
          <w:sz w:val="24"/>
        </w:rPr>
        <w:t xml:space="preserve">L. </w:t>
      </w:r>
      <w:proofErr w:type="spellStart"/>
      <w:r>
        <w:rPr>
          <w:i/>
          <w:iCs/>
          <w:sz w:val="24"/>
        </w:rPr>
        <w:t>vannamei</w:t>
      </w:r>
      <w:proofErr w:type="spellEnd"/>
      <w:r>
        <w:rPr>
          <w:sz w:val="24"/>
        </w:rPr>
        <w:t>)</w:t>
      </w:r>
      <w:r>
        <w:rPr>
          <w:sz w:val="24"/>
        </w:rPr>
        <w:t>肝胰腺蛋白酶的活性</w:t>
      </w:r>
      <w:r>
        <w:rPr>
          <w:sz w:val="24"/>
          <w:vertAlign w:val="superscript"/>
        </w:rPr>
        <w:t>[57]</w:t>
      </w:r>
      <w:r>
        <w:rPr>
          <w:sz w:val="24"/>
        </w:rPr>
        <w:t>。</w:t>
      </w:r>
    </w:p>
    <w:p w14:paraId="4A605CE0" w14:textId="77777777" w:rsidR="004F39F6" w:rsidRDefault="00731C67">
      <w:pPr>
        <w:spacing w:line="360" w:lineRule="auto"/>
        <w:rPr>
          <w:sz w:val="24"/>
        </w:rPr>
      </w:pPr>
      <w:r>
        <w:rPr>
          <w:sz w:val="24"/>
        </w:rPr>
        <w:t xml:space="preserve">5  </w:t>
      </w:r>
      <w:r>
        <w:rPr>
          <w:sz w:val="24"/>
        </w:rPr>
        <w:t>提高免疫力和抗氧化性</w:t>
      </w:r>
    </w:p>
    <w:p w14:paraId="6DD7D5CA" w14:textId="77777777" w:rsidR="004F39F6" w:rsidRDefault="00731C67">
      <w:pPr>
        <w:spacing w:line="360" w:lineRule="auto"/>
        <w:ind w:firstLineChars="200" w:firstLine="480"/>
        <w:rPr>
          <w:sz w:val="24"/>
        </w:rPr>
      </w:pPr>
      <w:r>
        <w:rPr>
          <w:sz w:val="24"/>
        </w:rPr>
        <w:t>环境胁迫可造成甲壳类的免疫力降低和机体自由基代谢紊乱。氨基酸作为细胞和组织的主要营养成分，在维护动物的免疫力和抗氧化中发挥着重要的作用</w:t>
      </w:r>
      <w:r>
        <w:rPr>
          <w:sz w:val="24"/>
          <w:vertAlign w:val="superscript"/>
        </w:rPr>
        <w:t>[58,59]</w:t>
      </w:r>
      <w:r>
        <w:rPr>
          <w:sz w:val="24"/>
        </w:rPr>
        <w:t>。甲壳</w:t>
      </w:r>
      <w:proofErr w:type="gramStart"/>
      <w:r>
        <w:rPr>
          <w:sz w:val="24"/>
        </w:rPr>
        <w:t>类没有</w:t>
      </w:r>
      <w:proofErr w:type="gramEnd"/>
      <w:r>
        <w:rPr>
          <w:sz w:val="24"/>
        </w:rPr>
        <w:t>特异性免疫系统，而主要依赖非特异性免疫系统抵抗病菌的侵入</w:t>
      </w:r>
      <w:r>
        <w:rPr>
          <w:sz w:val="24"/>
          <w:vertAlign w:val="superscript"/>
        </w:rPr>
        <w:t>[60]</w:t>
      </w:r>
      <w:r>
        <w:rPr>
          <w:sz w:val="24"/>
        </w:rPr>
        <w:t>。研究表明</w:t>
      </w:r>
      <w:r>
        <w:rPr>
          <w:sz w:val="24"/>
        </w:rPr>
        <w:t>，南美白对虾</w:t>
      </w:r>
      <w:r>
        <w:rPr>
          <w:sz w:val="24"/>
        </w:rPr>
        <w:t>(</w:t>
      </w:r>
      <w:r>
        <w:rPr>
          <w:i/>
          <w:iCs/>
          <w:sz w:val="24"/>
        </w:rPr>
        <w:t xml:space="preserve">L. </w:t>
      </w:r>
      <w:proofErr w:type="spellStart"/>
      <w:r>
        <w:rPr>
          <w:i/>
          <w:iCs/>
          <w:sz w:val="24"/>
        </w:rPr>
        <w:t>vannamei</w:t>
      </w:r>
      <w:proofErr w:type="spellEnd"/>
      <w:r>
        <w:rPr>
          <w:sz w:val="24"/>
        </w:rPr>
        <w:t>)</w:t>
      </w:r>
      <w:r>
        <w:rPr>
          <w:sz w:val="24"/>
        </w:rPr>
        <w:t>受弧菌感染后，各个组织的氨基酸代谢得到一定改变以应对感染后能量需求的增加。例如，酪氨酸在鳃和肝胰腺中的代谢均表现出显着变化</w:t>
      </w:r>
      <w:r>
        <w:rPr>
          <w:sz w:val="24"/>
          <w:vertAlign w:val="superscript"/>
        </w:rPr>
        <w:t>[61]</w:t>
      </w:r>
      <w:r>
        <w:rPr>
          <w:sz w:val="24"/>
        </w:rPr>
        <w:t>。目前关于各个氨基酸在甲壳类动物中的作用尚未全面展开，但个别报道已证实相关氨基酸具有一定增加免疫的作用。例如，精氨酸代谢可产生</w:t>
      </w:r>
      <w:r>
        <w:rPr>
          <w:sz w:val="24"/>
        </w:rPr>
        <w:t>NO</w:t>
      </w:r>
      <w:r>
        <w:rPr>
          <w:sz w:val="24"/>
        </w:rPr>
        <w:t>、多胺和磷酸精氨酸，能够提高机体免疫力</w:t>
      </w:r>
      <w:r>
        <w:rPr>
          <w:sz w:val="24"/>
          <w:vertAlign w:val="superscript"/>
        </w:rPr>
        <w:t>[28]</w:t>
      </w:r>
      <w:r>
        <w:rPr>
          <w:sz w:val="24"/>
        </w:rPr>
        <w:t>。对南美白对虾</w:t>
      </w:r>
      <w:r>
        <w:rPr>
          <w:sz w:val="24"/>
        </w:rPr>
        <w:t>(</w:t>
      </w:r>
      <w:r>
        <w:rPr>
          <w:i/>
          <w:iCs/>
          <w:sz w:val="24"/>
        </w:rPr>
        <w:t xml:space="preserve">L. </w:t>
      </w:r>
      <w:proofErr w:type="spellStart"/>
      <w:r>
        <w:rPr>
          <w:i/>
          <w:iCs/>
          <w:sz w:val="24"/>
        </w:rPr>
        <w:t>vannamei</w:t>
      </w:r>
      <w:proofErr w:type="spellEnd"/>
      <w:r>
        <w:rPr>
          <w:sz w:val="24"/>
        </w:rPr>
        <w:t>)</w:t>
      </w:r>
      <w:r>
        <w:rPr>
          <w:sz w:val="24"/>
        </w:rPr>
        <w:t>的研究表明，</w:t>
      </w:r>
      <w:r>
        <w:rPr>
          <w:sz w:val="24"/>
        </w:rPr>
        <w:t>NO</w:t>
      </w:r>
      <w:proofErr w:type="gramStart"/>
      <w:r>
        <w:rPr>
          <w:sz w:val="24"/>
        </w:rPr>
        <w:t>介</w:t>
      </w:r>
      <w:proofErr w:type="gramEnd"/>
      <w:r>
        <w:rPr>
          <w:sz w:val="24"/>
        </w:rPr>
        <w:t>导的信号传导可能在应对高温胁迫中起着重要作用</w:t>
      </w:r>
      <w:r>
        <w:rPr>
          <w:sz w:val="24"/>
          <w:vertAlign w:val="superscript"/>
        </w:rPr>
        <w:t>[19]</w:t>
      </w:r>
      <w:r>
        <w:rPr>
          <w:sz w:val="24"/>
        </w:rPr>
        <w:t>。对中华绒</w:t>
      </w:r>
      <w:proofErr w:type="gramStart"/>
      <w:r>
        <w:rPr>
          <w:sz w:val="24"/>
        </w:rPr>
        <w:t>螯</w:t>
      </w:r>
      <w:proofErr w:type="gramEnd"/>
      <w:r>
        <w:rPr>
          <w:sz w:val="24"/>
        </w:rPr>
        <w:t>蟹</w:t>
      </w:r>
      <w:r>
        <w:rPr>
          <w:sz w:val="24"/>
        </w:rPr>
        <w:t>(</w:t>
      </w:r>
      <w:r>
        <w:rPr>
          <w:i/>
          <w:iCs/>
          <w:sz w:val="24"/>
        </w:rPr>
        <w:t>E. sinensis</w:t>
      </w:r>
      <w:r>
        <w:rPr>
          <w:sz w:val="24"/>
        </w:rPr>
        <w:t>)</w:t>
      </w:r>
      <w:r>
        <w:rPr>
          <w:sz w:val="24"/>
        </w:rPr>
        <w:t>的研究表明，饲料添加</w:t>
      </w:r>
      <w:r>
        <w:rPr>
          <w:sz w:val="24"/>
        </w:rPr>
        <w:t>1 %-2 %</w:t>
      </w:r>
      <w:r>
        <w:rPr>
          <w:sz w:val="24"/>
        </w:rPr>
        <w:t>精氨酸能够提高生长、存活率以及</w:t>
      </w:r>
      <w:r>
        <w:rPr>
          <w:sz w:val="24"/>
        </w:rPr>
        <w:lastRenderedPageBreak/>
        <w:t>抗病力</w:t>
      </w:r>
      <w:r>
        <w:rPr>
          <w:sz w:val="24"/>
          <w:vertAlign w:val="superscript"/>
        </w:rPr>
        <w:t>[31]</w:t>
      </w:r>
      <w:r>
        <w:rPr>
          <w:sz w:val="24"/>
        </w:rPr>
        <w:t>。另一个研究也表明，饲料添加</w:t>
      </w:r>
      <w:r>
        <w:rPr>
          <w:sz w:val="24"/>
        </w:rPr>
        <w:t>0.47 %</w:t>
      </w:r>
      <w:r>
        <w:rPr>
          <w:sz w:val="24"/>
        </w:rPr>
        <w:t>或者</w:t>
      </w:r>
      <w:r>
        <w:rPr>
          <w:sz w:val="24"/>
        </w:rPr>
        <w:t>0.73 %</w:t>
      </w:r>
      <w:r>
        <w:rPr>
          <w:sz w:val="24"/>
        </w:rPr>
        <w:t>的色氨酸能够提高抗病力和存活率</w:t>
      </w:r>
      <w:r>
        <w:rPr>
          <w:sz w:val="24"/>
          <w:vertAlign w:val="superscript"/>
        </w:rPr>
        <w:t>[62]</w:t>
      </w:r>
      <w:r>
        <w:rPr>
          <w:sz w:val="24"/>
        </w:rPr>
        <w:t>。对斑节对虾（</w:t>
      </w:r>
      <w:r>
        <w:rPr>
          <w:i/>
          <w:iCs/>
          <w:sz w:val="24"/>
        </w:rPr>
        <w:t>Penaeus monodon</w:t>
      </w:r>
      <w:r>
        <w:rPr>
          <w:sz w:val="24"/>
        </w:rPr>
        <w:t>）的研究表明，复合植物蛋白源并添加包膜赖氨酸和蛋氨酸可降低饲料中</w:t>
      </w:r>
      <w:r>
        <w:rPr>
          <w:sz w:val="24"/>
        </w:rPr>
        <w:t>20 %</w:t>
      </w:r>
      <w:r>
        <w:rPr>
          <w:sz w:val="24"/>
        </w:rPr>
        <w:t>的鱼粉用量，并增强对虾非特异性免疫力</w:t>
      </w:r>
      <w:r>
        <w:rPr>
          <w:sz w:val="24"/>
          <w:vertAlign w:val="superscript"/>
        </w:rPr>
        <w:t>[63]</w:t>
      </w:r>
      <w:r>
        <w:rPr>
          <w:sz w:val="24"/>
        </w:rPr>
        <w:t>。如表</w:t>
      </w:r>
      <w:r>
        <w:rPr>
          <w:sz w:val="24"/>
        </w:rPr>
        <w:t>2</w:t>
      </w:r>
      <w:r>
        <w:rPr>
          <w:sz w:val="24"/>
        </w:rPr>
        <w:t>所示，近些年已有研究表明，相关传统非必需氨基酸（如甘氨酸、脯氨酸和谷氨酸）以及其代谢产物具有相关功能作用，尤其可提高免疫力和抗应激能力，从而促进生长。考虑到近些年对虾养殖病</w:t>
      </w:r>
      <w:r>
        <w:rPr>
          <w:sz w:val="24"/>
        </w:rPr>
        <w:t>害频发，养殖成功率较低，在原有配方基础之上，适当添加相关功能性氨基酸意义重大。相关研究工作亟待开展。</w:t>
      </w:r>
    </w:p>
    <w:p w14:paraId="0C318D1D" w14:textId="77777777" w:rsidR="004F39F6" w:rsidRDefault="00731C67">
      <w:pPr>
        <w:spacing w:line="360" w:lineRule="auto"/>
        <w:ind w:firstLineChars="200" w:firstLine="480"/>
        <w:rPr>
          <w:sz w:val="24"/>
        </w:rPr>
      </w:pPr>
      <w:r>
        <w:rPr>
          <w:sz w:val="24"/>
        </w:rPr>
        <w:t>活性氧自由基（</w:t>
      </w:r>
      <w:r>
        <w:rPr>
          <w:sz w:val="24"/>
        </w:rPr>
        <w:t>ROS</w:t>
      </w:r>
      <w:r>
        <w:rPr>
          <w:sz w:val="24"/>
        </w:rPr>
        <w:t>）具有很强的化学反应活性，使蛋白质失活，造成生物膜系统和生物结构的损坏，也可引起细胞</w:t>
      </w:r>
      <w:r>
        <w:rPr>
          <w:sz w:val="24"/>
        </w:rPr>
        <w:t>DNA</w:t>
      </w:r>
      <w:r>
        <w:rPr>
          <w:sz w:val="24"/>
        </w:rPr>
        <w:t>，</w:t>
      </w:r>
      <w:r>
        <w:rPr>
          <w:sz w:val="24"/>
        </w:rPr>
        <w:t>RNA</w:t>
      </w:r>
      <w:r>
        <w:rPr>
          <w:sz w:val="24"/>
        </w:rPr>
        <w:t>在结构和功能上的损伤，并进一步造成器官的损害</w:t>
      </w:r>
      <w:r>
        <w:rPr>
          <w:sz w:val="24"/>
          <w:vertAlign w:val="superscript"/>
        </w:rPr>
        <w:t>[64]</w:t>
      </w:r>
      <w:r>
        <w:rPr>
          <w:sz w:val="24"/>
        </w:rPr>
        <w:t>。内源性抗氧化是控制自由基和组织氧化损伤的重要防御体系，主要包括超氧化物歧化酶，谷胱甘肽，谷胱甘肽过氧化物酶，谷胱甘肽还原酶，过氧化氢酶（一种含血红素的酶）和抗氧化性营养素。氨基酸及其衍生物是甲壳类重要的抗氧化剂。例如，谷胱甘肽由谷氨酸，胱</w:t>
      </w:r>
      <w:r>
        <w:rPr>
          <w:sz w:val="24"/>
        </w:rPr>
        <w:t>氨酸和甘氨酸合成，是一种具有较强抗氧化性的营养物质。饲料添加</w:t>
      </w:r>
      <w:r>
        <w:rPr>
          <w:sz w:val="24"/>
        </w:rPr>
        <w:t>0.2g/kg</w:t>
      </w:r>
      <w:r>
        <w:rPr>
          <w:sz w:val="24"/>
        </w:rPr>
        <w:t>谷胱甘肽能够有效提高南美白对虾</w:t>
      </w:r>
      <w:r>
        <w:rPr>
          <w:sz w:val="24"/>
        </w:rPr>
        <w:t>(</w:t>
      </w:r>
      <w:r>
        <w:rPr>
          <w:i/>
          <w:iCs/>
          <w:sz w:val="24"/>
        </w:rPr>
        <w:t xml:space="preserve">L. </w:t>
      </w:r>
      <w:proofErr w:type="spellStart"/>
      <w:r>
        <w:rPr>
          <w:i/>
          <w:iCs/>
          <w:sz w:val="24"/>
        </w:rPr>
        <w:t>vannamei</w:t>
      </w:r>
      <w:proofErr w:type="spellEnd"/>
      <w:r>
        <w:rPr>
          <w:sz w:val="24"/>
        </w:rPr>
        <w:t>)</w:t>
      </w:r>
      <w:r>
        <w:rPr>
          <w:sz w:val="24"/>
        </w:rPr>
        <w:t>免疫力和抗氧化能力</w:t>
      </w:r>
      <w:r>
        <w:rPr>
          <w:sz w:val="24"/>
          <w:vertAlign w:val="superscript"/>
        </w:rPr>
        <w:t>[65]</w:t>
      </w:r>
      <w:r>
        <w:rPr>
          <w:sz w:val="24"/>
        </w:rPr>
        <w:t>。另一个实验研究表明，饲料甘氨酸水平高于</w:t>
      </w:r>
      <w:r>
        <w:rPr>
          <w:sz w:val="24"/>
        </w:rPr>
        <w:t>2.44 %</w:t>
      </w:r>
      <w:r>
        <w:rPr>
          <w:sz w:val="24"/>
        </w:rPr>
        <w:t>能够有效提高对虾</w:t>
      </w:r>
      <w:r>
        <w:rPr>
          <w:sz w:val="24"/>
        </w:rPr>
        <w:t>(</w:t>
      </w:r>
      <w:r>
        <w:rPr>
          <w:i/>
          <w:iCs/>
          <w:sz w:val="24"/>
        </w:rPr>
        <w:t xml:space="preserve">L. </w:t>
      </w:r>
      <w:proofErr w:type="spellStart"/>
      <w:r>
        <w:rPr>
          <w:i/>
          <w:iCs/>
          <w:sz w:val="24"/>
        </w:rPr>
        <w:t>vannamei</w:t>
      </w:r>
      <w:proofErr w:type="spellEnd"/>
      <w:r>
        <w:rPr>
          <w:sz w:val="24"/>
        </w:rPr>
        <w:t>)</w:t>
      </w:r>
      <w:r>
        <w:rPr>
          <w:sz w:val="24"/>
        </w:rPr>
        <w:t>在高盐度刺激下的抗氧化和抗病力</w:t>
      </w:r>
      <w:r>
        <w:rPr>
          <w:sz w:val="24"/>
          <w:vertAlign w:val="superscript"/>
        </w:rPr>
        <w:t>[42]</w:t>
      </w:r>
      <w:r>
        <w:rPr>
          <w:sz w:val="24"/>
        </w:rPr>
        <w:t>。</w:t>
      </w:r>
    </w:p>
    <w:p w14:paraId="63FF4635" w14:textId="77777777" w:rsidR="004F39F6" w:rsidRDefault="00731C67">
      <w:pPr>
        <w:spacing w:line="360" w:lineRule="auto"/>
        <w:rPr>
          <w:sz w:val="24"/>
        </w:rPr>
      </w:pPr>
      <w:r>
        <w:rPr>
          <w:sz w:val="24"/>
        </w:rPr>
        <w:t xml:space="preserve">6  </w:t>
      </w:r>
      <w:r>
        <w:rPr>
          <w:sz w:val="24"/>
        </w:rPr>
        <w:t>提高繁殖和幼体培育</w:t>
      </w:r>
    </w:p>
    <w:p w14:paraId="533553B1" w14:textId="77777777" w:rsidR="004F39F6" w:rsidRDefault="00731C67">
      <w:pPr>
        <w:spacing w:line="360" w:lineRule="auto"/>
        <w:ind w:firstLineChars="200" w:firstLine="480"/>
        <w:rPr>
          <w:sz w:val="24"/>
        </w:rPr>
      </w:pPr>
      <w:r>
        <w:rPr>
          <w:sz w:val="24"/>
        </w:rPr>
        <w:t>已有证据表明氨基酸在性腺发育中扮演重要角色，进而影响甲壳类的繁殖。此外，养殖蟹类的卵巢是重要的可食用部位，其发育好坏也决定了商品的价值。卵黄原蛋白生成是其卵巢发育的重要步骤，该蛋白主要合成于肝胰</w:t>
      </w:r>
      <w:r>
        <w:rPr>
          <w:sz w:val="24"/>
        </w:rPr>
        <w:t>腺和卵巢，受一系列激素调控，并在卵巢积累（图</w:t>
      </w:r>
      <w:r>
        <w:rPr>
          <w:sz w:val="24"/>
        </w:rPr>
        <w:t>1</w:t>
      </w:r>
      <w:r>
        <w:rPr>
          <w:sz w:val="24"/>
        </w:rPr>
        <w:t>）。温为庚等</w:t>
      </w:r>
      <w:r>
        <w:rPr>
          <w:sz w:val="24"/>
          <w:vertAlign w:val="superscript"/>
        </w:rPr>
        <w:t>[66]</w:t>
      </w:r>
      <w:r>
        <w:rPr>
          <w:sz w:val="24"/>
        </w:rPr>
        <w:t>通过分析野生斑节对虾（</w:t>
      </w:r>
      <w:r>
        <w:rPr>
          <w:i/>
          <w:iCs/>
          <w:sz w:val="24"/>
        </w:rPr>
        <w:t>P. monodon</w:t>
      </w:r>
      <w:r>
        <w:rPr>
          <w:sz w:val="24"/>
        </w:rPr>
        <w:t>）卵巢发育过程中不同组织的氨基酸组成发现，随着卵巢发育</w:t>
      </w:r>
      <w:r>
        <w:rPr>
          <w:sz w:val="24"/>
        </w:rPr>
        <w:t>,</w:t>
      </w:r>
      <w:r>
        <w:rPr>
          <w:sz w:val="24"/>
        </w:rPr>
        <w:t>野生斑节对虾卵巢的氨基酸总量逐渐上升，但到临产时下降</w:t>
      </w:r>
      <w:r>
        <w:rPr>
          <w:sz w:val="24"/>
        </w:rPr>
        <w:t>,</w:t>
      </w:r>
      <w:r>
        <w:rPr>
          <w:sz w:val="24"/>
        </w:rPr>
        <w:t>而必需氨基酸总量整体逐渐上升。早期卵巢氨基酸积累主要受大量卵黄蛋白积累影响，而总氨基酸后期下降可能原因之一是大量非必需氨基酸作为能源被消耗。通过同位素示踪技术，我们在蓝蟹（</w:t>
      </w:r>
      <w:r>
        <w:rPr>
          <w:i/>
          <w:iCs/>
          <w:sz w:val="24"/>
        </w:rPr>
        <w:t>Callinectes sapidus</w:t>
      </w:r>
      <w:r>
        <w:rPr>
          <w:sz w:val="24"/>
        </w:rPr>
        <w:t>）中的研究（相关数据暂未发表）表明，谷氨酸和天冬氨酸在卵巢中的氧化效率分别为</w:t>
      </w:r>
      <w:r>
        <w:rPr>
          <w:sz w:val="24"/>
        </w:rPr>
        <w:t>5.62</w:t>
      </w:r>
      <w:r>
        <w:rPr>
          <w:sz w:val="24"/>
        </w:rPr>
        <w:t>和</w:t>
      </w:r>
      <w:r>
        <w:rPr>
          <w:sz w:val="24"/>
        </w:rPr>
        <w:t>2.09nmolCO2/mg</w:t>
      </w:r>
      <w:r>
        <w:rPr>
          <w:sz w:val="24"/>
        </w:rPr>
        <w:t>组织每</w:t>
      </w:r>
      <w:r>
        <w:rPr>
          <w:sz w:val="24"/>
        </w:rPr>
        <w:t>2</w:t>
      </w:r>
      <w:r>
        <w:rPr>
          <w:sz w:val="24"/>
        </w:rPr>
        <w:t>小时，远高于葡萄糖和棕榈酸的氧化效率（分别为</w:t>
      </w:r>
      <w:r>
        <w:rPr>
          <w:sz w:val="24"/>
        </w:rPr>
        <w:t>0.08</w:t>
      </w:r>
      <w:r>
        <w:rPr>
          <w:sz w:val="24"/>
        </w:rPr>
        <w:t>和</w:t>
      </w:r>
      <w:r>
        <w:rPr>
          <w:sz w:val="24"/>
        </w:rPr>
        <w:t>0.74nmolCO2/mg</w:t>
      </w:r>
      <w:r>
        <w:rPr>
          <w:sz w:val="24"/>
        </w:rPr>
        <w:t>组织每</w:t>
      </w:r>
      <w:r>
        <w:rPr>
          <w:sz w:val="24"/>
        </w:rPr>
        <w:t>2</w:t>
      </w:r>
      <w:r>
        <w:rPr>
          <w:sz w:val="24"/>
        </w:rPr>
        <w:t>小时）。由此可见，卵巢可能主要以氨基酸（谷氨酸和天冬氨酸）作为能量底物，而非葡萄糖和脂肪酸。此外，处于卵巢中期发育阶段的野生斑节对虾中，卵巢的天冬氨酸、谷氨酸、脯氨酸、酪氨酸和赖氨</w:t>
      </w:r>
      <w:r>
        <w:rPr>
          <w:sz w:val="24"/>
        </w:rPr>
        <w:lastRenderedPageBreak/>
        <w:t>酸质量分数达到极大值</w:t>
      </w:r>
      <w:r>
        <w:rPr>
          <w:sz w:val="24"/>
        </w:rPr>
        <w:t>,</w:t>
      </w:r>
      <w:r>
        <w:rPr>
          <w:sz w:val="24"/>
        </w:rPr>
        <w:t>总和占总氨基酸的</w:t>
      </w:r>
      <w:r>
        <w:rPr>
          <w:sz w:val="24"/>
        </w:rPr>
        <w:t>42.5 %</w:t>
      </w:r>
      <w:r>
        <w:rPr>
          <w:sz w:val="24"/>
          <w:vertAlign w:val="superscript"/>
        </w:rPr>
        <w:t>[66]</w:t>
      </w:r>
      <w:r>
        <w:rPr>
          <w:sz w:val="24"/>
        </w:rPr>
        <w:t>。这点印证了在实际生产中，养殖户往往为了促使对虾卵巢发育</w:t>
      </w:r>
      <w:r>
        <w:rPr>
          <w:sz w:val="24"/>
        </w:rPr>
        <w:t>,</w:t>
      </w:r>
      <w:r>
        <w:rPr>
          <w:sz w:val="24"/>
        </w:rPr>
        <w:t>会投喂沙蚕、乌贼、牡蛎等作为饵料</w:t>
      </w:r>
      <w:r>
        <w:rPr>
          <w:sz w:val="24"/>
        </w:rPr>
        <w:t>,</w:t>
      </w:r>
      <w:r>
        <w:rPr>
          <w:sz w:val="24"/>
        </w:rPr>
        <w:t>其中以沙蚕的效果最好。这可能与饵料中富含相关氨基酸有关</w:t>
      </w:r>
      <w:r>
        <w:rPr>
          <w:sz w:val="24"/>
        </w:rPr>
        <w:t>。此外，部分实验已证明，氨基酸可对甲壳类动物的激素分泌产生调控作用。例如，中华绒</w:t>
      </w:r>
      <w:proofErr w:type="gramStart"/>
      <w:r>
        <w:rPr>
          <w:sz w:val="24"/>
        </w:rPr>
        <w:t>螯</w:t>
      </w:r>
      <w:proofErr w:type="gramEnd"/>
      <w:r>
        <w:rPr>
          <w:sz w:val="24"/>
        </w:rPr>
        <w:t>蟹（</w:t>
      </w:r>
      <w:r>
        <w:rPr>
          <w:i/>
          <w:iCs/>
          <w:sz w:val="24"/>
        </w:rPr>
        <w:t>E. sinensis</w:t>
      </w:r>
      <w:r>
        <w:rPr>
          <w:sz w:val="24"/>
        </w:rPr>
        <w:t>）血清的生长激素和肝胰腺的</w:t>
      </w:r>
      <w:r>
        <w:rPr>
          <w:sz w:val="24"/>
        </w:rPr>
        <w:t>IGF2</w:t>
      </w:r>
      <w:r>
        <w:rPr>
          <w:sz w:val="24"/>
        </w:rPr>
        <w:t>激素会随着饲料精氨酸的添加而增加</w:t>
      </w:r>
      <w:r>
        <w:rPr>
          <w:sz w:val="24"/>
          <w:vertAlign w:val="superscript"/>
        </w:rPr>
        <w:t>[31]</w:t>
      </w:r>
      <w:r>
        <w:rPr>
          <w:sz w:val="24"/>
        </w:rPr>
        <w:t>。氨基酸可能通过调控激素分泌而控制卵巢发育，相关研究相对有限，大量研究亟待展开。</w:t>
      </w:r>
    </w:p>
    <w:p w14:paraId="3FD8917B" w14:textId="77777777" w:rsidR="004F39F6" w:rsidRDefault="00731C67">
      <w:pPr>
        <w:spacing w:line="360" w:lineRule="auto"/>
        <w:ind w:firstLineChars="200" w:firstLine="480"/>
        <w:rPr>
          <w:sz w:val="24"/>
        </w:rPr>
      </w:pPr>
      <w:r>
        <w:rPr>
          <w:sz w:val="24"/>
        </w:rPr>
        <w:t>蛋白质和氨基酸也是甲壳类卵和幼体的主要组成成分，在其发育和生长中扮演着十分重要的角色</w:t>
      </w:r>
      <w:r>
        <w:rPr>
          <w:sz w:val="24"/>
          <w:vertAlign w:val="superscript"/>
        </w:rPr>
        <w:t>[67,68]</w:t>
      </w:r>
      <w:r>
        <w:rPr>
          <w:sz w:val="24"/>
        </w:rPr>
        <w:t>。繁殖亲本的营养状态往往影响卵的营养组成并影响其质量。例如，相比较于</w:t>
      </w:r>
      <w:r>
        <w:rPr>
          <w:sz w:val="24"/>
        </w:rPr>
        <w:t>35 %</w:t>
      </w:r>
      <w:r>
        <w:rPr>
          <w:sz w:val="24"/>
        </w:rPr>
        <w:t>蛋白组，</w:t>
      </w:r>
      <w:proofErr w:type="gramStart"/>
      <w:r>
        <w:rPr>
          <w:sz w:val="24"/>
        </w:rPr>
        <w:t>白滨对虾</w:t>
      </w:r>
      <w:proofErr w:type="gramEnd"/>
      <w:r>
        <w:rPr>
          <w:sz w:val="24"/>
        </w:rPr>
        <w:t>（</w:t>
      </w:r>
      <w:proofErr w:type="spellStart"/>
      <w:r>
        <w:rPr>
          <w:i/>
          <w:iCs/>
          <w:sz w:val="24"/>
        </w:rPr>
        <w:t>Litopenaeus</w:t>
      </w:r>
      <w:proofErr w:type="spellEnd"/>
      <w:r>
        <w:rPr>
          <w:i/>
          <w:iCs/>
          <w:sz w:val="24"/>
        </w:rPr>
        <w:t xml:space="preserve"> </w:t>
      </w:r>
      <w:proofErr w:type="spellStart"/>
      <w:r>
        <w:rPr>
          <w:i/>
          <w:iCs/>
          <w:sz w:val="24"/>
        </w:rPr>
        <w:t>setiferus</w:t>
      </w:r>
      <w:proofErr w:type="spellEnd"/>
      <w:r>
        <w:rPr>
          <w:sz w:val="24"/>
        </w:rPr>
        <w:t>)</w:t>
      </w:r>
      <w:r>
        <w:rPr>
          <w:sz w:val="24"/>
        </w:rPr>
        <w:t>投喂</w:t>
      </w:r>
      <w:r>
        <w:rPr>
          <w:sz w:val="24"/>
        </w:rPr>
        <w:t>45 %</w:t>
      </w:r>
      <w:r>
        <w:rPr>
          <w:sz w:val="24"/>
        </w:rPr>
        <w:t>蛋白饲料的拥有更好的精子质量</w:t>
      </w:r>
      <w:r>
        <w:rPr>
          <w:sz w:val="24"/>
          <w:vertAlign w:val="superscript"/>
        </w:rPr>
        <w:t>[69]</w:t>
      </w:r>
      <w:r>
        <w:rPr>
          <w:sz w:val="24"/>
        </w:rPr>
        <w:t>。此外，甲壳类幼体的游离氨基酸不但提供能量，还能刺激蛋白合成，从而促进生长和发育</w:t>
      </w:r>
      <w:r>
        <w:rPr>
          <w:sz w:val="24"/>
          <w:vertAlign w:val="superscript"/>
        </w:rPr>
        <w:t>[70]</w:t>
      </w:r>
      <w:r>
        <w:rPr>
          <w:sz w:val="24"/>
        </w:rPr>
        <w:t>。例如，南白对虾幼体投喂牛磺酸强化轮虫能提高其存活率和发育</w:t>
      </w:r>
      <w:r>
        <w:rPr>
          <w:sz w:val="24"/>
          <w:vertAlign w:val="superscript"/>
        </w:rPr>
        <w:t>[71]</w:t>
      </w:r>
      <w:r>
        <w:rPr>
          <w:sz w:val="24"/>
        </w:rPr>
        <w:t>。类似的，通过强化卤虫的赖氨酸含量投喂南美白对虾幼体，可提高幼体的存活率、生长和抗逆性</w:t>
      </w:r>
      <w:r>
        <w:rPr>
          <w:sz w:val="24"/>
          <w:vertAlign w:val="superscript"/>
        </w:rPr>
        <w:t>[70]</w:t>
      </w:r>
      <w:r>
        <w:rPr>
          <w:sz w:val="24"/>
        </w:rPr>
        <w:t>。因此，在早期甲壳类动物生长和发育中，足量的氨基酸补充发挥十分关键的作用。例如，通过优化藻类培养方式，可以提升氨基酸含量和质量，从而达到甲壳类幼体开口饵料营养的强化</w:t>
      </w:r>
      <w:r>
        <w:rPr>
          <w:sz w:val="24"/>
          <w:vertAlign w:val="superscript"/>
        </w:rPr>
        <w:t>[72]</w:t>
      </w:r>
      <w:r>
        <w:rPr>
          <w:sz w:val="24"/>
        </w:rPr>
        <w:t>。</w:t>
      </w:r>
    </w:p>
    <w:p w14:paraId="7251EFE6" w14:textId="77777777" w:rsidR="004F39F6" w:rsidRDefault="00731C67">
      <w:pPr>
        <w:widowControl/>
        <w:jc w:val="center"/>
        <w:rPr>
          <w:sz w:val="24"/>
        </w:rPr>
      </w:pPr>
      <w:r>
        <w:rPr>
          <w:noProof/>
          <w:sz w:val="24"/>
        </w:rPr>
        <w:drawing>
          <wp:inline distT="0" distB="0" distL="0" distR="0" wp14:anchorId="6F8DABF1" wp14:editId="290A40F3">
            <wp:extent cx="3221990" cy="2675255"/>
            <wp:effectExtent l="0" t="0" r="381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3221990" cy="2675255"/>
                    </a:xfrm>
                    <a:prstGeom prst="rect">
                      <a:avLst/>
                    </a:prstGeom>
                  </pic:spPr>
                </pic:pic>
              </a:graphicData>
            </a:graphic>
          </wp:inline>
        </w:drawing>
      </w:r>
    </w:p>
    <w:p w14:paraId="4C6D510D" w14:textId="77777777" w:rsidR="004F39F6" w:rsidRDefault="00731C67">
      <w:pPr>
        <w:spacing w:line="360" w:lineRule="auto"/>
        <w:rPr>
          <w:sz w:val="24"/>
        </w:rPr>
      </w:pPr>
      <w:r>
        <w:rPr>
          <w:sz w:val="24"/>
        </w:rPr>
        <w:t xml:space="preserve">7  </w:t>
      </w:r>
      <w:r>
        <w:rPr>
          <w:sz w:val="24"/>
        </w:rPr>
        <w:t>研究现状和前景</w:t>
      </w:r>
    </w:p>
    <w:p w14:paraId="18CB3B5D" w14:textId="77777777" w:rsidR="004F39F6" w:rsidRDefault="00731C67">
      <w:pPr>
        <w:spacing w:line="360" w:lineRule="auto"/>
        <w:ind w:firstLineChars="200" w:firstLine="480"/>
        <w:rPr>
          <w:sz w:val="24"/>
        </w:rPr>
      </w:pPr>
      <w:r>
        <w:rPr>
          <w:sz w:val="24"/>
        </w:rPr>
        <w:t>综上所述，氨基酸在甲壳类发</w:t>
      </w:r>
      <w:r>
        <w:rPr>
          <w:sz w:val="24"/>
        </w:rPr>
        <w:t>育、生长和繁殖过程中扮演着十分重要的作用（表</w:t>
      </w:r>
      <w:r>
        <w:rPr>
          <w:sz w:val="24"/>
        </w:rPr>
        <w:t>2</w:t>
      </w:r>
      <w:r>
        <w:rPr>
          <w:sz w:val="24"/>
        </w:rPr>
        <w:t>）。因此，合适的饲料氨基酸添加对养殖甲壳类的生长、健康和产品品质具有重要的影响。当前，商业饲料的氨基酸使用主要集中在传统必需氨基酸（如赖氨酸和蛋氨酸）的添加，主要评价指标仍然以生长和饲料利用率为主。近些年来，养殖环境越发恶劣，养殖动物健康</w:t>
      </w:r>
      <w:r>
        <w:rPr>
          <w:sz w:val="24"/>
        </w:rPr>
        <w:lastRenderedPageBreak/>
        <w:t>问题频发，通过传统生长实验得出的氨基酸适宜添加量满足不了功能性的额外需求。因此，通过额外补充一定形式的氨基酸来调控甲壳类健康养殖是未来发展途径之一。近些年来，富含功能性氨基酸小肽类原料也越来越受行业关注，但相关应用效果在不同条件</w:t>
      </w:r>
      <w:r>
        <w:rPr>
          <w:sz w:val="24"/>
        </w:rPr>
        <w:t>和品种中有一定差异。通过了解相关功能性氨基酸作用及需求量，也有助于我们进一步精细化使用这些功能性原料。</w:t>
      </w:r>
    </w:p>
    <w:p w14:paraId="47B117E1" w14:textId="77777777" w:rsidR="004F39F6" w:rsidRDefault="00731C67">
      <w:pPr>
        <w:spacing w:line="360" w:lineRule="auto"/>
        <w:ind w:firstLineChars="200" w:firstLine="480"/>
        <w:rPr>
          <w:sz w:val="24"/>
        </w:rPr>
      </w:pPr>
      <w:r>
        <w:rPr>
          <w:sz w:val="24"/>
        </w:rPr>
        <w:t>目前，关于甲壳类相关功能性氨基酸代谢和作用的研究仍然十分薄弱，大量工作亟待开展。主要问题集中于以下几个方面：（</w:t>
      </w:r>
      <w:r>
        <w:rPr>
          <w:sz w:val="24"/>
        </w:rPr>
        <w:t>1</w:t>
      </w:r>
      <w:r>
        <w:rPr>
          <w:sz w:val="24"/>
        </w:rPr>
        <w:t>）氨基酸在不同养殖甲壳类动物中的代谢特征尚未阐明，导致研究基础相对薄弱，大量理论参考于鱼类甚至是哺乳类动物；（</w:t>
      </w:r>
      <w:r>
        <w:rPr>
          <w:sz w:val="24"/>
        </w:rPr>
        <w:t>2</w:t>
      </w:r>
      <w:r>
        <w:rPr>
          <w:sz w:val="24"/>
        </w:rPr>
        <w:t>）甲壳类动物特殊的摄食行为方式可能导致游离氨基酸的出现一定的溶失，影响应用效果，相关数据薄弱；（</w:t>
      </w:r>
      <w:r>
        <w:rPr>
          <w:sz w:val="24"/>
        </w:rPr>
        <w:t>3</w:t>
      </w:r>
      <w:r>
        <w:rPr>
          <w:sz w:val="24"/>
        </w:rPr>
        <w:t>）不同地区或种类的甲壳类养殖环境差异较大，如何发挥特定条件下的功能性氨基酸的应用技术是</w:t>
      </w:r>
      <w:r>
        <w:rPr>
          <w:sz w:val="24"/>
        </w:rPr>
        <w:t>未来重点工作之一。</w:t>
      </w:r>
    </w:p>
    <w:p w14:paraId="6FEDFC4F" w14:textId="77777777" w:rsidR="004F39F6" w:rsidRDefault="00731C67">
      <w:pPr>
        <w:spacing w:line="360" w:lineRule="auto"/>
        <w:rPr>
          <w:sz w:val="24"/>
        </w:rPr>
      </w:pPr>
      <w:r>
        <w:rPr>
          <w:sz w:val="24"/>
        </w:rPr>
        <w:t>参考文献：略</w:t>
      </w:r>
    </w:p>
    <w:p w14:paraId="17F56048" w14:textId="77777777" w:rsidR="004F39F6" w:rsidRDefault="00731C67">
      <w:pPr>
        <w:spacing w:line="360" w:lineRule="auto"/>
        <w:ind w:firstLineChars="1200" w:firstLine="2520"/>
        <w:jc w:val="right"/>
        <w:rPr>
          <w:rStyle w:val="vm"/>
          <w:sz w:val="24"/>
        </w:rPr>
      </w:pPr>
      <w:r>
        <w:rPr>
          <w:szCs w:val="21"/>
        </w:rPr>
        <w:t>原文刊登在《水生生物学报》，网络首发时间</w:t>
      </w:r>
      <w:r>
        <w:rPr>
          <w:szCs w:val="21"/>
        </w:rPr>
        <w:t>: 2022-01-26 14:17:10</w:t>
      </w:r>
    </w:p>
    <w:p w14:paraId="3B7B6E1E" w14:textId="77777777" w:rsidR="004F39F6" w:rsidRDefault="00731C67">
      <w:pPr>
        <w:pStyle w:val="1"/>
        <w:spacing w:line="460" w:lineRule="exact"/>
        <w:rPr>
          <w:rStyle w:val="vm"/>
          <w:rFonts w:eastAsia="黑体"/>
          <w:b w:val="0"/>
          <w:bCs w:val="0"/>
          <w:sz w:val="32"/>
          <w:szCs w:val="32"/>
          <w:bdr w:val="single" w:sz="4" w:space="0" w:color="auto"/>
        </w:rPr>
      </w:pPr>
      <w:bookmarkStart w:id="26" w:name="_Toc95682099"/>
      <w:r>
        <w:rPr>
          <w:rStyle w:val="vm"/>
          <w:rFonts w:eastAsia="黑体"/>
          <w:sz w:val="32"/>
          <w:szCs w:val="32"/>
          <w:bdr w:val="single" w:sz="4" w:space="0" w:color="auto"/>
        </w:rPr>
        <w:t>科学研究</w:t>
      </w:r>
      <w:bookmarkEnd w:id="26"/>
    </w:p>
    <w:p w14:paraId="093C4513"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27" w:name="_Toc95682100"/>
      <w:r>
        <w:rPr>
          <w:rFonts w:ascii="Times New Roman" w:eastAsia="黑体" w:hAnsi="Times New Roman" w:cs="Times New Roman"/>
          <w:sz w:val="32"/>
          <w:szCs w:val="32"/>
        </w:rPr>
        <w:t>精氨酸对杂交</w:t>
      </w:r>
      <w:proofErr w:type="gramStart"/>
      <w:r>
        <w:rPr>
          <w:rFonts w:ascii="Times New Roman" w:eastAsia="黑体" w:hAnsi="Times New Roman" w:cs="Times New Roman"/>
          <w:sz w:val="32"/>
          <w:szCs w:val="32"/>
        </w:rPr>
        <w:t>鳢</w:t>
      </w:r>
      <w:proofErr w:type="gramEnd"/>
      <w:r>
        <w:rPr>
          <w:rFonts w:ascii="Times New Roman" w:eastAsia="黑体" w:hAnsi="Times New Roman" w:cs="Times New Roman"/>
          <w:sz w:val="32"/>
          <w:szCs w:val="32"/>
        </w:rPr>
        <w:t>生长性能、体组成、血浆生化指标及抗氧化能力的影响</w:t>
      </w:r>
      <w:bookmarkEnd w:id="27"/>
    </w:p>
    <w:p w14:paraId="6832AB03" w14:textId="77777777" w:rsidR="004F39F6" w:rsidRDefault="00731C67">
      <w:pPr>
        <w:jc w:val="center"/>
        <w:rPr>
          <w:szCs w:val="22"/>
        </w:rPr>
      </w:pPr>
      <w:r>
        <w:rPr>
          <w:szCs w:val="22"/>
        </w:rPr>
        <w:t>李培佳</w:t>
      </w:r>
      <w:r>
        <w:rPr>
          <w:szCs w:val="22"/>
          <w:vertAlign w:val="superscript"/>
        </w:rPr>
        <w:t>1</w:t>
      </w:r>
      <w:r>
        <w:rPr>
          <w:szCs w:val="22"/>
          <w:vertAlign w:val="superscript"/>
        </w:rPr>
        <w:t>，</w:t>
      </w:r>
      <w:r>
        <w:rPr>
          <w:szCs w:val="22"/>
          <w:vertAlign w:val="superscript"/>
        </w:rPr>
        <w:t>2</w:t>
      </w:r>
      <w:r>
        <w:rPr>
          <w:szCs w:val="22"/>
        </w:rPr>
        <w:t xml:space="preserve">  </w:t>
      </w:r>
      <w:r>
        <w:rPr>
          <w:szCs w:val="22"/>
        </w:rPr>
        <w:t>陈晓瑛</w:t>
      </w:r>
      <w:r>
        <w:rPr>
          <w:szCs w:val="22"/>
          <w:vertAlign w:val="superscript"/>
        </w:rPr>
        <w:t xml:space="preserve">2*  </w:t>
      </w:r>
      <w:r>
        <w:rPr>
          <w:szCs w:val="22"/>
        </w:rPr>
        <w:t>赵红霞</w:t>
      </w:r>
      <w:r>
        <w:rPr>
          <w:szCs w:val="22"/>
          <w:vertAlign w:val="superscript"/>
        </w:rPr>
        <w:t>2</w:t>
      </w:r>
      <w:r>
        <w:rPr>
          <w:szCs w:val="22"/>
          <w:vertAlign w:val="superscript"/>
        </w:rPr>
        <w:t>＊＊</w:t>
      </w:r>
      <w:r>
        <w:rPr>
          <w:szCs w:val="22"/>
        </w:rPr>
        <w:t xml:space="preserve">  </w:t>
      </w:r>
      <w:r>
        <w:rPr>
          <w:szCs w:val="22"/>
        </w:rPr>
        <w:t>曹俊明</w:t>
      </w:r>
      <w:r>
        <w:rPr>
          <w:szCs w:val="22"/>
          <w:vertAlign w:val="superscript"/>
        </w:rPr>
        <w:t>1</w:t>
      </w:r>
      <w:r>
        <w:rPr>
          <w:szCs w:val="22"/>
        </w:rPr>
        <w:t xml:space="preserve">  </w:t>
      </w:r>
      <w:r>
        <w:rPr>
          <w:szCs w:val="22"/>
        </w:rPr>
        <w:t>陈冰</w:t>
      </w:r>
      <w:r>
        <w:rPr>
          <w:szCs w:val="22"/>
          <w:vertAlign w:val="superscript"/>
        </w:rPr>
        <w:t xml:space="preserve">2  </w:t>
      </w:r>
      <w:r>
        <w:rPr>
          <w:szCs w:val="22"/>
        </w:rPr>
        <w:t>彭凯</w:t>
      </w:r>
      <w:r>
        <w:rPr>
          <w:szCs w:val="22"/>
          <w:vertAlign w:val="superscript"/>
        </w:rPr>
        <w:t>2</w:t>
      </w:r>
      <w:r>
        <w:rPr>
          <w:szCs w:val="22"/>
        </w:rPr>
        <w:t xml:space="preserve">  </w:t>
      </w:r>
      <w:r>
        <w:rPr>
          <w:szCs w:val="22"/>
        </w:rPr>
        <w:t>黄文</w:t>
      </w:r>
      <w:r>
        <w:rPr>
          <w:szCs w:val="22"/>
          <w:vertAlign w:val="superscript"/>
        </w:rPr>
        <w:t>2</w:t>
      </w:r>
      <w:r>
        <w:rPr>
          <w:szCs w:val="22"/>
          <w:vertAlign w:val="superscript"/>
        </w:rPr>
        <w:t>，</w:t>
      </w:r>
      <w:r>
        <w:rPr>
          <w:szCs w:val="22"/>
          <w:vertAlign w:val="superscript"/>
        </w:rPr>
        <w:t>3</w:t>
      </w:r>
      <w:r>
        <w:rPr>
          <w:szCs w:val="22"/>
        </w:rPr>
        <w:t xml:space="preserve">  </w:t>
      </w:r>
      <w:r>
        <w:rPr>
          <w:szCs w:val="22"/>
        </w:rPr>
        <w:t>郭慧</w:t>
      </w:r>
      <w:r>
        <w:rPr>
          <w:szCs w:val="22"/>
          <w:vertAlign w:val="superscript"/>
        </w:rPr>
        <w:t>1</w:t>
      </w:r>
    </w:p>
    <w:p w14:paraId="7AD78C5F" w14:textId="77777777" w:rsidR="004F39F6" w:rsidRDefault="00731C67">
      <w:pPr>
        <w:jc w:val="center"/>
        <w:rPr>
          <w:szCs w:val="22"/>
        </w:rPr>
      </w:pPr>
      <w:r>
        <w:rPr>
          <w:szCs w:val="22"/>
        </w:rPr>
        <w:t>(1.</w:t>
      </w:r>
      <w:r>
        <w:rPr>
          <w:szCs w:val="22"/>
        </w:rPr>
        <w:t>广东海洋大学水产学院，湛江</w:t>
      </w:r>
      <w:r>
        <w:rPr>
          <w:szCs w:val="22"/>
        </w:rPr>
        <w:t xml:space="preserve"> </w:t>
      </w:r>
      <w:r>
        <w:rPr>
          <w:szCs w:val="22"/>
        </w:rPr>
        <w:t>524088</w:t>
      </w:r>
      <w:r>
        <w:rPr>
          <w:szCs w:val="22"/>
        </w:rPr>
        <w:t>；</w:t>
      </w:r>
      <w:r>
        <w:rPr>
          <w:szCs w:val="22"/>
        </w:rPr>
        <w:t>2.</w:t>
      </w:r>
      <w:r>
        <w:rPr>
          <w:szCs w:val="22"/>
        </w:rPr>
        <w:t>广东省农业科学</w:t>
      </w:r>
      <w:proofErr w:type="gramStart"/>
      <w:r>
        <w:rPr>
          <w:szCs w:val="22"/>
        </w:rPr>
        <w:t>院动物</w:t>
      </w:r>
      <w:proofErr w:type="gramEnd"/>
      <w:r>
        <w:rPr>
          <w:szCs w:val="22"/>
        </w:rPr>
        <w:t>科学研究所，农业农村部华南动物营养与饲料重点实验室，广东省畜禽育种与营养研究重点实验室，广州</w:t>
      </w:r>
      <w:r>
        <w:rPr>
          <w:szCs w:val="22"/>
        </w:rPr>
        <w:t xml:space="preserve"> 510640</w:t>
      </w:r>
      <w:r>
        <w:rPr>
          <w:szCs w:val="22"/>
        </w:rPr>
        <w:t>；</w:t>
      </w:r>
      <w:r>
        <w:rPr>
          <w:szCs w:val="22"/>
        </w:rPr>
        <w:t>3.</w:t>
      </w:r>
      <w:r>
        <w:rPr>
          <w:szCs w:val="22"/>
        </w:rPr>
        <w:t>广州飞</w:t>
      </w:r>
      <w:proofErr w:type="gramStart"/>
      <w:r>
        <w:rPr>
          <w:szCs w:val="22"/>
        </w:rPr>
        <w:t>禧特</w:t>
      </w:r>
      <w:proofErr w:type="gramEnd"/>
      <w:r>
        <w:rPr>
          <w:szCs w:val="22"/>
        </w:rPr>
        <w:t>生物科技有限公司，广州</w:t>
      </w:r>
      <w:r>
        <w:rPr>
          <w:szCs w:val="22"/>
        </w:rPr>
        <w:t xml:space="preserve"> 510640)</w:t>
      </w:r>
    </w:p>
    <w:p w14:paraId="3A310323" w14:textId="77777777" w:rsidR="004F39F6" w:rsidRDefault="00731C67">
      <w:pPr>
        <w:rPr>
          <w:szCs w:val="22"/>
        </w:rPr>
      </w:pPr>
      <w:r>
        <w:rPr>
          <w:b/>
          <w:bCs/>
          <w:szCs w:val="22"/>
        </w:rPr>
        <w:t>摘要：</w:t>
      </w:r>
      <w:r>
        <w:rPr>
          <w:szCs w:val="22"/>
        </w:rPr>
        <w:t>本试验旨在研究饲料中添加精氨酸对杂交</w:t>
      </w:r>
      <w:proofErr w:type="gramStart"/>
      <w:r>
        <w:rPr>
          <w:szCs w:val="22"/>
        </w:rPr>
        <w:t>鳢</w:t>
      </w:r>
      <w:proofErr w:type="gramEnd"/>
      <w:r>
        <w:rPr>
          <w:szCs w:val="22"/>
        </w:rPr>
        <w:t>(</w:t>
      </w:r>
      <w:r>
        <w:rPr>
          <w:i/>
          <w:iCs/>
          <w:szCs w:val="22"/>
        </w:rPr>
        <w:t xml:space="preserve">Channa </w:t>
      </w:r>
      <w:proofErr w:type="spellStart"/>
      <w:r>
        <w:rPr>
          <w:i/>
          <w:iCs/>
          <w:szCs w:val="22"/>
        </w:rPr>
        <w:t>maculata</w:t>
      </w:r>
      <w:proofErr w:type="spellEnd"/>
      <w:r>
        <w:rPr>
          <w:szCs w:val="22"/>
        </w:rPr>
        <w:t>♀×</w:t>
      </w:r>
      <w:r>
        <w:rPr>
          <w:i/>
          <w:iCs/>
          <w:szCs w:val="22"/>
        </w:rPr>
        <w:t>Channa argus</w:t>
      </w:r>
      <w:r>
        <w:rPr>
          <w:szCs w:val="22"/>
        </w:rPr>
        <w:t>♂)</w:t>
      </w:r>
      <w:r>
        <w:rPr>
          <w:szCs w:val="22"/>
        </w:rPr>
        <w:t>幼鱼生长性能、体组成、血浆生化指标以及抗氧化能力的影响。选取初始体重为</w:t>
      </w:r>
      <w:r>
        <w:rPr>
          <w:szCs w:val="22"/>
        </w:rPr>
        <w:t>(22.02±0.02)g</w:t>
      </w:r>
      <w:r>
        <w:rPr>
          <w:szCs w:val="22"/>
        </w:rPr>
        <w:t>的杂交</w:t>
      </w:r>
      <w:proofErr w:type="gramStart"/>
      <w:r>
        <w:rPr>
          <w:szCs w:val="22"/>
        </w:rPr>
        <w:t>鳢</w:t>
      </w:r>
      <w:proofErr w:type="gramEnd"/>
      <w:r>
        <w:rPr>
          <w:szCs w:val="22"/>
        </w:rPr>
        <w:t>750</w:t>
      </w:r>
      <w:r>
        <w:rPr>
          <w:szCs w:val="22"/>
        </w:rPr>
        <w:t>尾，随机分为</w:t>
      </w:r>
      <w:r>
        <w:rPr>
          <w:szCs w:val="22"/>
        </w:rPr>
        <w:t>5</w:t>
      </w:r>
      <w:r>
        <w:rPr>
          <w:szCs w:val="22"/>
        </w:rPr>
        <w:t>组，每组</w:t>
      </w:r>
      <w:r>
        <w:rPr>
          <w:szCs w:val="22"/>
        </w:rPr>
        <w:t>3</w:t>
      </w:r>
      <w:r>
        <w:rPr>
          <w:szCs w:val="22"/>
        </w:rPr>
        <w:t>个重复，每个重复</w:t>
      </w:r>
      <w:r>
        <w:rPr>
          <w:szCs w:val="22"/>
        </w:rPr>
        <w:t>50</w:t>
      </w:r>
      <w:r>
        <w:rPr>
          <w:szCs w:val="22"/>
        </w:rPr>
        <w:t>尾鱼，分别投喂精氨酸水平为</w:t>
      </w:r>
      <w:r>
        <w:rPr>
          <w:szCs w:val="22"/>
        </w:rPr>
        <w:t>2.31 %</w:t>
      </w:r>
      <w:r>
        <w:rPr>
          <w:szCs w:val="22"/>
        </w:rPr>
        <w:t>、</w:t>
      </w:r>
      <w:r>
        <w:rPr>
          <w:szCs w:val="22"/>
        </w:rPr>
        <w:t xml:space="preserve">2.42 </w:t>
      </w:r>
      <w:r>
        <w:rPr>
          <w:szCs w:val="22"/>
        </w:rPr>
        <w:t>%</w:t>
      </w:r>
      <w:r>
        <w:rPr>
          <w:szCs w:val="22"/>
        </w:rPr>
        <w:t>、</w:t>
      </w:r>
      <w:r>
        <w:rPr>
          <w:szCs w:val="22"/>
        </w:rPr>
        <w:t>2.72 %</w:t>
      </w:r>
      <w:r>
        <w:rPr>
          <w:szCs w:val="22"/>
        </w:rPr>
        <w:t>、</w:t>
      </w:r>
      <w:r>
        <w:rPr>
          <w:szCs w:val="22"/>
        </w:rPr>
        <w:t>2.92 %</w:t>
      </w:r>
      <w:r>
        <w:rPr>
          <w:szCs w:val="22"/>
        </w:rPr>
        <w:t>、</w:t>
      </w:r>
      <w:r>
        <w:rPr>
          <w:szCs w:val="22"/>
        </w:rPr>
        <w:t>3.12 %</w:t>
      </w:r>
      <w:r>
        <w:rPr>
          <w:szCs w:val="22"/>
        </w:rPr>
        <w:t>的</w:t>
      </w:r>
      <w:r>
        <w:rPr>
          <w:szCs w:val="22"/>
        </w:rPr>
        <w:t>5</w:t>
      </w:r>
      <w:r>
        <w:rPr>
          <w:szCs w:val="22"/>
        </w:rPr>
        <w:t>种试验饲料，分别记作</w:t>
      </w:r>
      <w:r>
        <w:rPr>
          <w:szCs w:val="22"/>
        </w:rPr>
        <w:t>G1</w:t>
      </w:r>
      <w:r>
        <w:rPr>
          <w:szCs w:val="22"/>
        </w:rPr>
        <w:t>、</w:t>
      </w:r>
      <w:r>
        <w:rPr>
          <w:szCs w:val="22"/>
        </w:rPr>
        <w:t>G2</w:t>
      </w:r>
      <w:r>
        <w:rPr>
          <w:szCs w:val="22"/>
        </w:rPr>
        <w:t>、</w:t>
      </w:r>
      <w:r>
        <w:rPr>
          <w:szCs w:val="22"/>
        </w:rPr>
        <w:t>G3</w:t>
      </w:r>
      <w:r>
        <w:rPr>
          <w:szCs w:val="22"/>
        </w:rPr>
        <w:t>、</w:t>
      </w:r>
      <w:r>
        <w:rPr>
          <w:szCs w:val="22"/>
        </w:rPr>
        <w:t>G4</w:t>
      </w:r>
      <w:r>
        <w:rPr>
          <w:szCs w:val="22"/>
        </w:rPr>
        <w:t>、</w:t>
      </w:r>
      <w:r>
        <w:rPr>
          <w:szCs w:val="22"/>
        </w:rPr>
        <w:t>G5</w:t>
      </w:r>
      <w:r>
        <w:rPr>
          <w:szCs w:val="22"/>
        </w:rPr>
        <w:t>，饲喂</w:t>
      </w:r>
      <w:r>
        <w:rPr>
          <w:szCs w:val="22"/>
        </w:rPr>
        <w:t>8</w:t>
      </w:r>
      <w:r>
        <w:rPr>
          <w:szCs w:val="22"/>
        </w:rPr>
        <w:t>周。结果显示：</w:t>
      </w:r>
      <w:r>
        <w:rPr>
          <w:szCs w:val="22"/>
        </w:rPr>
        <w:t>1)</w:t>
      </w:r>
      <w:r>
        <w:rPr>
          <w:szCs w:val="22"/>
        </w:rPr>
        <w:t>随着饲料精氨酸水平升高，杂交</w:t>
      </w:r>
      <w:proofErr w:type="gramStart"/>
      <w:r>
        <w:rPr>
          <w:szCs w:val="22"/>
        </w:rPr>
        <w:t>鳢</w:t>
      </w:r>
      <w:proofErr w:type="gramEnd"/>
      <w:r>
        <w:rPr>
          <w:szCs w:val="22"/>
        </w:rPr>
        <w:t>的增重率、特定生长率、蛋白质沉积率呈现先上升后下降的趋势，并在</w:t>
      </w:r>
      <w:r>
        <w:rPr>
          <w:szCs w:val="22"/>
        </w:rPr>
        <w:t>G4</w:t>
      </w:r>
      <w:r>
        <w:rPr>
          <w:szCs w:val="22"/>
        </w:rPr>
        <w:t>组达到显著水平</w:t>
      </w:r>
      <w:r>
        <w:rPr>
          <w:szCs w:val="22"/>
        </w:rPr>
        <w:t>(</w:t>
      </w:r>
      <w:r>
        <w:rPr>
          <w:i/>
          <w:szCs w:val="22"/>
        </w:rPr>
        <w:t>P</w:t>
      </w:r>
      <w:r>
        <w:rPr>
          <w:szCs w:val="22"/>
        </w:rPr>
        <w:t>＜</w:t>
      </w:r>
      <w:r>
        <w:rPr>
          <w:szCs w:val="22"/>
        </w:rPr>
        <w:t>0.05)</w:t>
      </w:r>
      <w:r>
        <w:rPr>
          <w:szCs w:val="22"/>
        </w:rPr>
        <w:t>；饲料系数呈现下降趋势，并在</w:t>
      </w:r>
      <w:r>
        <w:rPr>
          <w:szCs w:val="22"/>
        </w:rPr>
        <w:t>G4</w:t>
      </w:r>
      <w:r>
        <w:rPr>
          <w:szCs w:val="22"/>
        </w:rPr>
        <w:t>组达到显著水平</w:t>
      </w:r>
      <w:r>
        <w:rPr>
          <w:szCs w:val="22"/>
        </w:rPr>
        <w:t>(</w:t>
      </w:r>
      <w:r>
        <w:rPr>
          <w:i/>
          <w:szCs w:val="22"/>
        </w:rPr>
        <w:t>P</w:t>
      </w:r>
      <w:r>
        <w:rPr>
          <w:szCs w:val="22"/>
        </w:rPr>
        <w:t>＜</w:t>
      </w:r>
      <w:r>
        <w:rPr>
          <w:szCs w:val="22"/>
        </w:rPr>
        <w:t>0.05)</w:t>
      </w:r>
      <w:r>
        <w:rPr>
          <w:szCs w:val="22"/>
        </w:rPr>
        <w:t>；精氨酸水平对杂交</w:t>
      </w:r>
      <w:proofErr w:type="gramStart"/>
      <w:r>
        <w:rPr>
          <w:szCs w:val="22"/>
        </w:rPr>
        <w:t>鳢</w:t>
      </w:r>
      <w:proofErr w:type="gramEnd"/>
      <w:r>
        <w:rPr>
          <w:szCs w:val="22"/>
        </w:rPr>
        <w:t>存活率、肥满度、脏体比无显著影响</w:t>
      </w:r>
      <w:r>
        <w:rPr>
          <w:szCs w:val="22"/>
        </w:rPr>
        <w:t>(</w:t>
      </w:r>
      <w:r>
        <w:rPr>
          <w:i/>
          <w:szCs w:val="22"/>
        </w:rPr>
        <w:t>P</w:t>
      </w:r>
      <w:r>
        <w:rPr>
          <w:szCs w:val="22"/>
        </w:rPr>
        <w:t>＞</w:t>
      </w:r>
      <w:r>
        <w:rPr>
          <w:szCs w:val="22"/>
        </w:rPr>
        <w:t>0.05)</w:t>
      </w:r>
      <w:r>
        <w:rPr>
          <w:szCs w:val="22"/>
        </w:rPr>
        <w:t>。</w:t>
      </w:r>
      <w:r>
        <w:rPr>
          <w:szCs w:val="22"/>
        </w:rPr>
        <w:t>2)</w:t>
      </w:r>
      <w:r>
        <w:rPr>
          <w:szCs w:val="22"/>
        </w:rPr>
        <w:t>杂交</w:t>
      </w:r>
      <w:proofErr w:type="gramStart"/>
      <w:r>
        <w:rPr>
          <w:szCs w:val="22"/>
        </w:rPr>
        <w:t>鳢</w:t>
      </w:r>
      <w:proofErr w:type="gramEnd"/>
      <w:r>
        <w:rPr>
          <w:szCs w:val="22"/>
        </w:rPr>
        <w:t>全鱼粗蛋白质和粗灰分含量在各组之间存在差异，且均在</w:t>
      </w:r>
      <w:r>
        <w:rPr>
          <w:szCs w:val="22"/>
        </w:rPr>
        <w:t>G4</w:t>
      </w:r>
      <w:r>
        <w:rPr>
          <w:szCs w:val="22"/>
        </w:rPr>
        <w:t>组达到显著水平</w:t>
      </w:r>
      <w:r>
        <w:rPr>
          <w:szCs w:val="22"/>
        </w:rPr>
        <w:t>(</w:t>
      </w:r>
      <w:r>
        <w:rPr>
          <w:i/>
          <w:szCs w:val="22"/>
        </w:rPr>
        <w:t>P</w:t>
      </w:r>
      <w:r>
        <w:rPr>
          <w:szCs w:val="22"/>
        </w:rPr>
        <w:t>＜</w:t>
      </w:r>
      <w:r>
        <w:rPr>
          <w:szCs w:val="22"/>
        </w:rPr>
        <w:t>0.05)</w:t>
      </w:r>
      <w:r>
        <w:rPr>
          <w:szCs w:val="22"/>
        </w:rPr>
        <w:t>，全鱼水分、粗脂肪含量各组之间无显著差</w:t>
      </w:r>
      <w:r>
        <w:rPr>
          <w:szCs w:val="22"/>
        </w:rPr>
        <w:t>异</w:t>
      </w:r>
      <w:r>
        <w:rPr>
          <w:szCs w:val="22"/>
        </w:rPr>
        <w:t>(</w:t>
      </w:r>
      <w:r>
        <w:rPr>
          <w:i/>
          <w:szCs w:val="22"/>
        </w:rPr>
        <w:t>P</w:t>
      </w:r>
      <w:r>
        <w:rPr>
          <w:szCs w:val="22"/>
        </w:rPr>
        <w:t>＞</w:t>
      </w:r>
      <w:r>
        <w:rPr>
          <w:szCs w:val="22"/>
        </w:rPr>
        <w:t>0.05)</w:t>
      </w:r>
      <w:r>
        <w:rPr>
          <w:szCs w:val="22"/>
        </w:rPr>
        <w:t>。随着饲料精氨酸水平上升，杂交</w:t>
      </w:r>
      <w:proofErr w:type="gramStart"/>
      <w:r>
        <w:rPr>
          <w:szCs w:val="22"/>
        </w:rPr>
        <w:t>鳢</w:t>
      </w:r>
      <w:proofErr w:type="gramEnd"/>
      <w:r>
        <w:rPr>
          <w:szCs w:val="22"/>
        </w:rPr>
        <w:t>全鱼精氨酸含量呈现先升高后下降趋势，在</w:t>
      </w:r>
      <w:r>
        <w:rPr>
          <w:szCs w:val="22"/>
        </w:rPr>
        <w:t>G4</w:t>
      </w:r>
      <w:r>
        <w:rPr>
          <w:szCs w:val="22"/>
        </w:rPr>
        <w:t>组达到显著水平</w:t>
      </w:r>
      <w:r>
        <w:rPr>
          <w:szCs w:val="22"/>
        </w:rPr>
        <w:t>(</w:t>
      </w:r>
      <w:r>
        <w:rPr>
          <w:i/>
          <w:szCs w:val="22"/>
        </w:rPr>
        <w:t>P</w:t>
      </w:r>
      <w:r>
        <w:rPr>
          <w:szCs w:val="22"/>
        </w:rPr>
        <w:t>＜</w:t>
      </w:r>
      <w:r>
        <w:rPr>
          <w:szCs w:val="22"/>
        </w:rPr>
        <w:t>0.05)</w:t>
      </w:r>
      <w:r>
        <w:rPr>
          <w:szCs w:val="22"/>
        </w:rPr>
        <w:t>，亮氨酸、蛋氨酸、缬氨酸、丙氨酸、甘氨酸、天冬氨酸含量在</w:t>
      </w:r>
      <w:r>
        <w:rPr>
          <w:szCs w:val="22"/>
        </w:rPr>
        <w:t>G3</w:t>
      </w:r>
      <w:r>
        <w:rPr>
          <w:szCs w:val="22"/>
        </w:rPr>
        <w:t>组达到显著水平</w:t>
      </w:r>
      <w:r>
        <w:rPr>
          <w:szCs w:val="22"/>
        </w:rPr>
        <w:t>(</w:t>
      </w:r>
      <w:r>
        <w:rPr>
          <w:i/>
          <w:szCs w:val="22"/>
        </w:rPr>
        <w:t>P</w:t>
      </w:r>
      <w:r>
        <w:rPr>
          <w:szCs w:val="22"/>
        </w:rPr>
        <w:t>＜</w:t>
      </w:r>
      <w:r>
        <w:rPr>
          <w:szCs w:val="22"/>
        </w:rPr>
        <w:t>0.05)</w:t>
      </w:r>
      <w:r>
        <w:rPr>
          <w:szCs w:val="22"/>
        </w:rPr>
        <w:t>，其他氨基酸含量各组之间无显著差异</w:t>
      </w:r>
      <w:r>
        <w:rPr>
          <w:szCs w:val="22"/>
        </w:rPr>
        <w:t>(</w:t>
      </w:r>
      <w:r>
        <w:rPr>
          <w:i/>
          <w:szCs w:val="22"/>
        </w:rPr>
        <w:t>P</w:t>
      </w:r>
      <w:r>
        <w:rPr>
          <w:szCs w:val="22"/>
        </w:rPr>
        <w:t>＞</w:t>
      </w:r>
      <w:r>
        <w:rPr>
          <w:szCs w:val="22"/>
        </w:rPr>
        <w:t>0.05)</w:t>
      </w:r>
      <w:r>
        <w:rPr>
          <w:szCs w:val="22"/>
        </w:rPr>
        <w:t>。</w:t>
      </w:r>
      <w:r>
        <w:rPr>
          <w:szCs w:val="22"/>
        </w:rPr>
        <w:t>3)</w:t>
      </w:r>
      <w:r>
        <w:rPr>
          <w:szCs w:val="22"/>
        </w:rPr>
        <w:t>饲料精氨酸水平对杂交</w:t>
      </w:r>
      <w:proofErr w:type="gramStart"/>
      <w:r>
        <w:rPr>
          <w:szCs w:val="22"/>
        </w:rPr>
        <w:t>鳢</w:t>
      </w:r>
      <w:proofErr w:type="gramEnd"/>
      <w:r>
        <w:rPr>
          <w:szCs w:val="22"/>
        </w:rPr>
        <w:t>血浆总蛋白、甘油三酯、总胆固醇、尿素氮、葡萄糖含量及谷草转氨酶、谷丙转氨酶活性均无显著影响</w:t>
      </w:r>
      <w:r>
        <w:rPr>
          <w:szCs w:val="22"/>
        </w:rPr>
        <w:t>(</w:t>
      </w:r>
      <w:r>
        <w:rPr>
          <w:i/>
          <w:szCs w:val="22"/>
        </w:rPr>
        <w:t>P</w:t>
      </w:r>
      <w:r>
        <w:rPr>
          <w:szCs w:val="22"/>
        </w:rPr>
        <w:t>＞</w:t>
      </w:r>
      <w:r>
        <w:rPr>
          <w:szCs w:val="22"/>
        </w:rPr>
        <w:t>0.05)</w:t>
      </w:r>
      <w:r>
        <w:rPr>
          <w:szCs w:val="22"/>
        </w:rPr>
        <w:t>。</w:t>
      </w:r>
      <w:r>
        <w:rPr>
          <w:szCs w:val="22"/>
        </w:rPr>
        <w:t>G3</w:t>
      </w:r>
      <w:r>
        <w:rPr>
          <w:szCs w:val="22"/>
        </w:rPr>
        <w:t>组血浆超氧化物歧化酶活性显著高于</w:t>
      </w:r>
      <w:r>
        <w:rPr>
          <w:szCs w:val="22"/>
        </w:rPr>
        <w:t>G1</w:t>
      </w:r>
      <w:r>
        <w:rPr>
          <w:szCs w:val="22"/>
        </w:rPr>
        <w:t>、</w:t>
      </w:r>
      <w:r>
        <w:rPr>
          <w:szCs w:val="22"/>
        </w:rPr>
        <w:t>G2</w:t>
      </w:r>
      <w:r>
        <w:rPr>
          <w:szCs w:val="22"/>
        </w:rPr>
        <w:t>组</w:t>
      </w:r>
      <w:r>
        <w:rPr>
          <w:szCs w:val="22"/>
        </w:rPr>
        <w:t>(</w:t>
      </w:r>
      <w:r>
        <w:rPr>
          <w:i/>
          <w:szCs w:val="22"/>
        </w:rPr>
        <w:t>P</w:t>
      </w:r>
      <w:r>
        <w:rPr>
          <w:szCs w:val="22"/>
        </w:rPr>
        <w:t>＜</w:t>
      </w:r>
      <w:r>
        <w:rPr>
          <w:szCs w:val="22"/>
        </w:rPr>
        <w:t>0.05)</w:t>
      </w:r>
      <w:r>
        <w:rPr>
          <w:szCs w:val="22"/>
        </w:rPr>
        <w:t>，</w:t>
      </w:r>
      <w:r>
        <w:rPr>
          <w:szCs w:val="22"/>
        </w:rPr>
        <w:t>G5</w:t>
      </w:r>
      <w:r>
        <w:rPr>
          <w:szCs w:val="22"/>
        </w:rPr>
        <w:t>组血浆谷胱甘肽过氧化物酶活性显著高于</w:t>
      </w:r>
      <w:r>
        <w:rPr>
          <w:szCs w:val="22"/>
        </w:rPr>
        <w:t>G2</w:t>
      </w:r>
      <w:r>
        <w:rPr>
          <w:szCs w:val="22"/>
        </w:rPr>
        <w:t>组</w:t>
      </w:r>
      <w:r>
        <w:rPr>
          <w:szCs w:val="22"/>
        </w:rPr>
        <w:t>(</w:t>
      </w:r>
      <w:r>
        <w:rPr>
          <w:i/>
          <w:szCs w:val="22"/>
        </w:rPr>
        <w:t>P</w:t>
      </w:r>
      <w:r>
        <w:rPr>
          <w:szCs w:val="22"/>
        </w:rPr>
        <w:t>＜</w:t>
      </w:r>
      <w:r>
        <w:rPr>
          <w:szCs w:val="22"/>
        </w:rPr>
        <w:t>0.05)</w:t>
      </w:r>
      <w:r>
        <w:rPr>
          <w:szCs w:val="22"/>
        </w:rPr>
        <w:t>；与</w:t>
      </w:r>
      <w:r>
        <w:rPr>
          <w:szCs w:val="22"/>
        </w:rPr>
        <w:lastRenderedPageBreak/>
        <w:t>G1</w:t>
      </w:r>
      <w:r>
        <w:rPr>
          <w:szCs w:val="22"/>
        </w:rPr>
        <w:t>组相比，</w:t>
      </w:r>
      <w:r>
        <w:rPr>
          <w:szCs w:val="22"/>
        </w:rPr>
        <w:t>G5</w:t>
      </w:r>
      <w:r>
        <w:rPr>
          <w:szCs w:val="22"/>
        </w:rPr>
        <w:t>组血浆总抗氧化能力显著升高</w:t>
      </w:r>
      <w:r>
        <w:rPr>
          <w:szCs w:val="22"/>
        </w:rPr>
        <w:t>(</w:t>
      </w:r>
      <w:r>
        <w:rPr>
          <w:i/>
          <w:szCs w:val="22"/>
        </w:rPr>
        <w:t>P</w:t>
      </w:r>
      <w:r>
        <w:rPr>
          <w:szCs w:val="22"/>
        </w:rPr>
        <w:t>＜</w:t>
      </w:r>
      <w:r>
        <w:rPr>
          <w:szCs w:val="22"/>
        </w:rPr>
        <w:t>0.05)</w:t>
      </w:r>
      <w:r>
        <w:rPr>
          <w:szCs w:val="22"/>
        </w:rPr>
        <w:t>，丙二醛含量显著下降</w:t>
      </w:r>
      <w:r>
        <w:rPr>
          <w:szCs w:val="22"/>
        </w:rPr>
        <w:t>(</w:t>
      </w:r>
      <w:r>
        <w:rPr>
          <w:i/>
          <w:szCs w:val="22"/>
        </w:rPr>
        <w:t>P</w:t>
      </w:r>
      <w:r>
        <w:rPr>
          <w:szCs w:val="22"/>
        </w:rPr>
        <w:t>＜</w:t>
      </w:r>
      <w:r>
        <w:rPr>
          <w:szCs w:val="22"/>
        </w:rPr>
        <w:t>0.05)</w:t>
      </w:r>
      <w:r>
        <w:rPr>
          <w:szCs w:val="22"/>
        </w:rPr>
        <w:t>。综上所述，杂交</w:t>
      </w:r>
      <w:proofErr w:type="gramStart"/>
      <w:r>
        <w:rPr>
          <w:szCs w:val="22"/>
        </w:rPr>
        <w:t>鳢</w:t>
      </w:r>
      <w:proofErr w:type="gramEnd"/>
      <w:r>
        <w:rPr>
          <w:szCs w:val="22"/>
        </w:rPr>
        <w:t>饲料中添加适宜水平的精氨酸显著促进氨基酸吸收、增加蛋白质沉积、提高生长性能和增强抗氧化能力。本试验条件下，以杂交</w:t>
      </w:r>
      <w:proofErr w:type="gramStart"/>
      <w:r>
        <w:rPr>
          <w:szCs w:val="22"/>
        </w:rPr>
        <w:t>鳢</w:t>
      </w:r>
      <w:proofErr w:type="gramEnd"/>
      <w:r>
        <w:rPr>
          <w:szCs w:val="22"/>
        </w:rPr>
        <w:t>特定生</w:t>
      </w:r>
      <w:r>
        <w:rPr>
          <w:szCs w:val="22"/>
        </w:rPr>
        <w:t>长率、增重率、蛋白质沉积率指标为判定依据，通过折线模型，进行综合分析表明，杂交</w:t>
      </w:r>
      <w:proofErr w:type="gramStart"/>
      <w:r>
        <w:rPr>
          <w:szCs w:val="22"/>
        </w:rPr>
        <w:t>鳢</w:t>
      </w:r>
      <w:proofErr w:type="gramEnd"/>
      <w:r>
        <w:rPr>
          <w:szCs w:val="22"/>
        </w:rPr>
        <w:t>幼鱼饲料精氨酸适宜水平分别为</w:t>
      </w:r>
      <w:r>
        <w:rPr>
          <w:szCs w:val="22"/>
        </w:rPr>
        <w:t>2.91 %</w:t>
      </w:r>
      <w:r>
        <w:rPr>
          <w:szCs w:val="22"/>
        </w:rPr>
        <w:t>、</w:t>
      </w:r>
      <w:r>
        <w:rPr>
          <w:szCs w:val="22"/>
        </w:rPr>
        <w:t>2.95 %</w:t>
      </w:r>
      <w:r>
        <w:rPr>
          <w:szCs w:val="22"/>
        </w:rPr>
        <w:t>、</w:t>
      </w:r>
      <w:r>
        <w:rPr>
          <w:szCs w:val="22"/>
        </w:rPr>
        <w:t>2.98 %(</w:t>
      </w:r>
      <w:r>
        <w:rPr>
          <w:szCs w:val="22"/>
        </w:rPr>
        <w:t>饲料粗蛋白质含量分别为</w:t>
      </w:r>
      <w:r>
        <w:rPr>
          <w:szCs w:val="22"/>
        </w:rPr>
        <w:t>6.63 %</w:t>
      </w:r>
      <w:r>
        <w:rPr>
          <w:szCs w:val="22"/>
        </w:rPr>
        <w:t>、</w:t>
      </w:r>
      <w:r>
        <w:rPr>
          <w:szCs w:val="22"/>
        </w:rPr>
        <w:t>6.65 %</w:t>
      </w:r>
      <w:r>
        <w:rPr>
          <w:szCs w:val="22"/>
        </w:rPr>
        <w:t>、</w:t>
      </w:r>
      <w:r>
        <w:rPr>
          <w:szCs w:val="22"/>
        </w:rPr>
        <w:t>6.72 %)</w:t>
      </w:r>
      <w:r>
        <w:rPr>
          <w:szCs w:val="22"/>
        </w:rPr>
        <w:t>。</w:t>
      </w:r>
    </w:p>
    <w:p w14:paraId="05521B7A" w14:textId="77777777" w:rsidR="004F39F6" w:rsidRDefault="00731C67">
      <w:r>
        <w:rPr>
          <w:b/>
          <w:bCs/>
        </w:rPr>
        <w:t>关键词：</w:t>
      </w:r>
      <w:r>
        <w:t>杂交</w:t>
      </w:r>
      <w:proofErr w:type="gramStart"/>
      <w:r>
        <w:t>鳢</w:t>
      </w:r>
      <w:proofErr w:type="gramEnd"/>
      <w:r>
        <w:t>；精氨酸；生长性能；体组成；血浆生化指标；抗氧化</w:t>
      </w:r>
    </w:p>
    <w:p w14:paraId="39F4CEEB" w14:textId="77777777" w:rsidR="004F39F6" w:rsidRDefault="00731C67">
      <w:pPr>
        <w:jc w:val="center"/>
        <w:rPr>
          <w:b/>
          <w:bCs/>
          <w:sz w:val="24"/>
        </w:rPr>
      </w:pPr>
      <w:r>
        <w:rPr>
          <w:b/>
          <w:bCs/>
          <w:sz w:val="24"/>
        </w:rPr>
        <w:t>Effects of Arginine on Growth Performance</w:t>
      </w:r>
      <w:r>
        <w:rPr>
          <w:b/>
          <w:bCs/>
          <w:sz w:val="24"/>
        </w:rPr>
        <w:t>，</w:t>
      </w:r>
      <w:r>
        <w:rPr>
          <w:b/>
          <w:bCs/>
          <w:sz w:val="24"/>
        </w:rPr>
        <w:t>Body Composition</w:t>
      </w:r>
      <w:r>
        <w:rPr>
          <w:b/>
          <w:bCs/>
          <w:sz w:val="24"/>
        </w:rPr>
        <w:t>，</w:t>
      </w:r>
      <w:r>
        <w:rPr>
          <w:b/>
          <w:bCs/>
          <w:sz w:val="24"/>
        </w:rPr>
        <w:t>Plasma Biochemical Indexes and Antioxidant Capacity of H</w:t>
      </w:r>
      <w:r>
        <w:rPr>
          <w:b/>
          <w:bCs/>
          <w:sz w:val="24"/>
        </w:rPr>
        <w:t xml:space="preserve">ybrid Snakehead( Channa </w:t>
      </w:r>
      <w:proofErr w:type="spellStart"/>
      <w:r>
        <w:rPr>
          <w:b/>
          <w:bCs/>
          <w:sz w:val="24"/>
        </w:rPr>
        <w:t>maculata</w:t>
      </w:r>
      <w:proofErr w:type="spellEnd"/>
      <w:r>
        <w:rPr>
          <w:b/>
          <w:bCs/>
          <w:sz w:val="24"/>
        </w:rPr>
        <w:t xml:space="preserve"> ♀×Channa argus ♂)</w:t>
      </w:r>
    </w:p>
    <w:p w14:paraId="7FB2DEAA" w14:textId="77777777" w:rsidR="004F39F6" w:rsidRDefault="00731C67">
      <w:pPr>
        <w:jc w:val="center"/>
        <w:rPr>
          <w:vertAlign w:val="superscript"/>
        </w:rPr>
      </w:pPr>
      <w:r>
        <w:t>LI Peijia</w:t>
      </w:r>
      <w:r>
        <w:rPr>
          <w:vertAlign w:val="superscript"/>
        </w:rPr>
        <w:t>1,</w:t>
      </w:r>
      <w:proofErr w:type="gramStart"/>
      <w:r>
        <w:rPr>
          <w:vertAlign w:val="superscript"/>
        </w:rPr>
        <w:t>2</w:t>
      </w:r>
      <w:r>
        <w:t xml:space="preserve">  CHEN</w:t>
      </w:r>
      <w:proofErr w:type="gramEnd"/>
      <w:r>
        <w:t xml:space="preserve"> Xiaoying</w:t>
      </w:r>
      <w:r>
        <w:rPr>
          <w:vertAlign w:val="superscript"/>
        </w:rPr>
        <w:t xml:space="preserve">2* </w:t>
      </w:r>
      <w:r>
        <w:t xml:space="preserve"> ZHAO Hongxia</w:t>
      </w:r>
      <w:r>
        <w:rPr>
          <w:vertAlign w:val="superscript"/>
        </w:rPr>
        <w:t>2**</w:t>
      </w:r>
      <w:r>
        <w:t xml:space="preserve">  CAO </w:t>
      </w:r>
      <w:proofErr w:type="spellStart"/>
      <w:r>
        <w:t>Junming</w:t>
      </w:r>
      <w:proofErr w:type="spellEnd"/>
      <w:r>
        <w:t xml:space="preserve"> </w:t>
      </w:r>
      <w:r>
        <w:rPr>
          <w:vertAlign w:val="superscript"/>
        </w:rPr>
        <w:t>1</w:t>
      </w:r>
      <w:r>
        <w:t xml:space="preserve">  CHEN Bing</w:t>
      </w:r>
      <w:r>
        <w:rPr>
          <w:vertAlign w:val="superscript"/>
        </w:rPr>
        <w:t>2</w:t>
      </w:r>
      <w:r>
        <w:t xml:space="preserve">  PENG Kai</w:t>
      </w:r>
      <w:r>
        <w:rPr>
          <w:vertAlign w:val="superscript"/>
        </w:rPr>
        <w:t>2</w:t>
      </w:r>
      <w:r>
        <w:t xml:space="preserve"> HUANG Wen</w:t>
      </w:r>
      <w:r>
        <w:rPr>
          <w:vertAlign w:val="superscript"/>
        </w:rPr>
        <w:t xml:space="preserve">2,3 </w:t>
      </w:r>
      <w:r>
        <w:t xml:space="preserve"> GUO Hui</w:t>
      </w:r>
      <w:r>
        <w:rPr>
          <w:vertAlign w:val="superscript"/>
        </w:rPr>
        <w:t>1</w:t>
      </w:r>
    </w:p>
    <w:p w14:paraId="0C152309" w14:textId="77777777" w:rsidR="004F39F6" w:rsidRDefault="00731C67">
      <w:pPr>
        <w:jc w:val="center"/>
        <w:rPr>
          <w:i/>
          <w:iCs/>
          <w:szCs w:val="21"/>
        </w:rPr>
      </w:pPr>
      <w:r>
        <w:rPr>
          <w:i/>
          <w:iCs/>
          <w:szCs w:val="21"/>
        </w:rPr>
        <w:t>(</w:t>
      </w:r>
      <w:proofErr w:type="gramStart"/>
      <w:r>
        <w:rPr>
          <w:szCs w:val="21"/>
        </w:rPr>
        <w:t>1</w:t>
      </w:r>
      <w:r>
        <w:rPr>
          <w:i/>
          <w:iCs/>
          <w:szCs w:val="21"/>
        </w:rPr>
        <w:t>.College</w:t>
      </w:r>
      <w:proofErr w:type="gramEnd"/>
      <w:r>
        <w:rPr>
          <w:i/>
          <w:iCs/>
          <w:szCs w:val="21"/>
        </w:rPr>
        <w:t xml:space="preserve"> of Fisheries, Guangdong Ocean University, Zhanjiang </w:t>
      </w:r>
      <w:r>
        <w:rPr>
          <w:szCs w:val="21"/>
        </w:rPr>
        <w:t>524088</w:t>
      </w:r>
      <w:r>
        <w:rPr>
          <w:i/>
          <w:iCs/>
          <w:szCs w:val="21"/>
        </w:rPr>
        <w:t xml:space="preserve">, China; </w:t>
      </w:r>
      <w:r>
        <w:rPr>
          <w:szCs w:val="21"/>
        </w:rPr>
        <w:t>2</w:t>
      </w:r>
      <w:r>
        <w:rPr>
          <w:i/>
          <w:iCs/>
          <w:szCs w:val="21"/>
        </w:rPr>
        <w:t>.Guangdong Key Lab</w:t>
      </w:r>
      <w:r>
        <w:rPr>
          <w:i/>
          <w:iCs/>
          <w:szCs w:val="21"/>
        </w:rPr>
        <w:t xml:space="preserve">oratory of Animal Breeding and Nutrition, Key Laboratory of Animal Nutrition and Feed Science in South China of Ministry of Agriculture and Rural Affairs, Institute of Animal Science, Guangdong Academy of Agricultural Sciences, Guangzhou </w:t>
      </w:r>
      <w:r>
        <w:rPr>
          <w:szCs w:val="21"/>
        </w:rPr>
        <w:t>510640</w:t>
      </w:r>
      <w:r>
        <w:rPr>
          <w:i/>
          <w:iCs/>
          <w:szCs w:val="21"/>
        </w:rPr>
        <w:t xml:space="preserve">, China; </w:t>
      </w:r>
      <w:r>
        <w:rPr>
          <w:szCs w:val="21"/>
        </w:rPr>
        <w:t>3</w:t>
      </w:r>
      <w:r>
        <w:rPr>
          <w:i/>
          <w:iCs/>
          <w:szCs w:val="21"/>
        </w:rPr>
        <w:t xml:space="preserve">. </w:t>
      </w:r>
      <w:r>
        <w:rPr>
          <w:i/>
          <w:iCs/>
          <w:szCs w:val="21"/>
        </w:rPr>
        <w:t xml:space="preserve">Guangzhou </w:t>
      </w:r>
      <w:proofErr w:type="spellStart"/>
      <w:r>
        <w:rPr>
          <w:i/>
          <w:iCs/>
          <w:szCs w:val="21"/>
        </w:rPr>
        <w:t>Fishtech</w:t>
      </w:r>
      <w:proofErr w:type="spellEnd"/>
      <w:r>
        <w:rPr>
          <w:i/>
          <w:iCs/>
          <w:szCs w:val="21"/>
        </w:rPr>
        <w:t xml:space="preserve"> Biotechnology Co., Ltd., Guangzhou </w:t>
      </w:r>
      <w:r>
        <w:rPr>
          <w:szCs w:val="21"/>
        </w:rPr>
        <w:t>510640</w:t>
      </w:r>
      <w:r>
        <w:rPr>
          <w:i/>
          <w:iCs/>
          <w:szCs w:val="21"/>
        </w:rPr>
        <w:t>, China)</w:t>
      </w:r>
    </w:p>
    <w:p w14:paraId="21EDCCBD" w14:textId="77777777" w:rsidR="004F39F6" w:rsidRDefault="00731C67">
      <w:pPr>
        <w:rPr>
          <w:szCs w:val="21"/>
        </w:rPr>
      </w:pPr>
      <w:r>
        <w:rPr>
          <w:b/>
          <w:bCs/>
          <w:szCs w:val="21"/>
        </w:rPr>
        <w:t>Abstract:</w:t>
      </w:r>
      <w:r>
        <w:rPr>
          <w:szCs w:val="21"/>
        </w:rPr>
        <w:t xml:space="preserve"> The experiment was aimed to study the effects of dietary arginine on growth performance</w:t>
      </w:r>
      <w:r>
        <w:rPr>
          <w:szCs w:val="21"/>
        </w:rPr>
        <w:t>，</w:t>
      </w:r>
      <w:r>
        <w:rPr>
          <w:szCs w:val="21"/>
        </w:rPr>
        <w:t>body composition</w:t>
      </w:r>
      <w:r>
        <w:rPr>
          <w:szCs w:val="21"/>
        </w:rPr>
        <w:t>，</w:t>
      </w:r>
      <w:r>
        <w:rPr>
          <w:szCs w:val="21"/>
        </w:rPr>
        <w:t xml:space="preserve">plasma biochemical indexes and antioxidant capacity of juvenile </w:t>
      </w:r>
      <w:r>
        <w:rPr>
          <w:szCs w:val="21"/>
        </w:rPr>
        <w:t xml:space="preserve">hybrid snakehead ( Channa </w:t>
      </w:r>
      <w:proofErr w:type="spellStart"/>
      <w:r>
        <w:rPr>
          <w:szCs w:val="21"/>
        </w:rPr>
        <w:t>maculata</w:t>
      </w:r>
      <w:proofErr w:type="spellEnd"/>
      <w:r>
        <w:rPr>
          <w:szCs w:val="21"/>
        </w:rPr>
        <w:t xml:space="preserve"> ♀× Channa argus ) . A total of 750 hybrid snakeheads with an average initial w eight of </w:t>
      </w:r>
      <w:proofErr w:type="gramStart"/>
      <w:r>
        <w:rPr>
          <w:szCs w:val="21"/>
        </w:rPr>
        <w:t>( 22</w:t>
      </w:r>
      <w:proofErr w:type="gramEnd"/>
      <w:r>
        <w:rPr>
          <w:szCs w:val="21"/>
        </w:rPr>
        <w:t>. 02 ±0.02) g were selected and randomly divided into five groups with three replicates in each group and 50 fish in each replica</w:t>
      </w:r>
      <w:r>
        <w:rPr>
          <w:szCs w:val="21"/>
        </w:rPr>
        <w:t>te. Five experimental diets were prepared to contain arginine with 2</w:t>
      </w:r>
      <w:r>
        <w:rPr>
          <w:szCs w:val="21"/>
        </w:rPr>
        <w:t>．</w:t>
      </w:r>
      <w:r>
        <w:rPr>
          <w:szCs w:val="21"/>
        </w:rPr>
        <w:t>31%</w:t>
      </w:r>
      <w:r>
        <w:rPr>
          <w:szCs w:val="21"/>
        </w:rPr>
        <w:t>，</w:t>
      </w:r>
      <w:r>
        <w:rPr>
          <w:szCs w:val="21"/>
        </w:rPr>
        <w:t>2</w:t>
      </w:r>
      <w:r>
        <w:rPr>
          <w:szCs w:val="21"/>
        </w:rPr>
        <w:t>．</w:t>
      </w:r>
      <w:r>
        <w:rPr>
          <w:szCs w:val="21"/>
        </w:rPr>
        <w:t>42%</w:t>
      </w:r>
      <w:r>
        <w:rPr>
          <w:szCs w:val="21"/>
        </w:rPr>
        <w:t>，</w:t>
      </w:r>
      <w:r>
        <w:rPr>
          <w:szCs w:val="21"/>
        </w:rPr>
        <w:t>2</w:t>
      </w:r>
      <w:r>
        <w:rPr>
          <w:szCs w:val="21"/>
        </w:rPr>
        <w:t>．</w:t>
      </w:r>
      <w:r>
        <w:rPr>
          <w:szCs w:val="21"/>
        </w:rPr>
        <w:t>72%</w:t>
      </w:r>
      <w:r>
        <w:rPr>
          <w:szCs w:val="21"/>
        </w:rPr>
        <w:t>，</w:t>
      </w:r>
      <w:r>
        <w:rPr>
          <w:szCs w:val="21"/>
        </w:rPr>
        <w:t>2</w:t>
      </w:r>
      <w:r>
        <w:rPr>
          <w:szCs w:val="21"/>
        </w:rPr>
        <w:t>．</w:t>
      </w:r>
      <w:r>
        <w:rPr>
          <w:szCs w:val="21"/>
        </w:rPr>
        <w:t>92% and 3. 12%</w:t>
      </w:r>
      <w:r>
        <w:rPr>
          <w:szCs w:val="21"/>
        </w:rPr>
        <w:t>，</w:t>
      </w:r>
      <w:r>
        <w:rPr>
          <w:szCs w:val="21"/>
        </w:rPr>
        <w:t>respectively</w:t>
      </w:r>
      <w:r>
        <w:rPr>
          <w:szCs w:val="21"/>
        </w:rPr>
        <w:t>，</w:t>
      </w:r>
      <w:r>
        <w:rPr>
          <w:szCs w:val="21"/>
        </w:rPr>
        <w:t>recorded as G1, G2, G3, G4 and G5, respectively. The feeding period was 8 weeks. The results show ed as follow s: 1) with the increase of die</w:t>
      </w:r>
      <w:r>
        <w:rPr>
          <w:szCs w:val="21"/>
        </w:rPr>
        <w:t>tary arginine level</w:t>
      </w:r>
      <w:r>
        <w:rPr>
          <w:szCs w:val="21"/>
        </w:rPr>
        <w:t>，</w:t>
      </w:r>
      <w:r>
        <w:rPr>
          <w:szCs w:val="21"/>
        </w:rPr>
        <w:t>weight gain rate</w:t>
      </w:r>
      <w:r>
        <w:rPr>
          <w:szCs w:val="21"/>
        </w:rPr>
        <w:t>，</w:t>
      </w:r>
      <w:r>
        <w:rPr>
          <w:szCs w:val="21"/>
        </w:rPr>
        <w:t>specific grow the rate</w:t>
      </w:r>
      <w:r>
        <w:rPr>
          <w:szCs w:val="21"/>
        </w:rPr>
        <w:t>，</w:t>
      </w:r>
      <w:r>
        <w:rPr>
          <w:szCs w:val="21"/>
        </w:rPr>
        <w:t>protein productive rate of hybrid snakehead increased first and then decreased</w:t>
      </w:r>
      <w:r>
        <w:rPr>
          <w:szCs w:val="21"/>
        </w:rPr>
        <w:t>，</w:t>
      </w:r>
      <w:r>
        <w:rPr>
          <w:szCs w:val="21"/>
        </w:rPr>
        <w:t>and increased significantly in G4 group ( P</w:t>
      </w:r>
      <w:r>
        <w:rPr>
          <w:szCs w:val="21"/>
        </w:rPr>
        <w:t>＜</w:t>
      </w:r>
      <w:r>
        <w:rPr>
          <w:szCs w:val="21"/>
        </w:rPr>
        <w:t>0.05) . Feed coefficient show ed a downward trend and significantly decre</w:t>
      </w:r>
      <w:r>
        <w:rPr>
          <w:szCs w:val="21"/>
        </w:rPr>
        <w:t>ased in G4 group ( P</w:t>
      </w:r>
      <w:r>
        <w:rPr>
          <w:szCs w:val="21"/>
        </w:rPr>
        <w:t>＜</w:t>
      </w:r>
      <w:r>
        <w:rPr>
          <w:szCs w:val="21"/>
        </w:rPr>
        <w:t>0.05) . The level of arginine had no significant effects on survival rate</w:t>
      </w:r>
      <w:r>
        <w:rPr>
          <w:szCs w:val="21"/>
        </w:rPr>
        <w:t>，</w:t>
      </w:r>
      <w:r>
        <w:rPr>
          <w:szCs w:val="21"/>
        </w:rPr>
        <w:t>fattening degree</w:t>
      </w:r>
      <w:r>
        <w:rPr>
          <w:szCs w:val="21"/>
        </w:rPr>
        <w:t>，</w:t>
      </w:r>
      <w:proofErr w:type="spellStart"/>
      <w:r>
        <w:rPr>
          <w:szCs w:val="21"/>
        </w:rPr>
        <w:t>viseroso</w:t>
      </w:r>
      <w:proofErr w:type="spellEnd"/>
      <w:r>
        <w:rPr>
          <w:szCs w:val="21"/>
        </w:rPr>
        <w:t xml:space="preserve"> </w:t>
      </w:r>
      <w:proofErr w:type="spellStart"/>
      <w:r>
        <w:rPr>
          <w:szCs w:val="21"/>
        </w:rPr>
        <w:t>matic</w:t>
      </w:r>
      <w:proofErr w:type="spellEnd"/>
      <w:r>
        <w:rPr>
          <w:szCs w:val="21"/>
        </w:rPr>
        <w:t xml:space="preserve"> index of hybrid snakehead ( P</w:t>
      </w:r>
      <w:r>
        <w:rPr>
          <w:szCs w:val="21"/>
        </w:rPr>
        <w:t>＞</w:t>
      </w:r>
      <w:r>
        <w:rPr>
          <w:szCs w:val="21"/>
        </w:rPr>
        <w:t>0.05) . 2) The contents of crude protein and ash in the w hole fish of hybrid snakehead increased s</w:t>
      </w:r>
      <w:r>
        <w:rPr>
          <w:szCs w:val="21"/>
        </w:rPr>
        <w:t>ignificantly in G4 group ( P</w:t>
      </w:r>
      <w:r>
        <w:rPr>
          <w:szCs w:val="21"/>
        </w:rPr>
        <w:t>＜</w:t>
      </w:r>
      <w:r>
        <w:rPr>
          <w:szCs w:val="21"/>
        </w:rPr>
        <w:t xml:space="preserve"> 0. 05), but there was no significant difference in the contents of moisture and crude fat in the w hole fish ( P</w:t>
      </w:r>
      <w:r>
        <w:rPr>
          <w:szCs w:val="21"/>
        </w:rPr>
        <w:t>＞</w:t>
      </w:r>
      <w:r>
        <w:rPr>
          <w:szCs w:val="21"/>
        </w:rPr>
        <w:t>0.05) . With the increase of dietary arginine levels</w:t>
      </w:r>
      <w:r>
        <w:rPr>
          <w:szCs w:val="21"/>
        </w:rPr>
        <w:t>，</w:t>
      </w:r>
      <w:r>
        <w:rPr>
          <w:szCs w:val="21"/>
        </w:rPr>
        <w:t>arginine content in the w hole fish of hybrid snakehead incr</w:t>
      </w:r>
      <w:r>
        <w:rPr>
          <w:szCs w:val="21"/>
        </w:rPr>
        <w:t>eased first and then decreased</w:t>
      </w:r>
      <w:r>
        <w:rPr>
          <w:szCs w:val="21"/>
        </w:rPr>
        <w:t>，</w:t>
      </w:r>
      <w:r>
        <w:rPr>
          <w:szCs w:val="21"/>
        </w:rPr>
        <w:t>and significantly increased in G4 group ( P</w:t>
      </w:r>
      <w:r>
        <w:rPr>
          <w:szCs w:val="21"/>
        </w:rPr>
        <w:t>＜</w:t>
      </w:r>
      <w:r>
        <w:rPr>
          <w:szCs w:val="21"/>
        </w:rPr>
        <w:t>0.05) . The contents of leucine</w:t>
      </w:r>
      <w:r>
        <w:rPr>
          <w:szCs w:val="21"/>
        </w:rPr>
        <w:t>，</w:t>
      </w:r>
      <w:r>
        <w:rPr>
          <w:szCs w:val="21"/>
        </w:rPr>
        <w:t>methionine</w:t>
      </w:r>
      <w:r>
        <w:rPr>
          <w:szCs w:val="21"/>
        </w:rPr>
        <w:t>，</w:t>
      </w:r>
      <w:r>
        <w:rPr>
          <w:szCs w:val="21"/>
        </w:rPr>
        <w:t>valine</w:t>
      </w:r>
      <w:r>
        <w:rPr>
          <w:szCs w:val="21"/>
        </w:rPr>
        <w:t>，</w:t>
      </w:r>
      <w:r>
        <w:rPr>
          <w:szCs w:val="21"/>
        </w:rPr>
        <w:t>alanine</w:t>
      </w:r>
      <w:r>
        <w:rPr>
          <w:szCs w:val="21"/>
        </w:rPr>
        <w:t>，</w:t>
      </w:r>
      <w:r>
        <w:rPr>
          <w:szCs w:val="21"/>
        </w:rPr>
        <w:t>glycine</w:t>
      </w:r>
      <w:r>
        <w:rPr>
          <w:szCs w:val="21"/>
        </w:rPr>
        <w:t>，</w:t>
      </w:r>
      <w:r>
        <w:rPr>
          <w:szCs w:val="21"/>
        </w:rPr>
        <w:t>aspartic acid increased significantly in G3 group ( P</w:t>
      </w:r>
      <w:r>
        <w:rPr>
          <w:szCs w:val="21"/>
        </w:rPr>
        <w:t>＜</w:t>
      </w:r>
      <w:r>
        <w:rPr>
          <w:szCs w:val="21"/>
        </w:rPr>
        <w:t>0.05) ,and there was no significant difference in other amino</w:t>
      </w:r>
      <w:r>
        <w:rPr>
          <w:szCs w:val="21"/>
        </w:rPr>
        <w:t xml:space="preserve"> acid contents ( P</w:t>
      </w:r>
      <w:r>
        <w:rPr>
          <w:szCs w:val="21"/>
        </w:rPr>
        <w:t>＞</w:t>
      </w:r>
      <w:r>
        <w:rPr>
          <w:szCs w:val="21"/>
        </w:rPr>
        <w:t>0.05) . 3) The level of dietary arginine had no significant effect on plasma total protein</w:t>
      </w:r>
      <w:r>
        <w:rPr>
          <w:szCs w:val="21"/>
        </w:rPr>
        <w:t>，</w:t>
      </w:r>
      <w:r>
        <w:rPr>
          <w:szCs w:val="21"/>
        </w:rPr>
        <w:t>triglyceride</w:t>
      </w:r>
      <w:r>
        <w:rPr>
          <w:szCs w:val="21"/>
        </w:rPr>
        <w:t>，</w:t>
      </w:r>
      <w:r>
        <w:rPr>
          <w:szCs w:val="21"/>
        </w:rPr>
        <w:t>total cholesterol</w:t>
      </w:r>
      <w:r>
        <w:rPr>
          <w:szCs w:val="21"/>
        </w:rPr>
        <w:t>，</w:t>
      </w:r>
      <w:r>
        <w:rPr>
          <w:szCs w:val="21"/>
        </w:rPr>
        <w:t>urea nitrogen</w:t>
      </w:r>
      <w:r>
        <w:rPr>
          <w:szCs w:val="21"/>
        </w:rPr>
        <w:t>，</w:t>
      </w:r>
      <w:r>
        <w:rPr>
          <w:szCs w:val="21"/>
        </w:rPr>
        <w:t xml:space="preserve">glucose contents and glutamic </w:t>
      </w:r>
      <w:proofErr w:type="spellStart"/>
      <w:r>
        <w:rPr>
          <w:szCs w:val="21"/>
        </w:rPr>
        <w:t>oxalacetic</w:t>
      </w:r>
      <w:proofErr w:type="spellEnd"/>
      <w:r>
        <w:rPr>
          <w:szCs w:val="21"/>
        </w:rPr>
        <w:t xml:space="preserve"> transaminase and alanine transaminase activities ( P</w:t>
      </w:r>
      <w:r>
        <w:rPr>
          <w:szCs w:val="21"/>
        </w:rPr>
        <w:t>＞</w:t>
      </w:r>
      <w:r>
        <w:rPr>
          <w:szCs w:val="21"/>
        </w:rPr>
        <w:t>0.05) .</w:t>
      </w:r>
      <w:r>
        <w:rPr>
          <w:szCs w:val="21"/>
        </w:rPr>
        <w:t xml:space="preserve"> The activity of superoxide dismutase in G3 group was significantly higher than that in G1 and G2 groups ( P</w:t>
      </w:r>
      <w:r>
        <w:rPr>
          <w:szCs w:val="21"/>
        </w:rPr>
        <w:t>＜</w:t>
      </w:r>
      <w:r>
        <w:rPr>
          <w:szCs w:val="21"/>
        </w:rPr>
        <w:t xml:space="preserve">0.05) </w:t>
      </w:r>
      <w:r>
        <w:rPr>
          <w:szCs w:val="21"/>
        </w:rPr>
        <w:t>，</w:t>
      </w:r>
      <w:r>
        <w:rPr>
          <w:szCs w:val="21"/>
        </w:rPr>
        <w:t>and the activity of glutathione peroxidase in G5 group was significantly higher than that in G2 group ( P</w:t>
      </w:r>
      <w:r>
        <w:rPr>
          <w:szCs w:val="21"/>
        </w:rPr>
        <w:t>＜</w:t>
      </w:r>
      <w:r>
        <w:rPr>
          <w:szCs w:val="21"/>
        </w:rPr>
        <w:t xml:space="preserve"> 0. 05) . Compared with G1 group</w:t>
      </w:r>
      <w:r>
        <w:rPr>
          <w:szCs w:val="21"/>
        </w:rPr>
        <w:t>，</w:t>
      </w:r>
      <w:r>
        <w:rPr>
          <w:szCs w:val="21"/>
        </w:rPr>
        <w:t>t</w:t>
      </w:r>
      <w:r>
        <w:rPr>
          <w:szCs w:val="21"/>
        </w:rPr>
        <w:t>he total antioxidant capacity increased significantly ( P</w:t>
      </w:r>
      <w:r>
        <w:rPr>
          <w:szCs w:val="21"/>
        </w:rPr>
        <w:t>＜</w:t>
      </w:r>
      <w:r>
        <w:rPr>
          <w:szCs w:val="21"/>
        </w:rPr>
        <w:t>0.05) and the content of malonaldehyde decreased significantly in G5 group ( P</w:t>
      </w:r>
      <w:r>
        <w:rPr>
          <w:szCs w:val="21"/>
        </w:rPr>
        <w:t>＜</w:t>
      </w:r>
      <w:r>
        <w:rPr>
          <w:szCs w:val="21"/>
        </w:rPr>
        <w:t xml:space="preserve"> 0. 05) . In conclusion</w:t>
      </w:r>
      <w:r>
        <w:rPr>
          <w:szCs w:val="21"/>
        </w:rPr>
        <w:t>，</w:t>
      </w:r>
      <w:r>
        <w:rPr>
          <w:szCs w:val="21"/>
        </w:rPr>
        <w:t>the addition of appropriate level of arginine in the feed of hybrid snakehead significantly pro</w:t>
      </w:r>
      <w:r>
        <w:rPr>
          <w:szCs w:val="21"/>
        </w:rPr>
        <w:t>mote amino acid absorption</w:t>
      </w:r>
      <w:r>
        <w:rPr>
          <w:szCs w:val="21"/>
        </w:rPr>
        <w:t>，</w:t>
      </w:r>
      <w:r>
        <w:rPr>
          <w:szCs w:val="21"/>
        </w:rPr>
        <w:t>increase protein deposition</w:t>
      </w:r>
      <w:r>
        <w:rPr>
          <w:szCs w:val="21"/>
        </w:rPr>
        <w:t>，</w:t>
      </w:r>
      <w:r>
        <w:rPr>
          <w:szCs w:val="21"/>
        </w:rPr>
        <w:t>improve growth performance and antioxidant capacity</w:t>
      </w:r>
      <w:r>
        <w:rPr>
          <w:szCs w:val="21"/>
        </w:rPr>
        <w:t>．</w:t>
      </w:r>
      <w:r>
        <w:rPr>
          <w:szCs w:val="21"/>
        </w:rPr>
        <w:t xml:space="preserve"> Under the experimental conditions</w:t>
      </w:r>
      <w:r>
        <w:rPr>
          <w:szCs w:val="21"/>
        </w:rPr>
        <w:t>，</w:t>
      </w:r>
      <w:r>
        <w:rPr>
          <w:szCs w:val="21"/>
        </w:rPr>
        <w:t>based on the specific growth rate</w:t>
      </w:r>
      <w:r>
        <w:rPr>
          <w:szCs w:val="21"/>
        </w:rPr>
        <w:t>，</w:t>
      </w:r>
      <w:r>
        <w:rPr>
          <w:szCs w:val="21"/>
        </w:rPr>
        <w:t>w eight gain rate</w:t>
      </w:r>
      <w:r>
        <w:rPr>
          <w:szCs w:val="21"/>
        </w:rPr>
        <w:t>，</w:t>
      </w:r>
      <w:r>
        <w:rPr>
          <w:szCs w:val="21"/>
        </w:rPr>
        <w:t>protein productive rate indexes of hybrid snakehead</w:t>
      </w:r>
      <w:r>
        <w:rPr>
          <w:szCs w:val="21"/>
        </w:rPr>
        <w:t>，</w:t>
      </w:r>
      <w:r>
        <w:rPr>
          <w:szCs w:val="21"/>
        </w:rPr>
        <w:t>a comprehe</w:t>
      </w:r>
      <w:r>
        <w:rPr>
          <w:szCs w:val="21"/>
        </w:rPr>
        <w:t>nsive analysis through a broken line model show s that the optimal levels of arginine for hybrid snakehead juvenile fish are 2.91%</w:t>
      </w:r>
      <w:r>
        <w:rPr>
          <w:szCs w:val="21"/>
        </w:rPr>
        <w:t>，</w:t>
      </w:r>
      <w:r>
        <w:rPr>
          <w:szCs w:val="21"/>
        </w:rPr>
        <w:t>2</w:t>
      </w:r>
      <w:r>
        <w:rPr>
          <w:szCs w:val="21"/>
        </w:rPr>
        <w:t>．</w:t>
      </w:r>
      <w:r>
        <w:rPr>
          <w:szCs w:val="21"/>
        </w:rPr>
        <w:t>95% and 2.98% ( the feed protein contents are 6.63%, 6.65% and 6.72%).</w:t>
      </w:r>
    </w:p>
    <w:p w14:paraId="3AD4388A" w14:textId="77777777" w:rsidR="004F39F6" w:rsidRDefault="00731C67">
      <w:pPr>
        <w:rPr>
          <w:szCs w:val="21"/>
        </w:rPr>
      </w:pPr>
      <w:r>
        <w:rPr>
          <w:b/>
          <w:bCs/>
          <w:szCs w:val="21"/>
        </w:rPr>
        <w:lastRenderedPageBreak/>
        <w:t>Key words:</w:t>
      </w:r>
      <w:r>
        <w:rPr>
          <w:szCs w:val="21"/>
        </w:rPr>
        <w:t xml:space="preserve"> hybrid snakehead; arginine; growth perfor</w:t>
      </w:r>
      <w:r>
        <w:rPr>
          <w:szCs w:val="21"/>
        </w:rPr>
        <w:t>mance; body composition; plasma biochemical indexes; antioxidant</w:t>
      </w:r>
    </w:p>
    <w:p w14:paraId="7A89E3B7" w14:textId="77777777" w:rsidR="004F39F6" w:rsidRDefault="004F39F6">
      <w:pPr>
        <w:rPr>
          <w:szCs w:val="21"/>
        </w:rPr>
      </w:pPr>
    </w:p>
    <w:p w14:paraId="16F1DEAA" w14:textId="77777777" w:rsidR="004F39F6" w:rsidRDefault="00731C67">
      <w:pPr>
        <w:spacing w:line="360" w:lineRule="auto"/>
        <w:ind w:firstLineChars="200" w:firstLine="480"/>
        <w:rPr>
          <w:sz w:val="24"/>
        </w:rPr>
      </w:pPr>
      <w:r>
        <w:rPr>
          <w:sz w:val="24"/>
        </w:rPr>
        <w:t>氨基酸是鱼类必需的营养物质，在鱼体生长、代谢、信号传导等过程中发挥重要作用</w:t>
      </w:r>
      <w:r>
        <w:rPr>
          <w:sz w:val="24"/>
          <w:vertAlign w:val="superscript"/>
        </w:rPr>
        <w:t>[1]</w:t>
      </w:r>
      <w:r>
        <w:rPr>
          <w:sz w:val="24"/>
        </w:rPr>
        <w:t>。精氨酸的分子式为</w:t>
      </w:r>
      <w:r>
        <w:rPr>
          <w:sz w:val="24"/>
        </w:rPr>
        <w:t>C6H14N4O2</w:t>
      </w:r>
      <w:r>
        <w:rPr>
          <w:sz w:val="24"/>
        </w:rPr>
        <w:t>，是一种</w:t>
      </w:r>
      <w:r>
        <w:rPr>
          <w:sz w:val="24"/>
        </w:rPr>
        <w:t>α</w:t>
      </w:r>
      <w:r>
        <w:rPr>
          <w:sz w:val="24"/>
        </w:rPr>
        <w:t>－型氨基酸，属于鱼类必需氨基酸之一</w:t>
      </w:r>
      <w:r>
        <w:rPr>
          <w:sz w:val="24"/>
          <w:vertAlign w:val="superscript"/>
        </w:rPr>
        <w:t>[2]</w:t>
      </w:r>
      <w:r>
        <w:rPr>
          <w:sz w:val="24"/>
        </w:rPr>
        <w:t>。精氨酸参与蛋白质、尿素、肌酸和多胺的合成，在促进鱼类生长性能、提高免疫和抗氧化能力等方面发挥重要作用</w:t>
      </w:r>
      <w:r>
        <w:rPr>
          <w:sz w:val="24"/>
          <w:vertAlign w:val="superscript"/>
        </w:rPr>
        <w:t>[3]</w:t>
      </w:r>
      <w:r>
        <w:rPr>
          <w:sz w:val="24"/>
        </w:rPr>
        <w:t>。研究表明，饲料添加精氨酸可显著提高杂交条纹鲈</w:t>
      </w:r>
      <w:r>
        <w:rPr>
          <w:sz w:val="24"/>
        </w:rPr>
        <w:t>(</w:t>
      </w:r>
      <w:r>
        <w:rPr>
          <w:i/>
          <w:iCs/>
          <w:sz w:val="24"/>
        </w:rPr>
        <w:t>Hybrid striped bass</w:t>
      </w:r>
      <w:r>
        <w:rPr>
          <w:sz w:val="24"/>
        </w:rPr>
        <w:t>)</w:t>
      </w:r>
      <w:r>
        <w:rPr>
          <w:sz w:val="24"/>
        </w:rPr>
        <w:t>、印度鲶鱼</w:t>
      </w:r>
      <w:r>
        <w:rPr>
          <w:sz w:val="24"/>
        </w:rPr>
        <w:t>(</w:t>
      </w:r>
      <w:proofErr w:type="spellStart"/>
      <w:r>
        <w:rPr>
          <w:i/>
          <w:iCs/>
          <w:sz w:val="24"/>
        </w:rPr>
        <w:t>Het</w:t>
      </w:r>
      <w:r>
        <w:rPr>
          <w:i/>
          <w:iCs/>
          <w:sz w:val="24"/>
        </w:rPr>
        <w:t>eropneustes</w:t>
      </w:r>
      <w:proofErr w:type="spellEnd"/>
      <w:r>
        <w:rPr>
          <w:i/>
          <w:iCs/>
          <w:sz w:val="24"/>
        </w:rPr>
        <w:t xml:space="preserve"> </w:t>
      </w:r>
      <w:proofErr w:type="spellStart"/>
      <w:r>
        <w:rPr>
          <w:i/>
          <w:iCs/>
          <w:sz w:val="24"/>
        </w:rPr>
        <w:t>fossilis</w:t>
      </w:r>
      <w:proofErr w:type="spellEnd"/>
      <w:r>
        <w:rPr>
          <w:sz w:val="24"/>
        </w:rPr>
        <w:t>)</w:t>
      </w:r>
      <w:r>
        <w:rPr>
          <w:sz w:val="24"/>
        </w:rPr>
        <w:t>、印度鲤鱼</w:t>
      </w:r>
      <w:r>
        <w:rPr>
          <w:sz w:val="24"/>
        </w:rPr>
        <w:t>(</w:t>
      </w:r>
      <w:proofErr w:type="spellStart"/>
      <w:r>
        <w:rPr>
          <w:i/>
          <w:iCs/>
          <w:sz w:val="24"/>
        </w:rPr>
        <w:t>Cirrhinus</w:t>
      </w:r>
      <w:proofErr w:type="spellEnd"/>
      <w:r>
        <w:rPr>
          <w:i/>
          <w:iCs/>
          <w:sz w:val="24"/>
        </w:rPr>
        <w:t xml:space="preserve"> </w:t>
      </w:r>
      <w:proofErr w:type="spellStart"/>
      <w:r>
        <w:rPr>
          <w:i/>
          <w:iCs/>
          <w:sz w:val="24"/>
        </w:rPr>
        <w:t>mrigala</w:t>
      </w:r>
      <w:proofErr w:type="spellEnd"/>
      <w:r>
        <w:rPr>
          <w:sz w:val="24"/>
        </w:rPr>
        <w:t>)</w:t>
      </w:r>
      <w:r>
        <w:rPr>
          <w:sz w:val="24"/>
        </w:rPr>
        <w:t>的增重率</w:t>
      </w:r>
      <w:r>
        <w:rPr>
          <w:sz w:val="24"/>
        </w:rPr>
        <w:t>(weight gain rate</w:t>
      </w:r>
      <w:r>
        <w:rPr>
          <w:sz w:val="24"/>
        </w:rPr>
        <w:t>，</w:t>
      </w:r>
      <w:r>
        <w:rPr>
          <w:sz w:val="24"/>
        </w:rPr>
        <w:t>WGR)</w:t>
      </w:r>
      <w:r>
        <w:rPr>
          <w:sz w:val="24"/>
        </w:rPr>
        <w:t>、饲料效率、蛋白质效率</w:t>
      </w:r>
      <w:r>
        <w:rPr>
          <w:sz w:val="24"/>
          <w:vertAlign w:val="superscript"/>
        </w:rPr>
        <w:t>[4</w:t>
      </w:r>
      <w:r>
        <w:rPr>
          <w:sz w:val="24"/>
          <w:vertAlign w:val="superscript"/>
        </w:rPr>
        <w:t>－</w:t>
      </w:r>
      <w:r>
        <w:rPr>
          <w:sz w:val="24"/>
          <w:vertAlign w:val="superscript"/>
        </w:rPr>
        <w:t>6]</w:t>
      </w:r>
      <w:r>
        <w:rPr>
          <w:sz w:val="24"/>
        </w:rPr>
        <w:t>；显著提高</w:t>
      </w:r>
      <w:proofErr w:type="gramStart"/>
      <w:r>
        <w:rPr>
          <w:sz w:val="24"/>
        </w:rPr>
        <w:t>凡纳滨对虾</w:t>
      </w:r>
      <w:proofErr w:type="gramEnd"/>
      <w:r>
        <w:rPr>
          <w:sz w:val="24"/>
        </w:rPr>
        <w:t>(</w:t>
      </w:r>
      <w:proofErr w:type="spellStart"/>
      <w:r>
        <w:rPr>
          <w:i/>
          <w:iCs/>
          <w:sz w:val="24"/>
        </w:rPr>
        <w:t>Litopenaeus</w:t>
      </w:r>
      <w:proofErr w:type="spellEnd"/>
      <w:r>
        <w:rPr>
          <w:i/>
          <w:iCs/>
          <w:sz w:val="24"/>
        </w:rPr>
        <w:t xml:space="preserve"> </w:t>
      </w:r>
      <w:proofErr w:type="spellStart"/>
      <w:r>
        <w:rPr>
          <w:i/>
          <w:iCs/>
          <w:sz w:val="24"/>
        </w:rPr>
        <w:t>vannamei</w:t>
      </w:r>
      <w:proofErr w:type="spellEnd"/>
      <w:r>
        <w:rPr>
          <w:sz w:val="24"/>
        </w:rPr>
        <w:t>)</w:t>
      </w:r>
      <w:r>
        <w:rPr>
          <w:sz w:val="24"/>
        </w:rPr>
        <w:t>血浆总蛋白</w:t>
      </w:r>
      <w:r>
        <w:rPr>
          <w:sz w:val="24"/>
        </w:rPr>
        <w:t>(total protein</w:t>
      </w:r>
      <w:r>
        <w:rPr>
          <w:sz w:val="24"/>
        </w:rPr>
        <w:t>，</w:t>
      </w:r>
      <w:r>
        <w:rPr>
          <w:sz w:val="24"/>
        </w:rPr>
        <w:t>TP)</w:t>
      </w:r>
      <w:r>
        <w:rPr>
          <w:sz w:val="24"/>
        </w:rPr>
        <w:t>含量，降低黑鲷</w:t>
      </w:r>
      <w:r>
        <w:rPr>
          <w:sz w:val="24"/>
        </w:rPr>
        <w:t>(</w:t>
      </w:r>
      <w:r>
        <w:rPr>
          <w:i/>
          <w:iCs/>
          <w:sz w:val="24"/>
        </w:rPr>
        <w:t>Sparus macrocephalus</w:t>
      </w:r>
      <w:r>
        <w:rPr>
          <w:sz w:val="24"/>
        </w:rPr>
        <w:t>)</w:t>
      </w:r>
      <w:r>
        <w:rPr>
          <w:sz w:val="24"/>
        </w:rPr>
        <w:t>谷草转氨酶</w:t>
      </w:r>
      <w:r>
        <w:rPr>
          <w:sz w:val="24"/>
        </w:rPr>
        <w:t>(aspartate transaminase</w:t>
      </w:r>
      <w:r>
        <w:rPr>
          <w:sz w:val="24"/>
        </w:rPr>
        <w:t>，</w:t>
      </w:r>
      <w:r>
        <w:rPr>
          <w:sz w:val="24"/>
        </w:rPr>
        <w:t>AST)</w:t>
      </w:r>
      <w:r>
        <w:rPr>
          <w:sz w:val="24"/>
        </w:rPr>
        <w:t>、谷丙转氨酶</w:t>
      </w:r>
      <w:r>
        <w:rPr>
          <w:sz w:val="24"/>
        </w:rPr>
        <w:t>(alanine transaminase</w:t>
      </w:r>
      <w:r>
        <w:rPr>
          <w:sz w:val="24"/>
        </w:rPr>
        <w:t>，</w:t>
      </w:r>
      <w:r>
        <w:rPr>
          <w:sz w:val="24"/>
        </w:rPr>
        <w:t>ALT)</w:t>
      </w:r>
      <w:r>
        <w:rPr>
          <w:sz w:val="24"/>
        </w:rPr>
        <w:t>活性，维持正常氨基酸代谢能力</w:t>
      </w:r>
      <w:r>
        <w:rPr>
          <w:sz w:val="24"/>
          <w:vertAlign w:val="superscript"/>
        </w:rPr>
        <w:t>[7</w:t>
      </w:r>
      <w:r>
        <w:rPr>
          <w:sz w:val="24"/>
          <w:vertAlign w:val="superscript"/>
        </w:rPr>
        <w:t>－</w:t>
      </w:r>
      <w:r>
        <w:rPr>
          <w:sz w:val="24"/>
          <w:vertAlign w:val="superscript"/>
        </w:rPr>
        <w:t>8]</w:t>
      </w:r>
      <w:r>
        <w:rPr>
          <w:sz w:val="24"/>
        </w:rPr>
        <w:t>；</w:t>
      </w:r>
      <w:r>
        <w:rPr>
          <w:sz w:val="24"/>
        </w:rPr>
        <w:t>提高黄</w:t>
      </w:r>
      <w:proofErr w:type="gramStart"/>
      <w:r>
        <w:rPr>
          <w:sz w:val="24"/>
        </w:rPr>
        <w:t>颡</w:t>
      </w:r>
      <w:proofErr w:type="gramEnd"/>
      <w:r>
        <w:rPr>
          <w:sz w:val="24"/>
        </w:rPr>
        <w:t>鱼</w:t>
      </w:r>
      <w:r>
        <w:rPr>
          <w:sz w:val="24"/>
        </w:rPr>
        <w:t>(</w:t>
      </w:r>
      <w:proofErr w:type="spellStart"/>
      <w:r>
        <w:rPr>
          <w:i/>
          <w:iCs/>
          <w:sz w:val="24"/>
        </w:rPr>
        <w:t>Pelteobagrus</w:t>
      </w:r>
      <w:proofErr w:type="spellEnd"/>
      <w:r>
        <w:rPr>
          <w:i/>
          <w:iCs/>
          <w:sz w:val="24"/>
        </w:rPr>
        <w:t xml:space="preserve"> </w:t>
      </w:r>
      <w:proofErr w:type="spellStart"/>
      <w:r>
        <w:rPr>
          <w:i/>
          <w:iCs/>
          <w:sz w:val="24"/>
        </w:rPr>
        <w:t>fulvidraco</w:t>
      </w:r>
      <w:proofErr w:type="spellEnd"/>
      <w:r>
        <w:rPr>
          <w:sz w:val="24"/>
        </w:rPr>
        <w:t>)</w:t>
      </w:r>
      <w:r>
        <w:rPr>
          <w:sz w:val="24"/>
        </w:rPr>
        <w:t>血浆过氧化氢酶活性及抗氧自由基能力</w:t>
      </w:r>
      <w:r>
        <w:rPr>
          <w:sz w:val="24"/>
          <w:vertAlign w:val="superscript"/>
        </w:rPr>
        <w:t>[9]</w:t>
      </w:r>
      <w:r>
        <w:rPr>
          <w:sz w:val="24"/>
        </w:rPr>
        <w:t>，显著降低杂交鲟</w:t>
      </w:r>
      <w:r>
        <w:rPr>
          <w:sz w:val="24"/>
        </w:rPr>
        <w:t>(</w:t>
      </w:r>
      <w:r>
        <w:rPr>
          <w:i/>
          <w:iCs/>
          <w:sz w:val="24"/>
        </w:rPr>
        <w:t xml:space="preserve">Acipenser </w:t>
      </w:r>
      <w:proofErr w:type="spellStart"/>
      <w:r>
        <w:rPr>
          <w:i/>
          <w:iCs/>
          <w:sz w:val="24"/>
        </w:rPr>
        <w:t>schrenckii</w:t>
      </w:r>
      <w:proofErr w:type="spellEnd"/>
      <w:r>
        <w:rPr>
          <w:sz w:val="24"/>
        </w:rPr>
        <w:t>♀×</w:t>
      </w:r>
      <w:r>
        <w:rPr>
          <w:i/>
          <w:iCs/>
          <w:sz w:val="24"/>
        </w:rPr>
        <w:t xml:space="preserve">Acipenser </w:t>
      </w:r>
      <w:proofErr w:type="spellStart"/>
      <w:r>
        <w:rPr>
          <w:i/>
          <w:iCs/>
          <w:sz w:val="24"/>
        </w:rPr>
        <w:t>baeri</w:t>
      </w:r>
      <w:proofErr w:type="spellEnd"/>
      <w:r>
        <w:rPr>
          <w:sz w:val="24"/>
        </w:rPr>
        <w:t>♂)</w:t>
      </w:r>
      <w:r>
        <w:rPr>
          <w:sz w:val="24"/>
          <w:vertAlign w:val="superscript"/>
        </w:rPr>
        <w:t>[10]</w:t>
      </w:r>
      <w:r>
        <w:rPr>
          <w:sz w:val="24"/>
        </w:rPr>
        <w:t>肠道丙二醛</w:t>
      </w:r>
      <w:r>
        <w:rPr>
          <w:sz w:val="24"/>
        </w:rPr>
        <w:t>(malondialdehyde</w:t>
      </w:r>
      <w:r>
        <w:rPr>
          <w:sz w:val="24"/>
        </w:rPr>
        <w:t>，</w:t>
      </w:r>
      <w:r>
        <w:rPr>
          <w:sz w:val="24"/>
        </w:rPr>
        <w:t>MDA)</w:t>
      </w:r>
      <w:r>
        <w:rPr>
          <w:sz w:val="24"/>
        </w:rPr>
        <w:t>含量，提高肠道超氧化物歧化酶</w:t>
      </w:r>
      <w:r>
        <w:rPr>
          <w:sz w:val="24"/>
        </w:rPr>
        <w:t>(superoxide dismutase</w:t>
      </w:r>
      <w:r>
        <w:rPr>
          <w:sz w:val="24"/>
        </w:rPr>
        <w:t>，</w:t>
      </w:r>
      <w:r>
        <w:rPr>
          <w:sz w:val="24"/>
        </w:rPr>
        <w:t>SOD)</w:t>
      </w:r>
      <w:r>
        <w:rPr>
          <w:sz w:val="24"/>
        </w:rPr>
        <w:t>和谷胱甘肽过氧化物酶</w:t>
      </w:r>
      <w:r>
        <w:rPr>
          <w:sz w:val="24"/>
        </w:rPr>
        <w:t>(glutathione peroxidase</w:t>
      </w:r>
      <w:r>
        <w:rPr>
          <w:sz w:val="24"/>
        </w:rPr>
        <w:t>，</w:t>
      </w:r>
      <w:r>
        <w:rPr>
          <w:sz w:val="24"/>
        </w:rPr>
        <w:t>GSH-Px)</w:t>
      </w:r>
      <w:r>
        <w:rPr>
          <w:sz w:val="24"/>
        </w:rPr>
        <w:t>活性，增强鱼体抗氧化能力。</w:t>
      </w:r>
    </w:p>
    <w:p w14:paraId="57F7EAE9" w14:textId="77777777" w:rsidR="004F39F6" w:rsidRDefault="00731C67">
      <w:pPr>
        <w:spacing w:line="360" w:lineRule="auto"/>
        <w:ind w:firstLineChars="200" w:firstLine="480"/>
        <w:rPr>
          <w:sz w:val="24"/>
        </w:rPr>
      </w:pPr>
      <w:r>
        <w:rPr>
          <w:sz w:val="24"/>
        </w:rPr>
        <w:t>杂交</w:t>
      </w:r>
      <w:proofErr w:type="gramStart"/>
      <w:r>
        <w:rPr>
          <w:sz w:val="24"/>
        </w:rPr>
        <w:t>鳢</w:t>
      </w:r>
      <w:proofErr w:type="gramEnd"/>
      <w:r>
        <w:rPr>
          <w:sz w:val="24"/>
        </w:rPr>
        <w:t>，又称杂交乌斑</w:t>
      </w:r>
      <w:proofErr w:type="gramStart"/>
      <w:r>
        <w:rPr>
          <w:sz w:val="24"/>
        </w:rPr>
        <w:t>鳢</w:t>
      </w:r>
      <w:proofErr w:type="gramEnd"/>
      <w:r>
        <w:rPr>
          <w:sz w:val="24"/>
        </w:rPr>
        <w:t>，是乌鳢</w:t>
      </w:r>
      <w:r>
        <w:rPr>
          <w:sz w:val="24"/>
        </w:rPr>
        <w:t>(</w:t>
      </w:r>
      <w:r>
        <w:rPr>
          <w:i/>
          <w:iCs/>
          <w:sz w:val="24"/>
        </w:rPr>
        <w:t>Channa Argus</w:t>
      </w:r>
      <w:r>
        <w:rPr>
          <w:sz w:val="24"/>
        </w:rPr>
        <w:t>)</w:t>
      </w:r>
      <w:r>
        <w:rPr>
          <w:sz w:val="24"/>
        </w:rPr>
        <w:t>和斑</w:t>
      </w:r>
      <w:proofErr w:type="gramStart"/>
      <w:r>
        <w:rPr>
          <w:sz w:val="24"/>
        </w:rPr>
        <w:t>鳢</w:t>
      </w:r>
      <w:proofErr w:type="gramEnd"/>
      <w:r>
        <w:rPr>
          <w:sz w:val="24"/>
        </w:rPr>
        <w:t>(</w:t>
      </w:r>
      <w:r>
        <w:rPr>
          <w:i/>
          <w:iCs/>
          <w:sz w:val="24"/>
        </w:rPr>
        <w:t xml:space="preserve">Channa </w:t>
      </w:r>
      <w:proofErr w:type="spellStart"/>
      <w:r>
        <w:rPr>
          <w:i/>
          <w:iCs/>
          <w:sz w:val="24"/>
        </w:rPr>
        <w:t>maculata</w:t>
      </w:r>
      <w:proofErr w:type="spellEnd"/>
      <w:r>
        <w:rPr>
          <w:sz w:val="24"/>
        </w:rPr>
        <w:t>)</w:t>
      </w:r>
      <w:r>
        <w:rPr>
          <w:sz w:val="24"/>
        </w:rPr>
        <w:t>的杂交</w:t>
      </w:r>
      <w:proofErr w:type="gramStart"/>
      <w:r>
        <w:rPr>
          <w:sz w:val="24"/>
        </w:rPr>
        <w:t>鳢</w:t>
      </w:r>
      <w:proofErr w:type="gramEnd"/>
      <w:r>
        <w:rPr>
          <w:sz w:val="24"/>
        </w:rPr>
        <w:t>新品种。杂交</w:t>
      </w:r>
      <w:proofErr w:type="gramStart"/>
      <w:r>
        <w:rPr>
          <w:sz w:val="24"/>
        </w:rPr>
        <w:t>鳢</w:t>
      </w:r>
      <w:proofErr w:type="gramEnd"/>
      <w:r>
        <w:rPr>
          <w:sz w:val="24"/>
        </w:rPr>
        <w:t>通常生活在低洼、池塘、沼泽中，对水温适应强，耐低氧，杂交子</w:t>
      </w:r>
      <w:r>
        <w:rPr>
          <w:sz w:val="24"/>
        </w:rPr>
        <w:t>1</w:t>
      </w:r>
      <w:r>
        <w:rPr>
          <w:sz w:val="24"/>
        </w:rPr>
        <w:t>代具有双亲的优势，生长速度快，生长速度较乌鳢快</w:t>
      </w:r>
      <w:r>
        <w:rPr>
          <w:sz w:val="24"/>
        </w:rPr>
        <w:t>20 %</w:t>
      </w:r>
      <w:r>
        <w:rPr>
          <w:sz w:val="24"/>
        </w:rPr>
        <w:t>，较斑</w:t>
      </w:r>
      <w:proofErr w:type="gramStart"/>
      <w:r>
        <w:rPr>
          <w:sz w:val="24"/>
        </w:rPr>
        <w:t>鳢</w:t>
      </w:r>
      <w:proofErr w:type="gramEnd"/>
      <w:r>
        <w:rPr>
          <w:sz w:val="24"/>
        </w:rPr>
        <w:t>快</w:t>
      </w:r>
      <w:r>
        <w:rPr>
          <w:sz w:val="24"/>
        </w:rPr>
        <w:t>50 %</w:t>
      </w:r>
      <w:r>
        <w:rPr>
          <w:sz w:val="24"/>
        </w:rPr>
        <w:t>，不仅能够缩短养殖周期，</w:t>
      </w:r>
      <w:proofErr w:type="gramStart"/>
      <w:r>
        <w:rPr>
          <w:sz w:val="24"/>
        </w:rPr>
        <w:t>易驯食人工</w:t>
      </w:r>
      <w:proofErr w:type="gramEnd"/>
      <w:r>
        <w:rPr>
          <w:sz w:val="24"/>
        </w:rPr>
        <w:t>配合饲料，而且抗病能力强、个体大、肉质好，具有</w:t>
      </w:r>
      <w:proofErr w:type="gramStart"/>
      <w:r>
        <w:rPr>
          <w:sz w:val="24"/>
        </w:rPr>
        <w:t>去淤生新</w:t>
      </w:r>
      <w:proofErr w:type="gramEnd"/>
      <w:r>
        <w:rPr>
          <w:sz w:val="24"/>
        </w:rPr>
        <w:t>、生肌补血等优点。特别在珠三角地区，杂交</w:t>
      </w:r>
      <w:proofErr w:type="gramStart"/>
      <w:r>
        <w:rPr>
          <w:sz w:val="24"/>
        </w:rPr>
        <w:t>鳢</w:t>
      </w:r>
      <w:proofErr w:type="gramEnd"/>
      <w:r>
        <w:rPr>
          <w:sz w:val="24"/>
        </w:rPr>
        <w:t>已取代乌鳢、斑</w:t>
      </w:r>
      <w:proofErr w:type="gramStart"/>
      <w:r>
        <w:rPr>
          <w:sz w:val="24"/>
        </w:rPr>
        <w:t>鳢</w:t>
      </w:r>
      <w:proofErr w:type="gramEnd"/>
      <w:r>
        <w:rPr>
          <w:sz w:val="24"/>
        </w:rPr>
        <w:t>，成为</w:t>
      </w:r>
      <w:proofErr w:type="gramStart"/>
      <w:r>
        <w:rPr>
          <w:sz w:val="24"/>
        </w:rPr>
        <w:t>鳢</w:t>
      </w:r>
      <w:proofErr w:type="gramEnd"/>
      <w:r>
        <w:rPr>
          <w:sz w:val="24"/>
        </w:rPr>
        <w:t>科鱼类主要养殖品种，其中乌斑杂交</w:t>
      </w:r>
      <w:proofErr w:type="gramStart"/>
      <w:r>
        <w:rPr>
          <w:sz w:val="24"/>
        </w:rPr>
        <w:t>鳢</w:t>
      </w:r>
      <w:proofErr w:type="gramEnd"/>
      <w:r>
        <w:rPr>
          <w:sz w:val="24"/>
        </w:rPr>
        <w:t>在池塘养殖过程中杂交性状优势较为显著，深受珠三角养殖户的欢迎。目前，精氨酸</w:t>
      </w:r>
      <w:proofErr w:type="gramStart"/>
      <w:r>
        <w:rPr>
          <w:sz w:val="24"/>
        </w:rPr>
        <w:t>最</w:t>
      </w:r>
      <w:proofErr w:type="gramEnd"/>
      <w:r>
        <w:rPr>
          <w:sz w:val="24"/>
        </w:rPr>
        <w:t>适需要量在建鲤</w:t>
      </w:r>
      <w:r>
        <w:rPr>
          <w:sz w:val="24"/>
        </w:rPr>
        <w:t>(</w:t>
      </w:r>
      <w:r>
        <w:rPr>
          <w:i/>
          <w:iCs/>
          <w:sz w:val="24"/>
        </w:rPr>
        <w:t xml:space="preserve">Cyprinus </w:t>
      </w:r>
      <w:proofErr w:type="spellStart"/>
      <w:r>
        <w:rPr>
          <w:i/>
          <w:iCs/>
          <w:sz w:val="24"/>
        </w:rPr>
        <w:t>carpiovar</w:t>
      </w:r>
      <w:proofErr w:type="spellEnd"/>
      <w:r>
        <w:rPr>
          <w:i/>
          <w:iCs/>
          <w:sz w:val="24"/>
        </w:rPr>
        <w:t xml:space="preserve"> Jian</w:t>
      </w:r>
      <w:r>
        <w:rPr>
          <w:sz w:val="24"/>
        </w:rPr>
        <w:t>)</w:t>
      </w:r>
      <w:r>
        <w:rPr>
          <w:sz w:val="24"/>
          <w:vertAlign w:val="superscript"/>
        </w:rPr>
        <w:t>[11]</w:t>
      </w:r>
      <w:r>
        <w:rPr>
          <w:sz w:val="24"/>
        </w:rPr>
        <w:t>、军曹鱼</w:t>
      </w:r>
      <w:r>
        <w:rPr>
          <w:sz w:val="24"/>
        </w:rPr>
        <w:t>(</w:t>
      </w:r>
      <w:r>
        <w:rPr>
          <w:i/>
          <w:iCs/>
          <w:sz w:val="24"/>
        </w:rPr>
        <w:t>Rachycentron canadum</w:t>
      </w:r>
      <w:r>
        <w:rPr>
          <w:sz w:val="24"/>
        </w:rPr>
        <w:t>)</w:t>
      </w:r>
      <w:r>
        <w:rPr>
          <w:sz w:val="24"/>
          <w:vertAlign w:val="superscript"/>
        </w:rPr>
        <w:t>[12]</w:t>
      </w:r>
      <w:r>
        <w:rPr>
          <w:sz w:val="24"/>
        </w:rPr>
        <w:t>等多种鱼类上已有研究报道，但尚未见到杂交</w:t>
      </w:r>
      <w:proofErr w:type="gramStart"/>
      <w:r>
        <w:rPr>
          <w:sz w:val="24"/>
        </w:rPr>
        <w:t>鳢</w:t>
      </w:r>
      <w:proofErr w:type="gramEnd"/>
      <w:r>
        <w:rPr>
          <w:sz w:val="24"/>
        </w:rPr>
        <w:t>的精氨酸需要量方面研究。因此，本试验拟通过评估精氨酸对杂交</w:t>
      </w:r>
      <w:proofErr w:type="gramStart"/>
      <w:r>
        <w:rPr>
          <w:sz w:val="24"/>
        </w:rPr>
        <w:t>鳢</w:t>
      </w:r>
      <w:proofErr w:type="gramEnd"/>
      <w:r>
        <w:rPr>
          <w:sz w:val="24"/>
        </w:rPr>
        <w:t>生长性能、鱼体成分含量、血浆生化指标及抗氧化能力的影响，以期为精氨酸在杂交</w:t>
      </w:r>
      <w:proofErr w:type="gramStart"/>
      <w:r>
        <w:rPr>
          <w:sz w:val="24"/>
        </w:rPr>
        <w:t>鳢</w:t>
      </w:r>
      <w:proofErr w:type="gramEnd"/>
      <w:r>
        <w:rPr>
          <w:sz w:val="24"/>
        </w:rPr>
        <w:t>人工配合饲料生产实践中的应用提供理论依据。</w:t>
      </w:r>
    </w:p>
    <w:p w14:paraId="5CFBCD9A" w14:textId="77777777" w:rsidR="004F39F6" w:rsidRDefault="00731C67">
      <w:pPr>
        <w:spacing w:line="360" w:lineRule="auto"/>
        <w:rPr>
          <w:sz w:val="24"/>
          <w:szCs w:val="22"/>
        </w:rPr>
      </w:pPr>
      <w:r>
        <w:rPr>
          <w:sz w:val="24"/>
          <w:szCs w:val="22"/>
        </w:rPr>
        <w:t xml:space="preserve">1  </w:t>
      </w:r>
      <w:r>
        <w:rPr>
          <w:sz w:val="24"/>
          <w:szCs w:val="22"/>
        </w:rPr>
        <w:t>材料与方法</w:t>
      </w:r>
    </w:p>
    <w:p w14:paraId="430B686F" w14:textId="77777777" w:rsidR="004F39F6" w:rsidRDefault="00731C67">
      <w:pPr>
        <w:spacing w:line="360" w:lineRule="auto"/>
        <w:rPr>
          <w:sz w:val="24"/>
          <w:szCs w:val="22"/>
        </w:rPr>
      </w:pPr>
      <w:r>
        <w:rPr>
          <w:sz w:val="24"/>
          <w:szCs w:val="22"/>
        </w:rPr>
        <w:t xml:space="preserve">1.1  </w:t>
      </w:r>
      <w:r>
        <w:rPr>
          <w:sz w:val="24"/>
          <w:szCs w:val="22"/>
        </w:rPr>
        <w:t>试验饲料</w:t>
      </w:r>
    </w:p>
    <w:p w14:paraId="27B23BD9" w14:textId="77777777" w:rsidR="004F39F6" w:rsidRDefault="00731C67">
      <w:pPr>
        <w:spacing w:line="360" w:lineRule="auto"/>
        <w:ind w:firstLineChars="200" w:firstLine="480"/>
        <w:rPr>
          <w:sz w:val="24"/>
        </w:rPr>
      </w:pPr>
      <w:r>
        <w:rPr>
          <w:sz w:val="24"/>
        </w:rPr>
        <w:t>以鱼粉、豆</w:t>
      </w:r>
      <w:proofErr w:type="gramStart"/>
      <w:r>
        <w:rPr>
          <w:sz w:val="24"/>
        </w:rPr>
        <w:t>粕</w:t>
      </w:r>
      <w:proofErr w:type="gramEnd"/>
      <w:r>
        <w:rPr>
          <w:sz w:val="24"/>
        </w:rPr>
        <w:t>、玉米蛋白粉、高筋面粉为主要原料，以大豆油、鱼油、磷脂油为脂肪源，配制精氨酸水平分别为</w:t>
      </w:r>
      <w:r>
        <w:rPr>
          <w:sz w:val="24"/>
        </w:rPr>
        <w:t>2.31 %</w:t>
      </w:r>
      <w:r>
        <w:rPr>
          <w:sz w:val="24"/>
        </w:rPr>
        <w:t>、</w:t>
      </w:r>
      <w:r>
        <w:rPr>
          <w:sz w:val="24"/>
        </w:rPr>
        <w:t>2.42 %</w:t>
      </w:r>
      <w:r>
        <w:rPr>
          <w:sz w:val="24"/>
        </w:rPr>
        <w:t>、</w:t>
      </w:r>
      <w:r>
        <w:rPr>
          <w:sz w:val="24"/>
        </w:rPr>
        <w:t>2.72 %</w:t>
      </w:r>
      <w:r>
        <w:rPr>
          <w:sz w:val="24"/>
        </w:rPr>
        <w:t>、</w:t>
      </w:r>
      <w:r>
        <w:rPr>
          <w:sz w:val="24"/>
        </w:rPr>
        <w:t>2.92 %</w:t>
      </w:r>
      <w:r>
        <w:rPr>
          <w:sz w:val="24"/>
        </w:rPr>
        <w:t>、</w:t>
      </w:r>
      <w:r>
        <w:rPr>
          <w:sz w:val="24"/>
        </w:rPr>
        <w:t>3.12 %</w:t>
      </w:r>
      <w:r>
        <w:rPr>
          <w:sz w:val="24"/>
        </w:rPr>
        <w:t>的</w:t>
      </w:r>
      <w:r>
        <w:rPr>
          <w:sz w:val="24"/>
        </w:rPr>
        <w:t>5</w:t>
      </w:r>
      <w:r>
        <w:rPr>
          <w:sz w:val="24"/>
        </w:rPr>
        <w:t>种试验饲料，</w:t>
      </w:r>
      <w:r>
        <w:rPr>
          <w:sz w:val="24"/>
        </w:rPr>
        <w:t>分别记作</w:t>
      </w:r>
      <w:r>
        <w:rPr>
          <w:sz w:val="24"/>
        </w:rPr>
        <w:t>G1</w:t>
      </w:r>
      <w:r>
        <w:rPr>
          <w:sz w:val="24"/>
        </w:rPr>
        <w:t>、</w:t>
      </w:r>
      <w:r>
        <w:rPr>
          <w:sz w:val="24"/>
        </w:rPr>
        <w:t>G2</w:t>
      </w:r>
      <w:r>
        <w:rPr>
          <w:sz w:val="24"/>
        </w:rPr>
        <w:t>、</w:t>
      </w:r>
      <w:r>
        <w:rPr>
          <w:sz w:val="24"/>
        </w:rPr>
        <w:t>G3</w:t>
      </w:r>
      <w:r>
        <w:rPr>
          <w:sz w:val="24"/>
        </w:rPr>
        <w:t>、</w:t>
      </w:r>
      <w:r>
        <w:rPr>
          <w:sz w:val="24"/>
        </w:rPr>
        <w:t>G4</w:t>
      </w:r>
      <w:r>
        <w:rPr>
          <w:sz w:val="24"/>
        </w:rPr>
        <w:t>、</w:t>
      </w:r>
      <w:r>
        <w:rPr>
          <w:sz w:val="24"/>
        </w:rPr>
        <w:t>G5</w:t>
      </w:r>
      <w:r>
        <w:rPr>
          <w:sz w:val="24"/>
        </w:rPr>
        <w:t>。饲料精氨酸采用</w:t>
      </w:r>
      <w:r>
        <w:rPr>
          <w:sz w:val="24"/>
        </w:rPr>
        <w:t>L</w:t>
      </w:r>
      <w:r>
        <w:rPr>
          <w:sz w:val="24"/>
        </w:rPr>
        <w:t>－精氨酸，菱形晶体精氨酸，纯度</w:t>
      </w:r>
      <w:r>
        <w:rPr>
          <w:sz w:val="24"/>
        </w:rPr>
        <w:t>≥98 %</w:t>
      </w:r>
      <w:r>
        <w:rPr>
          <w:sz w:val="24"/>
        </w:rPr>
        <w:t>，</w:t>
      </w:r>
      <w:r>
        <w:rPr>
          <w:sz w:val="24"/>
        </w:rPr>
        <w:lastRenderedPageBreak/>
        <w:t>购自某生物科技有限公司。精氨酸含量采用</w:t>
      </w:r>
      <w:r>
        <w:rPr>
          <w:sz w:val="24"/>
        </w:rPr>
        <w:t>GB/T18246—2019</w:t>
      </w:r>
      <w:r>
        <w:rPr>
          <w:sz w:val="24"/>
        </w:rPr>
        <w:t>法测定。维生素及矿物质预混料添加</w:t>
      </w:r>
      <w:proofErr w:type="gramStart"/>
      <w:r>
        <w:rPr>
          <w:sz w:val="24"/>
        </w:rPr>
        <w:t>量按照</w:t>
      </w:r>
      <w:proofErr w:type="gramEnd"/>
      <w:r>
        <w:rPr>
          <w:sz w:val="24"/>
        </w:rPr>
        <w:t>乌鳢营养需求量进行添加</w:t>
      </w:r>
      <w:r>
        <w:rPr>
          <w:sz w:val="24"/>
          <w:vertAlign w:val="superscript"/>
        </w:rPr>
        <w:t>[13]</w:t>
      </w:r>
      <w:r>
        <w:rPr>
          <w:sz w:val="24"/>
        </w:rPr>
        <w:t>。饲料原料称量前过</w:t>
      </w:r>
      <w:r>
        <w:rPr>
          <w:sz w:val="24"/>
        </w:rPr>
        <w:t>60</w:t>
      </w:r>
      <w:r>
        <w:rPr>
          <w:sz w:val="24"/>
        </w:rPr>
        <w:t>目筛粉碎饲料原料，按照饲料配方称量各原料，经混匀后加入鱼油、豆油、磷脂油和水混匀，充分混匀后，采用小型膨化机制成颗粒状膨化饲料</w:t>
      </w:r>
      <w:r>
        <w:rPr>
          <w:sz w:val="24"/>
        </w:rPr>
        <w:t>(</w:t>
      </w:r>
      <w:r>
        <w:rPr>
          <w:sz w:val="24"/>
        </w:rPr>
        <w:t>华强膨化机械</w:t>
      </w:r>
      <w:r>
        <w:rPr>
          <w:sz w:val="24"/>
        </w:rPr>
        <w:t>T52</w:t>
      </w:r>
      <w:r>
        <w:rPr>
          <w:sz w:val="24"/>
        </w:rPr>
        <w:t>型</w:t>
      </w:r>
      <w:proofErr w:type="gramStart"/>
      <w:r>
        <w:rPr>
          <w:sz w:val="24"/>
        </w:rPr>
        <w:t>膨化机</w:t>
      </w:r>
      <w:proofErr w:type="gramEnd"/>
      <w:r>
        <w:rPr>
          <w:sz w:val="24"/>
        </w:rPr>
        <w:t>)</w:t>
      </w:r>
      <w:r>
        <w:rPr>
          <w:sz w:val="24"/>
        </w:rPr>
        <w:t>，</w:t>
      </w:r>
      <w:r>
        <w:rPr>
          <w:sz w:val="24"/>
        </w:rPr>
        <w:t>55 ℃</w:t>
      </w:r>
      <w:r>
        <w:rPr>
          <w:sz w:val="24"/>
        </w:rPr>
        <w:t>烘干后置于－</w:t>
      </w:r>
      <w:r>
        <w:rPr>
          <w:sz w:val="24"/>
        </w:rPr>
        <w:t>20 ℃</w:t>
      </w:r>
      <w:r>
        <w:rPr>
          <w:sz w:val="24"/>
        </w:rPr>
        <w:t>冰箱备用。试验饲料组成及营养水平见表</w:t>
      </w:r>
      <w:r>
        <w:rPr>
          <w:sz w:val="24"/>
        </w:rPr>
        <w:t>1</w:t>
      </w:r>
      <w:r>
        <w:rPr>
          <w:sz w:val="24"/>
        </w:rPr>
        <w:t>，饲料氨基酸组成见表</w:t>
      </w:r>
      <w:r>
        <w:rPr>
          <w:sz w:val="24"/>
        </w:rPr>
        <w:t>2</w:t>
      </w:r>
      <w:r>
        <w:rPr>
          <w:sz w:val="24"/>
        </w:rPr>
        <w:t>。</w:t>
      </w:r>
    </w:p>
    <w:p w14:paraId="7BAEBF48" w14:textId="77777777" w:rsidR="004F39F6" w:rsidRDefault="00731C67">
      <w:pPr>
        <w:spacing w:line="360" w:lineRule="auto"/>
        <w:jc w:val="center"/>
        <w:rPr>
          <w:kern w:val="0"/>
          <w:sz w:val="24"/>
          <w:lang w:bidi="ar"/>
        </w:rPr>
      </w:pPr>
      <w:r>
        <w:rPr>
          <w:noProof/>
          <w:kern w:val="0"/>
          <w:sz w:val="24"/>
          <w:lang w:bidi="ar"/>
        </w:rPr>
        <w:drawing>
          <wp:inline distT="0" distB="0" distL="0" distR="0" wp14:anchorId="096A829F" wp14:editId="5621C728">
            <wp:extent cx="4941570" cy="1947545"/>
            <wp:effectExtent l="0" t="0" r="1143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4947895" cy="1947545"/>
                    </a:xfrm>
                    <a:prstGeom prst="rect">
                      <a:avLst/>
                    </a:prstGeom>
                  </pic:spPr>
                </pic:pic>
              </a:graphicData>
            </a:graphic>
          </wp:inline>
        </w:drawing>
      </w:r>
    </w:p>
    <w:p w14:paraId="79ED29FC" w14:textId="77777777" w:rsidR="004F39F6" w:rsidRDefault="00731C67">
      <w:pPr>
        <w:spacing w:line="360" w:lineRule="auto"/>
        <w:jc w:val="center"/>
        <w:rPr>
          <w:kern w:val="0"/>
          <w:sz w:val="24"/>
          <w:lang w:bidi="ar"/>
        </w:rPr>
      </w:pPr>
      <w:r>
        <w:rPr>
          <w:noProof/>
          <w:kern w:val="0"/>
          <w:sz w:val="24"/>
          <w:lang w:bidi="ar"/>
        </w:rPr>
        <w:drawing>
          <wp:inline distT="0" distB="0" distL="114300" distR="114300" wp14:anchorId="68E2289D" wp14:editId="473CFC21">
            <wp:extent cx="5127625" cy="2236470"/>
            <wp:effectExtent l="0" t="0" r="3175" b="1143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33"/>
                    <a:stretch>
                      <a:fillRect/>
                    </a:stretch>
                  </pic:blipFill>
                  <pic:spPr>
                    <a:xfrm>
                      <a:off x="0" y="0"/>
                      <a:ext cx="5127625" cy="2236470"/>
                    </a:xfrm>
                    <a:prstGeom prst="rect">
                      <a:avLst/>
                    </a:prstGeom>
                    <a:noFill/>
                    <a:ln w="9525">
                      <a:noFill/>
                    </a:ln>
                  </pic:spPr>
                </pic:pic>
              </a:graphicData>
            </a:graphic>
          </wp:inline>
        </w:drawing>
      </w:r>
    </w:p>
    <w:p w14:paraId="1A709A11" w14:textId="77777777" w:rsidR="004F39F6" w:rsidRDefault="00731C67">
      <w:pPr>
        <w:widowControl/>
        <w:jc w:val="center"/>
        <w:rPr>
          <w:kern w:val="0"/>
          <w:sz w:val="24"/>
          <w:lang w:bidi="ar"/>
        </w:rPr>
      </w:pPr>
      <w:r>
        <w:rPr>
          <w:noProof/>
          <w:kern w:val="0"/>
          <w:sz w:val="24"/>
          <w:lang w:bidi="ar"/>
        </w:rPr>
        <w:drawing>
          <wp:inline distT="0" distB="0" distL="114300" distR="114300" wp14:anchorId="09A169D0" wp14:editId="106512A7">
            <wp:extent cx="4897755" cy="2609850"/>
            <wp:effectExtent l="0" t="0" r="4445" b="635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34"/>
                    <a:stretch>
                      <a:fillRect/>
                    </a:stretch>
                  </pic:blipFill>
                  <pic:spPr>
                    <a:xfrm>
                      <a:off x="0" y="0"/>
                      <a:ext cx="4902438" cy="2609850"/>
                    </a:xfrm>
                    <a:prstGeom prst="rect">
                      <a:avLst/>
                    </a:prstGeom>
                    <a:noFill/>
                    <a:ln w="9525">
                      <a:noFill/>
                    </a:ln>
                  </pic:spPr>
                </pic:pic>
              </a:graphicData>
            </a:graphic>
          </wp:inline>
        </w:drawing>
      </w:r>
    </w:p>
    <w:p w14:paraId="6CD338D8" w14:textId="77777777" w:rsidR="004F39F6" w:rsidRDefault="00731C67">
      <w:pPr>
        <w:spacing w:line="360" w:lineRule="auto"/>
        <w:rPr>
          <w:sz w:val="24"/>
          <w:szCs w:val="22"/>
        </w:rPr>
      </w:pPr>
      <w:r>
        <w:rPr>
          <w:sz w:val="24"/>
          <w:szCs w:val="22"/>
        </w:rPr>
        <w:lastRenderedPageBreak/>
        <w:t xml:space="preserve">1.2  </w:t>
      </w:r>
      <w:r>
        <w:rPr>
          <w:sz w:val="24"/>
          <w:szCs w:val="22"/>
        </w:rPr>
        <w:t>试验设计及饲养管理</w:t>
      </w:r>
    </w:p>
    <w:p w14:paraId="7E3898EC" w14:textId="77777777" w:rsidR="004F39F6" w:rsidRDefault="00731C67">
      <w:pPr>
        <w:spacing w:line="360" w:lineRule="auto"/>
        <w:ind w:firstLineChars="200" w:firstLine="480"/>
        <w:rPr>
          <w:sz w:val="24"/>
        </w:rPr>
      </w:pPr>
      <w:r>
        <w:rPr>
          <w:sz w:val="24"/>
        </w:rPr>
        <w:t>养殖试验在广东省农业科学</w:t>
      </w:r>
      <w:proofErr w:type="gramStart"/>
      <w:r>
        <w:rPr>
          <w:sz w:val="24"/>
        </w:rPr>
        <w:t>院动物</w:t>
      </w:r>
      <w:proofErr w:type="gramEnd"/>
      <w:r>
        <w:rPr>
          <w:sz w:val="24"/>
        </w:rPr>
        <w:t>科学研究所白云实验基地进行。杂交</w:t>
      </w:r>
      <w:proofErr w:type="gramStart"/>
      <w:r>
        <w:rPr>
          <w:sz w:val="24"/>
        </w:rPr>
        <w:t>鳢</w:t>
      </w:r>
      <w:proofErr w:type="gramEnd"/>
      <w:r>
        <w:rPr>
          <w:sz w:val="24"/>
        </w:rPr>
        <w:t>鱼苗购自广州市锦龙渔业有限公司。鱼苗运回后放入暂养池塘网箱</w:t>
      </w:r>
      <w:r>
        <w:rPr>
          <w:sz w:val="24"/>
        </w:rPr>
        <w:t>(2.5m×2.5m×1.5m)</w:t>
      </w:r>
      <w:r>
        <w:rPr>
          <w:sz w:val="24"/>
        </w:rPr>
        <w:t>中进行暂养，暂养期间每天饱食投喂基础饲料</w:t>
      </w:r>
      <w:r>
        <w:rPr>
          <w:sz w:val="24"/>
        </w:rPr>
        <w:t>2</w:t>
      </w:r>
      <w:r>
        <w:rPr>
          <w:sz w:val="24"/>
        </w:rPr>
        <w:t>次，暂养</w:t>
      </w:r>
      <w:r>
        <w:rPr>
          <w:sz w:val="24"/>
        </w:rPr>
        <w:t>1</w:t>
      </w:r>
      <w:r>
        <w:rPr>
          <w:sz w:val="24"/>
        </w:rPr>
        <w:t>周后正式养殖试验。杂交</w:t>
      </w:r>
      <w:proofErr w:type="gramStart"/>
      <w:r>
        <w:rPr>
          <w:sz w:val="24"/>
        </w:rPr>
        <w:t>鳢</w:t>
      </w:r>
      <w:proofErr w:type="gramEnd"/>
      <w:r>
        <w:rPr>
          <w:sz w:val="24"/>
        </w:rPr>
        <w:t>饥饿</w:t>
      </w:r>
      <w:r>
        <w:rPr>
          <w:sz w:val="24"/>
        </w:rPr>
        <w:t>24h</w:t>
      </w:r>
      <w:r>
        <w:rPr>
          <w:sz w:val="24"/>
        </w:rPr>
        <w:t>，随机挑选</w:t>
      </w:r>
      <w:r>
        <w:rPr>
          <w:sz w:val="24"/>
        </w:rPr>
        <w:t>750</w:t>
      </w:r>
      <w:r>
        <w:rPr>
          <w:sz w:val="24"/>
        </w:rPr>
        <w:t>尾体格健壮，平均初始体重为</w:t>
      </w:r>
      <w:r>
        <w:rPr>
          <w:sz w:val="24"/>
        </w:rPr>
        <w:t>(22.02±0.02)g</w:t>
      </w:r>
      <w:r>
        <w:rPr>
          <w:sz w:val="24"/>
        </w:rPr>
        <w:t>的杂交</w:t>
      </w:r>
      <w:proofErr w:type="gramStart"/>
      <w:r>
        <w:rPr>
          <w:sz w:val="24"/>
        </w:rPr>
        <w:t>鳢</w:t>
      </w:r>
      <w:proofErr w:type="gramEnd"/>
      <w:r>
        <w:rPr>
          <w:sz w:val="24"/>
        </w:rPr>
        <w:t>鱼苗，置于</w:t>
      </w:r>
      <w:r>
        <w:rPr>
          <w:sz w:val="24"/>
        </w:rPr>
        <w:t>15</w:t>
      </w:r>
      <w:r>
        <w:rPr>
          <w:sz w:val="24"/>
        </w:rPr>
        <w:t>个网箱</w:t>
      </w:r>
      <w:r>
        <w:rPr>
          <w:sz w:val="24"/>
        </w:rPr>
        <w:t>(1.5m×1.5m×1.5m)</w:t>
      </w:r>
      <w:r>
        <w:rPr>
          <w:sz w:val="24"/>
        </w:rPr>
        <w:t>中，网箱高出水面</w:t>
      </w:r>
      <w:r>
        <w:rPr>
          <w:sz w:val="24"/>
        </w:rPr>
        <w:t>20cm</w:t>
      </w:r>
      <w:r>
        <w:rPr>
          <w:sz w:val="24"/>
        </w:rPr>
        <w:t>，有效水体体积</w:t>
      </w:r>
      <w:r>
        <w:rPr>
          <w:sz w:val="24"/>
        </w:rPr>
        <w:t>293L</w:t>
      </w:r>
      <w:r>
        <w:rPr>
          <w:sz w:val="24"/>
        </w:rPr>
        <w:t>。试验分成</w:t>
      </w:r>
      <w:r>
        <w:rPr>
          <w:sz w:val="24"/>
        </w:rPr>
        <w:t>5</w:t>
      </w:r>
      <w:r>
        <w:rPr>
          <w:sz w:val="24"/>
        </w:rPr>
        <w:t>组，每组</w:t>
      </w:r>
      <w:r>
        <w:rPr>
          <w:sz w:val="24"/>
        </w:rPr>
        <w:t>3</w:t>
      </w:r>
      <w:r>
        <w:rPr>
          <w:sz w:val="24"/>
        </w:rPr>
        <w:t>个重复</w:t>
      </w:r>
      <w:r>
        <w:rPr>
          <w:sz w:val="24"/>
        </w:rPr>
        <w:t>(</w:t>
      </w:r>
      <w:r>
        <w:rPr>
          <w:sz w:val="24"/>
        </w:rPr>
        <w:t>网箱</w:t>
      </w:r>
      <w:r>
        <w:rPr>
          <w:sz w:val="24"/>
        </w:rPr>
        <w:t>)</w:t>
      </w:r>
      <w:r>
        <w:rPr>
          <w:sz w:val="24"/>
        </w:rPr>
        <w:t>，每个网箱</w:t>
      </w:r>
      <w:r>
        <w:rPr>
          <w:sz w:val="24"/>
        </w:rPr>
        <w:t>50</w:t>
      </w:r>
      <w:r>
        <w:rPr>
          <w:sz w:val="24"/>
        </w:rPr>
        <w:t>尾鱼，分别投喂</w:t>
      </w:r>
      <w:r>
        <w:rPr>
          <w:sz w:val="24"/>
        </w:rPr>
        <w:t>5</w:t>
      </w:r>
      <w:r>
        <w:rPr>
          <w:sz w:val="24"/>
        </w:rPr>
        <w:t>种试验饲料，持续饲养</w:t>
      </w:r>
      <w:r>
        <w:rPr>
          <w:sz w:val="24"/>
        </w:rPr>
        <w:t>8</w:t>
      </w:r>
      <w:r>
        <w:rPr>
          <w:sz w:val="24"/>
        </w:rPr>
        <w:t>周。每天定</w:t>
      </w:r>
      <w:r>
        <w:rPr>
          <w:sz w:val="24"/>
        </w:rPr>
        <w:t>时投食</w:t>
      </w:r>
      <w:r>
        <w:rPr>
          <w:sz w:val="24"/>
        </w:rPr>
        <w:t>2</w:t>
      </w:r>
      <w:r>
        <w:rPr>
          <w:sz w:val="24"/>
        </w:rPr>
        <w:t>次，分别为</w:t>
      </w:r>
      <w:r>
        <w:rPr>
          <w:sz w:val="24"/>
        </w:rPr>
        <w:t>08</w:t>
      </w:r>
      <w:r>
        <w:rPr>
          <w:sz w:val="24"/>
        </w:rPr>
        <w:t>：</w:t>
      </w:r>
      <w:r>
        <w:rPr>
          <w:sz w:val="24"/>
        </w:rPr>
        <w:t>00</w:t>
      </w:r>
      <w:r>
        <w:rPr>
          <w:sz w:val="24"/>
        </w:rPr>
        <w:t>和</w:t>
      </w:r>
      <w:r>
        <w:rPr>
          <w:sz w:val="24"/>
        </w:rPr>
        <w:t>16</w:t>
      </w:r>
      <w:r>
        <w:rPr>
          <w:sz w:val="24"/>
        </w:rPr>
        <w:t>：</w:t>
      </w:r>
      <w:r>
        <w:rPr>
          <w:sz w:val="24"/>
        </w:rPr>
        <w:t>00</w:t>
      </w:r>
      <w:r>
        <w:rPr>
          <w:sz w:val="24"/>
        </w:rPr>
        <w:t>，表观饱食投喂，并根据鱼体生长、摄食情况和水温等环境条件及时调整投喂量，每天记录鱼摄食及死亡情况。试验期间水温为</w:t>
      </w:r>
      <w:r>
        <w:rPr>
          <w:sz w:val="24"/>
        </w:rPr>
        <w:t>25</w:t>
      </w:r>
      <w:r>
        <w:rPr>
          <w:sz w:val="24"/>
        </w:rPr>
        <w:t>～</w:t>
      </w:r>
      <w:r>
        <w:rPr>
          <w:sz w:val="24"/>
        </w:rPr>
        <w:t>32 ℃</w:t>
      </w:r>
      <w:r>
        <w:rPr>
          <w:sz w:val="24"/>
        </w:rPr>
        <w:t>，</w:t>
      </w:r>
      <w:r>
        <w:rPr>
          <w:sz w:val="24"/>
        </w:rPr>
        <w:t>pH8.0</w:t>
      </w:r>
      <w:r>
        <w:rPr>
          <w:sz w:val="24"/>
        </w:rPr>
        <w:t>左右，溶氧浓度</w:t>
      </w:r>
      <w:r>
        <w:rPr>
          <w:sz w:val="24"/>
        </w:rPr>
        <w:t>8 mg/L</w:t>
      </w:r>
      <w:r>
        <w:rPr>
          <w:sz w:val="24"/>
        </w:rPr>
        <w:t>左右，氨氮浓度小于</w:t>
      </w:r>
      <w:r>
        <w:rPr>
          <w:sz w:val="24"/>
        </w:rPr>
        <w:t>0.1 mg/L</w:t>
      </w:r>
      <w:r>
        <w:rPr>
          <w:sz w:val="24"/>
        </w:rPr>
        <w:t>。</w:t>
      </w:r>
    </w:p>
    <w:p w14:paraId="5C4F89A6" w14:textId="77777777" w:rsidR="004F39F6" w:rsidRDefault="00731C67">
      <w:pPr>
        <w:spacing w:line="360" w:lineRule="auto"/>
        <w:rPr>
          <w:sz w:val="24"/>
          <w:szCs w:val="22"/>
        </w:rPr>
      </w:pPr>
      <w:r>
        <w:rPr>
          <w:sz w:val="24"/>
          <w:szCs w:val="22"/>
        </w:rPr>
        <w:t xml:space="preserve">1.3  </w:t>
      </w:r>
      <w:r>
        <w:rPr>
          <w:sz w:val="24"/>
          <w:szCs w:val="22"/>
        </w:rPr>
        <w:t>指标测定</w:t>
      </w:r>
    </w:p>
    <w:p w14:paraId="72607F24" w14:textId="77777777" w:rsidR="004F39F6" w:rsidRDefault="00731C67">
      <w:pPr>
        <w:spacing w:line="360" w:lineRule="auto"/>
        <w:rPr>
          <w:sz w:val="24"/>
          <w:szCs w:val="22"/>
        </w:rPr>
      </w:pPr>
      <w:r>
        <w:rPr>
          <w:sz w:val="24"/>
          <w:szCs w:val="22"/>
        </w:rPr>
        <w:t xml:space="preserve">1.3.1  </w:t>
      </w:r>
      <w:r>
        <w:rPr>
          <w:sz w:val="24"/>
          <w:szCs w:val="22"/>
        </w:rPr>
        <w:t>生长性能测定</w:t>
      </w:r>
    </w:p>
    <w:p w14:paraId="7AFA801C" w14:textId="77777777" w:rsidR="004F39F6" w:rsidRDefault="00731C67">
      <w:pPr>
        <w:spacing w:line="360" w:lineRule="auto"/>
        <w:ind w:firstLineChars="200" w:firstLine="480"/>
        <w:rPr>
          <w:sz w:val="24"/>
        </w:rPr>
      </w:pPr>
      <w:r>
        <w:rPr>
          <w:sz w:val="24"/>
        </w:rPr>
        <w:t>存活率</w:t>
      </w:r>
      <w:r>
        <w:rPr>
          <w:sz w:val="24"/>
        </w:rPr>
        <w:t>(survival rate</w:t>
      </w:r>
      <w:r>
        <w:rPr>
          <w:sz w:val="24"/>
        </w:rPr>
        <w:t>，</w:t>
      </w:r>
      <w:r>
        <w:rPr>
          <w:sz w:val="24"/>
        </w:rPr>
        <w:t>SR)=100×</w:t>
      </w:r>
      <w:r>
        <w:rPr>
          <w:sz w:val="24"/>
        </w:rPr>
        <w:t>终末尾数</w:t>
      </w:r>
      <w:r>
        <w:rPr>
          <w:sz w:val="24"/>
        </w:rPr>
        <w:t>/</w:t>
      </w:r>
      <w:r>
        <w:rPr>
          <w:sz w:val="24"/>
        </w:rPr>
        <w:t>初始尾数；</w:t>
      </w:r>
    </w:p>
    <w:p w14:paraId="7711B212" w14:textId="77777777" w:rsidR="004F39F6" w:rsidRDefault="00731C67">
      <w:pPr>
        <w:spacing w:line="360" w:lineRule="auto"/>
        <w:ind w:firstLineChars="200" w:firstLine="480"/>
        <w:rPr>
          <w:sz w:val="24"/>
        </w:rPr>
      </w:pPr>
      <w:r>
        <w:rPr>
          <w:sz w:val="24"/>
        </w:rPr>
        <w:t>WGR=100×(</w:t>
      </w:r>
      <w:r>
        <w:rPr>
          <w:sz w:val="24"/>
        </w:rPr>
        <w:t>终末体重－初始体重</w:t>
      </w:r>
      <w:r>
        <w:rPr>
          <w:sz w:val="24"/>
        </w:rPr>
        <w:t>)/</w:t>
      </w:r>
      <w:r>
        <w:rPr>
          <w:sz w:val="24"/>
        </w:rPr>
        <w:t>初始体重；</w:t>
      </w:r>
    </w:p>
    <w:p w14:paraId="7CE95F23" w14:textId="77777777" w:rsidR="004F39F6" w:rsidRDefault="00731C67">
      <w:pPr>
        <w:spacing w:line="360" w:lineRule="auto"/>
        <w:ind w:firstLineChars="200" w:firstLine="480"/>
        <w:rPr>
          <w:sz w:val="24"/>
        </w:rPr>
      </w:pPr>
      <w:r>
        <w:rPr>
          <w:sz w:val="24"/>
        </w:rPr>
        <w:t>饲料系数</w:t>
      </w:r>
      <w:r>
        <w:rPr>
          <w:sz w:val="24"/>
        </w:rPr>
        <w:t>(feed coefficient rate</w:t>
      </w:r>
      <w:r>
        <w:rPr>
          <w:sz w:val="24"/>
        </w:rPr>
        <w:t>，</w:t>
      </w:r>
      <w:r>
        <w:rPr>
          <w:sz w:val="24"/>
        </w:rPr>
        <w:t>FCR)=</w:t>
      </w:r>
      <w:r>
        <w:rPr>
          <w:sz w:val="24"/>
        </w:rPr>
        <w:t>摄食饲料总重</w:t>
      </w:r>
      <w:r>
        <w:rPr>
          <w:sz w:val="24"/>
        </w:rPr>
        <w:t>/(</w:t>
      </w:r>
      <w:r>
        <w:rPr>
          <w:sz w:val="24"/>
        </w:rPr>
        <w:t>终末体重－初始体</w:t>
      </w:r>
      <w:r>
        <w:rPr>
          <w:sz w:val="24"/>
        </w:rPr>
        <w:t>重</w:t>
      </w:r>
      <w:r>
        <w:rPr>
          <w:sz w:val="24"/>
        </w:rPr>
        <w:t>)</w:t>
      </w:r>
      <w:r>
        <w:rPr>
          <w:sz w:val="24"/>
        </w:rPr>
        <w:t>；</w:t>
      </w:r>
    </w:p>
    <w:p w14:paraId="1FF3B2A2" w14:textId="77777777" w:rsidR="004F39F6" w:rsidRDefault="00731C67">
      <w:pPr>
        <w:spacing w:line="360" w:lineRule="auto"/>
        <w:ind w:firstLineChars="200" w:firstLine="480"/>
        <w:rPr>
          <w:sz w:val="24"/>
        </w:rPr>
      </w:pPr>
      <w:r>
        <w:rPr>
          <w:sz w:val="24"/>
        </w:rPr>
        <w:t>蛋白质沉积率</w:t>
      </w:r>
      <w:r>
        <w:rPr>
          <w:sz w:val="24"/>
        </w:rPr>
        <w:t>(protein productive value</w:t>
      </w:r>
      <w:r>
        <w:rPr>
          <w:sz w:val="24"/>
        </w:rPr>
        <w:t>，</w:t>
      </w:r>
      <w:r>
        <w:rPr>
          <w:sz w:val="24"/>
        </w:rPr>
        <w:t>PPV) =100×(</w:t>
      </w:r>
      <w:r>
        <w:rPr>
          <w:sz w:val="24"/>
        </w:rPr>
        <w:t>终末体重</w:t>
      </w:r>
      <w:r>
        <w:rPr>
          <w:sz w:val="24"/>
        </w:rPr>
        <w:t>×</w:t>
      </w:r>
      <w:proofErr w:type="gramStart"/>
      <w:r>
        <w:rPr>
          <w:sz w:val="24"/>
        </w:rPr>
        <w:t>终末鱼体</w:t>
      </w:r>
      <w:proofErr w:type="gramEnd"/>
      <w:r>
        <w:rPr>
          <w:sz w:val="24"/>
        </w:rPr>
        <w:t>蛋白质含量－初始体重</w:t>
      </w:r>
      <w:r>
        <w:rPr>
          <w:sz w:val="24"/>
        </w:rPr>
        <w:t>×</w:t>
      </w:r>
      <w:proofErr w:type="gramStart"/>
      <w:r>
        <w:rPr>
          <w:sz w:val="24"/>
        </w:rPr>
        <w:t>初始鱼</w:t>
      </w:r>
      <w:proofErr w:type="gramEnd"/>
      <w:r>
        <w:rPr>
          <w:sz w:val="24"/>
        </w:rPr>
        <w:t>体蛋白质含量</w:t>
      </w:r>
      <w:r>
        <w:rPr>
          <w:sz w:val="24"/>
        </w:rPr>
        <w:t>)/(</w:t>
      </w:r>
      <w:r>
        <w:rPr>
          <w:sz w:val="24"/>
        </w:rPr>
        <w:t>饲料摄入量</w:t>
      </w:r>
      <w:r>
        <w:rPr>
          <w:sz w:val="24"/>
        </w:rPr>
        <w:t>×</w:t>
      </w:r>
      <w:r>
        <w:rPr>
          <w:sz w:val="24"/>
        </w:rPr>
        <w:t>饲料蛋白质含量</w:t>
      </w:r>
      <w:r>
        <w:rPr>
          <w:sz w:val="24"/>
        </w:rPr>
        <w:t>)</w:t>
      </w:r>
      <w:r>
        <w:rPr>
          <w:sz w:val="24"/>
        </w:rPr>
        <w:t>；</w:t>
      </w:r>
    </w:p>
    <w:p w14:paraId="6318C080" w14:textId="77777777" w:rsidR="004F39F6" w:rsidRDefault="00731C67">
      <w:pPr>
        <w:spacing w:line="360" w:lineRule="auto"/>
        <w:ind w:firstLineChars="200" w:firstLine="480"/>
        <w:rPr>
          <w:sz w:val="24"/>
        </w:rPr>
      </w:pPr>
      <w:r>
        <w:rPr>
          <w:sz w:val="24"/>
        </w:rPr>
        <w:t>特定生长率</w:t>
      </w:r>
      <w:r>
        <w:rPr>
          <w:sz w:val="24"/>
        </w:rPr>
        <w:t>(specific growth rate</w:t>
      </w:r>
      <w:r>
        <w:rPr>
          <w:sz w:val="24"/>
        </w:rPr>
        <w:t>，</w:t>
      </w:r>
      <w:r>
        <w:rPr>
          <w:sz w:val="24"/>
        </w:rPr>
        <w:t>SGR)=100×(ln</w:t>
      </w:r>
      <w:r>
        <w:rPr>
          <w:sz w:val="24"/>
        </w:rPr>
        <w:t>终末体重－</w:t>
      </w:r>
      <w:r>
        <w:rPr>
          <w:sz w:val="24"/>
        </w:rPr>
        <w:t>ln</w:t>
      </w:r>
      <w:r>
        <w:rPr>
          <w:sz w:val="24"/>
        </w:rPr>
        <w:t>初始体重</w:t>
      </w:r>
      <w:r>
        <w:rPr>
          <w:sz w:val="24"/>
        </w:rPr>
        <w:t>)/</w:t>
      </w:r>
      <w:r>
        <w:rPr>
          <w:sz w:val="24"/>
        </w:rPr>
        <w:t>养殖时间；</w:t>
      </w:r>
    </w:p>
    <w:p w14:paraId="479DCB90" w14:textId="77777777" w:rsidR="004F39F6" w:rsidRDefault="00731C67">
      <w:pPr>
        <w:spacing w:line="360" w:lineRule="auto"/>
        <w:ind w:firstLineChars="200" w:firstLine="480"/>
        <w:rPr>
          <w:sz w:val="24"/>
        </w:rPr>
      </w:pPr>
      <w:r>
        <w:rPr>
          <w:sz w:val="24"/>
        </w:rPr>
        <w:t>肥满度</w:t>
      </w:r>
      <w:r>
        <w:rPr>
          <w:sz w:val="24"/>
        </w:rPr>
        <w:t>(condition factor</w:t>
      </w:r>
      <w:r>
        <w:rPr>
          <w:sz w:val="24"/>
        </w:rPr>
        <w:t>，</w:t>
      </w:r>
      <w:r>
        <w:rPr>
          <w:sz w:val="24"/>
        </w:rPr>
        <w:t>CF)=100×</w:t>
      </w:r>
      <w:r>
        <w:rPr>
          <w:sz w:val="24"/>
        </w:rPr>
        <w:t>体重</w:t>
      </w:r>
      <w:r>
        <w:rPr>
          <w:sz w:val="24"/>
        </w:rPr>
        <w:t>/</w:t>
      </w:r>
      <w:r>
        <w:rPr>
          <w:sz w:val="24"/>
        </w:rPr>
        <w:t>体长</w:t>
      </w:r>
      <w:r>
        <w:rPr>
          <w:sz w:val="24"/>
          <w:vertAlign w:val="superscript"/>
        </w:rPr>
        <w:t>3</w:t>
      </w:r>
      <w:r>
        <w:rPr>
          <w:sz w:val="24"/>
        </w:rPr>
        <w:t>；</w:t>
      </w:r>
    </w:p>
    <w:p w14:paraId="0B971DB8" w14:textId="77777777" w:rsidR="004F39F6" w:rsidRDefault="00731C67">
      <w:pPr>
        <w:spacing w:line="360" w:lineRule="auto"/>
        <w:ind w:firstLineChars="200" w:firstLine="480"/>
        <w:rPr>
          <w:sz w:val="24"/>
        </w:rPr>
      </w:pPr>
      <w:r>
        <w:rPr>
          <w:sz w:val="24"/>
        </w:rPr>
        <w:t>肝体比</w:t>
      </w:r>
      <w:r>
        <w:rPr>
          <w:sz w:val="24"/>
        </w:rPr>
        <w:t>(hepatopancreas somatic indices</w:t>
      </w:r>
      <w:r>
        <w:rPr>
          <w:sz w:val="24"/>
        </w:rPr>
        <w:t>，</w:t>
      </w:r>
      <w:r>
        <w:rPr>
          <w:sz w:val="24"/>
        </w:rPr>
        <w:t>HSI)=100×</w:t>
      </w:r>
      <w:r>
        <w:rPr>
          <w:sz w:val="24"/>
        </w:rPr>
        <w:t>肝脏重</w:t>
      </w:r>
      <w:r>
        <w:rPr>
          <w:sz w:val="24"/>
        </w:rPr>
        <w:t>/</w:t>
      </w:r>
      <w:r>
        <w:rPr>
          <w:sz w:val="24"/>
        </w:rPr>
        <w:t>体重；</w:t>
      </w:r>
    </w:p>
    <w:p w14:paraId="3F5BDD7B" w14:textId="77777777" w:rsidR="004F39F6" w:rsidRDefault="00731C67">
      <w:pPr>
        <w:spacing w:line="360" w:lineRule="auto"/>
        <w:ind w:firstLineChars="200" w:firstLine="480"/>
        <w:rPr>
          <w:sz w:val="24"/>
        </w:rPr>
      </w:pPr>
      <w:r>
        <w:rPr>
          <w:sz w:val="24"/>
        </w:rPr>
        <w:t>脏体比</w:t>
      </w:r>
      <w:r>
        <w:rPr>
          <w:sz w:val="24"/>
        </w:rPr>
        <w:t>(viscera so</w:t>
      </w:r>
      <w:r>
        <w:rPr>
          <w:sz w:val="24"/>
        </w:rPr>
        <w:t>matic indices</w:t>
      </w:r>
      <w:r>
        <w:rPr>
          <w:sz w:val="24"/>
        </w:rPr>
        <w:t>，</w:t>
      </w:r>
      <w:r>
        <w:rPr>
          <w:sz w:val="24"/>
        </w:rPr>
        <w:t>VSI)=100×</w:t>
      </w:r>
      <w:r>
        <w:rPr>
          <w:sz w:val="24"/>
        </w:rPr>
        <w:t>内脏重</w:t>
      </w:r>
      <w:r>
        <w:rPr>
          <w:sz w:val="24"/>
        </w:rPr>
        <w:t>/</w:t>
      </w:r>
      <w:r>
        <w:rPr>
          <w:sz w:val="24"/>
        </w:rPr>
        <w:t>体重。</w:t>
      </w:r>
    </w:p>
    <w:p w14:paraId="424C9605" w14:textId="77777777" w:rsidR="004F39F6" w:rsidRDefault="00731C67">
      <w:pPr>
        <w:spacing w:line="360" w:lineRule="auto"/>
        <w:rPr>
          <w:sz w:val="24"/>
        </w:rPr>
      </w:pPr>
      <w:r>
        <w:rPr>
          <w:sz w:val="24"/>
        </w:rPr>
        <w:t xml:space="preserve">1.3.2  </w:t>
      </w:r>
      <w:r>
        <w:rPr>
          <w:sz w:val="24"/>
        </w:rPr>
        <w:t>鱼体成分测定</w:t>
      </w:r>
    </w:p>
    <w:p w14:paraId="0F240B98" w14:textId="77777777" w:rsidR="004F39F6" w:rsidRDefault="00731C67">
      <w:pPr>
        <w:spacing w:line="360" w:lineRule="auto"/>
        <w:ind w:firstLineChars="200" w:firstLine="480"/>
        <w:rPr>
          <w:sz w:val="24"/>
        </w:rPr>
      </w:pPr>
      <w:r>
        <w:rPr>
          <w:sz w:val="24"/>
        </w:rPr>
        <w:t>养殖试验结束后进行样品采集，首先将试验鱼禁食</w:t>
      </w:r>
      <w:r>
        <w:rPr>
          <w:sz w:val="24"/>
        </w:rPr>
        <w:t>24h</w:t>
      </w:r>
      <w:r>
        <w:rPr>
          <w:sz w:val="24"/>
        </w:rPr>
        <w:t>，依次对每个网箱进行计数和称重。随后每个网箱随机选取</w:t>
      </w:r>
      <w:r>
        <w:rPr>
          <w:sz w:val="24"/>
        </w:rPr>
        <w:t>3</w:t>
      </w:r>
      <w:r>
        <w:rPr>
          <w:sz w:val="24"/>
        </w:rPr>
        <w:t>尾鱼置于－</w:t>
      </w:r>
      <w:r>
        <w:rPr>
          <w:sz w:val="24"/>
        </w:rPr>
        <w:t>20 ℃</w:t>
      </w:r>
      <w:r>
        <w:rPr>
          <w:sz w:val="24"/>
        </w:rPr>
        <w:t>保存，用于检测全鱼体成分。采用</w:t>
      </w:r>
      <w:r>
        <w:rPr>
          <w:sz w:val="24"/>
        </w:rPr>
        <w:t>GB/T6435—2014</w:t>
      </w:r>
      <w:r>
        <w:rPr>
          <w:sz w:val="24"/>
        </w:rPr>
        <w:t>法测定鱼体水分含量，</w:t>
      </w:r>
      <w:r>
        <w:rPr>
          <w:sz w:val="24"/>
        </w:rPr>
        <w:t>GB/T6432—2018</w:t>
      </w:r>
      <w:r>
        <w:rPr>
          <w:sz w:val="24"/>
        </w:rPr>
        <w:t>法测定鱼体粗蛋白质含量，</w:t>
      </w:r>
      <w:r>
        <w:rPr>
          <w:sz w:val="24"/>
        </w:rPr>
        <w:t>GB/T6438—2007</w:t>
      </w:r>
      <w:r>
        <w:rPr>
          <w:sz w:val="24"/>
        </w:rPr>
        <w:t>法测定鱼体粗灰分含量，</w:t>
      </w:r>
      <w:r>
        <w:rPr>
          <w:sz w:val="24"/>
        </w:rPr>
        <w:t>GB/T6433—2006</w:t>
      </w:r>
      <w:r>
        <w:rPr>
          <w:sz w:val="24"/>
        </w:rPr>
        <w:t>法测定鱼体粗脂肪含量，</w:t>
      </w:r>
      <w:r>
        <w:rPr>
          <w:sz w:val="24"/>
        </w:rPr>
        <w:t>GB/T18246—2019</w:t>
      </w:r>
      <w:r>
        <w:rPr>
          <w:sz w:val="24"/>
        </w:rPr>
        <w:t>法测定鱼体氨基酸含量。</w:t>
      </w:r>
    </w:p>
    <w:p w14:paraId="74DD8E86" w14:textId="77777777" w:rsidR="004F39F6" w:rsidRDefault="00731C67">
      <w:pPr>
        <w:spacing w:line="360" w:lineRule="auto"/>
        <w:rPr>
          <w:sz w:val="24"/>
        </w:rPr>
      </w:pPr>
      <w:r>
        <w:rPr>
          <w:sz w:val="24"/>
        </w:rPr>
        <w:t xml:space="preserve">1.3.3  </w:t>
      </w:r>
      <w:r>
        <w:rPr>
          <w:sz w:val="24"/>
        </w:rPr>
        <w:t>血浆生化指标</w:t>
      </w:r>
      <w:r>
        <w:rPr>
          <w:sz w:val="24"/>
        </w:rPr>
        <w:t>测定</w:t>
      </w:r>
    </w:p>
    <w:p w14:paraId="72B18F61" w14:textId="77777777" w:rsidR="004F39F6" w:rsidRDefault="00731C67">
      <w:pPr>
        <w:spacing w:line="360" w:lineRule="auto"/>
        <w:ind w:firstLineChars="200" w:firstLine="480"/>
        <w:rPr>
          <w:sz w:val="24"/>
        </w:rPr>
      </w:pPr>
      <w:r>
        <w:rPr>
          <w:sz w:val="24"/>
        </w:rPr>
        <w:t>养殖试验结束后，杂交</w:t>
      </w:r>
      <w:proofErr w:type="gramStart"/>
      <w:r>
        <w:rPr>
          <w:sz w:val="24"/>
        </w:rPr>
        <w:t>鳢</w:t>
      </w:r>
      <w:proofErr w:type="gramEnd"/>
      <w:r>
        <w:rPr>
          <w:sz w:val="24"/>
        </w:rPr>
        <w:t>停止摄食</w:t>
      </w:r>
      <w:r>
        <w:rPr>
          <w:sz w:val="24"/>
        </w:rPr>
        <w:t xml:space="preserve"> 24h</w:t>
      </w:r>
      <w:r>
        <w:rPr>
          <w:sz w:val="24"/>
        </w:rPr>
        <w:t>，每个网箱随机取</w:t>
      </w:r>
      <w:r>
        <w:rPr>
          <w:sz w:val="24"/>
        </w:rPr>
        <w:t>8</w:t>
      </w:r>
      <w:r>
        <w:rPr>
          <w:sz w:val="24"/>
        </w:rPr>
        <w:t>尾鱼，采用</w:t>
      </w:r>
      <w:r>
        <w:rPr>
          <w:sz w:val="24"/>
        </w:rPr>
        <w:t>MS</w:t>
      </w:r>
      <w:r>
        <w:rPr>
          <w:sz w:val="24"/>
        </w:rPr>
        <w:t>－</w:t>
      </w:r>
      <w:r>
        <w:rPr>
          <w:sz w:val="24"/>
        </w:rPr>
        <w:t>222</w:t>
      </w:r>
      <w:r>
        <w:rPr>
          <w:sz w:val="24"/>
        </w:rPr>
        <w:t>溶液</w:t>
      </w:r>
      <w:r>
        <w:rPr>
          <w:sz w:val="24"/>
        </w:rPr>
        <w:lastRenderedPageBreak/>
        <w:t>(120mg/L)</w:t>
      </w:r>
      <w:r>
        <w:rPr>
          <w:sz w:val="24"/>
        </w:rPr>
        <w:t>麻醉处理，尾静脉采血法，采用肝素钠</w:t>
      </w:r>
      <w:proofErr w:type="gramStart"/>
      <w:r>
        <w:rPr>
          <w:sz w:val="24"/>
        </w:rPr>
        <w:t>抗凝管</w:t>
      </w:r>
      <w:proofErr w:type="gramEnd"/>
      <w:r>
        <w:rPr>
          <w:sz w:val="24"/>
        </w:rPr>
        <w:t>采集血液，</w:t>
      </w:r>
      <w:r>
        <w:rPr>
          <w:sz w:val="24"/>
        </w:rPr>
        <w:t>4000r/min</w:t>
      </w:r>
      <w:r>
        <w:rPr>
          <w:sz w:val="24"/>
        </w:rPr>
        <w:t>离心</w:t>
      </w:r>
      <w:r>
        <w:rPr>
          <w:sz w:val="24"/>
        </w:rPr>
        <w:t>10min</w:t>
      </w:r>
      <w:r>
        <w:rPr>
          <w:sz w:val="24"/>
        </w:rPr>
        <w:t>，制备血浆，于－</w:t>
      </w:r>
      <w:r>
        <w:rPr>
          <w:sz w:val="24"/>
        </w:rPr>
        <w:t>78 ℃</w:t>
      </w:r>
      <w:r>
        <w:rPr>
          <w:sz w:val="24"/>
        </w:rPr>
        <w:t>冰箱保存备用。血浆生化指标在广州金域医学公司采用全自动化分析仪</w:t>
      </w:r>
      <w:r>
        <w:rPr>
          <w:sz w:val="24"/>
        </w:rPr>
        <w:t>(</w:t>
      </w:r>
      <w:r>
        <w:rPr>
          <w:sz w:val="24"/>
        </w:rPr>
        <w:t>贝克曼</w:t>
      </w:r>
      <w:r>
        <w:rPr>
          <w:sz w:val="24"/>
        </w:rPr>
        <w:t>ProCX4</w:t>
      </w:r>
      <w:r>
        <w:rPr>
          <w:sz w:val="24"/>
        </w:rPr>
        <w:t>，德国</w:t>
      </w:r>
      <w:r>
        <w:rPr>
          <w:sz w:val="24"/>
        </w:rPr>
        <w:t>)</w:t>
      </w:r>
      <w:r>
        <w:rPr>
          <w:sz w:val="24"/>
        </w:rPr>
        <w:t>测定。各指标测定方法如下：采用双缩</w:t>
      </w:r>
      <w:proofErr w:type="gramStart"/>
      <w:r>
        <w:rPr>
          <w:sz w:val="24"/>
        </w:rPr>
        <w:t>脲</w:t>
      </w:r>
      <w:proofErr w:type="gramEnd"/>
      <w:r>
        <w:rPr>
          <w:sz w:val="24"/>
        </w:rPr>
        <w:t>法测定</w:t>
      </w:r>
      <w:r>
        <w:rPr>
          <w:sz w:val="24"/>
        </w:rPr>
        <w:t>TP</w:t>
      </w:r>
      <w:r>
        <w:rPr>
          <w:sz w:val="24"/>
        </w:rPr>
        <w:t>含量，酶偶联速率法测定尿素氮</w:t>
      </w:r>
      <w:r>
        <w:rPr>
          <w:sz w:val="24"/>
        </w:rPr>
        <w:t>(</w:t>
      </w:r>
      <w:proofErr w:type="spellStart"/>
      <w:r>
        <w:rPr>
          <w:sz w:val="24"/>
        </w:rPr>
        <w:t>ureanitrogen</w:t>
      </w:r>
      <w:proofErr w:type="spellEnd"/>
      <w:r>
        <w:rPr>
          <w:sz w:val="24"/>
        </w:rPr>
        <w:t>，</w:t>
      </w:r>
      <w:r>
        <w:rPr>
          <w:sz w:val="24"/>
        </w:rPr>
        <w:t>UN)</w:t>
      </w:r>
      <w:r>
        <w:rPr>
          <w:sz w:val="24"/>
        </w:rPr>
        <w:t>含量，速率法测定</w:t>
      </w:r>
      <w:r>
        <w:rPr>
          <w:sz w:val="24"/>
        </w:rPr>
        <w:t>ALT</w:t>
      </w:r>
      <w:r>
        <w:rPr>
          <w:sz w:val="24"/>
        </w:rPr>
        <w:t>、</w:t>
      </w:r>
      <w:r>
        <w:rPr>
          <w:sz w:val="24"/>
        </w:rPr>
        <w:t>AST</w:t>
      </w:r>
      <w:r>
        <w:rPr>
          <w:sz w:val="24"/>
        </w:rPr>
        <w:t>活性，采用酶法测定葡萄糖</w:t>
      </w:r>
      <w:r>
        <w:rPr>
          <w:sz w:val="24"/>
        </w:rPr>
        <w:t>(glucose</w:t>
      </w:r>
      <w:r>
        <w:rPr>
          <w:sz w:val="24"/>
        </w:rPr>
        <w:t>，</w:t>
      </w:r>
      <w:r>
        <w:rPr>
          <w:sz w:val="24"/>
        </w:rPr>
        <w:t>GLU)</w:t>
      </w:r>
      <w:r>
        <w:rPr>
          <w:sz w:val="24"/>
        </w:rPr>
        <w:t>、甘油三酯</w:t>
      </w:r>
      <w:r>
        <w:rPr>
          <w:sz w:val="24"/>
        </w:rPr>
        <w:t>(trigl</w:t>
      </w:r>
      <w:r>
        <w:rPr>
          <w:sz w:val="24"/>
        </w:rPr>
        <w:t>yceride</w:t>
      </w:r>
      <w:r>
        <w:rPr>
          <w:sz w:val="24"/>
        </w:rPr>
        <w:t>，</w:t>
      </w:r>
      <w:r>
        <w:rPr>
          <w:sz w:val="24"/>
        </w:rPr>
        <w:t>TG)</w:t>
      </w:r>
      <w:r>
        <w:rPr>
          <w:sz w:val="24"/>
        </w:rPr>
        <w:t>、总胆固醇</w:t>
      </w:r>
      <w:r>
        <w:rPr>
          <w:sz w:val="24"/>
        </w:rPr>
        <w:t>(</w:t>
      </w:r>
      <w:proofErr w:type="spellStart"/>
      <w:r>
        <w:rPr>
          <w:sz w:val="24"/>
        </w:rPr>
        <w:t>totalcholesterol</w:t>
      </w:r>
      <w:proofErr w:type="spellEnd"/>
      <w:r>
        <w:rPr>
          <w:sz w:val="24"/>
        </w:rPr>
        <w:t>，</w:t>
      </w:r>
      <w:r>
        <w:rPr>
          <w:sz w:val="24"/>
        </w:rPr>
        <w:t>TC)</w:t>
      </w:r>
      <w:r>
        <w:rPr>
          <w:sz w:val="24"/>
        </w:rPr>
        <w:t>含量。</w:t>
      </w:r>
    </w:p>
    <w:p w14:paraId="20D6813D" w14:textId="77777777" w:rsidR="004F39F6" w:rsidRDefault="00731C67">
      <w:pPr>
        <w:spacing w:line="360" w:lineRule="auto"/>
        <w:rPr>
          <w:sz w:val="24"/>
        </w:rPr>
      </w:pPr>
      <w:r>
        <w:rPr>
          <w:sz w:val="24"/>
        </w:rPr>
        <w:t xml:space="preserve">1.3.4  </w:t>
      </w:r>
      <w:r>
        <w:rPr>
          <w:sz w:val="24"/>
        </w:rPr>
        <w:t>血浆抗氧化能力测定</w:t>
      </w:r>
    </w:p>
    <w:p w14:paraId="6028C485" w14:textId="77777777" w:rsidR="004F39F6" w:rsidRDefault="00731C67">
      <w:pPr>
        <w:spacing w:line="360" w:lineRule="auto"/>
        <w:ind w:firstLineChars="200" w:firstLine="480"/>
        <w:rPr>
          <w:sz w:val="24"/>
        </w:rPr>
      </w:pPr>
      <w:r>
        <w:rPr>
          <w:sz w:val="24"/>
        </w:rPr>
        <w:t>采用南京建成生物工程研究所试剂盒，测定血浆</w:t>
      </w:r>
      <w:r>
        <w:rPr>
          <w:sz w:val="24"/>
        </w:rPr>
        <w:t>SOD</w:t>
      </w:r>
      <w:r>
        <w:rPr>
          <w:sz w:val="24"/>
        </w:rPr>
        <w:t>、</w:t>
      </w:r>
      <w:r>
        <w:rPr>
          <w:sz w:val="24"/>
        </w:rPr>
        <w:t>GSH-Px</w:t>
      </w:r>
      <w:r>
        <w:rPr>
          <w:sz w:val="24"/>
        </w:rPr>
        <w:t>活性，总抗氧化能力</w:t>
      </w:r>
      <w:r>
        <w:rPr>
          <w:sz w:val="24"/>
        </w:rPr>
        <w:t xml:space="preserve">(total </w:t>
      </w:r>
      <w:proofErr w:type="spellStart"/>
      <w:r>
        <w:rPr>
          <w:sz w:val="24"/>
        </w:rPr>
        <w:t>antioxidantcapacity</w:t>
      </w:r>
      <w:proofErr w:type="spellEnd"/>
      <w:r>
        <w:rPr>
          <w:sz w:val="24"/>
        </w:rPr>
        <w:t>，</w:t>
      </w:r>
      <w:r>
        <w:rPr>
          <w:sz w:val="24"/>
        </w:rPr>
        <w:t>T-AOC)</w:t>
      </w:r>
      <w:r>
        <w:rPr>
          <w:sz w:val="24"/>
        </w:rPr>
        <w:t>及</w:t>
      </w:r>
      <w:r>
        <w:rPr>
          <w:sz w:val="24"/>
        </w:rPr>
        <w:t>MDA</w:t>
      </w:r>
      <w:r>
        <w:rPr>
          <w:sz w:val="24"/>
        </w:rPr>
        <w:t>含量，测定步骤和计算公式等参考试剂盒说明书。</w:t>
      </w:r>
    </w:p>
    <w:p w14:paraId="17080779" w14:textId="77777777" w:rsidR="004F39F6" w:rsidRDefault="00731C67">
      <w:pPr>
        <w:spacing w:line="360" w:lineRule="auto"/>
        <w:rPr>
          <w:sz w:val="24"/>
        </w:rPr>
      </w:pPr>
      <w:r>
        <w:rPr>
          <w:sz w:val="24"/>
        </w:rPr>
        <w:t xml:space="preserve">1.4  </w:t>
      </w:r>
      <w:r>
        <w:rPr>
          <w:sz w:val="24"/>
        </w:rPr>
        <w:t>数据统计与分析</w:t>
      </w:r>
    </w:p>
    <w:p w14:paraId="2A1368AD" w14:textId="77777777" w:rsidR="004F39F6" w:rsidRDefault="00731C67">
      <w:pPr>
        <w:spacing w:line="360" w:lineRule="auto"/>
        <w:ind w:firstLineChars="200" w:firstLine="480"/>
        <w:rPr>
          <w:sz w:val="24"/>
        </w:rPr>
      </w:pPr>
      <w:r>
        <w:rPr>
          <w:sz w:val="24"/>
        </w:rPr>
        <w:t>试验数据采用</w:t>
      </w:r>
      <w:r>
        <w:rPr>
          <w:sz w:val="24"/>
        </w:rPr>
        <w:t>SPSS 20.0</w:t>
      </w:r>
      <w:r>
        <w:rPr>
          <w:sz w:val="24"/>
        </w:rPr>
        <w:t>统计软件的</w:t>
      </w:r>
      <w:r>
        <w:rPr>
          <w:sz w:val="24"/>
        </w:rPr>
        <w:t>ANOVA</w:t>
      </w:r>
      <w:r>
        <w:rPr>
          <w:sz w:val="24"/>
        </w:rPr>
        <w:t>过程进行单因素方差分析，而后采用</w:t>
      </w:r>
      <w:r>
        <w:rPr>
          <w:sz w:val="24"/>
        </w:rPr>
        <w:t>Duncan</w:t>
      </w:r>
      <w:r>
        <w:rPr>
          <w:sz w:val="24"/>
        </w:rPr>
        <w:t>氏法进行多重比较，所有的试验结果均以平均值</w:t>
      </w:r>
      <w:r>
        <w:rPr>
          <w:sz w:val="24"/>
        </w:rPr>
        <w:t>±</w:t>
      </w:r>
      <w:r>
        <w:rPr>
          <w:sz w:val="24"/>
        </w:rPr>
        <w:t>标准差</w:t>
      </w:r>
      <w:r>
        <w:rPr>
          <w:sz w:val="24"/>
        </w:rPr>
        <w:t>(</w:t>
      </w:r>
      <w:proofErr w:type="spellStart"/>
      <w:r>
        <w:rPr>
          <w:sz w:val="24"/>
        </w:rPr>
        <w:t>mean±SD</w:t>
      </w:r>
      <w:proofErr w:type="spellEnd"/>
      <w:r>
        <w:rPr>
          <w:sz w:val="24"/>
        </w:rPr>
        <w:t>)</w:t>
      </w:r>
      <w:r>
        <w:rPr>
          <w:sz w:val="24"/>
        </w:rPr>
        <w:t>表示，</w:t>
      </w:r>
      <w:r>
        <w:rPr>
          <w:i/>
          <w:iCs/>
          <w:sz w:val="24"/>
        </w:rPr>
        <w:t>P</w:t>
      </w:r>
      <w:r>
        <w:rPr>
          <w:sz w:val="24"/>
        </w:rPr>
        <w:t>＜</w:t>
      </w:r>
      <w:r>
        <w:rPr>
          <w:sz w:val="24"/>
        </w:rPr>
        <w:t>0.05</w:t>
      </w:r>
      <w:r>
        <w:rPr>
          <w:sz w:val="24"/>
        </w:rPr>
        <w:t>表示差异显著。</w:t>
      </w:r>
    </w:p>
    <w:p w14:paraId="45A385C5" w14:textId="77777777" w:rsidR="004F39F6" w:rsidRDefault="00731C67">
      <w:pPr>
        <w:spacing w:line="360" w:lineRule="auto"/>
        <w:rPr>
          <w:sz w:val="24"/>
        </w:rPr>
      </w:pPr>
      <w:r>
        <w:rPr>
          <w:sz w:val="24"/>
        </w:rPr>
        <w:t xml:space="preserve">2  </w:t>
      </w:r>
      <w:r>
        <w:rPr>
          <w:sz w:val="24"/>
        </w:rPr>
        <w:t>结果与分析</w:t>
      </w:r>
    </w:p>
    <w:p w14:paraId="2D4FB700" w14:textId="77777777" w:rsidR="004F39F6" w:rsidRDefault="00731C67">
      <w:pPr>
        <w:spacing w:line="360" w:lineRule="auto"/>
        <w:rPr>
          <w:sz w:val="24"/>
        </w:rPr>
      </w:pPr>
      <w:r>
        <w:rPr>
          <w:sz w:val="24"/>
        </w:rPr>
        <w:t xml:space="preserve">2.1  </w:t>
      </w:r>
      <w:r>
        <w:rPr>
          <w:sz w:val="24"/>
        </w:rPr>
        <w:t>饲料中精氨酸水平对杂交</w:t>
      </w:r>
      <w:proofErr w:type="gramStart"/>
      <w:r>
        <w:rPr>
          <w:sz w:val="24"/>
        </w:rPr>
        <w:t>鳢</w:t>
      </w:r>
      <w:proofErr w:type="gramEnd"/>
      <w:r>
        <w:rPr>
          <w:sz w:val="24"/>
        </w:rPr>
        <w:t>生长性能的影响</w:t>
      </w:r>
    </w:p>
    <w:p w14:paraId="662C4C12" w14:textId="77777777" w:rsidR="004F39F6" w:rsidRDefault="00731C67">
      <w:pPr>
        <w:spacing w:line="360" w:lineRule="auto"/>
        <w:ind w:firstLineChars="200" w:firstLine="480"/>
        <w:rPr>
          <w:sz w:val="24"/>
        </w:rPr>
      </w:pPr>
      <w:r>
        <w:rPr>
          <w:sz w:val="24"/>
        </w:rPr>
        <w:t>由表</w:t>
      </w:r>
      <w:r>
        <w:rPr>
          <w:sz w:val="24"/>
        </w:rPr>
        <w:t>3</w:t>
      </w:r>
      <w:r>
        <w:rPr>
          <w:sz w:val="24"/>
        </w:rPr>
        <w:t>可见，随着饲料精氨酸水平的增加，杂交</w:t>
      </w:r>
      <w:proofErr w:type="gramStart"/>
      <w:r>
        <w:rPr>
          <w:sz w:val="24"/>
        </w:rPr>
        <w:t>鳢</w:t>
      </w:r>
      <w:proofErr w:type="gramEnd"/>
      <w:r>
        <w:rPr>
          <w:sz w:val="24"/>
        </w:rPr>
        <w:t>WG</w:t>
      </w:r>
      <w:r>
        <w:rPr>
          <w:sz w:val="24"/>
        </w:rPr>
        <w:t>Ｒ呈现先升高后降低的趋势，</w:t>
      </w:r>
      <w:r>
        <w:rPr>
          <w:sz w:val="24"/>
        </w:rPr>
        <w:t>G4</w:t>
      </w:r>
      <w:r>
        <w:rPr>
          <w:sz w:val="24"/>
        </w:rPr>
        <w:t>组显著高于</w:t>
      </w:r>
      <w:r>
        <w:rPr>
          <w:sz w:val="24"/>
        </w:rPr>
        <w:t>G1</w:t>
      </w:r>
      <w:r>
        <w:rPr>
          <w:sz w:val="24"/>
        </w:rPr>
        <w:t>、</w:t>
      </w:r>
      <w:r>
        <w:rPr>
          <w:sz w:val="24"/>
        </w:rPr>
        <w:t>G2</w:t>
      </w:r>
      <w:r>
        <w:rPr>
          <w:sz w:val="24"/>
        </w:rPr>
        <w:t>、</w:t>
      </w:r>
      <w:r>
        <w:rPr>
          <w:sz w:val="24"/>
        </w:rPr>
        <w:t>G3</w:t>
      </w:r>
      <w:r>
        <w:rPr>
          <w:sz w:val="24"/>
        </w:rPr>
        <w:t>、</w:t>
      </w:r>
      <w:r>
        <w:rPr>
          <w:sz w:val="24"/>
        </w:rPr>
        <w:t>G5</w:t>
      </w:r>
      <w:r>
        <w:rPr>
          <w:sz w:val="24"/>
        </w:rPr>
        <w:t>组</w:t>
      </w:r>
      <w:r>
        <w:rPr>
          <w:sz w:val="24"/>
        </w:rPr>
        <w:t>(</w:t>
      </w:r>
      <w:r>
        <w:rPr>
          <w:i/>
          <w:iCs/>
          <w:sz w:val="24"/>
        </w:rPr>
        <w:t>P</w:t>
      </w:r>
      <w:r>
        <w:rPr>
          <w:sz w:val="24"/>
        </w:rPr>
        <w:t>＜</w:t>
      </w:r>
      <w:r>
        <w:rPr>
          <w:sz w:val="24"/>
        </w:rPr>
        <w:t>0.05)</w:t>
      </w:r>
      <w:r>
        <w:rPr>
          <w:sz w:val="24"/>
        </w:rPr>
        <w:t>；杂交</w:t>
      </w:r>
      <w:proofErr w:type="gramStart"/>
      <w:r>
        <w:rPr>
          <w:sz w:val="24"/>
        </w:rPr>
        <w:t>鳢</w:t>
      </w:r>
      <w:proofErr w:type="gramEnd"/>
      <w:r>
        <w:rPr>
          <w:sz w:val="24"/>
        </w:rPr>
        <w:t>SG</w:t>
      </w:r>
      <w:r>
        <w:rPr>
          <w:sz w:val="24"/>
        </w:rPr>
        <w:t>Ｒ呈现先升高后降低的趋势，</w:t>
      </w:r>
      <w:r>
        <w:rPr>
          <w:sz w:val="24"/>
        </w:rPr>
        <w:t>G4</w:t>
      </w:r>
      <w:r>
        <w:rPr>
          <w:sz w:val="24"/>
        </w:rPr>
        <w:t>组显著高于</w:t>
      </w:r>
      <w:r>
        <w:rPr>
          <w:sz w:val="24"/>
        </w:rPr>
        <w:t>G1</w:t>
      </w:r>
      <w:r>
        <w:rPr>
          <w:sz w:val="24"/>
        </w:rPr>
        <w:t>、</w:t>
      </w:r>
      <w:r>
        <w:rPr>
          <w:sz w:val="24"/>
        </w:rPr>
        <w:t>G2</w:t>
      </w:r>
      <w:r>
        <w:rPr>
          <w:sz w:val="24"/>
        </w:rPr>
        <w:t>、</w:t>
      </w:r>
      <w:r>
        <w:rPr>
          <w:sz w:val="24"/>
        </w:rPr>
        <w:t>G3</w:t>
      </w:r>
      <w:r>
        <w:rPr>
          <w:sz w:val="24"/>
        </w:rPr>
        <w:t>、</w:t>
      </w:r>
      <w:r>
        <w:rPr>
          <w:sz w:val="24"/>
        </w:rPr>
        <w:t>G5</w:t>
      </w:r>
      <w:r>
        <w:rPr>
          <w:sz w:val="24"/>
        </w:rPr>
        <w:t>组</w:t>
      </w:r>
      <w:r>
        <w:rPr>
          <w:sz w:val="24"/>
        </w:rPr>
        <w:t>(</w:t>
      </w:r>
      <w:r>
        <w:rPr>
          <w:i/>
          <w:iCs/>
          <w:sz w:val="24"/>
        </w:rPr>
        <w:t>P</w:t>
      </w:r>
      <w:r>
        <w:rPr>
          <w:sz w:val="24"/>
        </w:rPr>
        <w:t>＜</w:t>
      </w:r>
      <w:r>
        <w:rPr>
          <w:sz w:val="24"/>
        </w:rPr>
        <w:t>0.05)</w:t>
      </w:r>
      <w:r>
        <w:rPr>
          <w:sz w:val="24"/>
        </w:rPr>
        <w:t>；杂交</w:t>
      </w:r>
      <w:proofErr w:type="gramStart"/>
      <w:r>
        <w:rPr>
          <w:sz w:val="24"/>
        </w:rPr>
        <w:t>鳢</w:t>
      </w:r>
      <w:proofErr w:type="gramEnd"/>
      <w:r>
        <w:rPr>
          <w:sz w:val="24"/>
        </w:rPr>
        <w:t>FC</w:t>
      </w:r>
      <w:r>
        <w:rPr>
          <w:sz w:val="24"/>
        </w:rPr>
        <w:t>Ｒ呈现先降低后升高的趋势，并在</w:t>
      </w:r>
      <w:r>
        <w:rPr>
          <w:sz w:val="24"/>
        </w:rPr>
        <w:t>G4</w:t>
      </w:r>
      <w:r>
        <w:rPr>
          <w:sz w:val="24"/>
        </w:rPr>
        <w:t>组达到最小值，显著低于</w:t>
      </w:r>
      <w:r>
        <w:rPr>
          <w:sz w:val="24"/>
        </w:rPr>
        <w:t>G1</w:t>
      </w:r>
      <w:r>
        <w:rPr>
          <w:sz w:val="24"/>
        </w:rPr>
        <w:t>、</w:t>
      </w:r>
      <w:r>
        <w:rPr>
          <w:sz w:val="24"/>
        </w:rPr>
        <w:t>G2</w:t>
      </w:r>
      <w:r>
        <w:rPr>
          <w:sz w:val="24"/>
        </w:rPr>
        <w:t>、</w:t>
      </w:r>
      <w:r>
        <w:rPr>
          <w:sz w:val="24"/>
        </w:rPr>
        <w:t>G3</w:t>
      </w:r>
      <w:r>
        <w:rPr>
          <w:sz w:val="24"/>
        </w:rPr>
        <w:t>、</w:t>
      </w:r>
      <w:r>
        <w:rPr>
          <w:sz w:val="24"/>
        </w:rPr>
        <w:t>G5</w:t>
      </w:r>
      <w:r>
        <w:rPr>
          <w:sz w:val="24"/>
        </w:rPr>
        <w:t>组</w:t>
      </w:r>
      <w:r>
        <w:rPr>
          <w:sz w:val="24"/>
        </w:rPr>
        <w:t>(</w:t>
      </w:r>
      <w:r>
        <w:rPr>
          <w:i/>
          <w:iCs/>
          <w:sz w:val="24"/>
        </w:rPr>
        <w:t>P</w:t>
      </w:r>
      <w:r>
        <w:rPr>
          <w:sz w:val="24"/>
        </w:rPr>
        <w:t>＜</w:t>
      </w:r>
      <w:r>
        <w:rPr>
          <w:sz w:val="24"/>
        </w:rPr>
        <w:t>0.05)</w:t>
      </w:r>
      <w:r>
        <w:rPr>
          <w:sz w:val="24"/>
        </w:rPr>
        <w:t>；杂交</w:t>
      </w:r>
      <w:proofErr w:type="gramStart"/>
      <w:r>
        <w:rPr>
          <w:sz w:val="24"/>
        </w:rPr>
        <w:t>鳢</w:t>
      </w:r>
      <w:proofErr w:type="gramEnd"/>
      <w:r>
        <w:rPr>
          <w:sz w:val="24"/>
        </w:rPr>
        <w:t>PPV</w:t>
      </w:r>
      <w:r>
        <w:rPr>
          <w:sz w:val="24"/>
        </w:rPr>
        <w:t>呈现先升高后下降的趋势，在</w:t>
      </w:r>
      <w:r>
        <w:rPr>
          <w:sz w:val="24"/>
        </w:rPr>
        <w:t>G4</w:t>
      </w:r>
      <w:r>
        <w:rPr>
          <w:sz w:val="24"/>
        </w:rPr>
        <w:t>组最高，显著高于</w:t>
      </w:r>
      <w:r>
        <w:rPr>
          <w:sz w:val="24"/>
        </w:rPr>
        <w:t>G1</w:t>
      </w:r>
      <w:r>
        <w:rPr>
          <w:sz w:val="24"/>
        </w:rPr>
        <w:t>、</w:t>
      </w:r>
      <w:r>
        <w:rPr>
          <w:sz w:val="24"/>
        </w:rPr>
        <w:t>G2</w:t>
      </w:r>
      <w:r>
        <w:rPr>
          <w:sz w:val="24"/>
        </w:rPr>
        <w:t>、</w:t>
      </w:r>
      <w:r>
        <w:rPr>
          <w:sz w:val="24"/>
        </w:rPr>
        <w:t>G3</w:t>
      </w:r>
      <w:r>
        <w:rPr>
          <w:sz w:val="24"/>
        </w:rPr>
        <w:t>组</w:t>
      </w:r>
      <w:r>
        <w:rPr>
          <w:sz w:val="24"/>
        </w:rPr>
        <w:t>(</w:t>
      </w:r>
      <w:r>
        <w:rPr>
          <w:i/>
          <w:iCs/>
          <w:sz w:val="24"/>
        </w:rPr>
        <w:t>P</w:t>
      </w:r>
      <w:r>
        <w:rPr>
          <w:sz w:val="24"/>
        </w:rPr>
        <w:t>＜</w:t>
      </w:r>
      <w:r>
        <w:rPr>
          <w:sz w:val="24"/>
        </w:rPr>
        <w:t>0.0</w:t>
      </w:r>
      <w:r>
        <w:rPr>
          <w:sz w:val="24"/>
        </w:rPr>
        <w:t>5)</w:t>
      </w:r>
      <w:r>
        <w:rPr>
          <w:sz w:val="24"/>
        </w:rPr>
        <w:t>；杂交</w:t>
      </w:r>
      <w:proofErr w:type="gramStart"/>
      <w:r>
        <w:rPr>
          <w:sz w:val="24"/>
        </w:rPr>
        <w:t>鳢</w:t>
      </w:r>
      <w:proofErr w:type="gramEnd"/>
      <w:r>
        <w:rPr>
          <w:sz w:val="24"/>
        </w:rPr>
        <w:t>HSI</w:t>
      </w:r>
      <w:r>
        <w:rPr>
          <w:sz w:val="24"/>
        </w:rPr>
        <w:t>呈现下降趋势，</w:t>
      </w:r>
      <w:r>
        <w:rPr>
          <w:sz w:val="24"/>
        </w:rPr>
        <w:t>G4</w:t>
      </w:r>
      <w:r>
        <w:rPr>
          <w:sz w:val="24"/>
        </w:rPr>
        <w:t>组显著低于</w:t>
      </w:r>
      <w:r>
        <w:rPr>
          <w:sz w:val="24"/>
        </w:rPr>
        <w:t>G1</w:t>
      </w:r>
      <w:r>
        <w:rPr>
          <w:sz w:val="24"/>
        </w:rPr>
        <w:t>和</w:t>
      </w:r>
      <w:r>
        <w:rPr>
          <w:sz w:val="24"/>
        </w:rPr>
        <w:t>G2</w:t>
      </w:r>
      <w:r>
        <w:rPr>
          <w:sz w:val="24"/>
        </w:rPr>
        <w:t>组</w:t>
      </w:r>
      <w:r>
        <w:rPr>
          <w:sz w:val="24"/>
        </w:rPr>
        <w:t>(</w:t>
      </w:r>
      <w:r>
        <w:rPr>
          <w:i/>
          <w:iCs/>
          <w:sz w:val="24"/>
        </w:rPr>
        <w:t>P</w:t>
      </w:r>
      <w:r>
        <w:rPr>
          <w:sz w:val="24"/>
        </w:rPr>
        <w:t>＜</w:t>
      </w:r>
      <w:r>
        <w:rPr>
          <w:sz w:val="24"/>
        </w:rPr>
        <w:t>0.05)</w:t>
      </w:r>
      <w:r>
        <w:rPr>
          <w:sz w:val="24"/>
        </w:rPr>
        <w:t>。杂交</w:t>
      </w:r>
      <w:proofErr w:type="gramStart"/>
      <w:r>
        <w:rPr>
          <w:sz w:val="24"/>
        </w:rPr>
        <w:t>鳢</w:t>
      </w:r>
      <w:proofErr w:type="gramEnd"/>
      <w:r>
        <w:rPr>
          <w:sz w:val="24"/>
        </w:rPr>
        <w:t>S</w:t>
      </w:r>
      <w:r>
        <w:rPr>
          <w:sz w:val="24"/>
        </w:rPr>
        <w:t>Ｒ、</w:t>
      </w:r>
      <w:r>
        <w:rPr>
          <w:sz w:val="24"/>
        </w:rPr>
        <w:t>CF</w:t>
      </w:r>
      <w:r>
        <w:rPr>
          <w:sz w:val="24"/>
        </w:rPr>
        <w:t>、</w:t>
      </w:r>
      <w:r>
        <w:rPr>
          <w:sz w:val="24"/>
        </w:rPr>
        <w:t>VSI</w:t>
      </w:r>
      <w:r>
        <w:rPr>
          <w:sz w:val="24"/>
        </w:rPr>
        <w:t>趋势变化不明显，各组之间无显著差异</w:t>
      </w:r>
      <w:r>
        <w:rPr>
          <w:sz w:val="24"/>
        </w:rPr>
        <w:t>(</w:t>
      </w:r>
      <w:r>
        <w:rPr>
          <w:i/>
          <w:iCs/>
          <w:sz w:val="24"/>
        </w:rPr>
        <w:t>P</w:t>
      </w:r>
      <w:r>
        <w:rPr>
          <w:sz w:val="24"/>
        </w:rPr>
        <w:t>＞</w:t>
      </w:r>
      <w:r>
        <w:rPr>
          <w:sz w:val="24"/>
        </w:rPr>
        <w:t>0.05)</w:t>
      </w:r>
    </w:p>
    <w:p w14:paraId="4C6F3CE8" w14:textId="77777777" w:rsidR="004F39F6" w:rsidRDefault="00731C67">
      <w:pPr>
        <w:spacing w:line="360" w:lineRule="auto"/>
        <w:ind w:firstLineChars="200" w:firstLine="480"/>
        <w:rPr>
          <w:sz w:val="24"/>
        </w:rPr>
      </w:pPr>
      <w:r>
        <w:rPr>
          <w:sz w:val="24"/>
        </w:rPr>
        <w:t>由图</w:t>
      </w:r>
      <w:r>
        <w:rPr>
          <w:sz w:val="24"/>
        </w:rPr>
        <w:t>1</w:t>
      </w:r>
      <w:r>
        <w:rPr>
          <w:sz w:val="24"/>
        </w:rPr>
        <w:t>、图</w:t>
      </w:r>
      <w:r>
        <w:rPr>
          <w:sz w:val="24"/>
        </w:rPr>
        <w:t>2</w:t>
      </w:r>
      <w:r>
        <w:rPr>
          <w:sz w:val="24"/>
        </w:rPr>
        <w:t>、图</w:t>
      </w:r>
      <w:r>
        <w:rPr>
          <w:sz w:val="24"/>
        </w:rPr>
        <w:t>3</w:t>
      </w:r>
      <w:r>
        <w:rPr>
          <w:sz w:val="24"/>
        </w:rPr>
        <w:t>可知，在本试验条件下以杂交</w:t>
      </w:r>
      <w:proofErr w:type="gramStart"/>
      <w:r>
        <w:rPr>
          <w:sz w:val="24"/>
        </w:rPr>
        <w:t>鳢</w:t>
      </w:r>
      <w:proofErr w:type="gramEnd"/>
      <w:r>
        <w:rPr>
          <w:sz w:val="24"/>
        </w:rPr>
        <w:t>SG</w:t>
      </w:r>
      <w:r>
        <w:rPr>
          <w:sz w:val="24"/>
        </w:rPr>
        <w:t>Ｒ、</w:t>
      </w:r>
      <w:r>
        <w:rPr>
          <w:sz w:val="24"/>
        </w:rPr>
        <w:t>PPV</w:t>
      </w:r>
      <w:r>
        <w:rPr>
          <w:sz w:val="24"/>
        </w:rPr>
        <w:t>、</w:t>
      </w:r>
      <w:r>
        <w:rPr>
          <w:sz w:val="24"/>
        </w:rPr>
        <w:t>WG</w:t>
      </w:r>
      <w:r>
        <w:rPr>
          <w:sz w:val="24"/>
        </w:rPr>
        <w:t>Ｒ指标为判定依据，通过折线模型，杂交</w:t>
      </w:r>
      <w:proofErr w:type="gramStart"/>
      <w:r>
        <w:rPr>
          <w:sz w:val="24"/>
        </w:rPr>
        <w:t>鳢</w:t>
      </w:r>
      <w:proofErr w:type="gramEnd"/>
      <w:r>
        <w:rPr>
          <w:sz w:val="24"/>
        </w:rPr>
        <w:t>幼鱼饲料精氨酸</w:t>
      </w:r>
      <w:proofErr w:type="gramStart"/>
      <w:r>
        <w:rPr>
          <w:sz w:val="24"/>
        </w:rPr>
        <w:t>最适水平</w:t>
      </w:r>
      <w:proofErr w:type="gramEnd"/>
      <w:r>
        <w:rPr>
          <w:sz w:val="24"/>
        </w:rPr>
        <w:t>分别为</w:t>
      </w:r>
      <w:r>
        <w:rPr>
          <w:sz w:val="24"/>
        </w:rPr>
        <w:t>2.91 %</w:t>
      </w:r>
      <w:r>
        <w:rPr>
          <w:sz w:val="24"/>
        </w:rPr>
        <w:t>、</w:t>
      </w:r>
      <w:r>
        <w:rPr>
          <w:sz w:val="24"/>
        </w:rPr>
        <w:t>2.98 %</w:t>
      </w:r>
      <w:r>
        <w:rPr>
          <w:sz w:val="24"/>
        </w:rPr>
        <w:t>、</w:t>
      </w:r>
      <w:r>
        <w:rPr>
          <w:sz w:val="24"/>
        </w:rPr>
        <w:t>2.95 %</w:t>
      </w:r>
      <w:r>
        <w:rPr>
          <w:sz w:val="24"/>
        </w:rPr>
        <w:t>。</w:t>
      </w:r>
    </w:p>
    <w:p w14:paraId="62807F79" w14:textId="77777777" w:rsidR="004F39F6" w:rsidRDefault="00731C67">
      <w:pPr>
        <w:widowControl/>
        <w:jc w:val="center"/>
      </w:pPr>
      <w:r>
        <w:rPr>
          <w:noProof/>
          <w:kern w:val="0"/>
          <w:sz w:val="24"/>
          <w:lang w:bidi="ar"/>
        </w:rPr>
        <w:drawing>
          <wp:inline distT="0" distB="0" distL="114300" distR="114300" wp14:anchorId="10894C17" wp14:editId="7E38C367">
            <wp:extent cx="5344160" cy="1948180"/>
            <wp:effectExtent l="0" t="0" r="2540" b="762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35"/>
                    <a:stretch>
                      <a:fillRect/>
                    </a:stretch>
                  </pic:blipFill>
                  <pic:spPr>
                    <a:xfrm>
                      <a:off x="0" y="0"/>
                      <a:ext cx="5344160" cy="1948180"/>
                    </a:xfrm>
                    <a:prstGeom prst="rect">
                      <a:avLst/>
                    </a:prstGeom>
                    <a:noFill/>
                    <a:ln w="9525">
                      <a:noFill/>
                    </a:ln>
                  </pic:spPr>
                </pic:pic>
              </a:graphicData>
            </a:graphic>
          </wp:inline>
        </w:drawing>
      </w:r>
    </w:p>
    <w:p w14:paraId="76A73413" w14:textId="77777777" w:rsidR="004F39F6" w:rsidRDefault="00731C67">
      <w:pPr>
        <w:widowControl/>
        <w:ind w:firstLineChars="200" w:firstLine="480"/>
        <w:jc w:val="center"/>
        <w:rPr>
          <w:kern w:val="0"/>
          <w:sz w:val="24"/>
          <w:lang w:bidi="ar"/>
        </w:rPr>
      </w:pPr>
      <w:r>
        <w:rPr>
          <w:noProof/>
          <w:kern w:val="0"/>
          <w:sz w:val="24"/>
          <w:lang w:bidi="ar"/>
        </w:rPr>
        <w:lastRenderedPageBreak/>
        <w:drawing>
          <wp:inline distT="0" distB="0" distL="114300" distR="114300" wp14:anchorId="62AD3755" wp14:editId="2A30ADE5">
            <wp:extent cx="2334260" cy="1795780"/>
            <wp:effectExtent l="0" t="0" r="2540" b="762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36"/>
                    <a:stretch>
                      <a:fillRect/>
                    </a:stretch>
                  </pic:blipFill>
                  <pic:spPr>
                    <a:xfrm>
                      <a:off x="0" y="0"/>
                      <a:ext cx="2334260" cy="1795780"/>
                    </a:xfrm>
                    <a:prstGeom prst="rect">
                      <a:avLst/>
                    </a:prstGeom>
                    <a:noFill/>
                    <a:ln w="9525">
                      <a:noFill/>
                    </a:ln>
                  </pic:spPr>
                </pic:pic>
              </a:graphicData>
            </a:graphic>
          </wp:inline>
        </w:drawing>
      </w:r>
      <w:r>
        <w:rPr>
          <w:kern w:val="0"/>
          <w:sz w:val="24"/>
          <w:lang w:bidi="ar"/>
        </w:rPr>
        <w:t xml:space="preserve">  </w:t>
      </w:r>
      <w:r>
        <w:rPr>
          <w:noProof/>
          <w:kern w:val="0"/>
          <w:sz w:val="24"/>
          <w:lang w:bidi="ar"/>
        </w:rPr>
        <w:drawing>
          <wp:inline distT="0" distB="0" distL="114300" distR="114300" wp14:anchorId="288BE0E4" wp14:editId="193F553C">
            <wp:extent cx="2386965" cy="1833245"/>
            <wp:effectExtent l="0" t="0" r="635" b="8255"/>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37"/>
                    <a:stretch>
                      <a:fillRect/>
                    </a:stretch>
                  </pic:blipFill>
                  <pic:spPr>
                    <a:xfrm>
                      <a:off x="0" y="0"/>
                      <a:ext cx="2386965" cy="1833245"/>
                    </a:xfrm>
                    <a:prstGeom prst="rect">
                      <a:avLst/>
                    </a:prstGeom>
                    <a:noFill/>
                    <a:ln w="9525">
                      <a:noFill/>
                    </a:ln>
                  </pic:spPr>
                </pic:pic>
              </a:graphicData>
            </a:graphic>
          </wp:inline>
        </w:drawing>
      </w:r>
    </w:p>
    <w:p w14:paraId="0785A50E" w14:textId="77777777" w:rsidR="004F39F6" w:rsidRDefault="00731C67">
      <w:pPr>
        <w:widowControl/>
        <w:jc w:val="center"/>
      </w:pPr>
      <w:r>
        <w:rPr>
          <w:noProof/>
          <w:kern w:val="0"/>
          <w:sz w:val="24"/>
          <w:lang w:bidi="ar"/>
        </w:rPr>
        <w:drawing>
          <wp:inline distT="0" distB="0" distL="114300" distR="114300" wp14:anchorId="2DB5A06F" wp14:editId="2BD8A0A9">
            <wp:extent cx="2386330" cy="1892935"/>
            <wp:effectExtent l="0" t="0" r="1270" b="1206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8"/>
                    <a:stretch>
                      <a:fillRect/>
                    </a:stretch>
                  </pic:blipFill>
                  <pic:spPr>
                    <a:xfrm>
                      <a:off x="0" y="0"/>
                      <a:ext cx="2386330" cy="1892935"/>
                    </a:xfrm>
                    <a:prstGeom prst="rect">
                      <a:avLst/>
                    </a:prstGeom>
                    <a:noFill/>
                    <a:ln w="9525">
                      <a:noFill/>
                    </a:ln>
                  </pic:spPr>
                </pic:pic>
              </a:graphicData>
            </a:graphic>
          </wp:inline>
        </w:drawing>
      </w:r>
    </w:p>
    <w:p w14:paraId="2D19D025" w14:textId="77777777" w:rsidR="004F39F6" w:rsidRDefault="00731C67">
      <w:pPr>
        <w:spacing w:line="360" w:lineRule="auto"/>
        <w:rPr>
          <w:sz w:val="24"/>
        </w:rPr>
      </w:pPr>
      <w:r>
        <w:rPr>
          <w:sz w:val="24"/>
        </w:rPr>
        <w:t xml:space="preserve">2.2  </w:t>
      </w:r>
      <w:r>
        <w:rPr>
          <w:sz w:val="24"/>
        </w:rPr>
        <w:t>饲料中精氨酸水平对杂交</w:t>
      </w:r>
      <w:proofErr w:type="gramStart"/>
      <w:r>
        <w:rPr>
          <w:sz w:val="24"/>
        </w:rPr>
        <w:t>鳢</w:t>
      </w:r>
      <w:proofErr w:type="gramEnd"/>
      <w:r>
        <w:rPr>
          <w:sz w:val="24"/>
        </w:rPr>
        <w:t>体成分和氨基酸成分的影响</w:t>
      </w:r>
    </w:p>
    <w:p w14:paraId="5252EEE9" w14:textId="77777777" w:rsidR="004F39F6" w:rsidRDefault="00731C67">
      <w:pPr>
        <w:spacing w:line="360" w:lineRule="auto"/>
        <w:ind w:firstLineChars="200" w:firstLine="480"/>
        <w:rPr>
          <w:sz w:val="24"/>
        </w:rPr>
      </w:pPr>
      <w:r>
        <w:rPr>
          <w:sz w:val="24"/>
        </w:rPr>
        <w:t>由表</w:t>
      </w:r>
      <w:r>
        <w:rPr>
          <w:sz w:val="24"/>
        </w:rPr>
        <w:t>4</w:t>
      </w:r>
      <w:r>
        <w:rPr>
          <w:sz w:val="24"/>
        </w:rPr>
        <w:t>可知，杂交</w:t>
      </w:r>
      <w:proofErr w:type="gramStart"/>
      <w:r>
        <w:rPr>
          <w:sz w:val="24"/>
        </w:rPr>
        <w:t>鳢</w:t>
      </w:r>
      <w:proofErr w:type="gramEnd"/>
      <w:r>
        <w:rPr>
          <w:sz w:val="24"/>
        </w:rPr>
        <w:t>各组之间全鱼的水分含量无显著差异</w:t>
      </w:r>
      <w:r>
        <w:rPr>
          <w:sz w:val="24"/>
        </w:rPr>
        <w:t>(</w:t>
      </w:r>
      <w:r>
        <w:rPr>
          <w:i/>
          <w:iCs/>
          <w:sz w:val="24"/>
        </w:rPr>
        <w:t>P</w:t>
      </w:r>
      <w:r>
        <w:rPr>
          <w:sz w:val="24"/>
        </w:rPr>
        <w:t>＞</w:t>
      </w:r>
      <w:r>
        <w:rPr>
          <w:sz w:val="24"/>
        </w:rPr>
        <w:t>0.05)</w:t>
      </w:r>
      <w:r>
        <w:rPr>
          <w:sz w:val="24"/>
        </w:rPr>
        <w:t>；杂交</w:t>
      </w:r>
      <w:proofErr w:type="gramStart"/>
      <w:r>
        <w:rPr>
          <w:sz w:val="24"/>
        </w:rPr>
        <w:t>鳢</w:t>
      </w:r>
      <w:proofErr w:type="gramEnd"/>
      <w:r>
        <w:rPr>
          <w:sz w:val="24"/>
        </w:rPr>
        <w:t>全鱼粗蛋白质含量各组间呈现先上升后下降的趋势，</w:t>
      </w:r>
      <w:r>
        <w:rPr>
          <w:sz w:val="24"/>
        </w:rPr>
        <w:t>G4</w:t>
      </w:r>
      <w:r>
        <w:rPr>
          <w:sz w:val="24"/>
        </w:rPr>
        <w:t>组达到显著水平</w:t>
      </w:r>
      <w:r>
        <w:rPr>
          <w:sz w:val="24"/>
        </w:rPr>
        <w:t>(</w:t>
      </w:r>
      <w:r>
        <w:rPr>
          <w:i/>
          <w:iCs/>
          <w:sz w:val="24"/>
        </w:rPr>
        <w:t>P</w:t>
      </w:r>
      <w:r>
        <w:rPr>
          <w:sz w:val="24"/>
        </w:rPr>
        <w:t>＜</w:t>
      </w:r>
      <w:r>
        <w:rPr>
          <w:sz w:val="24"/>
        </w:rPr>
        <w:t>0.05)</w:t>
      </w:r>
      <w:r>
        <w:rPr>
          <w:sz w:val="24"/>
        </w:rPr>
        <w:t>，杂交</w:t>
      </w:r>
      <w:proofErr w:type="gramStart"/>
      <w:r>
        <w:rPr>
          <w:sz w:val="24"/>
        </w:rPr>
        <w:t>鳢</w:t>
      </w:r>
      <w:proofErr w:type="gramEnd"/>
      <w:r>
        <w:rPr>
          <w:sz w:val="24"/>
        </w:rPr>
        <w:t>全鱼粗脂肪含量呈现下降趋势，但各组间无显著差异</w:t>
      </w:r>
      <w:r>
        <w:rPr>
          <w:sz w:val="24"/>
        </w:rPr>
        <w:t>(</w:t>
      </w:r>
      <w:r>
        <w:rPr>
          <w:i/>
          <w:iCs/>
          <w:sz w:val="24"/>
        </w:rPr>
        <w:t>P</w:t>
      </w:r>
      <w:r>
        <w:rPr>
          <w:sz w:val="24"/>
        </w:rPr>
        <w:t>＞</w:t>
      </w:r>
      <w:r>
        <w:rPr>
          <w:sz w:val="24"/>
        </w:rPr>
        <w:t>0.05)</w:t>
      </w:r>
      <w:r>
        <w:rPr>
          <w:sz w:val="24"/>
        </w:rPr>
        <w:t>；杂交</w:t>
      </w:r>
      <w:proofErr w:type="gramStart"/>
      <w:r>
        <w:rPr>
          <w:sz w:val="24"/>
        </w:rPr>
        <w:t>鳢</w:t>
      </w:r>
      <w:proofErr w:type="gramEnd"/>
      <w:r>
        <w:rPr>
          <w:sz w:val="24"/>
        </w:rPr>
        <w:t>鱼体粗灰分含量呈现升高趋势，并在</w:t>
      </w:r>
      <w:r>
        <w:rPr>
          <w:sz w:val="24"/>
        </w:rPr>
        <w:t>G4</w:t>
      </w:r>
      <w:r>
        <w:rPr>
          <w:sz w:val="24"/>
        </w:rPr>
        <w:t>组达到显著水平</w:t>
      </w:r>
      <w:r>
        <w:rPr>
          <w:sz w:val="24"/>
        </w:rPr>
        <w:t>(</w:t>
      </w:r>
      <w:r>
        <w:rPr>
          <w:i/>
          <w:iCs/>
          <w:sz w:val="24"/>
        </w:rPr>
        <w:t>P</w:t>
      </w:r>
      <w:r>
        <w:rPr>
          <w:sz w:val="24"/>
        </w:rPr>
        <w:t>＜</w:t>
      </w:r>
      <w:r>
        <w:rPr>
          <w:sz w:val="24"/>
        </w:rPr>
        <w:t>0.05)</w:t>
      </w:r>
      <w:r>
        <w:rPr>
          <w:sz w:val="24"/>
        </w:rPr>
        <w:t>。</w:t>
      </w:r>
    </w:p>
    <w:p w14:paraId="52A447D2" w14:textId="77777777" w:rsidR="004F39F6" w:rsidRDefault="00731C67">
      <w:pPr>
        <w:spacing w:line="360" w:lineRule="auto"/>
        <w:ind w:firstLineChars="200" w:firstLine="480"/>
        <w:rPr>
          <w:sz w:val="24"/>
        </w:rPr>
      </w:pPr>
      <w:r>
        <w:rPr>
          <w:sz w:val="24"/>
        </w:rPr>
        <w:t>由表</w:t>
      </w:r>
      <w:r>
        <w:rPr>
          <w:sz w:val="24"/>
        </w:rPr>
        <w:t>5</w:t>
      </w:r>
      <w:r>
        <w:rPr>
          <w:sz w:val="24"/>
        </w:rPr>
        <w:t>可知，必需氨基酸组成方面，杂交</w:t>
      </w:r>
      <w:proofErr w:type="gramStart"/>
      <w:r>
        <w:rPr>
          <w:sz w:val="24"/>
        </w:rPr>
        <w:t>鳢</w:t>
      </w:r>
      <w:proofErr w:type="gramEnd"/>
      <w:r>
        <w:rPr>
          <w:sz w:val="24"/>
        </w:rPr>
        <w:t>全鱼精氨酸含量呈现先升高后下降的趋势，并在</w:t>
      </w:r>
      <w:r>
        <w:rPr>
          <w:sz w:val="24"/>
        </w:rPr>
        <w:t>G4</w:t>
      </w:r>
      <w:r>
        <w:rPr>
          <w:sz w:val="24"/>
        </w:rPr>
        <w:t>组达到显著水平</w:t>
      </w:r>
      <w:r>
        <w:rPr>
          <w:sz w:val="24"/>
        </w:rPr>
        <w:t>(</w:t>
      </w:r>
      <w:r>
        <w:rPr>
          <w:i/>
          <w:iCs/>
          <w:sz w:val="24"/>
        </w:rPr>
        <w:t>P</w:t>
      </w:r>
      <w:r>
        <w:rPr>
          <w:sz w:val="24"/>
        </w:rPr>
        <w:t>＜</w:t>
      </w:r>
      <w:r>
        <w:rPr>
          <w:sz w:val="24"/>
        </w:rPr>
        <w:t>0.05)</w:t>
      </w:r>
      <w:r>
        <w:rPr>
          <w:sz w:val="24"/>
        </w:rPr>
        <w:t>；亮氨酸含量在</w:t>
      </w:r>
      <w:r>
        <w:rPr>
          <w:sz w:val="24"/>
        </w:rPr>
        <w:t>G3</w:t>
      </w:r>
      <w:r>
        <w:rPr>
          <w:sz w:val="24"/>
        </w:rPr>
        <w:t>组达到最高，与其他各组差异显著</w:t>
      </w:r>
      <w:r>
        <w:rPr>
          <w:sz w:val="24"/>
        </w:rPr>
        <w:t>(</w:t>
      </w:r>
      <w:r>
        <w:rPr>
          <w:i/>
          <w:iCs/>
          <w:sz w:val="24"/>
        </w:rPr>
        <w:t>P</w:t>
      </w:r>
      <w:r>
        <w:rPr>
          <w:sz w:val="24"/>
        </w:rPr>
        <w:t>＜</w:t>
      </w:r>
      <w:r>
        <w:rPr>
          <w:sz w:val="24"/>
        </w:rPr>
        <w:t>0.05)</w:t>
      </w:r>
      <w:r>
        <w:rPr>
          <w:sz w:val="24"/>
        </w:rPr>
        <w:t>；蛋氨酸含量呈现先升高后降低趋势，</w:t>
      </w:r>
      <w:r>
        <w:rPr>
          <w:sz w:val="24"/>
        </w:rPr>
        <w:t>G3</w:t>
      </w:r>
      <w:r>
        <w:rPr>
          <w:sz w:val="24"/>
        </w:rPr>
        <w:t>组显著高于</w:t>
      </w:r>
      <w:r>
        <w:rPr>
          <w:sz w:val="24"/>
        </w:rPr>
        <w:t>G5</w:t>
      </w:r>
      <w:r>
        <w:rPr>
          <w:sz w:val="24"/>
        </w:rPr>
        <w:t>组</w:t>
      </w:r>
      <w:r>
        <w:rPr>
          <w:sz w:val="24"/>
        </w:rPr>
        <w:t>(</w:t>
      </w:r>
      <w:r>
        <w:rPr>
          <w:i/>
          <w:iCs/>
          <w:sz w:val="24"/>
        </w:rPr>
        <w:t>P</w:t>
      </w:r>
      <w:r>
        <w:rPr>
          <w:sz w:val="24"/>
        </w:rPr>
        <w:t>＜</w:t>
      </w:r>
      <w:r>
        <w:rPr>
          <w:sz w:val="24"/>
        </w:rPr>
        <w:t>0.05)</w:t>
      </w:r>
      <w:r>
        <w:rPr>
          <w:sz w:val="24"/>
        </w:rPr>
        <w:t>；缬氨酸含量呈现</w:t>
      </w:r>
      <w:r>
        <w:rPr>
          <w:sz w:val="24"/>
        </w:rPr>
        <w:t>先升高后下降趋势，</w:t>
      </w:r>
      <w:r>
        <w:rPr>
          <w:sz w:val="24"/>
        </w:rPr>
        <w:t>G3</w:t>
      </w:r>
      <w:r>
        <w:rPr>
          <w:sz w:val="24"/>
        </w:rPr>
        <w:t>组显著高于</w:t>
      </w:r>
      <w:r>
        <w:rPr>
          <w:sz w:val="24"/>
        </w:rPr>
        <w:t>G1</w:t>
      </w:r>
      <w:r>
        <w:rPr>
          <w:sz w:val="24"/>
        </w:rPr>
        <w:t>、</w:t>
      </w:r>
      <w:r>
        <w:rPr>
          <w:sz w:val="24"/>
        </w:rPr>
        <w:t>G2</w:t>
      </w:r>
      <w:r>
        <w:rPr>
          <w:sz w:val="24"/>
        </w:rPr>
        <w:t>和</w:t>
      </w:r>
      <w:r>
        <w:rPr>
          <w:sz w:val="24"/>
        </w:rPr>
        <w:t>G5</w:t>
      </w:r>
      <w:r>
        <w:rPr>
          <w:sz w:val="24"/>
        </w:rPr>
        <w:t>组</w:t>
      </w:r>
      <w:r>
        <w:rPr>
          <w:sz w:val="24"/>
        </w:rPr>
        <w:t>(</w:t>
      </w:r>
      <w:r>
        <w:rPr>
          <w:i/>
          <w:iCs/>
          <w:sz w:val="24"/>
        </w:rPr>
        <w:t>P</w:t>
      </w:r>
      <w:r>
        <w:rPr>
          <w:sz w:val="24"/>
        </w:rPr>
        <w:t>＜</w:t>
      </w:r>
      <w:r>
        <w:rPr>
          <w:sz w:val="24"/>
        </w:rPr>
        <w:t>0.05)</w:t>
      </w:r>
      <w:r>
        <w:rPr>
          <w:sz w:val="24"/>
        </w:rPr>
        <w:t>。非必需氨基酸方面，丙氨酸、甘氨酸、天冬氨酸含量均呈现先升高后降低的趋势，均在</w:t>
      </w:r>
      <w:r>
        <w:rPr>
          <w:sz w:val="24"/>
        </w:rPr>
        <w:t>G3</w:t>
      </w:r>
      <w:r>
        <w:rPr>
          <w:sz w:val="24"/>
        </w:rPr>
        <w:t>组达到最高值，显著高于</w:t>
      </w:r>
      <w:r>
        <w:rPr>
          <w:sz w:val="24"/>
        </w:rPr>
        <w:t>G5</w:t>
      </w:r>
      <w:r>
        <w:rPr>
          <w:sz w:val="24"/>
        </w:rPr>
        <w:t>组</w:t>
      </w:r>
      <w:r>
        <w:rPr>
          <w:sz w:val="24"/>
        </w:rPr>
        <w:t>(</w:t>
      </w:r>
      <w:r>
        <w:rPr>
          <w:i/>
          <w:iCs/>
          <w:sz w:val="24"/>
        </w:rPr>
        <w:t>P</w:t>
      </w:r>
      <w:r>
        <w:rPr>
          <w:sz w:val="24"/>
        </w:rPr>
        <w:t>＜</w:t>
      </w:r>
      <w:r>
        <w:rPr>
          <w:sz w:val="24"/>
        </w:rPr>
        <w:t>0.05)</w:t>
      </w:r>
      <w:r>
        <w:rPr>
          <w:sz w:val="24"/>
        </w:rPr>
        <w:t>；其余氨基酸含量在</w:t>
      </w:r>
      <w:r>
        <w:rPr>
          <w:sz w:val="24"/>
        </w:rPr>
        <w:t>G3</w:t>
      </w:r>
      <w:r>
        <w:rPr>
          <w:sz w:val="24"/>
        </w:rPr>
        <w:t>组均高于其他各组，但无显著差异</w:t>
      </w:r>
      <w:r>
        <w:rPr>
          <w:sz w:val="24"/>
        </w:rPr>
        <w:t>(</w:t>
      </w:r>
      <w:r>
        <w:rPr>
          <w:i/>
          <w:iCs/>
          <w:sz w:val="24"/>
        </w:rPr>
        <w:t>P</w:t>
      </w:r>
      <w:r>
        <w:rPr>
          <w:sz w:val="24"/>
        </w:rPr>
        <w:t>＞</w:t>
      </w:r>
      <w:r>
        <w:rPr>
          <w:sz w:val="24"/>
        </w:rPr>
        <w:t>0.05)</w:t>
      </w:r>
      <w:r>
        <w:rPr>
          <w:sz w:val="24"/>
        </w:rPr>
        <w:t>。</w:t>
      </w:r>
    </w:p>
    <w:p w14:paraId="036421B4" w14:textId="77777777" w:rsidR="004F39F6" w:rsidRDefault="00731C67">
      <w:pPr>
        <w:widowControl/>
        <w:jc w:val="center"/>
      </w:pPr>
      <w:r>
        <w:rPr>
          <w:noProof/>
          <w:kern w:val="0"/>
          <w:sz w:val="24"/>
          <w:lang w:bidi="ar"/>
        </w:rPr>
        <w:drawing>
          <wp:inline distT="0" distB="0" distL="114300" distR="114300" wp14:anchorId="3098412C" wp14:editId="5C08FD4A">
            <wp:extent cx="5085715" cy="1325245"/>
            <wp:effectExtent l="0" t="0" r="6985" b="825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39"/>
                    <a:stretch>
                      <a:fillRect/>
                    </a:stretch>
                  </pic:blipFill>
                  <pic:spPr>
                    <a:xfrm>
                      <a:off x="0" y="0"/>
                      <a:ext cx="5085715" cy="1325245"/>
                    </a:xfrm>
                    <a:prstGeom prst="rect">
                      <a:avLst/>
                    </a:prstGeom>
                    <a:noFill/>
                    <a:ln w="9525">
                      <a:noFill/>
                    </a:ln>
                  </pic:spPr>
                </pic:pic>
              </a:graphicData>
            </a:graphic>
          </wp:inline>
        </w:drawing>
      </w:r>
    </w:p>
    <w:p w14:paraId="336DA4C6" w14:textId="77777777" w:rsidR="004F39F6" w:rsidRDefault="00731C67">
      <w:pPr>
        <w:widowControl/>
        <w:jc w:val="center"/>
      </w:pPr>
      <w:r>
        <w:rPr>
          <w:noProof/>
          <w:kern w:val="0"/>
          <w:sz w:val="24"/>
          <w:lang w:bidi="ar"/>
        </w:rPr>
        <w:lastRenderedPageBreak/>
        <w:drawing>
          <wp:inline distT="0" distB="0" distL="114300" distR="114300" wp14:anchorId="5FE9E496" wp14:editId="2AF32D21">
            <wp:extent cx="4829810" cy="2120265"/>
            <wp:effectExtent l="0" t="0" r="8890" b="63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40"/>
                    <a:stretch>
                      <a:fillRect/>
                    </a:stretch>
                  </pic:blipFill>
                  <pic:spPr>
                    <a:xfrm>
                      <a:off x="0" y="0"/>
                      <a:ext cx="4829810" cy="2120265"/>
                    </a:xfrm>
                    <a:prstGeom prst="rect">
                      <a:avLst/>
                    </a:prstGeom>
                    <a:noFill/>
                    <a:ln w="9525">
                      <a:noFill/>
                    </a:ln>
                  </pic:spPr>
                </pic:pic>
              </a:graphicData>
            </a:graphic>
          </wp:inline>
        </w:drawing>
      </w:r>
    </w:p>
    <w:p w14:paraId="1057041E" w14:textId="77777777" w:rsidR="004F39F6" w:rsidRDefault="00731C67">
      <w:pPr>
        <w:spacing w:line="360" w:lineRule="auto"/>
        <w:rPr>
          <w:sz w:val="24"/>
        </w:rPr>
      </w:pPr>
      <w:r>
        <w:rPr>
          <w:sz w:val="24"/>
        </w:rPr>
        <w:t xml:space="preserve">2.3  </w:t>
      </w:r>
      <w:r>
        <w:rPr>
          <w:sz w:val="24"/>
        </w:rPr>
        <w:t>饲料中精氨酸水平对杂交</w:t>
      </w:r>
      <w:proofErr w:type="gramStart"/>
      <w:r>
        <w:rPr>
          <w:sz w:val="24"/>
        </w:rPr>
        <w:t>鳢</w:t>
      </w:r>
      <w:proofErr w:type="gramEnd"/>
      <w:r>
        <w:rPr>
          <w:sz w:val="24"/>
        </w:rPr>
        <w:t>血浆生化指标的影响</w:t>
      </w:r>
    </w:p>
    <w:p w14:paraId="7545B19C" w14:textId="77777777" w:rsidR="004F39F6" w:rsidRDefault="00731C67">
      <w:pPr>
        <w:spacing w:line="360" w:lineRule="auto"/>
        <w:ind w:firstLineChars="200" w:firstLine="480"/>
        <w:rPr>
          <w:sz w:val="24"/>
        </w:rPr>
      </w:pPr>
      <w:r>
        <w:rPr>
          <w:sz w:val="24"/>
        </w:rPr>
        <w:t>由表</w:t>
      </w:r>
      <w:r>
        <w:rPr>
          <w:sz w:val="24"/>
        </w:rPr>
        <w:t>5</w:t>
      </w:r>
      <w:r>
        <w:rPr>
          <w:sz w:val="24"/>
        </w:rPr>
        <w:t>可知，饲料中添加精氨酸对杂交</w:t>
      </w:r>
      <w:proofErr w:type="gramStart"/>
      <w:r>
        <w:rPr>
          <w:sz w:val="24"/>
        </w:rPr>
        <w:t>鳢</w:t>
      </w:r>
      <w:proofErr w:type="gramEnd"/>
      <w:r>
        <w:rPr>
          <w:sz w:val="24"/>
        </w:rPr>
        <w:t>血浆生化指标均无显著影响</w:t>
      </w:r>
      <w:r>
        <w:rPr>
          <w:sz w:val="24"/>
        </w:rPr>
        <w:t>(</w:t>
      </w:r>
      <w:r>
        <w:rPr>
          <w:i/>
          <w:iCs/>
          <w:sz w:val="24"/>
        </w:rPr>
        <w:t>P</w:t>
      </w:r>
      <w:r>
        <w:rPr>
          <w:sz w:val="24"/>
        </w:rPr>
        <w:t>＞</w:t>
      </w:r>
      <w:r>
        <w:rPr>
          <w:sz w:val="24"/>
        </w:rPr>
        <w:t>0.05)</w:t>
      </w:r>
      <w:r>
        <w:rPr>
          <w:sz w:val="24"/>
        </w:rPr>
        <w:t>。随饲料精氨酸水平的上升，杂交</w:t>
      </w:r>
      <w:proofErr w:type="gramStart"/>
      <w:r>
        <w:rPr>
          <w:sz w:val="24"/>
        </w:rPr>
        <w:t>鳢</w:t>
      </w:r>
      <w:proofErr w:type="gramEnd"/>
      <w:r>
        <w:rPr>
          <w:sz w:val="24"/>
        </w:rPr>
        <w:t>血浆中的</w:t>
      </w:r>
      <w:r>
        <w:rPr>
          <w:sz w:val="24"/>
        </w:rPr>
        <w:t>TP</w:t>
      </w:r>
      <w:r>
        <w:rPr>
          <w:sz w:val="24"/>
        </w:rPr>
        <w:t>含量呈现升高趋势，并在</w:t>
      </w:r>
      <w:r>
        <w:rPr>
          <w:sz w:val="24"/>
        </w:rPr>
        <w:t>G4</w:t>
      </w:r>
      <w:r>
        <w:rPr>
          <w:sz w:val="24"/>
        </w:rPr>
        <w:t>组达到最大值；血浆</w:t>
      </w:r>
      <w:r>
        <w:rPr>
          <w:sz w:val="24"/>
        </w:rPr>
        <w:t>GLU</w:t>
      </w:r>
      <w:r>
        <w:rPr>
          <w:sz w:val="24"/>
        </w:rPr>
        <w:t>含量呈现下降趋势</w:t>
      </w:r>
      <w:r>
        <w:rPr>
          <w:sz w:val="24"/>
        </w:rPr>
        <w:t>，并且在</w:t>
      </w:r>
      <w:r>
        <w:rPr>
          <w:sz w:val="24"/>
        </w:rPr>
        <w:t>G4</w:t>
      </w:r>
      <w:r>
        <w:rPr>
          <w:sz w:val="24"/>
        </w:rPr>
        <w:t>组达到最小值。随饲料精氨酸水平的上升，杂交</w:t>
      </w:r>
      <w:proofErr w:type="gramStart"/>
      <w:r>
        <w:rPr>
          <w:sz w:val="24"/>
        </w:rPr>
        <w:t>鳢</w:t>
      </w:r>
      <w:proofErr w:type="gramEnd"/>
      <w:r>
        <w:rPr>
          <w:sz w:val="24"/>
        </w:rPr>
        <w:t>血浆</w:t>
      </w:r>
      <w:r>
        <w:rPr>
          <w:sz w:val="24"/>
        </w:rPr>
        <w:t>AST</w:t>
      </w:r>
      <w:r>
        <w:rPr>
          <w:sz w:val="24"/>
        </w:rPr>
        <w:t>、</w:t>
      </w:r>
      <w:r>
        <w:rPr>
          <w:sz w:val="24"/>
        </w:rPr>
        <w:t>ALT</w:t>
      </w:r>
      <w:r>
        <w:rPr>
          <w:sz w:val="24"/>
        </w:rPr>
        <w:t>活性呈现先升高后下降趋势。</w:t>
      </w:r>
    </w:p>
    <w:p w14:paraId="0DBBAF27" w14:textId="77777777" w:rsidR="004F39F6" w:rsidRDefault="00731C67">
      <w:pPr>
        <w:widowControl/>
        <w:jc w:val="center"/>
      </w:pPr>
      <w:r>
        <w:rPr>
          <w:noProof/>
          <w:kern w:val="0"/>
          <w:sz w:val="24"/>
          <w:lang w:bidi="ar"/>
        </w:rPr>
        <w:drawing>
          <wp:inline distT="0" distB="0" distL="114300" distR="114300" wp14:anchorId="4E170E46" wp14:editId="658B719D">
            <wp:extent cx="4680585" cy="1167130"/>
            <wp:effectExtent l="0" t="0" r="5715" b="127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41"/>
                    <a:stretch>
                      <a:fillRect/>
                    </a:stretch>
                  </pic:blipFill>
                  <pic:spPr>
                    <a:xfrm>
                      <a:off x="0" y="0"/>
                      <a:ext cx="4680585" cy="1167130"/>
                    </a:xfrm>
                    <a:prstGeom prst="rect">
                      <a:avLst/>
                    </a:prstGeom>
                    <a:noFill/>
                    <a:ln w="9525">
                      <a:noFill/>
                    </a:ln>
                  </pic:spPr>
                </pic:pic>
              </a:graphicData>
            </a:graphic>
          </wp:inline>
        </w:drawing>
      </w:r>
    </w:p>
    <w:p w14:paraId="743B19D8" w14:textId="77777777" w:rsidR="004F39F6" w:rsidRDefault="00731C67">
      <w:pPr>
        <w:widowControl/>
        <w:jc w:val="center"/>
      </w:pPr>
      <w:r>
        <w:rPr>
          <w:noProof/>
          <w:kern w:val="0"/>
          <w:sz w:val="24"/>
          <w:lang w:bidi="ar"/>
        </w:rPr>
        <w:drawing>
          <wp:inline distT="0" distB="0" distL="114300" distR="114300" wp14:anchorId="31927A3D" wp14:editId="5B6846B5">
            <wp:extent cx="4549775" cy="902335"/>
            <wp:effectExtent l="0" t="0" r="9525" b="1206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2"/>
                    <a:stretch>
                      <a:fillRect/>
                    </a:stretch>
                  </pic:blipFill>
                  <pic:spPr>
                    <a:xfrm>
                      <a:off x="0" y="0"/>
                      <a:ext cx="4549775" cy="902335"/>
                    </a:xfrm>
                    <a:prstGeom prst="rect">
                      <a:avLst/>
                    </a:prstGeom>
                    <a:noFill/>
                    <a:ln w="9525">
                      <a:noFill/>
                    </a:ln>
                  </pic:spPr>
                </pic:pic>
              </a:graphicData>
            </a:graphic>
          </wp:inline>
        </w:drawing>
      </w:r>
    </w:p>
    <w:p w14:paraId="1A5B79E5" w14:textId="77777777" w:rsidR="004F39F6" w:rsidRDefault="00731C67">
      <w:pPr>
        <w:spacing w:line="360" w:lineRule="auto"/>
        <w:rPr>
          <w:sz w:val="24"/>
        </w:rPr>
      </w:pPr>
      <w:r>
        <w:rPr>
          <w:sz w:val="24"/>
        </w:rPr>
        <w:t xml:space="preserve">2.4  </w:t>
      </w:r>
      <w:r>
        <w:rPr>
          <w:sz w:val="24"/>
        </w:rPr>
        <w:t>饲料中精氨酸水平对杂交</w:t>
      </w:r>
      <w:proofErr w:type="gramStart"/>
      <w:r>
        <w:rPr>
          <w:sz w:val="24"/>
        </w:rPr>
        <w:t>鳢</w:t>
      </w:r>
      <w:proofErr w:type="gramEnd"/>
      <w:r>
        <w:rPr>
          <w:sz w:val="24"/>
        </w:rPr>
        <w:t>血浆抗氧化能力的影响</w:t>
      </w:r>
    </w:p>
    <w:p w14:paraId="425FF492" w14:textId="77777777" w:rsidR="004F39F6" w:rsidRDefault="00731C67">
      <w:pPr>
        <w:spacing w:line="360" w:lineRule="auto"/>
        <w:ind w:firstLineChars="200" w:firstLine="480"/>
        <w:rPr>
          <w:sz w:val="24"/>
        </w:rPr>
      </w:pPr>
      <w:r>
        <w:rPr>
          <w:sz w:val="24"/>
        </w:rPr>
        <w:t>由表</w:t>
      </w:r>
      <w:r>
        <w:rPr>
          <w:sz w:val="24"/>
        </w:rPr>
        <w:t>7</w:t>
      </w:r>
      <w:r>
        <w:rPr>
          <w:sz w:val="24"/>
        </w:rPr>
        <w:t>可知，随饲料精氨酸水平的上升，血浆</w:t>
      </w:r>
      <w:r>
        <w:rPr>
          <w:sz w:val="24"/>
        </w:rPr>
        <w:t>SOD</w:t>
      </w:r>
      <w:r>
        <w:rPr>
          <w:sz w:val="24"/>
        </w:rPr>
        <w:t>活性呈现先升高后下降趋势，并在</w:t>
      </w:r>
      <w:r>
        <w:rPr>
          <w:sz w:val="24"/>
        </w:rPr>
        <w:t>G3</w:t>
      </w:r>
      <w:r>
        <w:rPr>
          <w:sz w:val="24"/>
        </w:rPr>
        <w:t>组达到最大值，显著高于其他组</w:t>
      </w:r>
      <w:r>
        <w:rPr>
          <w:sz w:val="24"/>
        </w:rPr>
        <w:t>(</w:t>
      </w:r>
      <w:r>
        <w:rPr>
          <w:i/>
          <w:iCs/>
          <w:sz w:val="24"/>
        </w:rPr>
        <w:t>P</w:t>
      </w:r>
      <w:r>
        <w:rPr>
          <w:sz w:val="24"/>
        </w:rPr>
        <w:t>＜</w:t>
      </w:r>
      <w:r>
        <w:rPr>
          <w:sz w:val="24"/>
        </w:rPr>
        <w:t>0.05);G5</w:t>
      </w:r>
      <w:r>
        <w:rPr>
          <w:sz w:val="24"/>
        </w:rPr>
        <w:t>组血浆</w:t>
      </w:r>
      <w:r>
        <w:rPr>
          <w:sz w:val="24"/>
        </w:rPr>
        <w:t>GSH-Px</w:t>
      </w:r>
      <w:r>
        <w:rPr>
          <w:sz w:val="24"/>
        </w:rPr>
        <w:t>活性显著高于</w:t>
      </w:r>
      <w:r>
        <w:rPr>
          <w:sz w:val="24"/>
        </w:rPr>
        <w:t>G2</w:t>
      </w:r>
      <w:r>
        <w:rPr>
          <w:sz w:val="24"/>
        </w:rPr>
        <w:t>组</w:t>
      </w:r>
      <w:r>
        <w:rPr>
          <w:sz w:val="24"/>
        </w:rPr>
        <w:t>(</w:t>
      </w:r>
      <w:r>
        <w:rPr>
          <w:i/>
          <w:iCs/>
          <w:sz w:val="24"/>
        </w:rPr>
        <w:t>P</w:t>
      </w:r>
      <w:r>
        <w:rPr>
          <w:sz w:val="24"/>
        </w:rPr>
        <w:t>＜</w:t>
      </w:r>
      <w:r>
        <w:rPr>
          <w:sz w:val="24"/>
        </w:rPr>
        <w:t>0.05)</w:t>
      </w:r>
      <w:r>
        <w:rPr>
          <w:sz w:val="24"/>
        </w:rPr>
        <w:t>，</w:t>
      </w:r>
      <w:r>
        <w:rPr>
          <w:sz w:val="24"/>
        </w:rPr>
        <w:t>G4</w:t>
      </w:r>
      <w:r>
        <w:rPr>
          <w:sz w:val="24"/>
        </w:rPr>
        <w:t>和</w:t>
      </w:r>
      <w:r>
        <w:rPr>
          <w:sz w:val="24"/>
        </w:rPr>
        <w:t>G5</w:t>
      </w:r>
      <w:r>
        <w:rPr>
          <w:sz w:val="24"/>
        </w:rPr>
        <w:t>组血浆</w:t>
      </w:r>
      <w:r>
        <w:rPr>
          <w:sz w:val="24"/>
        </w:rPr>
        <w:t>T-AOC</w:t>
      </w:r>
      <w:r>
        <w:rPr>
          <w:sz w:val="24"/>
        </w:rPr>
        <w:t>显著高于</w:t>
      </w:r>
      <w:r>
        <w:rPr>
          <w:sz w:val="24"/>
        </w:rPr>
        <w:t>G1</w:t>
      </w:r>
      <w:r>
        <w:rPr>
          <w:sz w:val="24"/>
        </w:rPr>
        <w:t>组</w:t>
      </w:r>
      <w:r>
        <w:rPr>
          <w:sz w:val="24"/>
        </w:rPr>
        <w:t>(</w:t>
      </w:r>
      <w:r>
        <w:rPr>
          <w:i/>
          <w:iCs/>
          <w:sz w:val="24"/>
        </w:rPr>
        <w:t>P</w:t>
      </w:r>
      <w:r>
        <w:rPr>
          <w:sz w:val="24"/>
        </w:rPr>
        <w:t>＜</w:t>
      </w:r>
      <w:r>
        <w:rPr>
          <w:sz w:val="24"/>
        </w:rPr>
        <w:t>0.05)</w:t>
      </w:r>
      <w:r>
        <w:rPr>
          <w:sz w:val="24"/>
        </w:rPr>
        <w:t>，</w:t>
      </w:r>
      <w:r>
        <w:rPr>
          <w:sz w:val="24"/>
        </w:rPr>
        <w:t>G5</w:t>
      </w:r>
      <w:r>
        <w:rPr>
          <w:sz w:val="24"/>
        </w:rPr>
        <w:t>组血浆</w:t>
      </w:r>
      <w:r>
        <w:rPr>
          <w:sz w:val="24"/>
        </w:rPr>
        <w:t>MDA</w:t>
      </w:r>
      <w:r>
        <w:rPr>
          <w:sz w:val="24"/>
        </w:rPr>
        <w:t>含量显著低于</w:t>
      </w:r>
      <w:r>
        <w:rPr>
          <w:sz w:val="24"/>
        </w:rPr>
        <w:t>G1</w:t>
      </w:r>
      <w:r>
        <w:rPr>
          <w:sz w:val="24"/>
        </w:rPr>
        <w:t>和</w:t>
      </w:r>
      <w:r>
        <w:rPr>
          <w:sz w:val="24"/>
        </w:rPr>
        <w:t>G2</w:t>
      </w:r>
      <w:r>
        <w:rPr>
          <w:sz w:val="24"/>
        </w:rPr>
        <w:t>组</w:t>
      </w:r>
      <w:r>
        <w:rPr>
          <w:sz w:val="24"/>
        </w:rPr>
        <w:t>(</w:t>
      </w:r>
      <w:r>
        <w:rPr>
          <w:i/>
          <w:iCs/>
          <w:sz w:val="24"/>
        </w:rPr>
        <w:t>P</w:t>
      </w:r>
      <w:r>
        <w:rPr>
          <w:sz w:val="24"/>
        </w:rPr>
        <w:t>＜</w:t>
      </w:r>
      <w:r>
        <w:rPr>
          <w:sz w:val="24"/>
        </w:rPr>
        <w:t>0.05)</w:t>
      </w:r>
      <w:r>
        <w:rPr>
          <w:sz w:val="24"/>
        </w:rPr>
        <w:t>。</w:t>
      </w:r>
    </w:p>
    <w:p w14:paraId="76366F96" w14:textId="77777777" w:rsidR="004F39F6" w:rsidRDefault="00731C67">
      <w:pPr>
        <w:widowControl/>
        <w:jc w:val="center"/>
      </w:pPr>
      <w:r>
        <w:rPr>
          <w:noProof/>
          <w:kern w:val="0"/>
          <w:sz w:val="24"/>
          <w:lang w:bidi="ar"/>
        </w:rPr>
        <w:drawing>
          <wp:inline distT="0" distB="0" distL="114300" distR="114300" wp14:anchorId="4A6D71B5" wp14:editId="63B0126E">
            <wp:extent cx="5194300" cy="1309370"/>
            <wp:effectExtent l="0" t="0" r="0" b="11430"/>
            <wp:docPr id="2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pic:cNvPicPr>
                  </pic:nvPicPr>
                  <pic:blipFill>
                    <a:blip r:embed="rId43"/>
                    <a:stretch>
                      <a:fillRect/>
                    </a:stretch>
                  </pic:blipFill>
                  <pic:spPr>
                    <a:xfrm>
                      <a:off x="0" y="0"/>
                      <a:ext cx="5194300" cy="1309370"/>
                    </a:xfrm>
                    <a:prstGeom prst="rect">
                      <a:avLst/>
                    </a:prstGeom>
                    <a:noFill/>
                    <a:ln w="9525">
                      <a:noFill/>
                    </a:ln>
                  </pic:spPr>
                </pic:pic>
              </a:graphicData>
            </a:graphic>
          </wp:inline>
        </w:drawing>
      </w:r>
    </w:p>
    <w:p w14:paraId="2163B293" w14:textId="77777777" w:rsidR="004F39F6" w:rsidRDefault="00731C67">
      <w:pPr>
        <w:spacing w:line="360" w:lineRule="auto"/>
        <w:rPr>
          <w:sz w:val="24"/>
        </w:rPr>
      </w:pPr>
      <w:r>
        <w:rPr>
          <w:sz w:val="24"/>
        </w:rPr>
        <w:lastRenderedPageBreak/>
        <w:t xml:space="preserve">3  </w:t>
      </w:r>
      <w:r>
        <w:rPr>
          <w:sz w:val="24"/>
        </w:rPr>
        <w:t>讨论</w:t>
      </w:r>
    </w:p>
    <w:p w14:paraId="08C6663B" w14:textId="77777777" w:rsidR="004F39F6" w:rsidRDefault="00731C67">
      <w:pPr>
        <w:spacing w:line="360" w:lineRule="auto"/>
        <w:rPr>
          <w:sz w:val="24"/>
        </w:rPr>
      </w:pPr>
      <w:r>
        <w:rPr>
          <w:sz w:val="24"/>
        </w:rPr>
        <w:t xml:space="preserve">3.1  </w:t>
      </w:r>
      <w:r>
        <w:rPr>
          <w:sz w:val="24"/>
        </w:rPr>
        <w:t>精氨酸对杂交</w:t>
      </w:r>
      <w:proofErr w:type="gramStart"/>
      <w:r>
        <w:rPr>
          <w:sz w:val="24"/>
        </w:rPr>
        <w:t>鳢</w:t>
      </w:r>
      <w:proofErr w:type="gramEnd"/>
      <w:r>
        <w:rPr>
          <w:sz w:val="24"/>
        </w:rPr>
        <w:t>生长</w:t>
      </w:r>
      <w:r>
        <w:rPr>
          <w:sz w:val="24"/>
        </w:rPr>
        <w:t>性能和体成分的影响</w:t>
      </w:r>
    </w:p>
    <w:p w14:paraId="3E4C9B15" w14:textId="77777777" w:rsidR="004F39F6" w:rsidRDefault="00731C67">
      <w:pPr>
        <w:spacing w:line="360" w:lineRule="auto"/>
        <w:ind w:firstLineChars="200" w:firstLine="480"/>
        <w:rPr>
          <w:sz w:val="24"/>
        </w:rPr>
      </w:pPr>
      <w:r>
        <w:rPr>
          <w:sz w:val="24"/>
        </w:rPr>
        <w:t>在本试验中，随着饲料精氨酸水平的上升，杂交</w:t>
      </w:r>
      <w:proofErr w:type="gramStart"/>
      <w:r>
        <w:rPr>
          <w:sz w:val="24"/>
        </w:rPr>
        <w:t>鳢</w:t>
      </w:r>
      <w:proofErr w:type="gramEnd"/>
      <w:r>
        <w:rPr>
          <w:sz w:val="24"/>
        </w:rPr>
        <w:t>WGR</w:t>
      </w:r>
      <w:r>
        <w:rPr>
          <w:sz w:val="24"/>
        </w:rPr>
        <w:t>、</w:t>
      </w:r>
      <w:r>
        <w:rPr>
          <w:sz w:val="24"/>
        </w:rPr>
        <w:t>SGR</w:t>
      </w:r>
      <w:r>
        <w:rPr>
          <w:sz w:val="24"/>
        </w:rPr>
        <w:t>、</w:t>
      </w:r>
      <w:r>
        <w:rPr>
          <w:sz w:val="24"/>
        </w:rPr>
        <w:t>PPV</w:t>
      </w:r>
      <w:r>
        <w:rPr>
          <w:sz w:val="24"/>
        </w:rPr>
        <w:t>显著升高，</w:t>
      </w:r>
      <w:r>
        <w:rPr>
          <w:sz w:val="24"/>
        </w:rPr>
        <w:t>FCR</w:t>
      </w:r>
      <w:r>
        <w:rPr>
          <w:sz w:val="24"/>
        </w:rPr>
        <w:t>显著下降，当饲料精氨酸水平为</w:t>
      </w:r>
      <w:r>
        <w:rPr>
          <w:sz w:val="24"/>
        </w:rPr>
        <w:t>2.92 %</w:t>
      </w:r>
      <w:r>
        <w:rPr>
          <w:sz w:val="24"/>
        </w:rPr>
        <w:t>，</w:t>
      </w:r>
      <w:r>
        <w:rPr>
          <w:sz w:val="24"/>
        </w:rPr>
        <w:t>FCR</w:t>
      </w:r>
      <w:r>
        <w:rPr>
          <w:sz w:val="24"/>
        </w:rPr>
        <w:t>达到最低值，这一结果在印度鲤鱼上也得到证明</w:t>
      </w:r>
      <w:r>
        <w:rPr>
          <w:sz w:val="24"/>
          <w:vertAlign w:val="superscript"/>
        </w:rPr>
        <w:t>[6]</w:t>
      </w:r>
      <w:r>
        <w:rPr>
          <w:sz w:val="24"/>
        </w:rPr>
        <w:t>。在本试验条件下以杂交</w:t>
      </w:r>
      <w:proofErr w:type="gramStart"/>
      <w:r>
        <w:rPr>
          <w:sz w:val="24"/>
        </w:rPr>
        <w:t>鳢</w:t>
      </w:r>
      <w:proofErr w:type="gramEnd"/>
      <w:r>
        <w:rPr>
          <w:sz w:val="24"/>
        </w:rPr>
        <w:t>SGR</w:t>
      </w:r>
      <w:r>
        <w:rPr>
          <w:sz w:val="24"/>
        </w:rPr>
        <w:t>、</w:t>
      </w:r>
      <w:r>
        <w:rPr>
          <w:sz w:val="24"/>
        </w:rPr>
        <w:t>WGR</w:t>
      </w:r>
      <w:r>
        <w:rPr>
          <w:sz w:val="24"/>
        </w:rPr>
        <w:t>、</w:t>
      </w:r>
      <w:r>
        <w:rPr>
          <w:sz w:val="24"/>
        </w:rPr>
        <w:t>PPV</w:t>
      </w:r>
      <w:r>
        <w:rPr>
          <w:sz w:val="24"/>
        </w:rPr>
        <w:t>指标为判定依据，通过折线模型，进行综合分析表明，杂交</w:t>
      </w:r>
      <w:proofErr w:type="gramStart"/>
      <w:r>
        <w:rPr>
          <w:sz w:val="24"/>
        </w:rPr>
        <w:t>鳢</w:t>
      </w:r>
      <w:proofErr w:type="gramEnd"/>
      <w:r>
        <w:rPr>
          <w:sz w:val="24"/>
        </w:rPr>
        <w:t>幼鱼饲料精氨酸</w:t>
      </w:r>
      <w:proofErr w:type="gramStart"/>
      <w:r>
        <w:rPr>
          <w:sz w:val="24"/>
        </w:rPr>
        <w:t>最适水平</w:t>
      </w:r>
      <w:proofErr w:type="gramEnd"/>
      <w:r>
        <w:rPr>
          <w:sz w:val="24"/>
        </w:rPr>
        <w:t>分别为</w:t>
      </w:r>
      <w:r>
        <w:rPr>
          <w:sz w:val="24"/>
        </w:rPr>
        <w:t>2.91 %</w:t>
      </w:r>
      <w:r>
        <w:rPr>
          <w:sz w:val="24"/>
        </w:rPr>
        <w:t>、</w:t>
      </w:r>
      <w:r>
        <w:rPr>
          <w:sz w:val="24"/>
        </w:rPr>
        <w:t>2.95 %</w:t>
      </w:r>
      <w:r>
        <w:rPr>
          <w:sz w:val="24"/>
        </w:rPr>
        <w:t>、</w:t>
      </w:r>
      <w:r>
        <w:rPr>
          <w:sz w:val="24"/>
        </w:rPr>
        <w:t>2.98 %(</w:t>
      </w:r>
      <w:r>
        <w:rPr>
          <w:sz w:val="24"/>
        </w:rPr>
        <w:t>饲料粗蛋白质含量分别为</w:t>
      </w:r>
      <w:r>
        <w:rPr>
          <w:sz w:val="24"/>
        </w:rPr>
        <w:t>6.63 %</w:t>
      </w:r>
      <w:r>
        <w:rPr>
          <w:sz w:val="24"/>
        </w:rPr>
        <w:t>、</w:t>
      </w:r>
      <w:r>
        <w:rPr>
          <w:sz w:val="24"/>
        </w:rPr>
        <w:t>6.65 %</w:t>
      </w:r>
      <w:r>
        <w:rPr>
          <w:sz w:val="24"/>
        </w:rPr>
        <w:t>、</w:t>
      </w:r>
      <w:r>
        <w:rPr>
          <w:sz w:val="24"/>
        </w:rPr>
        <w:t xml:space="preserve">6.72 </w:t>
      </w:r>
      <w:r>
        <w:rPr>
          <w:sz w:val="24"/>
        </w:rPr>
        <w:t>%)</w:t>
      </w:r>
      <w:r>
        <w:rPr>
          <w:sz w:val="24"/>
        </w:rPr>
        <w:t>。杂交</w:t>
      </w:r>
      <w:proofErr w:type="gramStart"/>
      <w:r>
        <w:rPr>
          <w:sz w:val="24"/>
        </w:rPr>
        <w:t>鳢</w:t>
      </w:r>
      <w:proofErr w:type="gramEnd"/>
      <w:r>
        <w:rPr>
          <w:sz w:val="24"/>
        </w:rPr>
        <w:t>的精氨酸需要量与军曹鱼</w:t>
      </w:r>
      <w:r>
        <w:rPr>
          <w:sz w:val="24"/>
        </w:rPr>
        <w:t>(2.38 %)</w:t>
      </w:r>
      <w:r>
        <w:rPr>
          <w:sz w:val="24"/>
          <w:vertAlign w:val="superscript"/>
        </w:rPr>
        <w:t>[12]</w:t>
      </w:r>
      <w:r>
        <w:rPr>
          <w:sz w:val="24"/>
        </w:rPr>
        <w:t>、黄</w:t>
      </w:r>
      <w:proofErr w:type="gramStart"/>
      <w:r>
        <w:rPr>
          <w:sz w:val="24"/>
        </w:rPr>
        <w:t>颡</w:t>
      </w:r>
      <w:proofErr w:type="gramEnd"/>
      <w:r>
        <w:rPr>
          <w:sz w:val="24"/>
        </w:rPr>
        <w:t>鱼</w:t>
      </w:r>
      <w:r>
        <w:rPr>
          <w:sz w:val="24"/>
        </w:rPr>
        <w:t>(2.38 %</w:t>
      </w:r>
      <w:r>
        <w:rPr>
          <w:sz w:val="24"/>
        </w:rPr>
        <w:t>～</w:t>
      </w:r>
      <w:r>
        <w:rPr>
          <w:sz w:val="24"/>
        </w:rPr>
        <w:t>2.74 %)</w:t>
      </w:r>
      <w:r>
        <w:rPr>
          <w:sz w:val="24"/>
          <w:vertAlign w:val="superscript"/>
        </w:rPr>
        <w:t>[14]</w:t>
      </w:r>
      <w:r>
        <w:rPr>
          <w:sz w:val="24"/>
        </w:rPr>
        <w:t>、乌鳢</w:t>
      </w:r>
      <w:r>
        <w:rPr>
          <w:sz w:val="24"/>
        </w:rPr>
        <w:t>(2.65 %)</w:t>
      </w:r>
      <w:r>
        <w:rPr>
          <w:sz w:val="24"/>
          <w:vertAlign w:val="superscript"/>
        </w:rPr>
        <w:t>[15]</w:t>
      </w:r>
      <w:r>
        <w:rPr>
          <w:sz w:val="24"/>
        </w:rPr>
        <w:t>相似，低于建鲤</w:t>
      </w:r>
      <w:r>
        <w:rPr>
          <w:sz w:val="24"/>
        </w:rPr>
        <w:t>(4.3 %)</w:t>
      </w:r>
      <w:r>
        <w:rPr>
          <w:sz w:val="24"/>
          <w:vertAlign w:val="superscript"/>
        </w:rPr>
        <w:t>[11]</w:t>
      </w:r>
      <w:r>
        <w:rPr>
          <w:sz w:val="24"/>
        </w:rPr>
        <w:t>、斑点叉尾</w:t>
      </w:r>
      <w:r>
        <w:rPr>
          <w:sz w:val="24"/>
        </w:rPr>
        <w:t>(4.3 %)</w:t>
      </w:r>
      <w:r>
        <w:rPr>
          <w:sz w:val="24"/>
          <w:vertAlign w:val="superscript"/>
        </w:rPr>
        <w:t>[16]</w:t>
      </w:r>
      <w:r>
        <w:rPr>
          <w:sz w:val="24"/>
        </w:rPr>
        <w:t>。鱼体精氨酸适宜需求量受饲料配比、饲喂方式等多种因素制约，不同鱼类精氨酸适宜需要量有待研究。</w:t>
      </w:r>
    </w:p>
    <w:p w14:paraId="1BE65092" w14:textId="77777777" w:rsidR="004F39F6" w:rsidRDefault="00731C67">
      <w:pPr>
        <w:spacing w:line="360" w:lineRule="auto"/>
        <w:ind w:firstLineChars="200" w:firstLine="480"/>
        <w:rPr>
          <w:sz w:val="24"/>
        </w:rPr>
      </w:pPr>
      <w:r>
        <w:rPr>
          <w:sz w:val="24"/>
        </w:rPr>
        <w:t>在本试验中，随饲料精氨酸水平的添加，杂交</w:t>
      </w:r>
      <w:proofErr w:type="gramStart"/>
      <w:r>
        <w:rPr>
          <w:sz w:val="24"/>
        </w:rPr>
        <w:t>鳢</w:t>
      </w:r>
      <w:proofErr w:type="gramEnd"/>
      <w:r>
        <w:rPr>
          <w:sz w:val="24"/>
        </w:rPr>
        <w:t>全鱼水分含量未产生显著变化，但是全鱼粗蛋白质含量显著升高，在</w:t>
      </w:r>
      <w:r>
        <w:rPr>
          <w:sz w:val="24"/>
        </w:rPr>
        <w:t>G4</w:t>
      </w:r>
      <w:r>
        <w:rPr>
          <w:sz w:val="24"/>
        </w:rPr>
        <w:t>组达到最大值，与其他各组差异显著。当精氨酸水平为</w:t>
      </w:r>
      <w:r>
        <w:rPr>
          <w:sz w:val="24"/>
        </w:rPr>
        <w:t>1.76 %</w:t>
      </w:r>
      <w:r>
        <w:rPr>
          <w:sz w:val="24"/>
        </w:rPr>
        <w:t>时，军曹鱼</w:t>
      </w:r>
      <w:proofErr w:type="gramStart"/>
      <w:r>
        <w:rPr>
          <w:sz w:val="24"/>
        </w:rPr>
        <w:t>鱼</w:t>
      </w:r>
      <w:proofErr w:type="gramEnd"/>
      <w:r>
        <w:rPr>
          <w:sz w:val="24"/>
        </w:rPr>
        <w:t>体粗蛋白质含量最低，当精氨酸水平为</w:t>
      </w:r>
      <w:r>
        <w:rPr>
          <w:sz w:val="24"/>
        </w:rPr>
        <w:t>2.</w:t>
      </w:r>
      <w:r>
        <w:rPr>
          <w:sz w:val="24"/>
        </w:rPr>
        <w:t>96 %</w:t>
      </w:r>
      <w:r>
        <w:rPr>
          <w:sz w:val="24"/>
        </w:rPr>
        <w:t>时，鱼体粗蛋白质含量最高，当精氨酸水平超出</w:t>
      </w:r>
      <w:r>
        <w:rPr>
          <w:sz w:val="24"/>
        </w:rPr>
        <w:t>2.96 %</w:t>
      </w:r>
      <w:r>
        <w:rPr>
          <w:sz w:val="24"/>
        </w:rPr>
        <w:t>时则粗蛋白质含量显著下降，同时这在石斑鱼幼鱼</w:t>
      </w:r>
      <w:r>
        <w:rPr>
          <w:sz w:val="24"/>
        </w:rPr>
        <w:t>(</w:t>
      </w:r>
      <w:proofErr w:type="spellStart"/>
      <w:r>
        <w:rPr>
          <w:sz w:val="24"/>
        </w:rPr>
        <w:t>Epinephelusspp</w:t>
      </w:r>
      <w:proofErr w:type="spellEnd"/>
      <w:r>
        <w:rPr>
          <w:sz w:val="24"/>
        </w:rPr>
        <w:t>)</w:t>
      </w:r>
      <w:r>
        <w:rPr>
          <w:sz w:val="24"/>
        </w:rPr>
        <w:t>上也得到证明</w:t>
      </w:r>
      <w:r>
        <w:rPr>
          <w:sz w:val="24"/>
          <w:vertAlign w:val="superscript"/>
        </w:rPr>
        <w:t>[9</w:t>
      </w:r>
      <w:r>
        <w:rPr>
          <w:sz w:val="24"/>
          <w:vertAlign w:val="superscript"/>
        </w:rPr>
        <w:t>，</w:t>
      </w:r>
      <w:r>
        <w:rPr>
          <w:sz w:val="24"/>
          <w:vertAlign w:val="superscript"/>
        </w:rPr>
        <w:t>17]</w:t>
      </w:r>
      <w:r>
        <w:rPr>
          <w:sz w:val="24"/>
        </w:rPr>
        <w:t>。研究表明，机体精氨酸在代谢过程中通过内分泌信号调节腺苷酸活化蛋白激酶</w:t>
      </w:r>
      <w:r>
        <w:rPr>
          <w:sz w:val="24"/>
        </w:rPr>
        <w:t>(AMPK)</w:t>
      </w:r>
      <w:r>
        <w:rPr>
          <w:sz w:val="24"/>
        </w:rPr>
        <w:t>，抑制机体内脂肪酸和类固醇的合成，影响其合成过程，降低粗脂肪含量</w:t>
      </w:r>
      <w:r>
        <w:rPr>
          <w:sz w:val="24"/>
          <w:vertAlign w:val="superscript"/>
        </w:rPr>
        <w:t>[18]</w:t>
      </w:r>
      <w:r>
        <w:rPr>
          <w:sz w:val="24"/>
        </w:rPr>
        <w:t>，在本试验中，粗脂肪含量呈现下降趋势，这与黑鲷</w:t>
      </w:r>
      <w:r>
        <w:rPr>
          <w:sz w:val="24"/>
          <w:vertAlign w:val="superscript"/>
        </w:rPr>
        <w:t>[19]</w:t>
      </w:r>
      <w:r>
        <w:rPr>
          <w:sz w:val="24"/>
        </w:rPr>
        <w:t>研究结果一致，当饲料精氨酸水平为</w:t>
      </w:r>
      <w:r>
        <w:rPr>
          <w:sz w:val="24"/>
        </w:rPr>
        <w:t>1.5 %</w:t>
      </w:r>
      <w:r>
        <w:rPr>
          <w:sz w:val="24"/>
        </w:rPr>
        <w:t>～</w:t>
      </w:r>
      <w:r>
        <w:rPr>
          <w:sz w:val="24"/>
        </w:rPr>
        <w:t>2.5 %</w:t>
      </w:r>
      <w:r>
        <w:rPr>
          <w:sz w:val="24"/>
        </w:rPr>
        <w:t>，与黑鲷鱼体粗脂肪含量呈负相关。随精氨酸水平的上升，杂交</w:t>
      </w:r>
      <w:proofErr w:type="gramStart"/>
      <w:r>
        <w:rPr>
          <w:sz w:val="24"/>
        </w:rPr>
        <w:t>鳢</w:t>
      </w:r>
      <w:proofErr w:type="gramEnd"/>
      <w:r>
        <w:rPr>
          <w:sz w:val="24"/>
        </w:rPr>
        <w:t>全鱼粗灰分含量各组出现升高趋势</w:t>
      </w:r>
      <w:r>
        <w:rPr>
          <w:sz w:val="24"/>
        </w:rPr>
        <w:t>，当饲料精氨酸水平为</w:t>
      </w:r>
      <w:r>
        <w:rPr>
          <w:sz w:val="24"/>
        </w:rPr>
        <w:t>2.92 %</w:t>
      </w:r>
      <w:r>
        <w:rPr>
          <w:sz w:val="24"/>
        </w:rPr>
        <w:t>时，鱼体粗灰分含量达到显著峰值，这与团头</w:t>
      </w:r>
      <w:proofErr w:type="gramStart"/>
      <w:r>
        <w:rPr>
          <w:sz w:val="24"/>
        </w:rPr>
        <w:t>鲂</w:t>
      </w:r>
      <w:proofErr w:type="gramEnd"/>
      <w:r>
        <w:rPr>
          <w:sz w:val="24"/>
        </w:rPr>
        <w:t>(</w:t>
      </w:r>
      <w:proofErr w:type="spellStart"/>
      <w:r>
        <w:rPr>
          <w:sz w:val="24"/>
        </w:rPr>
        <w:t>Megalobrama</w:t>
      </w:r>
      <w:proofErr w:type="spellEnd"/>
      <w:r>
        <w:rPr>
          <w:sz w:val="24"/>
        </w:rPr>
        <w:t xml:space="preserve"> </w:t>
      </w:r>
      <w:proofErr w:type="spellStart"/>
      <w:r>
        <w:rPr>
          <w:sz w:val="24"/>
        </w:rPr>
        <w:t>amblycephala</w:t>
      </w:r>
      <w:proofErr w:type="spellEnd"/>
      <w:r>
        <w:rPr>
          <w:sz w:val="24"/>
        </w:rPr>
        <w:t>)</w:t>
      </w:r>
      <w:r>
        <w:rPr>
          <w:sz w:val="24"/>
          <w:vertAlign w:val="superscript"/>
        </w:rPr>
        <w:t>[20]</w:t>
      </w:r>
      <w:r>
        <w:rPr>
          <w:sz w:val="24"/>
        </w:rPr>
        <w:t>研究结果相一致，具体影响机理还需进一步研究。</w:t>
      </w:r>
    </w:p>
    <w:p w14:paraId="6DAD9FA4" w14:textId="77777777" w:rsidR="004F39F6" w:rsidRDefault="00731C67">
      <w:pPr>
        <w:spacing w:line="360" w:lineRule="auto"/>
        <w:ind w:firstLineChars="200" w:firstLine="480"/>
        <w:rPr>
          <w:sz w:val="24"/>
        </w:rPr>
      </w:pPr>
      <w:r>
        <w:rPr>
          <w:sz w:val="24"/>
        </w:rPr>
        <w:t>动物机体内精氨酸与赖氨酸拮抗作用普遍存在，精氨酸与赖氨酸在肠道吸收过程中，利用同一种转运载体进行转运吸收，因此在代谢过程中存在拮抗现象</w:t>
      </w:r>
      <w:r>
        <w:rPr>
          <w:sz w:val="24"/>
          <w:vertAlign w:val="superscript"/>
        </w:rPr>
        <w:t>[2]</w:t>
      </w:r>
      <w:r>
        <w:rPr>
          <w:sz w:val="24"/>
        </w:rPr>
        <w:t>。鱼类体内精氨酸与赖氨酸是否存在拮抗仍有争议，研究发现在牙鲆</w:t>
      </w:r>
      <w:r>
        <w:rPr>
          <w:sz w:val="24"/>
          <w:vertAlign w:val="superscript"/>
        </w:rPr>
        <w:t>[21]</w:t>
      </w:r>
      <w:r>
        <w:rPr>
          <w:sz w:val="24"/>
        </w:rPr>
        <w:t>上并未出现明显拮抗作用，但在大西洋</w:t>
      </w:r>
      <w:proofErr w:type="gramStart"/>
      <w:r>
        <w:rPr>
          <w:sz w:val="24"/>
        </w:rPr>
        <w:t>鲑</w:t>
      </w:r>
      <w:proofErr w:type="gramEnd"/>
      <w:r>
        <w:rPr>
          <w:sz w:val="24"/>
        </w:rPr>
        <w:t>(</w:t>
      </w:r>
      <w:proofErr w:type="spellStart"/>
      <w:r>
        <w:rPr>
          <w:sz w:val="24"/>
        </w:rPr>
        <w:t>Salmosalar</w:t>
      </w:r>
      <w:proofErr w:type="spellEnd"/>
      <w:r>
        <w:rPr>
          <w:sz w:val="24"/>
        </w:rPr>
        <w:t>)</w:t>
      </w:r>
      <w:r>
        <w:rPr>
          <w:sz w:val="24"/>
          <w:vertAlign w:val="superscript"/>
        </w:rPr>
        <w:t>[22]</w:t>
      </w:r>
      <w:r>
        <w:rPr>
          <w:sz w:val="24"/>
        </w:rPr>
        <w:t>体内精氨酸与赖氨酸产生拮抗作用。本试验条件下，全鱼精氨酸</w:t>
      </w:r>
      <w:r>
        <w:rPr>
          <w:sz w:val="24"/>
        </w:rPr>
        <w:t>含量呈现先升高后降低的趋势，当饲料精氨酸水平为</w:t>
      </w:r>
      <w:r>
        <w:rPr>
          <w:sz w:val="24"/>
        </w:rPr>
        <w:t>2.92 %</w:t>
      </w:r>
      <w:r>
        <w:rPr>
          <w:sz w:val="24"/>
        </w:rPr>
        <w:t>时，杂交</w:t>
      </w:r>
      <w:proofErr w:type="gramStart"/>
      <w:r>
        <w:rPr>
          <w:sz w:val="24"/>
        </w:rPr>
        <w:t>鳢</w:t>
      </w:r>
      <w:proofErr w:type="gramEnd"/>
      <w:r>
        <w:rPr>
          <w:sz w:val="24"/>
        </w:rPr>
        <w:t>鱼体精氨酸含量达到最大值，但未见精氨酸与赖氨酸之间产生相互拮抗影响。有报道指出，饲料中添加精氨酸可显著提高黑鲷幼鱼亮氨酸、异亮氨酸、精氨酸、谷氨酸、丙氨酸、丝氨酸含量</w:t>
      </w:r>
      <w:r>
        <w:rPr>
          <w:sz w:val="24"/>
          <w:vertAlign w:val="superscript"/>
        </w:rPr>
        <w:t>[19]</w:t>
      </w:r>
      <w:r>
        <w:rPr>
          <w:sz w:val="24"/>
        </w:rPr>
        <w:t>。在本试验条件下，随精氨酸水平的上升，对杂交</w:t>
      </w:r>
      <w:proofErr w:type="gramStart"/>
      <w:r>
        <w:rPr>
          <w:sz w:val="24"/>
        </w:rPr>
        <w:t>鳢</w:t>
      </w:r>
      <w:proofErr w:type="gramEnd"/>
      <w:r>
        <w:rPr>
          <w:sz w:val="24"/>
        </w:rPr>
        <w:t>鱼全鱼精氨酸、亮氨酸、蛋氨酸、缬氨酸、丙氨酸、甘</w:t>
      </w:r>
      <w:r>
        <w:rPr>
          <w:sz w:val="24"/>
        </w:rPr>
        <w:lastRenderedPageBreak/>
        <w:t>氨酸、天冬氨酸含量产生显著影响，表明在杂交</w:t>
      </w:r>
      <w:proofErr w:type="gramStart"/>
      <w:r>
        <w:rPr>
          <w:sz w:val="24"/>
        </w:rPr>
        <w:t>鳢</w:t>
      </w:r>
      <w:proofErr w:type="gramEnd"/>
      <w:r>
        <w:rPr>
          <w:sz w:val="24"/>
        </w:rPr>
        <w:t>饲料中添加精氨酸可显著提高全鱼氨基酸含量。因此，在杂交</w:t>
      </w:r>
      <w:proofErr w:type="gramStart"/>
      <w:r>
        <w:rPr>
          <w:sz w:val="24"/>
        </w:rPr>
        <w:t>鳢</w:t>
      </w:r>
      <w:proofErr w:type="gramEnd"/>
      <w:r>
        <w:rPr>
          <w:sz w:val="24"/>
        </w:rPr>
        <w:t>饲料中适量添加精氨酸能够提高其生长性能、降低饲料系数、促进蛋白质和氨基酸沉积</w:t>
      </w:r>
      <w:r>
        <w:rPr>
          <w:sz w:val="24"/>
        </w:rPr>
        <w:t>。</w:t>
      </w:r>
    </w:p>
    <w:p w14:paraId="38D25608" w14:textId="77777777" w:rsidR="004F39F6" w:rsidRDefault="00731C67">
      <w:pPr>
        <w:spacing w:line="360" w:lineRule="auto"/>
        <w:rPr>
          <w:sz w:val="24"/>
        </w:rPr>
      </w:pPr>
      <w:r>
        <w:rPr>
          <w:sz w:val="24"/>
        </w:rPr>
        <w:t xml:space="preserve">3.2  </w:t>
      </w:r>
      <w:r>
        <w:rPr>
          <w:sz w:val="24"/>
        </w:rPr>
        <w:t>精氨酸对杂交</w:t>
      </w:r>
      <w:proofErr w:type="gramStart"/>
      <w:r>
        <w:rPr>
          <w:sz w:val="24"/>
        </w:rPr>
        <w:t>鳢</w:t>
      </w:r>
      <w:proofErr w:type="gramEnd"/>
      <w:r>
        <w:rPr>
          <w:sz w:val="24"/>
        </w:rPr>
        <w:t>血浆生化指标的影响</w:t>
      </w:r>
    </w:p>
    <w:p w14:paraId="783B49B1" w14:textId="77777777" w:rsidR="004F39F6" w:rsidRDefault="00731C67">
      <w:pPr>
        <w:spacing w:line="360" w:lineRule="auto"/>
        <w:ind w:firstLineChars="200" w:firstLine="480"/>
        <w:rPr>
          <w:sz w:val="24"/>
        </w:rPr>
      </w:pPr>
      <w:r>
        <w:rPr>
          <w:sz w:val="24"/>
        </w:rPr>
        <w:t>血浆生化指标可以反映鱼体代谢、健康、营养状况及对环境的适应性</w:t>
      </w:r>
      <w:r>
        <w:rPr>
          <w:sz w:val="24"/>
          <w:vertAlign w:val="superscript"/>
        </w:rPr>
        <w:t>[23]</w:t>
      </w:r>
      <w:r>
        <w:rPr>
          <w:sz w:val="24"/>
        </w:rPr>
        <w:t>。血浆</w:t>
      </w:r>
      <w:r>
        <w:rPr>
          <w:sz w:val="24"/>
        </w:rPr>
        <w:t>TP</w:t>
      </w:r>
      <w:r>
        <w:rPr>
          <w:sz w:val="24"/>
        </w:rPr>
        <w:t>起维持血管正常渗透压、酸碱度作用，间接反映机体消化能力</w:t>
      </w:r>
      <w:r>
        <w:rPr>
          <w:sz w:val="24"/>
          <w:vertAlign w:val="superscript"/>
        </w:rPr>
        <w:t>[24]</w:t>
      </w:r>
      <w:r>
        <w:rPr>
          <w:sz w:val="24"/>
        </w:rPr>
        <w:t>。本试验条件下，血浆</w:t>
      </w:r>
      <w:r>
        <w:rPr>
          <w:sz w:val="24"/>
        </w:rPr>
        <w:t>TP</w:t>
      </w:r>
      <w:r>
        <w:rPr>
          <w:sz w:val="24"/>
        </w:rPr>
        <w:t>含量呈现升高的趋势，并在</w:t>
      </w:r>
      <w:r>
        <w:rPr>
          <w:sz w:val="24"/>
        </w:rPr>
        <w:t>G4</w:t>
      </w:r>
      <w:r>
        <w:rPr>
          <w:sz w:val="24"/>
        </w:rPr>
        <w:t>组取得较高值，这与杂交</w:t>
      </w:r>
      <w:proofErr w:type="gramStart"/>
      <w:r>
        <w:rPr>
          <w:sz w:val="24"/>
        </w:rPr>
        <w:t>鳢</w:t>
      </w:r>
      <w:proofErr w:type="gramEnd"/>
      <w:r>
        <w:rPr>
          <w:sz w:val="24"/>
        </w:rPr>
        <w:t>全鱼粗蛋白质含量升高结果一致，表明饲料添加适量精氨酸能够促进机体蛋白质生成。血脂含量关联鱼类机体新陈代谢，</w:t>
      </w:r>
      <w:r>
        <w:rPr>
          <w:sz w:val="24"/>
        </w:rPr>
        <w:t>TG</w:t>
      </w:r>
      <w:r>
        <w:rPr>
          <w:sz w:val="24"/>
        </w:rPr>
        <w:t>含量变化反映了肝脏代谢脂肪的状况。本试验结果表明，杂交</w:t>
      </w:r>
      <w:proofErr w:type="gramStart"/>
      <w:r>
        <w:rPr>
          <w:sz w:val="24"/>
        </w:rPr>
        <w:t>鳢</w:t>
      </w:r>
      <w:proofErr w:type="gramEnd"/>
      <w:r>
        <w:rPr>
          <w:sz w:val="24"/>
        </w:rPr>
        <w:t>血浆</w:t>
      </w:r>
      <w:r>
        <w:rPr>
          <w:sz w:val="24"/>
        </w:rPr>
        <w:t>TG</w:t>
      </w:r>
      <w:r>
        <w:rPr>
          <w:sz w:val="24"/>
        </w:rPr>
        <w:t>、</w:t>
      </w:r>
      <w:r>
        <w:rPr>
          <w:sz w:val="24"/>
        </w:rPr>
        <w:t>TC</w:t>
      </w:r>
      <w:r>
        <w:rPr>
          <w:sz w:val="24"/>
        </w:rPr>
        <w:t>含量未出现显著变化，表明精氨酸对鱼体脂肪代谢没有显著影响，这与斜带石</w:t>
      </w:r>
      <w:r>
        <w:rPr>
          <w:sz w:val="24"/>
        </w:rPr>
        <w:t>斑鱼幼鱼</w:t>
      </w:r>
      <w:r>
        <w:rPr>
          <w:sz w:val="24"/>
          <w:vertAlign w:val="superscript"/>
        </w:rPr>
        <w:t>[17]</w:t>
      </w:r>
      <w:r>
        <w:rPr>
          <w:sz w:val="24"/>
        </w:rPr>
        <w:t>的研究结果一致。</w:t>
      </w:r>
      <w:r>
        <w:rPr>
          <w:sz w:val="24"/>
        </w:rPr>
        <w:t>AST</w:t>
      </w:r>
      <w:r>
        <w:rPr>
          <w:sz w:val="24"/>
        </w:rPr>
        <w:t>、</w:t>
      </w:r>
      <w:r>
        <w:rPr>
          <w:sz w:val="24"/>
        </w:rPr>
        <w:t>ALT</w:t>
      </w:r>
      <w:r>
        <w:rPr>
          <w:sz w:val="24"/>
        </w:rPr>
        <w:t>活性作为评价细胞损伤指标，正常情况下活性较低，细胞病变或者通透性增加导致转氨酶活性的增加。本试验中，杂交</w:t>
      </w:r>
      <w:proofErr w:type="gramStart"/>
      <w:r>
        <w:rPr>
          <w:sz w:val="24"/>
        </w:rPr>
        <w:t>鳢</w:t>
      </w:r>
      <w:proofErr w:type="gramEnd"/>
      <w:r>
        <w:rPr>
          <w:sz w:val="24"/>
        </w:rPr>
        <w:t>血浆</w:t>
      </w:r>
      <w:r>
        <w:rPr>
          <w:sz w:val="24"/>
        </w:rPr>
        <w:t>AST</w:t>
      </w:r>
      <w:r>
        <w:rPr>
          <w:sz w:val="24"/>
        </w:rPr>
        <w:t>、</w:t>
      </w:r>
      <w:r>
        <w:rPr>
          <w:sz w:val="24"/>
        </w:rPr>
        <w:t>ALT</w:t>
      </w:r>
      <w:r>
        <w:rPr>
          <w:sz w:val="24"/>
        </w:rPr>
        <w:t>活性呈现先升高后下降趋势，当精氨酸水平为</w:t>
      </w:r>
      <w:r>
        <w:rPr>
          <w:sz w:val="24"/>
        </w:rPr>
        <w:t>2.92 %</w:t>
      </w:r>
      <w:r>
        <w:rPr>
          <w:sz w:val="24"/>
        </w:rPr>
        <w:t>时，</w:t>
      </w:r>
      <w:r>
        <w:rPr>
          <w:sz w:val="24"/>
        </w:rPr>
        <w:t>AST</w:t>
      </w:r>
      <w:r>
        <w:rPr>
          <w:sz w:val="24"/>
        </w:rPr>
        <w:t>、</w:t>
      </w:r>
      <w:r>
        <w:rPr>
          <w:sz w:val="24"/>
        </w:rPr>
        <w:t>ALT</w:t>
      </w:r>
      <w:r>
        <w:rPr>
          <w:sz w:val="24"/>
        </w:rPr>
        <w:t>活性达到最低。这与</w:t>
      </w:r>
      <w:proofErr w:type="gramStart"/>
      <w:r>
        <w:rPr>
          <w:sz w:val="24"/>
        </w:rPr>
        <w:t>凡纳滨对虾</w:t>
      </w:r>
      <w:proofErr w:type="gramEnd"/>
      <w:r>
        <w:rPr>
          <w:sz w:val="24"/>
        </w:rPr>
        <w:t>、黑鲷</w:t>
      </w:r>
      <w:r>
        <w:rPr>
          <w:sz w:val="24"/>
          <w:vertAlign w:val="superscript"/>
        </w:rPr>
        <w:t>[7</w:t>
      </w:r>
      <w:r>
        <w:rPr>
          <w:sz w:val="24"/>
          <w:vertAlign w:val="superscript"/>
        </w:rPr>
        <w:t>－</w:t>
      </w:r>
      <w:r>
        <w:rPr>
          <w:sz w:val="24"/>
          <w:vertAlign w:val="superscript"/>
        </w:rPr>
        <w:t>8]</w:t>
      </w:r>
      <w:r>
        <w:rPr>
          <w:sz w:val="24"/>
        </w:rPr>
        <w:t>研究结果一致，表明饲料中添加适量精氨酸对鱼类细胞具有保护作用。血浆</w:t>
      </w:r>
      <w:r>
        <w:rPr>
          <w:sz w:val="24"/>
        </w:rPr>
        <w:t>UN</w:t>
      </w:r>
      <w:r>
        <w:rPr>
          <w:sz w:val="24"/>
        </w:rPr>
        <w:t>含量反映鱼体蛋白质和氨基酸代谢的平衡状态，当摄食氨基酸不平衡或者氨基酸缺乏的饲料后，会造成机体氨基酸代谢平衡紊乱，血浆</w:t>
      </w:r>
      <w:r>
        <w:rPr>
          <w:sz w:val="24"/>
        </w:rPr>
        <w:t>UN</w:t>
      </w:r>
      <w:r>
        <w:rPr>
          <w:sz w:val="24"/>
        </w:rPr>
        <w:t>含量随之上升</w:t>
      </w:r>
      <w:r>
        <w:rPr>
          <w:sz w:val="24"/>
        </w:rPr>
        <w:t>[21</w:t>
      </w:r>
      <w:r>
        <w:rPr>
          <w:sz w:val="24"/>
        </w:rPr>
        <w:t>，</w:t>
      </w:r>
      <w:r>
        <w:rPr>
          <w:sz w:val="24"/>
        </w:rPr>
        <w:t>25]</w:t>
      </w:r>
      <w:r>
        <w:rPr>
          <w:sz w:val="24"/>
        </w:rPr>
        <w:t>。在本试验</w:t>
      </w:r>
      <w:r>
        <w:rPr>
          <w:sz w:val="24"/>
        </w:rPr>
        <w:t>中，血浆</w:t>
      </w:r>
      <w:r>
        <w:rPr>
          <w:sz w:val="24"/>
        </w:rPr>
        <w:t>UN</w:t>
      </w:r>
      <w:r>
        <w:rPr>
          <w:sz w:val="24"/>
        </w:rPr>
        <w:t>含量在</w:t>
      </w:r>
      <w:r>
        <w:rPr>
          <w:sz w:val="24"/>
        </w:rPr>
        <w:t>G3</w:t>
      </w:r>
      <w:r>
        <w:rPr>
          <w:sz w:val="24"/>
        </w:rPr>
        <w:t>组略低于其他组，表明精氨酸的缺乏或过量会导致杂交</w:t>
      </w:r>
      <w:proofErr w:type="gramStart"/>
      <w:r>
        <w:rPr>
          <w:sz w:val="24"/>
        </w:rPr>
        <w:t>鳢</w:t>
      </w:r>
      <w:proofErr w:type="gramEnd"/>
      <w:r>
        <w:rPr>
          <w:sz w:val="24"/>
        </w:rPr>
        <w:t>血浆</w:t>
      </w:r>
      <w:r>
        <w:rPr>
          <w:sz w:val="24"/>
        </w:rPr>
        <w:t>UN</w:t>
      </w:r>
      <w:r>
        <w:rPr>
          <w:sz w:val="24"/>
        </w:rPr>
        <w:t>含量升高，进而反映鱼体氨基酸代谢平衡紊乱。</w:t>
      </w:r>
    </w:p>
    <w:p w14:paraId="158714DF" w14:textId="77777777" w:rsidR="004F39F6" w:rsidRDefault="00731C67">
      <w:pPr>
        <w:spacing w:line="360" w:lineRule="auto"/>
        <w:rPr>
          <w:sz w:val="24"/>
        </w:rPr>
      </w:pPr>
      <w:r>
        <w:rPr>
          <w:sz w:val="24"/>
        </w:rPr>
        <w:t xml:space="preserve">3.3  </w:t>
      </w:r>
      <w:r>
        <w:rPr>
          <w:sz w:val="24"/>
        </w:rPr>
        <w:t>精氨酸对杂交</w:t>
      </w:r>
      <w:proofErr w:type="gramStart"/>
      <w:r>
        <w:rPr>
          <w:sz w:val="24"/>
        </w:rPr>
        <w:t>鳢</w:t>
      </w:r>
      <w:proofErr w:type="gramEnd"/>
      <w:r>
        <w:rPr>
          <w:sz w:val="24"/>
        </w:rPr>
        <w:t>血浆抗氧化能力的影响</w:t>
      </w:r>
    </w:p>
    <w:p w14:paraId="7A38755E" w14:textId="77777777" w:rsidR="004F39F6" w:rsidRDefault="00731C67">
      <w:pPr>
        <w:spacing w:line="360" w:lineRule="auto"/>
        <w:ind w:firstLineChars="200" w:firstLine="480"/>
        <w:rPr>
          <w:sz w:val="24"/>
        </w:rPr>
      </w:pPr>
      <w:r>
        <w:rPr>
          <w:sz w:val="24"/>
        </w:rPr>
        <w:t>鱼类的有氧状态易产生活性氧</w:t>
      </w:r>
      <w:r>
        <w:rPr>
          <w:sz w:val="24"/>
        </w:rPr>
        <w:t>(</w:t>
      </w:r>
      <w:r>
        <w:rPr>
          <w:sz w:val="24"/>
        </w:rPr>
        <w:t>Ｒ</w:t>
      </w:r>
      <w:r>
        <w:rPr>
          <w:sz w:val="24"/>
        </w:rPr>
        <w:t>OS)</w:t>
      </w:r>
      <w:r>
        <w:rPr>
          <w:sz w:val="24"/>
        </w:rPr>
        <w:t>，从而导致血细胞损伤和造血功能受阻，在正常条件下，鱼类自身的抗氧化防御系统通过酶，如</w:t>
      </w:r>
      <w:r>
        <w:rPr>
          <w:sz w:val="24"/>
        </w:rPr>
        <w:t>SOD</w:t>
      </w:r>
      <w:r>
        <w:rPr>
          <w:sz w:val="24"/>
        </w:rPr>
        <w:t>、</w:t>
      </w:r>
      <w:r>
        <w:rPr>
          <w:sz w:val="24"/>
        </w:rPr>
        <w:t>GSH-Px</w:t>
      </w:r>
      <w:r>
        <w:rPr>
          <w:sz w:val="24"/>
        </w:rPr>
        <w:t>，阻止了</w:t>
      </w:r>
      <w:r>
        <w:rPr>
          <w:sz w:val="24"/>
        </w:rPr>
        <w:t>ROS</w:t>
      </w:r>
      <w:r>
        <w:rPr>
          <w:sz w:val="24"/>
        </w:rPr>
        <w:t>的生成，清除氧自由基，调节机体氧化平衡，保护机体免受氧化损伤</w:t>
      </w:r>
      <w:r>
        <w:rPr>
          <w:sz w:val="24"/>
        </w:rPr>
        <w:t>[26]</w:t>
      </w:r>
      <w:r>
        <w:rPr>
          <w:sz w:val="24"/>
        </w:rPr>
        <w:t>，鱼类机体抗氧化能力与健康密切相关，</w:t>
      </w:r>
      <w:r>
        <w:rPr>
          <w:sz w:val="24"/>
        </w:rPr>
        <w:t>SOD</w:t>
      </w:r>
      <w:r>
        <w:rPr>
          <w:sz w:val="24"/>
        </w:rPr>
        <w:t>作用于超氧阴离子自由基，使之转化为过氧化氢，从而保护机体细胞免受损伤，是机体抗</w:t>
      </w:r>
      <w:r>
        <w:rPr>
          <w:sz w:val="24"/>
        </w:rPr>
        <w:t>氧化能力的指示器</w:t>
      </w:r>
      <w:r>
        <w:rPr>
          <w:sz w:val="24"/>
          <w:vertAlign w:val="superscript"/>
        </w:rPr>
        <w:t>[27]</w:t>
      </w:r>
      <w:r>
        <w:rPr>
          <w:sz w:val="24"/>
        </w:rPr>
        <w:t>。</w:t>
      </w:r>
      <w:r>
        <w:rPr>
          <w:sz w:val="24"/>
        </w:rPr>
        <w:t>T-AOC</w:t>
      </w:r>
      <w:r>
        <w:rPr>
          <w:sz w:val="24"/>
        </w:rPr>
        <w:t>是机体抗氧化能力的综合性指标。</w:t>
      </w:r>
      <w:r>
        <w:rPr>
          <w:sz w:val="24"/>
        </w:rPr>
        <w:t>MDA</w:t>
      </w:r>
      <w:r>
        <w:rPr>
          <w:sz w:val="24"/>
        </w:rPr>
        <w:t>可反映机体脂质过氧化的程度，</w:t>
      </w:r>
      <w:r>
        <w:rPr>
          <w:sz w:val="24"/>
        </w:rPr>
        <w:t>MDA</w:t>
      </w:r>
      <w:r>
        <w:rPr>
          <w:sz w:val="24"/>
        </w:rPr>
        <w:t>和</w:t>
      </w:r>
      <w:r>
        <w:rPr>
          <w:sz w:val="24"/>
        </w:rPr>
        <w:t>SOD</w:t>
      </w:r>
      <w:r>
        <w:rPr>
          <w:sz w:val="24"/>
        </w:rPr>
        <w:t>相互配合测定，</w:t>
      </w:r>
      <w:r>
        <w:rPr>
          <w:sz w:val="24"/>
        </w:rPr>
        <w:t>SOD</w:t>
      </w:r>
      <w:r>
        <w:rPr>
          <w:sz w:val="24"/>
        </w:rPr>
        <w:t>活性反映机体清除氧自由基的能力，而</w:t>
      </w:r>
      <w:r>
        <w:rPr>
          <w:sz w:val="24"/>
        </w:rPr>
        <w:t>MDA</w:t>
      </w:r>
      <w:r>
        <w:rPr>
          <w:sz w:val="24"/>
        </w:rPr>
        <w:t>反映了机体受自由基攻击的严重程度</w:t>
      </w:r>
      <w:r>
        <w:rPr>
          <w:sz w:val="24"/>
          <w:vertAlign w:val="superscript"/>
        </w:rPr>
        <w:t>[25</w:t>
      </w:r>
      <w:r>
        <w:rPr>
          <w:sz w:val="24"/>
          <w:vertAlign w:val="superscript"/>
        </w:rPr>
        <w:t>，</w:t>
      </w:r>
      <w:r>
        <w:rPr>
          <w:sz w:val="24"/>
          <w:vertAlign w:val="superscript"/>
        </w:rPr>
        <w:t>28</w:t>
      </w:r>
      <w:r>
        <w:rPr>
          <w:sz w:val="24"/>
          <w:vertAlign w:val="superscript"/>
        </w:rPr>
        <w:t>－</w:t>
      </w:r>
      <w:r>
        <w:rPr>
          <w:sz w:val="24"/>
          <w:vertAlign w:val="superscript"/>
        </w:rPr>
        <w:t>29]</w:t>
      </w:r>
      <w:r>
        <w:rPr>
          <w:sz w:val="24"/>
        </w:rPr>
        <w:t>。</w:t>
      </w:r>
      <w:r>
        <w:rPr>
          <w:sz w:val="24"/>
        </w:rPr>
        <w:t>GSH</w:t>
      </w:r>
      <w:r>
        <w:rPr>
          <w:sz w:val="24"/>
        </w:rPr>
        <w:t>作为机体内最重要的</w:t>
      </w:r>
      <w:proofErr w:type="gramStart"/>
      <w:r>
        <w:rPr>
          <w:sz w:val="24"/>
        </w:rPr>
        <w:t>非酶性抗</w:t>
      </w:r>
      <w:proofErr w:type="gramEnd"/>
      <w:r>
        <w:rPr>
          <w:sz w:val="24"/>
        </w:rPr>
        <w:t>氧化物，含量高低直接反映机体抗氧化能力的大小。本试验中，随饲料精氨酸水平升高，杂交</w:t>
      </w:r>
      <w:proofErr w:type="gramStart"/>
      <w:r>
        <w:rPr>
          <w:sz w:val="24"/>
        </w:rPr>
        <w:t>鳢</w:t>
      </w:r>
      <w:proofErr w:type="gramEnd"/>
      <w:r>
        <w:rPr>
          <w:sz w:val="24"/>
        </w:rPr>
        <w:t>血浆</w:t>
      </w:r>
      <w:r>
        <w:rPr>
          <w:sz w:val="24"/>
        </w:rPr>
        <w:t>SOD</w:t>
      </w:r>
      <w:r>
        <w:rPr>
          <w:sz w:val="24"/>
        </w:rPr>
        <w:t>活性产生显著影响，并在</w:t>
      </w:r>
      <w:r>
        <w:rPr>
          <w:sz w:val="24"/>
        </w:rPr>
        <w:t>G3</w:t>
      </w:r>
      <w:r>
        <w:rPr>
          <w:sz w:val="24"/>
        </w:rPr>
        <w:t>组达到最大值，但是在</w:t>
      </w:r>
      <w:r>
        <w:rPr>
          <w:sz w:val="24"/>
        </w:rPr>
        <w:t>G4</w:t>
      </w:r>
      <w:r>
        <w:rPr>
          <w:sz w:val="24"/>
        </w:rPr>
        <w:t>组又开始出现下降趋势，表明过量添加精氨酸可能会对机体抗氧化能力造成影响，这一点与斑</w:t>
      </w:r>
      <w:r>
        <w:rPr>
          <w:sz w:val="24"/>
        </w:rPr>
        <w:lastRenderedPageBreak/>
        <w:t>点叉尾</w:t>
      </w:r>
      <w:r>
        <w:rPr>
          <w:sz w:val="24"/>
          <w:vertAlign w:val="superscript"/>
        </w:rPr>
        <w:t>[30]</w:t>
      </w:r>
      <w:r>
        <w:rPr>
          <w:sz w:val="24"/>
        </w:rPr>
        <w:t>研究结果相一</w:t>
      </w:r>
      <w:r>
        <w:rPr>
          <w:sz w:val="24"/>
        </w:rPr>
        <w:t>致。精氨酸在体内代谢生成一氧化氮</w:t>
      </w:r>
      <w:r>
        <w:rPr>
          <w:sz w:val="24"/>
        </w:rPr>
        <w:t>(NO)</w:t>
      </w:r>
      <w:r>
        <w:rPr>
          <w:sz w:val="24"/>
        </w:rPr>
        <w:t>，适量的</w:t>
      </w:r>
      <w:r>
        <w:rPr>
          <w:sz w:val="24"/>
        </w:rPr>
        <w:t>NO</w:t>
      </w:r>
      <w:r>
        <w:rPr>
          <w:sz w:val="24"/>
        </w:rPr>
        <w:t>可清除体内氧自由基，但过量的</w:t>
      </w:r>
      <w:r>
        <w:rPr>
          <w:sz w:val="24"/>
        </w:rPr>
        <w:t>NO</w:t>
      </w:r>
      <w:r>
        <w:rPr>
          <w:sz w:val="24"/>
        </w:rPr>
        <w:t>会促进过氧化物的产生，从而影响鱼类抗氧化能力</w:t>
      </w:r>
      <w:r>
        <w:rPr>
          <w:sz w:val="24"/>
          <w:vertAlign w:val="superscript"/>
        </w:rPr>
        <w:t>[31]</w:t>
      </w:r>
      <w:r>
        <w:rPr>
          <w:sz w:val="24"/>
        </w:rPr>
        <w:t>。随着饲料中精氨酸水平增加，杂交</w:t>
      </w:r>
      <w:proofErr w:type="gramStart"/>
      <w:r>
        <w:rPr>
          <w:sz w:val="24"/>
        </w:rPr>
        <w:t>鳢</w:t>
      </w:r>
      <w:proofErr w:type="gramEnd"/>
      <w:r>
        <w:rPr>
          <w:sz w:val="24"/>
        </w:rPr>
        <w:t>血浆</w:t>
      </w:r>
      <w:r>
        <w:rPr>
          <w:sz w:val="24"/>
        </w:rPr>
        <w:t>GSH-Px</w:t>
      </w:r>
      <w:r>
        <w:rPr>
          <w:sz w:val="24"/>
        </w:rPr>
        <w:t>活性、</w:t>
      </w:r>
      <w:r>
        <w:rPr>
          <w:sz w:val="24"/>
        </w:rPr>
        <w:t>T-AOC</w:t>
      </w:r>
      <w:r>
        <w:rPr>
          <w:sz w:val="24"/>
        </w:rPr>
        <w:t>呈现显著升高趋势，表明饲料添加精氨酸显著提高杂交</w:t>
      </w:r>
      <w:proofErr w:type="gramStart"/>
      <w:r>
        <w:rPr>
          <w:sz w:val="24"/>
        </w:rPr>
        <w:t>鳢</w:t>
      </w:r>
      <w:proofErr w:type="gramEnd"/>
      <w:r>
        <w:rPr>
          <w:sz w:val="24"/>
        </w:rPr>
        <w:t>鱼体抗氧化能力，在黄</w:t>
      </w:r>
      <w:proofErr w:type="gramStart"/>
      <w:r>
        <w:rPr>
          <w:sz w:val="24"/>
        </w:rPr>
        <w:t>颡</w:t>
      </w:r>
      <w:proofErr w:type="gramEnd"/>
      <w:r>
        <w:rPr>
          <w:sz w:val="24"/>
        </w:rPr>
        <w:t>鱼</w:t>
      </w:r>
      <w:r>
        <w:rPr>
          <w:sz w:val="24"/>
          <w:vertAlign w:val="superscript"/>
        </w:rPr>
        <w:t>[9]</w:t>
      </w:r>
      <w:r>
        <w:rPr>
          <w:sz w:val="24"/>
        </w:rPr>
        <w:t>上也有同样的结果。在本试验中，杂交</w:t>
      </w:r>
      <w:proofErr w:type="gramStart"/>
      <w:r>
        <w:rPr>
          <w:sz w:val="24"/>
        </w:rPr>
        <w:t>鳢</w:t>
      </w:r>
      <w:proofErr w:type="gramEnd"/>
      <w:r>
        <w:rPr>
          <w:sz w:val="24"/>
        </w:rPr>
        <w:t>血浆</w:t>
      </w:r>
      <w:r>
        <w:rPr>
          <w:sz w:val="24"/>
        </w:rPr>
        <w:t>MDA</w:t>
      </w:r>
      <w:r>
        <w:rPr>
          <w:sz w:val="24"/>
        </w:rPr>
        <w:t>含量呈显著下降趋势，并在</w:t>
      </w:r>
      <w:r>
        <w:rPr>
          <w:sz w:val="24"/>
        </w:rPr>
        <w:t>G5</w:t>
      </w:r>
      <w:r>
        <w:rPr>
          <w:sz w:val="24"/>
        </w:rPr>
        <w:t>组取得最小值，这与杂交鲟</w:t>
      </w:r>
      <w:r>
        <w:rPr>
          <w:sz w:val="24"/>
          <w:vertAlign w:val="superscript"/>
        </w:rPr>
        <w:t>[31]</w:t>
      </w:r>
      <w:r>
        <w:rPr>
          <w:sz w:val="24"/>
        </w:rPr>
        <w:t>研究结果相一致，表明在杂交</w:t>
      </w:r>
      <w:proofErr w:type="gramStart"/>
      <w:r>
        <w:rPr>
          <w:sz w:val="24"/>
        </w:rPr>
        <w:t>鳢</w:t>
      </w:r>
      <w:proofErr w:type="gramEnd"/>
      <w:r>
        <w:rPr>
          <w:sz w:val="24"/>
        </w:rPr>
        <w:t>饲料中添加精氨酸可显著缓解鱼体细胞过氧化造成的损伤。本试验结果表明，饲料中添加适宜水平的精氨酸可</w:t>
      </w:r>
      <w:r>
        <w:rPr>
          <w:sz w:val="24"/>
        </w:rPr>
        <w:t>以增加杂交</w:t>
      </w:r>
      <w:proofErr w:type="gramStart"/>
      <w:r>
        <w:rPr>
          <w:sz w:val="24"/>
        </w:rPr>
        <w:t>鳢</w:t>
      </w:r>
      <w:proofErr w:type="gramEnd"/>
      <w:r>
        <w:rPr>
          <w:sz w:val="24"/>
        </w:rPr>
        <w:t>血浆</w:t>
      </w:r>
      <w:r>
        <w:rPr>
          <w:sz w:val="24"/>
        </w:rPr>
        <w:t>SOD</w:t>
      </w:r>
      <w:r>
        <w:rPr>
          <w:sz w:val="24"/>
        </w:rPr>
        <w:t>、</w:t>
      </w:r>
      <w:r>
        <w:rPr>
          <w:sz w:val="24"/>
        </w:rPr>
        <w:t>GSH-Px</w:t>
      </w:r>
      <w:r>
        <w:rPr>
          <w:sz w:val="24"/>
        </w:rPr>
        <w:t>活性和</w:t>
      </w:r>
      <w:r>
        <w:rPr>
          <w:sz w:val="24"/>
        </w:rPr>
        <w:t>TAOC</w:t>
      </w:r>
      <w:r>
        <w:rPr>
          <w:sz w:val="24"/>
        </w:rPr>
        <w:t>，并降低</w:t>
      </w:r>
      <w:r>
        <w:rPr>
          <w:sz w:val="24"/>
        </w:rPr>
        <w:t>MDA</w:t>
      </w:r>
      <w:r>
        <w:rPr>
          <w:sz w:val="24"/>
        </w:rPr>
        <w:t>含量，从而提高鱼体抗氧化能力，这可能与谷氨酰胺的调节作用密切相关</w:t>
      </w:r>
      <w:r>
        <w:rPr>
          <w:sz w:val="24"/>
          <w:vertAlign w:val="superscript"/>
        </w:rPr>
        <w:t>[30]</w:t>
      </w:r>
      <w:r>
        <w:rPr>
          <w:sz w:val="24"/>
        </w:rPr>
        <w:t>。研究表明，机体内精氨酸水平升高能够促进鱼类机体内谷氨酰胺生成，谷氨酰胺可作为能源物质氧化，清除细胞内氧化物质保护细胞组分免受氧化损伤</w:t>
      </w:r>
      <w:r>
        <w:rPr>
          <w:sz w:val="24"/>
          <w:vertAlign w:val="superscript"/>
        </w:rPr>
        <w:t>[31]</w:t>
      </w:r>
      <w:r>
        <w:rPr>
          <w:sz w:val="24"/>
        </w:rPr>
        <w:t>。</w:t>
      </w:r>
    </w:p>
    <w:p w14:paraId="62FB867D" w14:textId="77777777" w:rsidR="004F39F6" w:rsidRDefault="00731C67">
      <w:pPr>
        <w:spacing w:line="360" w:lineRule="auto"/>
        <w:rPr>
          <w:sz w:val="24"/>
        </w:rPr>
      </w:pPr>
      <w:r>
        <w:rPr>
          <w:sz w:val="24"/>
        </w:rPr>
        <w:t xml:space="preserve">4  </w:t>
      </w:r>
      <w:r>
        <w:rPr>
          <w:sz w:val="24"/>
        </w:rPr>
        <w:t>结论</w:t>
      </w:r>
    </w:p>
    <w:p w14:paraId="6663669D" w14:textId="77777777" w:rsidR="004F39F6" w:rsidRDefault="00731C67">
      <w:pPr>
        <w:spacing w:line="360" w:lineRule="auto"/>
        <w:ind w:firstLineChars="200" w:firstLine="480"/>
        <w:rPr>
          <w:sz w:val="24"/>
        </w:rPr>
      </w:pPr>
      <w:r>
        <w:rPr>
          <w:sz w:val="24"/>
        </w:rPr>
        <w:t>饲料中添加适宜水平的精氨酸显著提高杂交</w:t>
      </w:r>
      <w:proofErr w:type="gramStart"/>
      <w:r>
        <w:rPr>
          <w:sz w:val="24"/>
        </w:rPr>
        <w:t>鳢</w:t>
      </w:r>
      <w:proofErr w:type="gramEnd"/>
      <w:r>
        <w:rPr>
          <w:sz w:val="24"/>
        </w:rPr>
        <w:t>WGR</w:t>
      </w:r>
      <w:r>
        <w:rPr>
          <w:sz w:val="24"/>
        </w:rPr>
        <w:t>、</w:t>
      </w:r>
      <w:r>
        <w:rPr>
          <w:sz w:val="24"/>
        </w:rPr>
        <w:t>SGR</w:t>
      </w:r>
      <w:r>
        <w:rPr>
          <w:sz w:val="24"/>
        </w:rPr>
        <w:t>、</w:t>
      </w:r>
      <w:r>
        <w:rPr>
          <w:sz w:val="24"/>
        </w:rPr>
        <w:t>PPV</w:t>
      </w:r>
      <w:r>
        <w:rPr>
          <w:sz w:val="24"/>
        </w:rPr>
        <w:t>和全鱼粗蛋白含量以及血浆</w:t>
      </w:r>
      <w:r>
        <w:rPr>
          <w:sz w:val="24"/>
        </w:rPr>
        <w:t>SOD</w:t>
      </w:r>
      <w:r>
        <w:rPr>
          <w:sz w:val="24"/>
        </w:rPr>
        <w:t>、</w:t>
      </w:r>
      <w:r>
        <w:rPr>
          <w:sz w:val="24"/>
        </w:rPr>
        <w:t>GSH-Px</w:t>
      </w:r>
      <w:r>
        <w:rPr>
          <w:sz w:val="24"/>
        </w:rPr>
        <w:t>活性及</w:t>
      </w:r>
      <w:r>
        <w:rPr>
          <w:sz w:val="24"/>
        </w:rPr>
        <w:t>T-AOC</w:t>
      </w:r>
      <w:r>
        <w:rPr>
          <w:sz w:val="24"/>
        </w:rPr>
        <w:t>，并降低饲料系数和血浆</w:t>
      </w:r>
      <w:r>
        <w:rPr>
          <w:sz w:val="24"/>
        </w:rPr>
        <w:t>MDA</w:t>
      </w:r>
      <w:r>
        <w:rPr>
          <w:sz w:val="24"/>
        </w:rPr>
        <w:t>含量。以杂交</w:t>
      </w:r>
      <w:proofErr w:type="gramStart"/>
      <w:r>
        <w:rPr>
          <w:sz w:val="24"/>
        </w:rPr>
        <w:t>鳢</w:t>
      </w:r>
      <w:proofErr w:type="gramEnd"/>
      <w:r>
        <w:rPr>
          <w:sz w:val="24"/>
        </w:rPr>
        <w:t>SGR</w:t>
      </w:r>
      <w:r>
        <w:rPr>
          <w:sz w:val="24"/>
        </w:rPr>
        <w:t>、</w:t>
      </w:r>
      <w:r>
        <w:rPr>
          <w:sz w:val="24"/>
        </w:rPr>
        <w:t>WGR</w:t>
      </w:r>
      <w:r>
        <w:rPr>
          <w:sz w:val="24"/>
        </w:rPr>
        <w:t>、</w:t>
      </w:r>
      <w:r>
        <w:rPr>
          <w:sz w:val="24"/>
        </w:rPr>
        <w:t>PPV</w:t>
      </w:r>
      <w:r>
        <w:rPr>
          <w:sz w:val="24"/>
        </w:rPr>
        <w:t>指标为判定依据，通过折线模型分析</w:t>
      </w:r>
      <w:r>
        <w:rPr>
          <w:sz w:val="24"/>
        </w:rPr>
        <w:t>表明，杂交</w:t>
      </w:r>
      <w:proofErr w:type="gramStart"/>
      <w:r>
        <w:rPr>
          <w:sz w:val="24"/>
        </w:rPr>
        <w:t>鳢</w:t>
      </w:r>
      <w:proofErr w:type="gramEnd"/>
      <w:r>
        <w:rPr>
          <w:sz w:val="24"/>
        </w:rPr>
        <w:t>幼鱼饲料精氨酸适宜水平分别为</w:t>
      </w:r>
      <w:r>
        <w:rPr>
          <w:sz w:val="24"/>
        </w:rPr>
        <w:t>2.91 %</w:t>
      </w:r>
      <w:r>
        <w:rPr>
          <w:sz w:val="24"/>
        </w:rPr>
        <w:t>、</w:t>
      </w:r>
      <w:r>
        <w:rPr>
          <w:sz w:val="24"/>
        </w:rPr>
        <w:t>2.95 %</w:t>
      </w:r>
      <w:r>
        <w:rPr>
          <w:sz w:val="24"/>
        </w:rPr>
        <w:t>、</w:t>
      </w:r>
      <w:r>
        <w:rPr>
          <w:sz w:val="24"/>
        </w:rPr>
        <w:t>2.98 %(</w:t>
      </w:r>
      <w:r>
        <w:rPr>
          <w:sz w:val="24"/>
        </w:rPr>
        <w:t>饲料粗蛋白质含量分别为</w:t>
      </w:r>
      <w:r>
        <w:rPr>
          <w:sz w:val="24"/>
        </w:rPr>
        <w:t>6.63 %</w:t>
      </w:r>
      <w:r>
        <w:rPr>
          <w:sz w:val="24"/>
        </w:rPr>
        <w:t>、</w:t>
      </w:r>
      <w:r>
        <w:rPr>
          <w:sz w:val="24"/>
        </w:rPr>
        <w:t>6.65 %</w:t>
      </w:r>
      <w:r>
        <w:rPr>
          <w:sz w:val="24"/>
        </w:rPr>
        <w:t>、</w:t>
      </w:r>
      <w:r>
        <w:rPr>
          <w:sz w:val="24"/>
        </w:rPr>
        <w:t>6.72 %)</w:t>
      </w:r>
      <w:r>
        <w:rPr>
          <w:sz w:val="24"/>
        </w:rPr>
        <w:t>。</w:t>
      </w:r>
    </w:p>
    <w:p w14:paraId="0E6482E2" w14:textId="77777777" w:rsidR="004F39F6" w:rsidRDefault="00731C67">
      <w:pPr>
        <w:spacing w:line="360" w:lineRule="auto"/>
        <w:rPr>
          <w:szCs w:val="21"/>
        </w:rPr>
      </w:pPr>
      <w:r>
        <w:rPr>
          <w:sz w:val="24"/>
        </w:rPr>
        <w:t>参考文献：略</w:t>
      </w:r>
    </w:p>
    <w:p w14:paraId="40FDD684" w14:textId="77777777" w:rsidR="004F39F6" w:rsidRDefault="00731C67">
      <w:pPr>
        <w:spacing w:line="360" w:lineRule="auto"/>
        <w:ind w:firstLineChars="1200" w:firstLine="2520"/>
        <w:jc w:val="right"/>
        <w:rPr>
          <w:szCs w:val="21"/>
        </w:rPr>
      </w:pPr>
      <w:r>
        <w:rPr>
          <w:szCs w:val="21"/>
        </w:rPr>
        <w:t>原文刊登在《动物营养学报》，网络首发时间</w:t>
      </w:r>
      <w:r>
        <w:rPr>
          <w:szCs w:val="21"/>
        </w:rPr>
        <w:t>: 2021-12-22 10:14:40</w:t>
      </w:r>
    </w:p>
    <w:p w14:paraId="651B6B8E"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28" w:name="_Toc95682101"/>
      <w:r>
        <w:rPr>
          <w:rFonts w:ascii="Times New Roman" w:eastAsia="黑体" w:hAnsi="Times New Roman" w:cs="Times New Roman"/>
          <w:sz w:val="32"/>
          <w:szCs w:val="32"/>
        </w:rPr>
        <w:t>饥饿胁迫对淡水石首鱼形体指标、肌肉脂肪酸组成及肝脏脂肪代谢基因表达的影响</w:t>
      </w:r>
      <w:bookmarkEnd w:id="28"/>
    </w:p>
    <w:p w14:paraId="67FA0C1D" w14:textId="77777777" w:rsidR="004F39F6" w:rsidRDefault="00731C67">
      <w:pPr>
        <w:ind w:firstLineChars="200" w:firstLine="420"/>
        <w:jc w:val="center"/>
        <w:rPr>
          <w:szCs w:val="21"/>
        </w:rPr>
      </w:pPr>
      <w:proofErr w:type="gramStart"/>
      <w:r>
        <w:rPr>
          <w:szCs w:val="21"/>
        </w:rPr>
        <w:t>刘广翔</w:t>
      </w:r>
      <w:bookmarkStart w:id="29" w:name="_Hlk94984982"/>
      <w:proofErr w:type="gramEnd"/>
      <w:r>
        <w:rPr>
          <w:szCs w:val="21"/>
          <w:vertAlign w:val="superscript"/>
        </w:rPr>
        <w:t>1,2</w:t>
      </w:r>
      <w:bookmarkEnd w:id="29"/>
      <w:r>
        <w:rPr>
          <w:szCs w:val="21"/>
        </w:rPr>
        <w:t xml:space="preserve">  </w:t>
      </w:r>
      <w:r>
        <w:rPr>
          <w:szCs w:val="21"/>
        </w:rPr>
        <w:t>宋长友</w:t>
      </w:r>
      <w:r>
        <w:rPr>
          <w:szCs w:val="21"/>
          <w:vertAlign w:val="superscript"/>
        </w:rPr>
        <w:t>1,2</w:t>
      </w:r>
      <w:r>
        <w:rPr>
          <w:szCs w:val="21"/>
        </w:rPr>
        <w:t xml:space="preserve">  </w:t>
      </w:r>
      <w:r>
        <w:rPr>
          <w:szCs w:val="21"/>
        </w:rPr>
        <w:t>闻海波</w:t>
      </w:r>
      <w:r>
        <w:rPr>
          <w:szCs w:val="21"/>
          <w:vertAlign w:val="superscript"/>
        </w:rPr>
        <w:t>1,2</w:t>
      </w:r>
      <w:r>
        <w:rPr>
          <w:szCs w:val="21"/>
        </w:rPr>
        <w:t xml:space="preserve">  </w:t>
      </w:r>
      <w:r>
        <w:rPr>
          <w:szCs w:val="21"/>
        </w:rPr>
        <w:t>吴宁远</w:t>
      </w:r>
      <w:r>
        <w:rPr>
          <w:szCs w:val="21"/>
          <w:vertAlign w:val="superscript"/>
        </w:rPr>
        <w:t>1,2</w:t>
      </w:r>
      <w:r>
        <w:rPr>
          <w:szCs w:val="21"/>
        </w:rPr>
        <w:t xml:space="preserve">  </w:t>
      </w:r>
      <w:r>
        <w:rPr>
          <w:szCs w:val="21"/>
        </w:rPr>
        <w:t>陈健翔</w:t>
      </w:r>
      <w:r>
        <w:rPr>
          <w:szCs w:val="21"/>
          <w:vertAlign w:val="superscript"/>
        </w:rPr>
        <w:t>1,2</w:t>
      </w:r>
      <w:r>
        <w:rPr>
          <w:szCs w:val="21"/>
        </w:rPr>
        <w:t xml:space="preserve">  </w:t>
      </w:r>
      <w:r>
        <w:rPr>
          <w:szCs w:val="21"/>
        </w:rPr>
        <w:t>李红霞</w:t>
      </w:r>
      <w:bookmarkStart w:id="30" w:name="_Hlk94985015"/>
      <w:r>
        <w:rPr>
          <w:szCs w:val="21"/>
          <w:vertAlign w:val="superscript"/>
        </w:rPr>
        <w:t>1,2*</w:t>
      </w:r>
      <w:bookmarkEnd w:id="30"/>
      <w:r>
        <w:rPr>
          <w:szCs w:val="21"/>
        </w:rPr>
        <w:t xml:space="preserve">  </w:t>
      </w:r>
      <w:proofErr w:type="gramStart"/>
      <w:r>
        <w:rPr>
          <w:szCs w:val="21"/>
        </w:rPr>
        <w:t>徐跑</w:t>
      </w:r>
      <w:proofErr w:type="gramEnd"/>
      <w:r>
        <w:rPr>
          <w:szCs w:val="21"/>
          <w:vertAlign w:val="superscript"/>
        </w:rPr>
        <w:t>1,2*</w:t>
      </w:r>
    </w:p>
    <w:p w14:paraId="7EAF9317" w14:textId="77777777" w:rsidR="004F39F6" w:rsidRDefault="00731C67">
      <w:pPr>
        <w:ind w:firstLineChars="200" w:firstLine="420"/>
        <w:jc w:val="center"/>
        <w:rPr>
          <w:szCs w:val="21"/>
        </w:rPr>
      </w:pPr>
      <w:r>
        <w:rPr>
          <w:szCs w:val="21"/>
        </w:rPr>
        <w:t>(1</w:t>
      </w:r>
      <w:r>
        <w:rPr>
          <w:szCs w:val="21"/>
        </w:rPr>
        <w:t>．南京农业大学无锡渔业学院，无锡</w:t>
      </w:r>
      <w:r>
        <w:rPr>
          <w:szCs w:val="21"/>
        </w:rPr>
        <w:t xml:space="preserve"> 214081</w:t>
      </w:r>
      <w:r>
        <w:rPr>
          <w:szCs w:val="21"/>
        </w:rPr>
        <w:t>；</w:t>
      </w:r>
      <w:r>
        <w:rPr>
          <w:szCs w:val="21"/>
        </w:rPr>
        <w:t>2</w:t>
      </w:r>
      <w:r>
        <w:rPr>
          <w:szCs w:val="21"/>
        </w:rPr>
        <w:t>．中国水产科学研究院淡水渔业研究中心，无锡</w:t>
      </w:r>
      <w:r>
        <w:rPr>
          <w:szCs w:val="21"/>
        </w:rPr>
        <w:t xml:space="preserve"> 214081</w:t>
      </w:r>
      <w:r>
        <w:rPr>
          <w:szCs w:val="21"/>
        </w:rPr>
        <w:t>）</w:t>
      </w:r>
    </w:p>
    <w:p w14:paraId="30AAE267" w14:textId="77777777" w:rsidR="004F39F6" w:rsidRDefault="00731C67">
      <w:r>
        <w:rPr>
          <w:b/>
          <w:bCs/>
        </w:rPr>
        <w:t>摘要：</w:t>
      </w:r>
      <w:r>
        <w:t>本试验旨在研究饥饿胁迫对淡水石首鱼形体指标、肌肉脂肪酸组成及肝脏脂肪代谢基因表达的影响。选用淡水石首鱼</w:t>
      </w:r>
      <w:r>
        <w:t>(</w:t>
      </w:r>
      <w:proofErr w:type="spellStart"/>
      <w:r>
        <w:rPr>
          <w:i/>
          <w:iCs/>
        </w:rPr>
        <w:t>Aplodinotus</w:t>
      </w:r>
      <w:proofErr w:type="spellEnd"/>
      <w:r>
        <w:rPr>
          <w:i/>
          <w:iCs/>
        </w:rPr>
        <w:t xml:space="preserve"> </w:t>
      </w:r>
      <w:proofErr w:type="spellStart"/>
      <w:r>
        <w:rPr>
          <w:i/>
          <w:iCs/>
        </w:rPr>
        <w:t>grunniens</w:t>
      </w:r>
      <w:proofErr w:type="spellEnd"/>
      <w:r>
        <w:t>)180</w:t>
      </w:r>
      <w:r>
        <w:t>尾，平均体重为</w:t>
      </w:r>
      <w:r>
        <w:t>(20.88±0.91) g</w:t>
      </w:r>
      <w:r>
        <w:t>，设置</w:t>
      </w:r>
      <w:r>
        <w:t>3</w:t>
      </w:r>
      <w:r>
        <w:t>个重复，每个重复</w:t>
      </w:r>
      <w:r>
        <w:t>60</w:t>
      </w:r>
      <w:r>
        <w:t>尾，分别在饥饿</w:t>
      </w:r>
      <w:r>
        <w:t>0</w:t>
      </w:r>
      <w:r>
        <w:t>、</w:t>
      </w:r>
      <w:r>
        <w:t>1</w:t>
      </w:r>
      <w:r>
        <w:t>、</w:t>
      </w:r>
      <w:r>
        <w:t>4</w:t>
      </w:r>
      <w:r>
        <w:t>、</w:t>
      </w:r>
      <w:r>
        <w:t>8</w:t>
      </w:r>
      <w:r>
        <w:t>、</w:t>
      </w:r>
      <w:r>
        <w:t>12</w:t>
      </w:r>
      <w:r>
        <w:t>、</w:t>
      </w:r>
      <w:r>
        <w:t>24</w:t>
      </w:r>
      <w:r>
        <w:t>、</w:t>
      </w:r>
      <w:r>
        <w:t>36</w:t>
      </w:r>
      <w:r>
        <w:t>、</w:t>
      </w:r>
      <w:r>
        <w:t xml:space="preserve">48h </w:t>
      </w:r>
      <w:r>
        <w:t>及</w:t>
      </w:r>
      <w:r>
        <w:t>3</w:t>
      </w:r>
      <w:r>
        <w:t>、</w:t>
      </w:r>
      <w:r>
        <w:t>4</w:t>
      </w:r>
      <w:r>
        <w:t>、</w:t>
      </w:r>
      <w:r>
        <w:t>6</w:t>
      </w:r>
      <w:r>
        <w:t>、</w:t>
      </w:r>
      <w:r>
        <w:t>10</w:t>
      </w:r>
      <w:r>
        <w:t>、</w:t>
      </w:r>
      <w:r>
        <w:t>14</w:t>
      </w:r>
      <w:r>
        <w:t>、</w:t>
      </w:r>
      <w:r>
        <w:t>21</w:t>
      </w:r>
      <w:r>
        <w:t>、</w:t>
      </w:r>
      <w:r>
        <w:t>28</w:t>
      </w:r>
      <w:r>
        <w:t>、</w:t>
      </w:r>
      <w:r>
        <w:t>42d</w:t>
      </w:r>
      <w:r>
        <w:t>时采集样本，每个重复随机采集</w:t>
      </w:r>
      <w:r>
        <w:t>3</w:t>
      </w:r>
      <w:r>
        <w:t>尾，每个饥饿时间点共采集</w:t>
      </w:r>
      <w:r>
        <w:t>9</w:t>
      </w:r>
      <w:r>
        <w:t>尾，分析形体指标、肌肉脂肪酸组成及肝脏脂肪代谢基因表达。结果显示</w:t>
      </w:r>
      <w:r>
        <w:t>：</w:t>
      </w:r>
      <w:r>
        <w:t xml:space="preserve"> 1)</w:t>
      </w:r>
      <w:r>
        <w:t>部分饥饿时间显著降低肥满度</w:t>
      </w:r>
      <w:r>
        <w:t>(CF)</w:t>
      </w:r>
      <w:r>
        <w:t>、脏体比</w:t>
      </w:r>
      <w:r>
        <w:t>(VSI)</w:t>
      </w:r>
      <w:r>
        <w:t>、肝体比</w:t>
      </w:r>
      <w:r>
        <w:t>(HSI)</w:t>
      </w:r>
      <w:r>
        <w:t>、</w:t>
      </w:r>
      <w:proofErr w:type="gramStart"/>
      <w:r>
        <w:t>腹脂比</w:t>
      </w:r>
      <w:proofErr w:type="gramEnd"/>
      <w:r>
        <w:t>(IPF) (</w:t>
      </w:r>
      <w:r>
        <w:rPr>
          <w:i/>
          <w:iCs/>
        </w:rPr>
        <w:t>P</w:t>
      </w:r>
      <w:r>
        <w:t>＜</w:t>
      </w:r>
      <w:r>
        <w:t>0.05)</w:t>
      </w:r>
      <w:r>
        <w:t>。</w:t>
      </w:r>
      <w:r>
        <w:t>2)</w:t>
      </w:r>
      <w:r>
        <w:t>肌肉饱和脂肪酸</w:t>
      </w:r>
      <w:r>
        <w:t>(SFA)</w:t>
      </w:r>
      <w:r>
        <w:t>含量在饥饿前后无显著差异</w:t>
      </w:r>
      <w:r>
        <w:t>(</w:t>
      </w:r>
      <w:r>
        <w:rPr>
          <w:i/>
          <w:iCs/>
        </w:rPr>
        <w:t>P</w:t>
      </w:r>
      <w:r>
        <w:t>＞</w:t>
      </w:r>
      <w:r>
        <w:t>0.05)</w:t>
      </w:r>
      <w:r>
        <w:t>，饥饿</w:t>
      </w:r>
      <w:r>
        <w:t>14d</w:t>
      </w:r>
      <w:r>
        <w:t>后单不饱和脂肪酸</w:t>
      </w:r>
      <w:r>
        <w:t>(MUFA)</w:t>
      </w:r>
      <w:r>
        <w:t>含量显著下降</w:t>
      </w:r>
      <w:r>
        <w:t>(</w:t>
      </w:r>
      <w:r>
        <w:rPr>
          <w:i/>
          <w:iCs/>
        </w:rPr>
        <w:t>P</w:t>
      </w:r>
      <w:r>
        <w:t>＜</w:t>
      </w:r>
      <w:r>
        <w:t>0.05)</w:t>
      </w:r>
      <w:r>
        <w:t>，多不饱和脂肪酸</w:t>
      </w:r>
      <w:r>
        <w:t>(PUFA)</w:t>
      </w:r>
      <w:r>
        <w:t>含量显著上升</w:t>
      </w:r>
      <w:r>
        <w:t>(</w:t>
      </w:r>
      <w:r>
        <w:rPr>
          <w:i/>
          <w:iCs/>
        </w:rPr>
        <w:t>P</w:t>
      </w:r>
      <w:r>
        <w:t>＜</w:t>
      </w:r>
      <w:r>
        <w:t>0.05)</w:t>
      </w:r>
      <w:r>
        <w:t>。</w:t>
      </w:r>
      <w:r>
        <w:t>3)</w:t>
      </w:r>
      <w:r>
        <w:t>饥饿</w:t>
      </w:r>
      <w:r>
        <w:t>14</w:t>
      </w:r>
      <w:r>
        <w:t>、</w:t>
      </w:r>
      <w:r>
        <w:t>42d</w:t>
      </w:r>
      <w:r>
        <w:t>，肝脏中过氧化物酶体增殖物激活受体</w:t>
      </w:r>
      <w:r>
        <w:t>α(</w:t>
      </w:r>
      <w:r>
        <w:rPr>
          <w:i/>
          <w:iCs/>
        </w:rPr>
        <w:t>PPARα</w:t>
      </w:r>
      <w:r>
        <w:t>)</w:t>
      </w:r>
      <w:r>
        <w:t>、肉碱棕榈</w:t>
      </w:r>
      <w:proofErr w:type="gramStart"/>
      <w:r>
        <w:t>酰</w:t>
      </w:r>
      <w:proofErr w:type="gramEnd"/>
      <w:r>
        <w:t>转移酶</w:t>
      </w:r>
      <w:r>
        <w:t>1A(</w:t>
      </w:r>
      <w:r>
        <w:rPr>
          <w:i/>
          <w:iCs/>
        </w:rPr>
        <w:t>CPT</w:t>
      </w:r>
      <w:r>
        <w:t>1A)</w:t>
      </w:r>
      <w:r>
        <w:t>基因相对表达量显著高于饥饿</w:t>
      </w:r>
      <w:r>
        <w:t>0</w:t>
      </w:r>
      <w:r>
        <w:t>和</w:t>
      </w:r>
      <w:r>
        <w:t>24h(</w:t>
      </w:r>
      <w:r>
        <w:rPr>
          <w:i/>
          <w:iCs/>
        </w:rPr>
        <w:t>P</w:t>
      </w:r>
      <w:r>
        <w:t>＜</w:t>
      </w:r>
      <w:r>
        <w:t>0.05)</w:t>
      </w:r>
      <w:r>
        <w:t>，脂肪酸合成酶</w:t>
      </w:r>
      <w:r>
        <w:t>(</w:t>
      </w:r>
      <w:r>
        <w:rPr>
          <w:i/>
          <w:iCs/>
        </w:rPr>
        <w:t>FAS</w:t>
      </w:r>
      <w:r>
        <w:t>)</w:t>
      </w:r>
      <w:r>
        <w:t>基因相对表达量显著低</w:t>
      </w:r>
      <w:r>
        <w:t>于饥饿</w:t>
      </w:r>
      <w:r>
        <w:t>24h(</w:t>
      </w:r>
      <w:r>
        <w:rPr>
          <w:i/>
          <w:iCs/>
        </w:rPr>
        <w:t>P</w:t>
      </w:r>
      <w:r>
        <w:t>＜</w:t>
      </w:r>
      <w:r>
        <w:t>0.05)</w:t>
      </w:r>
      <w:r>
        <w:t>；饥饿</w:t>
      </w:r>
      <w:r>
        <w:t>24h</w:t>
      </w:r>
      <w:r>
        <w:t>及</w:t>
      </w:r>
      <w:r>
        <w:t>14</w:t>
      </w:r>
      <w:r>
        <w:t>、</w:t>
      </w:r>
      <w:r>
        <w:t>42d</w:t>
      </w:r>
      <w:r>
        <w:t>，酰基辅酶</w:t>
      </w:r>
      <w:r>
        <w:t>A</w:t>
      </w:r>
      <w:r>
        <w:t>氧化酶</w:t>
      </w:r>
      <w:r>
        <w:t>(ACO)</w:t>
      </w:r>
      <w:r>
        <w:t>相对表达量无显著变化</w:t>
      </w:r>
      <w:r>
        <w:t>(</w:t>
      </w:r>
      <w:r>
        <w:rPr>
          <w:i/>
          <w:iCs/>
        </w:rPr>
        <w:t>P</w:t>
      </w:r>
      <w:r>
        <w:t>＞</w:t>
      </w:r>
      <w:r>
        <w:t>0.05)</w:t>
      </w:r>
      <w:r>
        <w:t>，</w:t>
      </w:r>
      <w:proofErr w:type="gramStart"/>
      <w:r>
        <w:t>但显著</w:t>
      </w:r>
      <w:proofErr w:type="gramEnd"/>
      <w:r>
        <w:t>高于饥饿</w:t>
      </w:r>
      <w:r>
        <w:t>0 h(</w:t>
      </w:r>
      <w:r>
        <w:rPr>
          <w:i/>
          <w:iCs/>
        </w:rPr>
        <w:t>P</w:t>
      </w:r>
      <w:r>
        <w:t>＜</w:t>
      </w:r>
      <w:r>
        <w:t>0.05)</w:t>
      </w:r>
      <w:r>
        <w:t>。研究表明，饥饿胁迫降低了淡水石首鱼</w:t>
      </w:r>
      <w:r>
        <w:t>CF</w:t>
      </w:r>
      <w:r>
        <w:t>、</w:t>
      </w:r>
      <w:r>
        <w:t>HSI</w:t>
      </w:r>
      <w:r>
        <w:t>、</w:t>
      </w:r>
      <w:r>
        <w:t>IPF</w:t>
      </w:r>
      <w:r>
        <w:t>、</w:t>
      </w:r>
      <w:r>
        <w:t>VSI</w:t>
      </w:r>
      <w:r>
        <w:t>，影响了肌肉不同类型脂肪酸的组成，促进了脂肪</w:t>
      </w:r>
      <w:r>
        <w:lastRenderedPageBreak/>
        <w:t>分解代谢而抑制了脂肪合成代谢。</w:t>
      </w:r>
    </w:p>
    <w:p w14:paraId="26BC4570" w14:textId="77777777" w:rsidR="004F39F6" w:rsidRDefault="00731C67">
      <w:pPr>
        <w:rPr>
          <w:i/>
          <w:iCs/>
          <w:szCs w:val="21"/>
        </w:rPr>
      </w:pPr>
      <w:r>
        <w:rPr>
          <w:b/>
          <w:bCs/>
        </w:rPr>
        <w:t>关键词：</w:t>
      </w:r>
      <w:r>
        <w:t>淡水石首鱼；生长；脂肪酸；脂肪代谢；饥饿胁迫</w:t>
      </w:r>
    </w:p>
    <w:p w14:paraId="1FC0A01F" w14:textId="77777777" w:rsidR="004F39F6" w:rsidRDefault="00731C67">
      <w:pPr>
        <w:jc w:val="center"/>
        <w:rPr>
          <w:b/>
          <w:bCs/>
          <w:sz w:val="24"/>
        </w:rPr>
      </w:pPr>
      <w:r>
        <w:rPr>
          <w:b/>
          <w:bCs/>
          <w:sz w:val="24"/>
        </w:rPr>
        <w:t>Effects of Starvation Stress on Physical Indies</w:t>
      </w:r>
      <w:r>
        <w:rPr>
          <w:b/>
          <w:bCs/>
          <w:sz w:val="24"/>
        </w:rPr>
        <w:t>，</w:t>
      </w:r>
      <w:r>
        <w:rPr>
          <w:b/>
          <w:bCs/>
          <w:sz w:val="24"/>
        </w:rPr>
        <w:t>Muscle Fatty Acid Composition and</w:t>
      </w:r>
      <w:r>
        <w:rPr>
          <w:b/>
          <w:bCs/>
          <w:sz w:val="24"/>
        </w:rPr>
        <w:t xml:space="preserve"> Liver Lipid Metabolism Gene Expression of</w:t>
      </w:r>
      <w:r>
        <w:rPr>
          <w:b/>
          <w:bCs/>
          <w:i/>
          <w:iCs/>
          <w:sz w:val="24"/>
        </w:rPr>
        <w:t xml:space="preserve"> </w:t>
      </w:r>
      <w:proofErr w:type="spellStart"/>
      <w:r>
        <w:rPr>
          <w:b/>
          <w:bCs/>
          <w:i/>
          <w:iCs/>
          <w:sz w:val="24"/>
        </w:rPr>
        <w:t>Aplodinotus</w:t>
      </w:r>
      <w:proofErr w:type="spellEnd"/>
      <w:r>
        <w:rPr>
          <w:b/>
          <w:bCs/>
          <w:i/>
          <w:iCs/>
          <w:sz w:val="24"/>
        </w:rPr>
        <w:t xml:space="preserve"> </w:t>
      </w:r>
      <w:proofErr w:type="spellStart"/>
      <w:r>
        <w:rPr>
          <w:b/>
          <w:bCs/>
          <w:i/>
          <w:iCs/>
          <w:sz w:val="24"/>
        </w:rPr>
        <w:t>grunniens</w:t>
      </w:r>
      <w:proofErr w:type="spellEnd"/>
    </w:p>
    <w:p w14:paraId="3BCB9536" w14:textId="77777777" w:rsidR="004F39F6" w:rsidRDefault="00731C67">
      <w:pPr>
        <w:jc w:val="center"/>
        <w:rPr>
          <w:szCs w:val="21"/>
        </w:rPr>
      </w:pPr>
      <w:r>
        <w:rPr>
          <w:szCs w:val="21"/>
        </w:rPr>
        <w:t xml:space="preserve">LIU </w:t>
      </w:r>
      <w:proofErr w:type="spellStart"/>
      <w:r>
        <w:rPr>
          <w:szCs w:val="21"/>
        </w:rPr>
        <w:t>Guangxiang</w:t>
      </w:r>
      <w:proofErr w:type="spellEnd"/>
      <w:r>
        <w:rPr>
          <w:szCs w:val="21"/>
        </w:rPr>
        <w:t xml:space="preserve"> </w:t>
      </w:r>
      <w:r>
        <w:rPr>
          <w:szCs w:val="21"/>
          <w:vertAlign w:val="superscript"/>
        </w:rPr>
        <w:t>1,</w:t>
      </w:r>
      <w:proofErr w:type="gramStart"/>
      <w:r>
        <w:rPr>
          <w:szCs w:val="21"/>
          <w:vertAlign w:val="superscript"/>
        </w:rPr>
        <w:t>2</w:t>
      </w:r>
      <w:r>
        <w:rPr>
          <w:szCs w:val="21"/>
        </w:rPr>
        <w:t xml:space="preserve">  SONG</w:t>
      </w:r>
      <w:proofErr w:type="gramEnd"/>
      <w:r>
        <w:rPr>
          <w:szCs w:val="21"/>
        </w:rPr>
        <w:t xml:space="preserve"> Changyou</w:t>
      </w:r>
      <w:r>
        <w:rPr>
          <w:szCs w:val="21"/>
          <w:vertAlign w:val="superscript"/>
        </w:rPr>
        <w:t xml:space="preserve">1,2  </w:t>
      </w:r>
      <w:r>
        <w:rPr>
          <w:szCs w:val="21"/>
        </w:rPr>
        <w:t xml:space="preserve">WEN </w:t>
      </w:r>
      <w:proofErr w:type="spellStart"/>
      <w:r>
        <w:rPr>
          <w:szCs w:val="21"/>
        </w:rPr>
        <w:t>Haibo</w:t>
      </w:r>
      <w:proofErr w:type="spellEnd"/>
      <w:r>
        <w:rPr>
          <w:szCs w:val="21"/>
        </w:rPr>
        <w:t xml:space="preserve"> </w:t>
      </w:r>
      <w:r>
        <w:rPr>
          <w:szCs w:val="21"/>
          <w:vertAlign w:val="superscript"/>
        </w:rPr>
        <w:t xml:space="preserve">1,2  </w:t>
      </w:r>
      <w:r>
        <w:rPr>
          <w:szCs w:val="21"/>
        </w:rPr>
        <w:t>WU Ningyuan</w:t>
      </w:r>
      <w:r>
        <w:rPr>
          <w:szCs w:val="21"/>
          <w:vertAlign w:val="superscript"/>
        </w:rPr>
        <w:t xml:space="preserve">1,2 </w:t>
      </w:r>
      <w:r>
        <w:rPr>
          <w:szCs w:val="21"/>
        </w:rPr>
        <w:t xml:space="preserve"> CHEN </w:t>
      </w:r>
      <w:proofErr w:type="spellStart"/>
      <w:r>
        <w:rPr>
          <w:szCs w:val="21"/>
        </w:rPr>
        <w:t>Jianxiang</w:t>
      </w:r>
      <w:proofErr w:type="spellEnd"/>
      <w:r>
        <w:rPr>
          <w:szCs w:val="21"/>
        </w:rPr>
        <w:t xml:space="preserve"> </w:t>
      </w:r>
      <w:r>
        <w:rPr>
          <w:szCs w:val="21"/>
          <w:vertAlign w:val="superscript"/>
        </w:rPr>
        <w:t>1,2</w:t>
      </w:r>
      <w:r>
        <w:rPr>
          <w:szCs w:val="21"/>
        </w:rPr>
        <w:t xml:space="preserve">  </w:t>
      </w:r>
    </w:p>
    <w:p w14:paraId="0C280B31" w14:textId="77777777" w:rsidR="004F39F6" w:rsidRDefault="00731C67">
      <w:pPr>
        <w:jc w:val="center"/>
        <w:rPr>
          <w:i/>
          <w:iCs/>
          <w:szCs w:val="21"/>
        </w:rPr>
      </w:pPr>
      <w:r>
        <w:rPr>
          <w:szCs w:val="21"/>
        </w:rPr>
        <w:t>LI Hongxia</w:t>
      </w:r>
      <w:r>
        <w:rPr>
          <w:szCs w:val="21"/>
          <w:vertAlign w:val="superscript"/>
        </w:rPr>
        <w:t>1,2</w:t>
      </w:r>
      <w:proofErr w:type="gramStart"/>
      <w:r>
        <w:rPr>
          <w:szCs w:val="21"/>
          <w:vertAlign w:val="superscript"/>
        </w:rPr>
        <w:t xml:space="preserve">* </w:t>
      </w:r>
      <w:r>
        <w:rPr>
          <w:szCs w:val="21"/>
        </w:rPr>
        <w:t xml:space="preserve"> XU</w:t>
      </w:r>
      <w:proofErr w:type="gramEnd"/>
      <w:r>
        <w:rPr>
          <w:szCs w:val="21"/>
        </w:rPr>
        <w:t xml:space="preserve"> Pao </w:t>
      </w:r>
      <w:r>
        <w:rPr>
          <w:szCs w:val="21"/>
          <w:vertAlign w:val="superscript"/>
        </w:rPr>
        <w:t>1,2*</w:t>
      </w:r>
      <w:r>
        <w:rPr>
          <w:i/>
          <w:iCs/>
          <w:szCs w:val="21"/>
          <w:vertAlign w:val="superscript"/>
        </w:rPr>
        <w:t xml:space="preserve"> </w:t>
      </w:r>
    </w:p>
    <w:p w14:paraId="774210B8" w14:textId="77777777" w:rsidR="004F39F6" w:rsidRDefault="00731C67">
      <w:pPr>
        <w:jc w:val="center"/>
        <w:rPr>
          <w:i/>
          <w:iCs/>
          <w:szCs w:val="21"/>
        </w:rPr>
      </w:pPr>
      <w:r>
        <w:rPr>
          <w:i/>
          <w:iCs/>
          <w:szCs w:val="21"/>
        </w:rPr>
        <w:t>((1. Wuxi Fisheries College</w:t>
      </w:r>
      <w:r>
        <w:rPr>
          <w:i/>
          <w:iCs/>
          <w:szCs w:val="21"/>
        </w:rPr>
        <w:t>，</w:t>
      </w:r>
      <w:r>
        <w:rPr>
          <w:i/>
          <w:iCs/>
          <w:szCs w:val="21"/>
        </w:rPr>
        <w:t xml:space="preserve">Nanjing Agricultural </w:t>
      </w:r>
      <w:r>
        <w:rPr>
          <w:i/>
          <w:iCs/>
          <w:szCs w:val="21"/>
        </w:rPr>
        <w:t>University</w:t>
      </w:r>
      <w:r>
        <w:rPr>
          <w:i/>
          <w:iCs/>
          <w:szCs w:val="21"/>
        </w:rPr>
        <w:t>，</w:t>
      </w:r>
      <w:r>
        <w:rPr>
          <w:i/>
          <w:iCs/>
          <w:szCs w:val="21"/>
        </w:rPr>
        <w:t>Wuxi 214081</w:t>
      </w:r>
      <w:r>
        <w:rPr>
          <w:i/>
          <w:iCs/>
          <w:szCs w:val="21"/>
        </w:rPr>
        <w:t>，</w:t>
      </w:r>
      <w:r>
        <w:rPr>
          <w:i/>
          <w:iCs/>
          <w:szCs w:val="21"/>
        </w:rPr>
        <w:t xml:space="preserve">China; 2. Freshwater Fisheries </w:t>
      </w:r>
      <w:r>
        <w:rPr>
          <w:i/>
          <w:iCs/>
          <w:szCs w:val="21"/>
        </w:rPr>
        <w:t>Ｒ</w:t>
      </w:r>
      <w:proofErr w:type="spellStart"/>
      <w:r>
        <w:rPr>
          <w:i/>
          <w:iCs/>
          <w:szCs w:val="21"/>
        </w:rPr>
        <w:t>esearch</w:t>
      </w:r>
      <w:proofErr w:type="spellEnd"/>
      <w:r>
        <w:rPr>
          <w:i/>
          <w:iCs/>
          <w:szCs w:val="21"/>
        </w:rPr>
        <w:t xml:space="preserve"> Center</w:t>
      </w:r>
      <w:r>
        <w:rPr>
          <w:i/>
          <w:iCs/>
          <w:szCs w:val="21"/>
        </w:rPr>
        <w:t>，</w:t>
      </w:r>
      <w:r>
        <w:rPr>
          <w:i/>
          <w:iCs/>
          <w:szCs w:val="21"/>
        </w:rPr>
        <w:t>Chinese Academy of Fishery Sciences</w:t>
      </w:r>
      <w:r>
        <w:rPr>
          <w:i/>
          <w:iCs/>
          <w:szCs w:val="21"/>
        </w:rPr>
        <w:t>，</w:t>
      </w:r>
      <w:r>
        <w:rPr>
          <w:i/>
          <w:iCs/>
          <w:szCs w:val="21"/>
        </w:rPr>
        <w:t>Wuxi 214081</w:t>
      </w:r>
      <w:r>
        <w:rPr>
          <w:i/>
          <w:iCs/>
          <w:szCs w:val="21"/>
        </w:rPr>
        <w:t>，</w:t>
      </w:r>
      <w:r>
        <w:rPr>
          <w:i/>
          <w:iCs/>
          <w:szCs w:val="21"/>
        </w:rPr>
        <w:t>China)</w:t>
      </w:r>
    </w:p>
    <w:p w14:paraId="3C884C58" w14:textId="77777777" w:rsidR="004F39F6" w:rsidRDefault="00731C67">
      <w:pPr>
        <w:rPr>
          <w:szCs w:val="21"/>
        </w:rPr>
      </w:pPr>
      <w:r>
        <w:rPr>
          <w:b/>
          <w:bCs/>
          <w:szCs w:val="21"/>
        </w:rPr>
        <w:t>Abstract</w:t>
      </w:r>
      <w:r>
        <w:rPr>
          <w:b/>
          <w:bCs/>
          <w:szCs w:val="21"/>
        </w:rPr>
        <w:t>：</w:t>
      </w:r>
      <w:r>
        <w:rPr>
          <w:szCs w:val="21"/>
        </w:rPr>
        <w:t>The aim of this experiment was to study the effects of starvation stress on physical indexes</w:t>
      </w:r>
      <w:r>
        <w:rPr>
          <w:szCs w:val="21"/>
        </w:rPr>
        <w:t>，</w:t>
      </w:r>
      <w:r>
        <w:rPr>
          <w:szCs w:val="21"/>
        </w:rPr>
        <w:t>muscle fatty acid composition</w:t>
      </w:r>
      <w:r>
        <w:rPr>
          <w:szCs w:val="21"/>
        </w:rPr>
        <w:t xml:space="preserve"> and liver gene expression of lipid metabolism of </w:t>
      </w:r>
      <w:proofErr w:type="spellStart"/>
      <w:r>
        <w:rPr>
          <w:i/>
          <w:iCs/>
          <w:szCs w:val="21"/>
        </w:rPr>
        <w:t>Aplodinotus</w:t>
      </w:r>
      <w:proofErr w:type="spellEnd"/>
      <w:r>
        <w:rPr>
          <w:i/>
          <w:iCs/>
          <w:szCs w:val="21"/>
        </w:rPr>
        <w:t xml:space="preserve"> </w:t>
      </w:r>
      <w:proofErr w:type="spellStart"/>
      <w:r>
        <w:rPr>
          <w:i/>
          <w:iCs/>
          <w:szCs w:val="21"/>
        </w:rPr>
        <w:t>grunniens</w:t>
      </w:r>
      <w:proofErr w:type="spellEnd"/>
      <w:r>
        <w:rPr>
          <w:szCs w:val="21"/>
        </w:rPr>
        <w:t>. A total of 180 A</w:t>
      </w:r>
      <w:r>
        <w:rPr>
          <w:szCs w:val="21"/>
        </w:rPr>
        <w:t>．</w:t>
      </w:r>
      <w:r>
        <w:rPr>
          <w:szCs w:val="21"/>
        </w:rPr>
        <w:t xml:space="preserve"> </w:t>
      </w:r>
      <w:proofErr w:type="spellStart"/>
      <w:r>
        <w:rPr>
          <w:szCs w:val="21"/>
        </w:rPr>
        <w:t>grunniens</w:t>
      </w:r>
      <w:proofErr w:type="spellEnd"/>
      <w:r>
        <w:rPr>
          <w:szCs w:val="21"/>
        </w:rPr>
        <w:t xml:space="preserve"> with an average body weight of (20.88±0.91) g were selected and 3 replicates with 60 fish per replicate</w:t>
      </w:r>
      <w:r>
        <w:rPr>
          <w:szCs w:val="21"/>
        </w:rPr>
        <w:t>．</w:t>
      </w:r>
      <w:r>
        <w:rPr>
          <w:szCs w:val="21"/>
        </w:rPr>
        <w:t xml:space="preserve"> Samples were collected at 0</w:t>
      </w:r>
      <w:r>
        <w:rPr>
          <w:szCs w:val="21"/>
        </w:rPr>
        <w:t>，</w:t>
      </w:r>
      <w:r>
        <w:rPr>
          <w:szCs w:val="21"/>
        </w:rPr>
        <w:t>1</w:t>
      </w:r>
      <w:r>
        <w:rPr>
          <w:szCs w:val="21"/>
        </w:rPr>
        <w:t>，</w:t>
      </w:r>
      <w:r>
        <w:rPr>
          <w:szCs w:val="21"/>
        </w:rPr>
        <w:t>4</w:t>
      </w:r>
      <w:r>
        <w:rPr>
          <w:szCs w:val="21"/>
        </w:rPr>
        <w:t>，</w:t>
      </w:r>
      <w:r>
        <w:rPr>
          <w:szCs w:val="21"/>
        </w:rPr>
        <w:t>8</w:t>
      </w:r>
      <w:r>
        <w:rPr>
          <w:szCs w:val="21"/>
        </w:rPr>
        <w:t>，</w:t>
      </w:r>
      <w:r>
        <w:rPr>
          <w:szCs w:val="21"/>
        </w:rPr>
        <w:t>12</w:t>
      </w:r>
      <w:r>
        <w:rPr>
          <w:szCs w:val="21"/>
        </w:rPr>
        <w:t>，</w:t>
      </w:r>
      <w:r>
        <w:rPr>
          <w:szCs w:val="21"/>
        </w:rPr>
        <w:t>24</w:t>
      </w:r>
      <w:r>
        <w:rPr>
          <w:szCs w:val="21"/>
        </w:rPr>
        <w:t>，</w:t>
      </w:r>
      <w:r>
        <w:rPr>
          <w:szCs w:val="21"/>
        </w:rPr>
        <w:t>36</w:t>
      </w:r>
      <w:r>
        <w:rPr>
          <w:szCs w:val="21"/>
        </w:rPr>
        <w:t>，</w:t>
      </w:r>
      <w:r>
        <w:rPr>
          <w:szCs w:val="21"/>
        </w:rPr>
        <w:t>48 h an</w:t>
      </w:r>
      <w:r>
        <w:rPr>
          <w:szCs w:val="21"/>
        </w:rPr>
        <w:t>d 3</w:t>
      </w:r>
      <w:r>
        <w:rPr>
          <w:szCs w:val="21"/>
        </w:rPr>
        <w:t>，</w:t>
      </w:r>
      <w:r>
        <w:rPr>
          <w:szCs w:val="21"/>
        </w:rPr>
        <w:t>4</w:t>
      </w:r>
      <w:r>
        <w:rPr>
          <w:szCs w:val="21"/>
        </w:rPr>
        <w:t>，</w:t>
      </w:r>
      <w:r>
        <w:rPr>
          <w:szCs w:val="21"/>
        </w:rPr>
        <w:t>6</w:t>
      </w:r>
      <w:r>
        <w:rPr>
          <w:szCs w:val="21"/>
        </w:rPr>
        <w:t>，</w:t>
      </w:r>
      <w:r>
        <w:rPr>
          <w:szCs w:val="21"/>
        </w:rPr>
        <w:t>10</w:t>
      </w:r>
      <w:r>
        <w:rPr>
          <w:szCs w:val="21"/>
        </w:rPr>
        <w:t>，</w:t>
      </w:r>
      <w:r>
        <w:rPr>
          <w:szCs w:val="21"/>
        </w:rPr>
        <w:t>14</w:t>
      </w:r>
      <w:r>
        <w:rPr>
          <w:szCs w:val="21"/>
        </w:rPr>
        <w:t>，</w:t>
      </w:r>
      <w:r>
        <w:rPr>
          <w:szCs w:val="21"/>
        </w:rPr>
        <w:t>21</w:t>
      </w:r>
      <w:r>
        <w:rPr>
          <w:szCs w:val="21"/>
        </w:rPr>
        <w:t>，</w:t>
      </w:r>
      <w:r>
        <w:rPr>
          <w:szCs w:val="21"/>
        </w:rPr>
        <w:t>28</w:t>
      </w:r>
      <w:r>
        <w:rPr>
          <w:szCs w:val="21"/>
        </w:rPr>
        <w:t>，</w:t>
      </w:r>
      <w:r>
        <w:rPr>
          <w:szCs w:val="21"/>
        </w:rPr>
        <w:t>42 d of starvation test</w:t>
      </w:r>
      <w:r>
        <w:rPr>
          <w:szCs w:val="21"/>
        </w:rPr>
        <w:t>，</w:t>
      </w:r>
      <w:r>
        <w:rPr>
          <w:szCs w:val="21"/>
        </w:rPr>
        <w:t>respectively</w:t>
      </w:r>
      <w:r>
        <w:rPr>
          <w:szCs w:val="21"/>
        </w:rPr>
        <w:t>．</w:t>
      </w:r>
      <w:r>
        <w:rPr>
          <w:szCs w:val="21"/>
        </w:rPr>
        <w:t xml:space="preserve"> Three samples were randomly collected in each replicate and a total of nine samples were collected at each starvation time point to analyze physical indies</w:t>
      </w:r>
      <w:r>
        <w:rPr>
          <w:szCs w:val="21"/>
        </w:rPr>
        <w:t>，</w:t>
      </w:r>
      <w:r>
        <w:rPr>
          <w:szCs w:val="21"/>
        </w:rPr>
        <w:t>muscle fatty acid composition and lipid me</w:t>
      </w:r>
      <w:r>
        <w:rPr>
          <w:szCs w:val="21"/>
        </w:rPr>
        <w:t>tabolic gene expression</w:t>
      </w:r>
      <w:r>
        <w:rPr>
          <w:szCs w:val="21"/>
        </w:rPr>
        <w:t>．</w:t>
      </w:r>
      <w:r>
        <w:rPr>
          <w:szCs w:val="21"/>
        </w:rPr>
        <w:t xml:space="preserve"> The results showed as follows: 1) part of starvation time significantly decreased condition factor (CF)</w:t>
      </w:r>
      <w:r>
        <w:rPr>
          <w:szCs w:val="21"/>
        </w:rPr>
        <w:t>，</w:t>
      </w:r>
      <w:proofErr w:type="spellStart"/>
      <w:r>
        <w:rPr>
          <w:szCs w:val="21"/>
        </w:rPr>
        <w:t>viscerosomatic</w:t>
      </w:r>
      <w:proofErr w:type="spellEnd"/>
      <w:r>
        <w:rPr>
          <w:szCs w:val="21"/>
        </w:rPr>
        <w:t xml:space="preserve"> index (VSI)</w:t>
      </w:r>
      <w:r>
        <w:rPr>
          <w:szCs w:val="21"/>
        </w:rPr>
        <w:t>，</w:t>
      </w:r>
      <w:r>
        <w:rPr>
          <w:szCs w:val="21"/>
        </w:rPr>
        <w:t>hepatosomatic index (HSI) and intraperitoneal fat ratio (IPF) (</w:t>
      </w:r>
      <w:r>
        <w:rPr>
          <w:i/>
          <w:iCs/>
          <w:szCs w:val="21"/>
        </w:rPr>
        <w:t>P</w:t>
      </w:r>
      <w:r>
        <w:rPr>
          <w:szCs w:val="21"/>
        </w:rPr>
        <w:t>＜</w:t>
      </w:r>
      <w:r>
        <w:rPr>
          <w:szCs w:val="21"/>
        </w:rPr>
        <w:t xml:space="preserve">0.05). 2) There was no significant </w:t>
      </w:r>
      <w:r>
        <w:rPr>
          <w:szCs w:val="21"/>
        </w:rPr>
        <w:t>difference in the content of saturated fatty acid ( SFA) in muscle (</w:t>
      </w:r>
      <w:r>
        <w:rPr>
          <w:i/>
          <w:iCs/>
          <w:szCs w:val="21"/>
        </w:rPr>
        <w:t>P</w:t>
      </w:r>
      <w:r>
        <w:rPr>
          <w:szCs w:val="21"/>
        </w:rPr>
        <w:t>＞</w:t>
      </w:r>
      <w:r>
        <w:rPr>
          <w:szCs w:val="21"/>
        </w:rPr>
        <w:t>0.05), but the monounsaturated fatty acid (MUFA) content was significantly decreased (</w:t>
      </w:r>
      <w:r>
        <w:rPr>
          <w:i/>
          <w:iCs/>
          <w:szCs w:val="21"/>
        </w:rPr>
        <w:t>P</w:t>
      </w:r>
      <w:r>
        <w:rPr>
          <w:szCs w:val="21"/>
        </w:rPr>
        <w:t>＜</w:t>
      </w:r>
      <w:r>
        <w:rPr>
          <w:szCs w:val="21"/>
        </w:rPr>
        <w:t>0.05) and polyunsaturated fatty acids (PUFA) content was significantly increased in muscle (</w:t>
      </w:r>
      <w:r>
        <w:rPr>
          <w:i/>
          <w:iCs/>
          <w:szCs w:val="21"/>
        </w:rPr>
        <w:t>P</w:t>
      </w:r>
      <w:r>
        <w:rPr>
          <w:szCs w:val="21"/>
        </w:rPr>
        <w:t>＜</w:t>
      </w:r>
      <w:r>
        <w:rPr>
          <w:szCs w:val="21"/>
        </w:rPr>
        <w:t>0.05</w:t>
      </w:r>
      <w:r>
        <w:rPr>
          <w:szCs w:val="21"/>
        </w:rPr>
        <w:t>) after 14 d of starvation. 3) The relative expression levels of peroxisome proliferator-activated receptor α (</w:t>
      </w:r>
      <w:r>
        <w:rPr>
          <w:i/>
          <w:iCs/>
          <w:szCs w:val="21"/>
        </w:rPr>
        <w:t>PPAR</w:t>
      </w:r>
      <w:r>
        <w:rPr>
          <w:szCs w:val="21"/>
        </w:rPr>
        <w:t>α) and carnitine palmitoyl transferase 1A (</w:t>
      </w:r>
      <w:r>
        <w:rPr>
          <w:i/>
          <w:iCs/>
          <w:szCs w:val="21"/>
        </w:rPr>
        <w:t>CPT</w:t>
      </w:r>
      <w:r>
        <w:rPr>
          <w:szCs w:val="21"/>
        </w:rPr>
        <w:t>1A) genes in liver were significantly higher than those at 0 and 24 h starvation (</w:t>
      </w:r>
      <w:r>
        <w:rPr>
          <w:i/>
          <w:iCs/>
          <w:szCs w:val="21"/>
        </w:rPr>
        <w:t>P</w:t>
      </w:r>
      <w:r>
        <w:rPr>
          <w:szCs w:val="21"/>
        </w:rPr>
        <w:t>＜</w:t>
      </w:r>
      <w:r>
        <w:rPr>
          <w:szCs w:val="21"/>
        </w:rPr>
        <w:t>0.05)</w:t>
      </w:r>
      <w:r>
        <w:rPr>
          <w:szCs w:val="21"/>
        </w:rPr>
        <w:t>，</w:t>
      </w:r>
      <w:r>
        <w:rPr>
          <w:szCs w:val="21"/>
        </w:rPr>
        <w:t>and t</w:t>
      </w:r>
      <w:r>
        <w:rPr>
          <w:szCs w:val="21"/>
        </w:rPr>
        <w:t>hat of fatty acid synthetase (</w:t>
      </w:r>
      <w:r>
        <w:rPr>
          <w:i/>
          <w:iCs/>
          <w:szCs w:val="21"/>
        </w:rPr>
        <w:t>FAS</w:t>
      </w:r>
      <w:r>
        <w:rPr>
          <w:szCs w:val="21"/>
        </w:rPr>
        <w:t>) was significantly lower than that at 0 and 24 h starvation (</w:t>
      </w:r>
      <w:r>
        <w:rPr>
          <w:i/>
          <w:iCs/>
          <w:szCs w:val="21"/>
        </w:rPr>
        <w:t>P</w:t>
      </w:r>
      <w:r>
        <w:rPr>
          <w:szCs w:val="21"/>
        </w:rPr>
        <w:t>＜</w:t>
      </w:r>
      <w:r>
        <w:rPr>
          <w:szCs w:val="21"/>
        </w:rPr>
        <w:t>0.05)</w:t>
      </w:r>
      <w:r>
        <w:rPr>
          <w:szCs w:val="21"/>
        </w:rPr>
        <w:t>．</w:t>
      </w:r>
      <w:r>
        <w:rPr>
          <w:szCs w:val="21"/>
        </w:rPr>
        <w:t xml:space="preserve"> The relative expression level of acyl-CoA oxidase (</w:t>
      </w:r>
      <w:r>
        <w:rPr>
          <w:i/>
          <w:iCs/>
          <w:szCs w:val="21"/>
        </w:rPr>
        <w:t>ACO</w:t>
      </w:r>
      <w:r>
        <w:rPr>
          <w:szCs w:val="21"/>
        </w:rPr>
        <w:t>) gene at 24 h and 14</w:t>
      </w:r>
      <w:r>
        <w:rPr>
          <w:szCs w:val="21"/>
        </w:rPr>
        <w:t>，</w:t>
      </w:r>
      <w:r>
        <w:rPr>
          <w:szCs w:val="21"/>
        </w:rPr>
        <w:t>42 d of starvation had no significant change (</w:t>
      </w:r>
      <w:r>
        <w:rPr>
          <w:i/>
          <w:iCs/>
          <w:szCs w:val="21"/>
        </w:rPr>
        <w:t>P</w:t>
      </w:r>
      <w:r>
        <w:rPr>
          <w:szCs w:val="21"/>
        </w:rPr>
        <w:t>＞</w:t>
      </w:r>
      <w:r>
        <w:rPr>
          <w:szCs w:val="21"/>
        </w:rPr>
        <w:t>0.05)</w:t>
      </w:r>
      <w:r>
        <w:rPr>
          <w:szCs w:val="21"/>
        </w:rPr>
        <w:t>，</w:t>
      </w:r>
      <w:r>
        <w:rPr>
          <w:szCs w:val="21"/>
        </w:rPr>
        <w:t xml:space="preserve">but was significantly </w:t>
      </w:r>
      <w:r>
        <w:rPr>
          <w:szCs w:val="21"/>
        </w:rPr>
        <w:t>higher than that at 0 h of starvation (</w:t>
      </w:r>
      <w:r>
        <w:rPr>
          <w:i/>
          <w:iCs/>
          <w:szCs w:val="21"/>
        </w:rPr>
        <w:t>P</w:t>
      </w:r>
      <w:r>
        <w:rPr>
          <w:szCs w:val="21"/>
        </w:rPr>
        <w:t>＜</w:t>
      </w:r>
      <w:r>
        <w:rPr>
          <w:szCs w:val="21"/>
        </w:rPr>
        <w:t xml:space="preserve"> 0.05) </w:t>
      </w:r>
      <w:r>
        <w:rPr>
          <w:szCs w:val="21"/>
        </w:rPr>
        <w:t>．</w:t>
      </w:r>
      <w:r>
        <w:rPr>
          <w:szCs w:val="21"/>
        </w:rPr>
        <w:t xml:space="preserve"> Experimental investigation shows that the starvation stress decrease CF</w:t>
      </w:r>
      <w:r>
        <w:rPr>
          <w:szCs w:val="21"/>
        </w:rPr>
        <w:t>，</w:t>
      </w:r>
      <w:r>
        <w:rPr>
          <w:szCs w:val="21"/>
        </w:rPr>
        <w:t>HSI</w:t>
      </w:r>
      <w:r>
        <w:rPr>
          <w:szCs w:val="21"/>
        </w:rPr>
        <w:t>，</w:t>
      </w:r>
      <w:r>
        <w:rPr>
          <w:szCs w:val="21"/>
        </w:rPr>
        <w:t>IPF and VSI</w:t>
      </w:r>
      <w:r>
        <w:rPr>
          <w:szCs w:val="21"/>
        </w:rPr>
        <w:t>，</w:t>
      </w:r>
      <w:r>
        <w:rPr>
          <w:szCs w:val="21"/>
        </w:rPr>
        <w:t>affect the composition of fatty acids</w:t>
      </w:r>
      <w:r>
        <w:rPr>
          <w:szCs w:val="21"/>
        </w:rPr>
        <w:t>，</w:t>
      </w:r>
      <w:r>
        <w:rPr>
          <w:szCs w:val="21"/>
        </w:rPr>
        <w:t>promote the catabolism of fat and inhibit the anabolism of lipid</w:t>
      </w:r>
      <w:r>
        <w:rPr>
          <w:szCs w:val="21"/>
        </w:rPr>
        <w:t>．</w:t>
      </w:r>
    </w:p>
    <w:p w14:paraId="53E59C37" w14:textId="77777777" w:rsidR="004F39F6" w:rsidRDefault="00731C67">
      <w:pPr>
        <w:rPr>
          <w:i/>
          <w:iCs/>
          <w:szCs w:val="21"/>
        </w:rPr>
      </w:pPr>
      <w:r>
        <w:rPr>
          <w:b/>
          <w:bCs/>
          <w:szCs w:val="21"/>
        </w:rPr>
        <w:t>Key words</w:t>
      </w:r>
      <w:r>
        <w:rPr>
          <w:szCs w:val="21"/>
        </w:rPr>
        <w:t>：</w:t>
      </w:r>
      <w:proofErr w:type="spellStart"/>
      <w:proofErr w:type="gramStart"/>
      <w:r>
        <w:rPr>
          <w:szCs w:val="21"/>
        </w:rPr>
        <w:t>A.</w:t>
      </w:r>
      <w:r>
        <w:rPr>
          <w:i/>
          <w:iCs/>
          <w:szCs w:val="21"/>
        </w:rPr>
        <w:t>gr</w:t>
      </w:r>
      <w:r>
        <w:rPr>
          <w:i/>
          <w:iCs/>
          <w:szCs w:val="21"/>
        </w:rPr>
        <w:t>unniens</w:t>
      </w:r>
      <w:proofErr w:type="spellEnd"/>
      <w:proofErr w:type="gramEnd"/>
      <w:r>
        <w:rPr>
          <w:szCs w:val="21"/>
        </w:rPr>
        <w:t>;  growth; fatty acid;  fat metabolism;  starvation stress</w:t>
      </w:r>
    </w:p>
    <w:p w14:paraId="2AA6D86D" w14:textId="77777777" w:rsidR="004F39F6" w:rsidRDefault="004F39F6">
      <w:pPr>
        <w:spacing w:line="360" w:lineRule="auto"/>
        <w:ind w:firstLineChars="200" w:firstLine="480"/>
        <w:rPr>
          <w:sz w:val="24"/>
        </w:rPr>
      </w:pPr>
    </w:p>
    <w:p w14:paraId="5DC99D65" w14:textId="77777777" w:rsidR="004F39F6" w:rsidRDefault="00731C67">
      <w:pPr>
        <w:spacing w:line="360" w:lineRule="auto"/>
        <w:ind w:firstLineChars="200" w:firstLine="480"/>
        <w:rPr>
          <w:sz w:val="24"/>
        </w:rPr>
      </w:pPr>
      <w:r>
        <w:rPr>
          <w:sz w:val="24"/>
        </w:rPr>
        <w:t>淡水石首鱼</w:t>
      </w:r>
      <w:r>
        <w:rPr>
          <w:sz w:val="24"/>
        </w:rPr>
        <w:t>(</w:t>
      </w:r>
      <w:proofErr w:type="spellStart"/>
      <w:r>
        <w:rPr>
          <w:i/>
          <w:iCs/>
          <w:sz w:val="24"/>
        </w:rPr>
        <w:t>Aplodinotus</w:t>
      </w:r>
      <w:proofErr w:type="spellEnd"/>
      <w:r>
        <w:rPr>
          <w:i/>
          <w:iCs/>
          <w:sz w:val="24"/>
        </w:rPr>
        <w:t xml:space="preserve"> </w:t>
      </w:r>
      <w:proofErr w:type="spellStart"/>
      <w:r>
        <w:rPr>
          <w:i/>
          <w:iCs/>
          <w:sz w:val="24"/>
        </w:rPr>
        <w:t>grunniens</w:t>
      </w:r>
      <w:proofErr w:type="spellEnd"/>
      <w:r>
        <w:rPr>
          <w:sz w:val="24"/>
        </w:rPr>
        <w:t>)</w:t>
      </w:r>
      <w:r>
        <w:rPr>
          <w:sz w:val="24"/>
        </w:rPr>
        <w:t>，又名淡水大黄鱼，属鲈形目</w:t>
      </w:r>
      <w:r>
        <w:rPr>
          <w:sz w:val="24"/>
        </w:rPr>
        <w:t>(Perciformes)</w:t>
      </w:r>
      <w:r>
        <w:rPr>
          <w:sz w:val="24"/>
        </w:rPr>
        <w:t>，石首鱼科</w:t>
      </w:r>
      <w:r>
        <w:rPr>
          <w:sz w:val="24"/>
        </w:rPr>
        <w:t>(</w:t>
      </w:r>
      <w:proofErr w:type="spellStart"/>
      <w:r>
        <w:rPr>
          <w:sz w:val="24"/>
        </w:rPr>
        <w:t>Sciaenidae</w:t>
      </w:r>
      <w:proofErr w:type="spellEnd"/>
      <w:r>
        <w:rPr>
          <w:sz w:val="24"/>
        </w:rPr>
        <w:t>)</w:t>
      </w:r>
      <w:r>
        <w:rPr>
          <w:sz w:val="24"/>
        </w:rPr>
        <w:t>，原产于北美洲且终生生活在淡水中</w:t>
      </w:r>
      <w:r>
        <w:rPr>
          <w:sz w:val="24"/>
          <w:vertAlign w:val="superscript"/>
        </w:rPr>
        <w:t>[1]</w:t>
      </w:r>
      <w:r>
        <w:rPr>
          <w:sz w:val="24"/>
        </w:rPr>
        <w:t>。淡水石首鱼属于底栖性鱼类，</w:t>
      </w:r>
      <w:r>
        <w:rPr>
          <w:sz w:val="24"/>
        </w:rPr>
        <w:t>杂食偏肉食性，适应性强，具有生长速度快、营养丰富、肉味鲜美、无肌间刺的等优点，人工养殖前景广阔</w:t>
      </w:r>
      <w:r>
        <w:rPr>
          <w:sz w:val="24"/>
          <w:vertAlign w:val="superscript"/>
        </w:rPr>
        <w:t>[2]</w:t>
      </w:r>
      <w:r>
        <w:rPr>
          <w:sz w:val="24"/>
        </w:rPr>
        <w:t>。目前国内外有关淡水石首鱼的基础研究报道比较缺乏。中国水产科学研究院淡水渔业研究中心自</w:t>
      </w:r>
      <w:r>
        <w:rPr>
          <w:sz w:val="24"/>
        </w:rPr>
        <w:t>2016</w:t>
      </w:r>
      <w:r>
        <w:rPr>
          <w:sz w:val="24"/>
        </w:rPr>
        <w:t>年从美国引进淡水石首鱼进行养殖及繁育研究。养殖过程中发现，淡水石首鱼对人工配合饲料的利用率较为低下，容易受到饥饿胁迫的影响，解剖发现其肝脏及腹部易沉积脂肪，影响淡水石首鱼生理健康。</w:t>
      </w:r>
    </w:p>
    <w:p w14:paraId="1AA816B1" w14:textId="77777777" w:rsidR="004F39F6" w:rsidRDefault="00731C67">
      <w:pPr>
        <w:spacing w:line="360" w:lineRule="auto"/>
        <w:ind w:firstLineChars="200" w:firstLine="480"/>
        <w:rPr>
          <w:sz w:val="24"/>
        </w:rPr>
      </w:pPr>
      <w:r>
        <w:rPr>
          <w:sz w:val="24"/>
        </w:rPr>
        <w:t>近年来，随着集约化水产养殖模式的快速发展，养殖产量不断提高，但水产品的安全问题日益突出。为降低养殖成本，水产养殖过程中普遍使用高脂或高糖</w:t>
      </w:r>
      <w:r>
        <w:rPr>
          <w:sz w:val="24"/>
        </w:rPr>
        <w:t>饲料，导致鱼类肝脏和腹部脂肪沉积</w:t>
      </w:r>
      <w:r>
        <w:rPr>
          <w:sz w:val="24"/>
          <w:vertAlign w:val="superscript"/>
        </w:rPr>
        <w:t>[3-5]</w:t>
      </w:r>
      <w:r>
        <w:rPr>
          <w:sz w:val="24"/>
        </w:rPr>
        <w:t>，影响鱼体的正常代谢，进而降低免疫及抗氧化性，最终导致生长受</w:t>
      </w:r>
      <w:r>
        <w:rPr>
          <w:sz w:val="24"/>
        </w:rPr>
        <w:lastRenderedPageBreak/>
        <w:t>阻，严重时导致死亡</w:t>
      </w:r>
      <w:r>
        <w:rPr>
          <w:sz w:val="24"/>
          <w:vertAlign w:val="superscript"/>
        </w:rPr>
        <w:t>[6]</w:t>
      </w:r>
      <w:r>
        <w:rPr>
          <w:sz w:val="24"/>
        </w:rPr>
        <w:t>。肝脏作为鱼类主要代谢器官，对维持鱼类正常代谢及稳态有重大作用</w:t>
      </w:r>
      <w:r>
        <w:rPr>
          <w:sz w:val="24"/>
          <w:vertAlign w:val="superscript"/>
        </w:rPr>
        <w:t>[7]</w:t>
      </w:r>
      <w:r>
        <w:rPr>
          <w:sz w:val="24"/>
        </w:rPr>
        <w:t>。鱼类肝脏脂肪沉积成因较为复杂，目前认为主要是由于饲料中营养素失衡和抗脂肪肝营养物质的缺乏</w:t>
      </w:r>
      <w:r>
        <w:rPr>
          <w:sz w:val="24"/>
          <w:vertAlign w:val="superscript"/>
        </w:rPr>
        <w:t>[8]</w:t>
      </w:r>
      <w:r>
        <w:rPr>
          <w:sz w:val="24"/>
        </w:rPr>
        <w:t>。肝脏脂肪沉积会影响鱼体健康，使鱼类抵抗力下降</w:t>
      </w:r>
      <w:r>
        <w:rPr>
          <w:sz w:val="24"/>
          <w:vertAlign w:val="superscript"/>
        </w:rPr>
        <w:t>[9]</w:t>
      </w:r>
      <w:r>
        <w:rPr>
          <w:sz w:val="24"/>
        </w:rPr>
        <w:t>。因此为切实解决鱼类肝脏和腹部脂肪过度沉积，对于鱼类健康养殖具有重要意义。李钰等</w:t>
      </w:r>
      <w:r>
        <w:rPr>
          <w:sz w:val="24"/>
          <w:vertAlign w:val="superscript"/>
        </w:rPr>
        <w:t>[10]</w:t>
      </w:r>
      <w:r>
        <w:rPr>
          <w:sz w:val="24"/>
        </w:rPr>
        <w:t>通过高脂投喂构建斑马鱼营养型脂肪肝探讨肝脏代谢变化。此外，已有相关研究报道饥饿不仅</w:t>
      </w:r>
      <w:r>
        <w:rPr>
          <w:sz w:val="24"/>
        </w:rPr>
        <w:t>可以降低肝脏脂肪含量</w:t>
      </w:r>
      <w:r>
        <w:rPr>
          <w:sz w:val="24"/>
          <w:vertAlign w:val="superscript"/>
        </w:rPr>
        <w:t>[11]</w:t>
      </w:r>
      <w:r>
        <w:rPr>
          <w:sz w:val="24"/>
        </w:rPr>
        <w:t>，还可以改善鱼体肌肉品质</w:t>
      </w:r>
      <w:r>
        <w:rPr>
          <w:sz w:val="24"/>
          <w:vertAlign w:val="superscript"/>
        </w:rPr>
        <w:t>[12]</w:t>
      </w:r>
      <w:r>
        <w:rPr>
          <w:sz w:val="24"/>
        </w:rPr>
        <w:t>。脂肪作为储能最高的营养物质，是鱼类在饥饿胁迫时主要能量来源</w:t>
      </w:r>
      <w:r>
        <w:rPr>
          <w:sz w:val="24"/>
          <w:vertAlign w:val="superscript"/>
        </w:rPr>
        <w:t>[13-14]</w:t>
      </w:r>
      <w:r>
        <w:rPr>
          <w:sz w:val="24"/>
        </w:rPr>
        <w:t>。饥饿胁迫可以阻断动物体的外源食物补给，因此在饥饿胁迫下，探讨鱼类对营养物质代谢规律具有重要意义。</w:t>
      </w:r>
    </w:p>
    <w:p w14:paraId="3D7B4677" w14:textId="77777777" w:rsidR="004F39F6" w:rsidRDefault="00731C67">
      <w:pPr>
        <w:spacing w:line="360" w:lineRule="auto"/>
        <w:ind w:firstLineChars="200" w:firstLine="480"/>
        <w:rPr>
          <w:sz w:val="24"/>
        </w:rPr>
      </w:pPr>
      <w:r>
        <w:rPr>
          <w:sz w:val="24"/>
        </w:rPr>
        <w:t>本研究以淡水石首鱼为研究对象，主要研究了淡水石首鱼在饥饿过程中内脏的重量变化、肌肉脂肪酸的变化以及肝脏脂肪代谢相关基因表达的变化，以期对淡水石首鱼健康养殖以及建立合理的投喂制度提供基础资料。</w:t>
      </w:r>
    </w:p>
    <w:p w14:paraId="3D4B059E" w14:textId="77777777" w:rsidR="004F39F6" w:rsidRDefault="00731C67">
      <w:pPr>
        <w:pStyle w:val="af3"/>
        <w:numPr>
          <w:ilvl w:val="0"/>
          <w:numId w:val="2"/>
        </w:numPr>
        <w:spacing w:line="360" w:lineRule="auto"/>
        <w:ind w:firstLineChars="0"/>
        <w:rPr>
          <w:rFonts w:ascii="Times New Roman" w:eastAsia="宋体" w:hAnsi="Times New Roman" w:cs="Times New Roman"/>
          <w:sz w:val="24"/>
        </w:rPr>
      </w:pPr>
      <w:r>
        <w:rPr>
          <w:rFonts w:ascii="Times New Roman" w:eastAsia="宋体" w:hAnsi="Times New Roman" w:cs="Times New Roman"/>
          <w:sz w:val="24"/>
        </w:rPr>
        <w:t>材料与方法</w:t>
      </w:r>
    </w:p>
    <w:p w14:paraId="022355B2" w14:textId="77777777" w:rsidR="004F39F6" w:rsidRDefault="00731C67">
      <w:pPr>
        <w:spacing w:line="360" w:lineRule="auto"/>
        <w:rPr>
          <w:sz w:val="24"/>
        </w:rPr>
      </w:pPr>
      <w:r>
        <w:rPr>
          <w:sz w:val="24"/>
        </w:rPr>
        <w:t xml:space="preserve">1.1  </w:t>
      </w:r>
      <w:r>
        <w:rPr>
          <w:sz w:val="24"/>
        </w:rPr>
        <w:t>试验材料</w:t>
      </w:r>
    </w:p>
    <w:p w14:paraId="209B323B" w14:textId="77777777" w:rsidR="004F39F6" w:rsidRDefault="00731C67">
      <w:pPr>
        <w:spacing w:line="360" w:lineRule="auto"/>
        <w:ind w:firstLineChars="200" w:firstLine="480"/>
        <w:rPr>
          <w:sz w:val="24"/>
        </w:rPr>
      </w:pPr>
      <w:r>
        <w:rPr>
          <w:sz w:val="24"/>
        </w:rPr>
        <w:t>试验用鱼为中国水产科学研究院淡水渔业研究中心</w:t>
      </w:r>
      <w:r>
        <w:rPr>
          <w:sz w:val="24"/>
        </w:rPr>
        <w:t>2016</w:t>
      </w:r>
      <w:r>
        <w:rPr>
          <w:sz w:val="24"/>
        </w:rPr>
        <w:t>年</w:t>
      </w:r>
      <w:r>
        <w:rPr>
          <w:sz w:val="24"/>
        </w:rPr>
        <w:t>从美国引进第</w:t>
      </w:r>
      <w:r>
        <w:rPr>
          <w:sz w:val="24"/>
        </w:rPr>
        <w:t>1</w:t>
      </w:r>
      <w:r>
        <w:rPr>
          <w:sz w:val="24"/>
        </w:rPr>
        <w:t>批淡水石首鱼所繁育的子二代苗种。淡水石首鱼取自中国水产科学研究院淡水渔业研究中心江阴试验基地。</w:t>
      </w:r>
    </w:p>
    <w:p w14:paraId="7CE2CD7C" w14:textId="77777777" w:rsidR="004F39F6" w:rsidRDefault="00731C67">
      <w:pPr>
        <w:pStyle w:val="af3"/>
        <w:numPr>
          <w:ilvl w:val="1"/>
          <w:numId w:val="2"/>
        </w:numPr>
        <w:spacing w:line="360" w:lineRule="auto"/>
        <w:ind w:firstLineChars="0"/>
        <w:rPr>
          <w:rFonts w:ascii="Times New Roman" w:eastAsia="宋体" w:hAnsi="Times New Roman" w:cs="Times New Roman"/>
          <w:sz w:val="24"/>
          <w:szCs w:val="24"/>
        </w:rPr>
      </w:pPr>
      <w:bookmarkStart w:id="31" w:name="_Hlk93781472"/>
      <w:r>
        <w:rPr>
          <w:rFonts w:ascii="Times New Roman" w:eastAsia="宋体" w:hAnsi="Times New Roman" w:cs="Times New Roman"/>
          <w:sz w:val="24"/>
          <w:szCs w:val="24"/>
        </w:rPr>
        <w:t xml:space="preserve">  </w:t>
      </w:r>
      <w:bookmarkEnd w:id="31"/>
      <w:r>
        <w:rPr>
          <w:rFonts w:ascii="Times New Roman" w:eastAsia="宋体" w:hAnsi="Times New Roman" w:cs="Times New Roman"/>
          <w:sz w:val="24"/>
          <w:szCs w:val="24"/>
        </w:rPr>
        <w:t>试验设计与饲料管理</w:t>
      </w:r>
    </w:p>
    <w:p w14:paraId="23F20CE7" w14:textId="77777777" w:rsidR="004F39F6" w:rsidRDefault="00731C67">
      <w:pPr>
        <w:spacing w:line="360" w:lineRule="auto"/>
        <w:ind w:firstLineChars="200" w:firstLine="480"/>
        <w:rPr>
          <w:sz w:val="24"/>
        </w:rPr>
      </w:pPr>
      <w:r>
        <w:rPr>
          <w:sz w:val="24"/>
        </w:rPr>
        <w:t>饥饿胁迫试验在中国水产科学研究院淡水渔业研究中心</w:t>
      </w:r>
      <w:r>
        <w:rPr>
          <w:sz w:val="24"/>
        </w:rPr>
        <w:t>(</w:t>
      </w:r>
      <w:r>
        <w:rPr>
          <w:sz w:val="24"/>
        </w:rPr>
        <w:t>南泉基地</w:t>
      </w:r>
      <w:r>
        <w:rPr>
          <w:sz w:val="24"/>
        </w:rPr>
        <w:t>)</w:t>
      </w:r>
      <w:r>
        <w:rPr>
          <w:sz w:val="24"/>
        </w:rPr>
        <w:t>室内循环养殖系统</w:t>
      </w:r>
      <w:r>
        <w:rPr>
          <w:sz w:val="24"/>
        </w:rPr>
        <w:t>(</w:t>
      </w:r>
      <w:r>
        <w:rPr>
          <w:sz w:val="24"/>
        </w:rPr>
        <w:t>规格为</w:t>
      </w:r>
      <w:r>
        <w:rPr>
          <w:sz w:val="24"/>
        </w:rPr>
        <w:t>820mm×700mm)</w:t>
      </w:r>
      <w:r>
        <w:rPr>
          <w:sz w:val="24"/>
        </w:rPr>
        <w:t>中进行。试验鱼暂养</w:t>
      </w:r>
      <w:r>
        <w:rPr>
          <w:sz w:val="24"/>
        </w:rPr>
        <w:t>2</w:t>
      </w:r>
      <w:r>
        <w:rPr>
          <w:sz w:val="24"/>
        </w:rPr>
        <w:t>月，期间连续投喂鲜活饵料</w:t>
      </w:r>
      <w:r>
        <w:rPr>
          <w:sz w:val="24"/>
        </w:rPr>
        <w:t>(</w:t>
      </w:r>
      <w:r>
        <w:rPr>
          <w:sz w:val="24"/>
        </w:rPr>
        <w:t>活虾</w:t>
      </w:r>
      <w:r>
        <w:rPr>
          <w:sz w:val="24"/>
        </w:rPr>
        <w:t>)</w:t>
      </w:r>
      <w:r>
        <w:rPr>
          <w:sz w:val="24"/>
        </w:rPr>
        <w:t>至表观饱食，投喂量为鱼体总重的</w:t>
      </w:r>
      <w:r>
        <w:rPr>
          <w:sz w:val="24"/>
        </w:rPr>
        <w:t>3%</w:t>
      </w:r>
      <w:r>
        <w:rPr>
          <w:sz w:val="24"/>
        </w:rPr>
        <w:t>～</w:t>
      </w:r>
      <w:r>
        <w:rPr>
          <w:sz w:val="24"/>
        </w:rPr>
        <w:t>5%</w:t>
      </w:r>
      <w:r>
        <w:rPr>
          <w:sz w:val="24"/>
        </w:rPr>
        <w:t>；选择活力强、体重均匀淡水石首鱼</w:t>
      </w:r>
      <w:r>
        <w:rPr>
          <w:sz w:val="24"/>
        </w:rPr>
        <w:t>180</w:t>
      </w:r>
      <w:r>
        <w:rPr>
          <w:sz w:val="24"/>
        </w:rPr>
        <w:t>尾进行饿胁迫试验，初始平均体重为</w:t>
      </w:r>
      <w:r>
        <w:rPr>
          <w:sz w:val="24"/>
        </w:rPr>
        <w:t>20.88±0.91)g</w:t>
      </w:r>
      <w:r>
        <w:rPr>
          <w:sz w:val="24"/>
        </w:rPr>
        <w:t>，设置</w:t>
      </w:r>
      <w:r>
        <w:rPr>
          <w:sz w:val="24"/>
        </w:rPr>
        <w:t>3</w:t>
      </w:r>
      <w:r>
        <w:rPr>
          <w:sz w:val="24"/>
        </w:rPr>
        <w:t>个重复，每个重复</w:t>
      </w:r>
      <w:r>
        <w:rPr>
          <w:sz w:val="24"/>
        </w:rPr>
        <w:t>60</w:t>
      </w:r>
      <w:r>
        <w:rPr>
          <w:sz w:val="24"/>
        </w:rPr>
        <w:t>尾；饥饿时间为</w:t>
      </w:r>
      <w:r>
        <w:rPr>
          <w:sz w:val="24"/>
        </w:rPr>
        <w:t>0</w:t>
      </w:r>
      <w:r>
        <w:rPr>
          <w:sz w:val="24"/>
        </w:rPr>
        <w:t>、</w:t>
      </w:r>
      <w:r>
        <w:rPr>
          <w:sz w:val="24"/>
        </w:rPr>
        <w:t>1</w:t>
      </w:r>
      <w:r>
        <w:rPr>
          <w:sz w:val="24"/>
        </w:rPr>
        <w:t>、</w:t>
      </w:r>
      <w:r>
        <w:rPr>
          <w:sz w:val="24"/>
        </w:rPr>
        <w:t>4</w:t>
      </w:r>
      <w:r>
        <w:rPr>
          <w:sz w:val="24"/>
        </w:rPr>
        <w:t>、</w:t>
      </w:r>
      <w:r>
        <w:rPr>
          <w:sz w:val="24"/>
        </w:rPr>
        <w:t>8</w:t>
      </w:r>
      <w:r>
        <w:rPr>
          <w:sz w:val="24"/>
        </w:rPr>
        <w:t>、</w:t>
      </w:r>
      <w:r>
        <w:rPr>
          <w:sz w:val="24"/>
        </w:rPr>
        <w:t>12</w:t>
      </w:r>
      <w:r>
        <w:rPr>
          <w:sz w:val="24"/>
        </w:rPr>
        <w:t>、</w:t>
      </w:r>
      <w:r>
        <w:rPr>
          <w:sz w:val="24"/>
        </w:rPr>
        <w:t>24</w:t>
      </w:r>
      <w:r>
        <w:rPr>
          <w:sz w:val="24"/>
        </w:rPr>
        <w:t>、</w:t>
      </w:r>
      <w:r>
        <w:rPr>
          <w:sz w:val="24"/>
        </w:rPr>
        <w:t>36</w:t>
      </w:r>
      <w:r>
        <w:rPr>
          <w:sz w:val="24"/>
        </w:rPr>
        <w:t>、</w:t>
      </w:r>
      <w:r>
        <w:rPr>
          <w:sz w:val="24"/>
        </w:rPr>
        <w:t>48h</w:t>
      </w:r>
      <w:r>
        <w:rPr>
          <w:sz w:val="24"/>
        </w:rPr>
        <w:t>及</w:t>
      </w:r>
      <w:r>
        <w:rPr>
          <w:sz w:val="24"/>
        </w:rPr>
        <w:t>3</w:t>
      </w:r>
      <w:r>
        <w:rPr>
          <w:sz w:val="24"/>
        </w:rPr>
        <w:t>、</w:t>
      </w:r>
      <w:r>
        <w:rPr>
          <w:sz w:val="24"/>
        </w:rPr>
        <w:t>4</w:t>
      </w:r>
      <w:r>
        <w:rPr>
          <w:sz w:val="24"/>
        </w:rPr>
        <w:t>、</w:t>
      </w:r>
      <w:r>
        <w:rPr>
          <w:sz w:val="24"/>
        </w:rPr>
        <w:t>6</w:t>
      </w:r>
      <w:r>
        <w:rPr>
          <w:sz w:val="24"/>
        </w:rPr>
        <w:t>、</w:t>
      </w:r>
      <w:r>
        <w:rPr>
          <w:sz w:val="24"/>
        </w:rPr>
        <w:t>10</w:t>
      </w:r>
      <w:r>
        <w:rPr>
          <w:sz w:val="24"/>
        </w:rPr>
        <w:t>、</w:t>
      </w:r>
      <w:r>
        <w:rPr>
          <w:sz w:val="24"/>
        </w:rPr>
        <w:t>14</w:t>
      </w:r>
      <w:r>
        <w:rPr>
          <w:sz w:val="24"/>
        </w:rPr>
        <w:t>、</w:t>
      </w:r>
      <w:r>
        <w:rPr>
          <w:sz w:val="24"/>
        </w:rPr>
        <w:t>21</w:t>
      </w:r>
      <w:r>
        <w:rPr>
          <w:sz w:val="24"/>
        </w:rPr>
        <w:t>、</w:t>
      </w:r>
      <w:r>
        <w:rPr>
          <w:sz w:val="24"/>
        </w:rPr>
        <w:t>28</w:t>
      </w:r>
      <w:r>
        <w:rPr>
          <w:sz w:val="24"/>
        </w:rPr>
        <w:t>、</w:t>
      </w:r>
      <w:r>
        <w:rPr>
          <w:sz w:val="24"/>
        </w:rPr>
        <w:t>42d</w:t>
      </w:r>
      <w:r>
        <w:rPr>
          <w:sz w:val="24"/>
        </w:rPr>
        <w:t>。养殖期间每隔</w:t>
      </w:r>
      <w:r>
        <w:rPr>
          <w:sz w:val="24"/>
        </w:rPr>
        <w:t>3d</w:t>
      </w:r>
      <w:r>
        <w:rPr>
          <w:sz w:val="24"/>
        </w:rPr>
        <w:t>进行换水排污，保持水温</w:t>
      </w:r>
      <w:r>
        <w:rPr>
          <w:sz w:val="24"/>
        </w:rPr>
        <w:t>(26±1)℃</w:t>
      </w:r>
      <w:r>
        <w:rPr>
          <w:sz w:val="24"/>
        </w:rPr>
        <w:t>，</w:t>
      </w:r>
      <w:r>
        <w:rPr>
          <w:sz w:val="24"/>
        </w:rPr>
        <w:t>pH7.2</w:t>
      </w:r>
      <w:r>
        <w:rPr>
          <w:sz w:val="24"/>
        </w:rPr>
        <w:t>～</w:t>
      </w:r>
      <w:r>
        <w:rPr>
          <w:sz w:val="24"/>
        </w:rPr>
        <w:t>7.8</w:t>
      </w:r>
      <w:r>
        <w:rPr>
          <w:sz w:val="24"/>
        </w:rPr>
        <w:t>，溶解氧浓度＞</w:t>
      </w:r>
      <w:r>
        <w:rPr>
          <w:sz w:val="24"/>
        </w:rPr>
        <w:t>6m</w:t>
      </w:r>
      <w:r>
        <w:rPr>
          <w:sz w:val="24"/>
        </w:rPr>
        <w:t>g/L</w:t>
      </w:r>
      <w:r>
        <w:rPr>
          <w:sz w:val="24"/>
        </w:rPr>
        <w:t>，氨氮浓度＜</w:t>
      </w:r>
      <w:r>
        <w:rPr>
          <w:sz w:val="24"/>
        </w:rPr>
        <w:t>0.05mg/L</w:t>
      </w:r>
      <w:r>
        <w:rPr>
          <w:sz w:val="24"/>
        </w:rPr>
        <w:t>，饥饿试验进行</w:t>
      </w:r>
      <w:r>
        <w:rPr>
          <w:sz w:val="24"/>
        </w:rPr>
        <w:t>42d</w:t>
      </w:r>
      <w:r>
        <w:rPr>
          <w:sz w:val="24"/>
        </w:rPr>
        <w:t>，试验期间</w:t>
      </w:r>
      <w:proofErr w:type="gramStart"/>
      <w:r>
        <w:rPr>
          <w:sz w:val="24"/>
        </w:rPr>
        <w:t>不</w:t>
      </w:r>
      <w:proofErr w:type="gramEnd"/>
      <w:r>
        <w:rPr>
          <w:sz w:val="24"/>
        </w:rPr>
        <w:t>投喂。</w:t>
      </w:r>
    </w:p>
    <w:p w14:paraId="17E5C154" w14:textId="77777777" w:rsidR="004F39F6" w:rsidRDefault="00731C67">
      <w:pPr>
        <w:pStyle w:val="af3"/>
        <w:numPr>
          <w:ilvl w:val="1"/>
          <w:numId w:val="2"/>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样品采集</w:t>
      </w:r>
    </w:p>
    <w:p w14:paraId="64366AF6" w14:textId="77777777" w:rsidR="004F39F6" w:rsidRDefault="00731C67">
      <w:pPr>
        <w:spacing w:line="360" w:lineRule="auto"/>
        <w:ind w:firstLineChars="200" w:firstLine="480"/>
        <w:rPr>
          <w:sz w:val="24"/>
        </w:rPr>
      </w:pPr>
      <w:r>
        <w:rPr>
          <w:sz w:val="24"/>
        </w:rPr>
        <w:t>分别在饥饿</w:t>
      </w:r>
      <w:r>
        <w:rPr>
          <w:sz w:val="24"/>
        </w:rPr>
        <w:t>0</w:t>
      </w:r>
      <w:r>
        <w:rPr>
          <w:sz w:val="24"/>
        </w:rPr>
        <w:t>、</w:t>
      </w:r>
      <w:r>
        <w:rPr>
          <w:sz w:val="24"/>
        </w:rPr>
        <w:t>1</w:t>
      </w:r>
      <w:r>
        <w:rPr>
          <w:sz w:val="24"/>
        </w:rPr>
        <w:t>、</w:t>
      </w:r>
      <w:r>
        <w:rPr>
          <w:sz w:val="24"/>
        </w:rPr>
        <w:t>4</w:t>
      </w:r>
      <w:r>
        <w:rPr>
          <w:sz w:val="24"/>
        </w:rPr>
        <w:t>、</w:t>
      </w:r>
      <w:r>
        <w:rPr>
          <w:sz w:val="24"/>
        </w:rPr>
        <w:t>8</w:t>
      </w:r>
      <w:r>
        <w:rPr>
          <w:sz w:val="24"/>
        </w:rPr>
        <w:t>、</w:t>
      </w:r>
      <w:r>
        <w:rPr>
          <w:sz w:val="24"/>
        </w:rPr>
        <w:t>12</w:t>
      </w:r>
      <w:r>
        <w:rPr>
          <w:sz w:val="24"/>
        </w:rPr>
        <w:t>、</w:t>
      </w:r>
      <w:r>
        <w:rPr>
          <w:sz w:val="24"/>
        </w:rPr>
        <w:t>24</w:t>
      </w:r>
      <w:r>
        <w:rPr>
          <w:sz w:val="24"/>
        </w:rPr>
        <w:t>、</w:t>
      </w:r>
      <w:r>
        <w:rPr>
          <w:sz w:val="24"/>
        </w:rPr>
        <w:t>36</w:t>
      </w:r>
      <w:r>
        <w:rPr>
          <w:sz w:val="24"/>
        </w:rPr>
        <w:t>、</w:t>
      </w:r>
      <w:r>
        <w:rPr>
          <w:sz w:val="24"/>
        </w:rPr>
        <w:t>48h</w:t>
      </w:r>
      <w:r>
        <w:rPr>
          <w:sz w:val="24"/>
        </w:rPr>
        <w:t>及</w:t>
      </w:r>
      <w:r>
        <w:rPr>
          <w:sz w:val="24"/>
        </w:rPr>
        <w:t>3</w:t>
      </w:r>
      <w:r>
        <w:rPr>
          <w:sz w:val="24"/>
        </w:rPr>
        <w:t>、</w:t>
      </w:r>
      <w:r>
        <w:rPr>
          <w:sz w:val="24"/>
        </w:rPr>
        <w:t>4</w:t>
      </w:r>
      <w:r>
        <w:rPr>
          <w:sz w:val="24"/>
        </w:rPr>
        <w:t>、</w:t>
      </w:r>
      <w:r>
        <w:rPr>
          <w:sz w:val="24"/>
        </w:rPr>
        <w:t>6</w:t>
      </w:r>
      <w:r>
        <w:rPr>
          <w:sz w:val="24"/>
        </w:rPr>
        <w:t>、</w:t>
      </w:r>
      <w:r>
        <w:rPr>
          <w:sz w:val="24"/>
        </w:rPr>
        <w:t>10</w:t>
      </w:r>
      <w:r>
        <w:rPr>
          <w:sz w:val="24"/>
        </w:rPr>
        <w:t>、</w:t>
      </w:r>
      <w:r>
        <w:rPr>
          <w:sz w:val="24"/>
        </w:rPr>
        <w:t>14</w:t>
      </w:r>
      <w:r>
        <w:rPr>
          <w:sz w:val="24"/>
        </w:rPr>
        <w:t>、</w:t>
      </w:r>
      <w:r>
        <w:rPr>
          <w:sz w:val="24"/>
        </w:rPr>
        <w:t>21</w:t>
      </w:r>
      <w:r>
        <w:rPr>
          <w:sz w:val="24"/>
        </w:rPr>
        <w:t>、</w:t>
      </w:r>
      <w:r>
        <w:rPr>
          <w:sz w:val="24"/>
        </w:rPr>
        <w:t>28</w:t>
      </w:r>
      <w:r>
        <w:rPr>
          <w:sz w:val="24"/>
        </w:rPr>
        <w:t>、</w:t>
      </w:r>
      <w:r>
        <w:rPr>
          <w:sz w:val="24"/>
        </w:rPr>
        <w:t>42d</w:t>
      </w:r>
      <w:r>
        <w:rPr>
          <w:sz w:val="24"/>
        </w:rPr>
        <w:t>时采集样本，每个重复随机采集</w:t>
      </w:r>
      <w:r>
        <w:rPr>
          <w:sz w:val="24"/>
        </w:rPr>
        <w:t>3</w:t>
      </w:r>
      <w:r>
        <w:rPr>
          <w:sz w:val="24"/>
        </w:rPr>
        <w:t>尾，每个饥饿时间点共采集</w:t>
      </w:r>
      <w:r>
        <w:rPr>
          <w:sz w:val="24"/>
        </w:rPr>
        <w:t>9</w:t>
      </w:r>
      <w:r>
        <w:rPr>
          <w:sz w:val="24"/>
        </w:rPr>
        <w:t>尾。立即放入含有</w:t>
      </w:r>
      <w:r>
        <w:rPr>
          <w:sz w:val="24"/>
        </w:rPr>
        <w:t>0.1mg/L</w:t>
      </w:r>
      <w:r>
        <w:rPr>
          <w:sz w:val="24"/>
        </w:rPr>
        <w:t>丁香油的水桶中，麻醉后，测量体长、体重。解剖称量肝重、腹部脂肪重、内脏重，取其肝脏，液氮速冻后，放置于</w:t>
      </w:r>
      <w:r>
        <w:rPr>
          <w:sz w:val="24"/>
        </w:rPr>
        <w:t>-80℃</w:t>
      </w:r>
      <w:r>
        <w:rPr>
          <w:sz w:val="24"/>
        </w:rPr>
        <w:t>，用于脂肪代谢基因表达检测。取其侧线上、下</w:t>
      </w:r>
      <w:r>
        <w:rPr>
          <w:sz w:val="24"/>
        </w:rPr>
        <w:t>1cm</w:t>
      </w:r>
      <w:r>
        <w:rPr>
          <w:sz w:val="24"/>
        </w:rPr>
        <w:t>左右背部肌</w:t>
      </w:r>
      <w:r>
        <w:rPr>
          <w:sz w:val="24"/>
        </w:rPr>
        <w:lastRenderedPageBreak/>
        <w:t>肉，置入密封袋中，于</w:t>
      </w:r>
      <w:r>
        <w:rPr>
          <w:sz w:val="24"/>
        </w:rPr>
        <w:t>-20℃</w:t>
      </w:r>
      <w:r>
        <w:rPr>
          <w:sz w:val="24"/>
        </w:rPr>
        <w:t>冰箱中保存，用于测定肌肉脂肪酸组成。</w:t>
      </w:r>
    </w:p>
    <w:p w14:paraId="16B24918" w14:textId="77777777" w:rsidR="004F39F6" w:rsidRDefault="00731C67">
      <w:pPr>
        <w:pStyle w:val="af3"/>
        <w:numPr>
          <w:ilvl w:val="1"/>
          <w:numId w:val="2"/>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指标测</w:t>
      </w:r>
      <w:r>
        <w:rPr>
          <w:rFonts w:ascii="Times New Roman" w:eastAsia="宋体" w:hAnsi="Times New Roman" w:cs="Times New Roman"/>
          <w:sz w:val="24"/>
          <w:szCs w:val="24"/>
        </w:rPr>
        <w:t>定与分析</w:t>
      </w:r>
    </w:p>
    <w:p w14:paraId="50AADC82" w14:textId="77777777" w:rsidR="004F39F6" w:rsidRDefault="00731C67">
      <w:pPr>
        <w:pStyle w:val="af3"/>
        <w:numPr>
          <w:ilvl w:val="2"/>
          <w:numId w:val="2"/>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形态指标测定</w:t>
      </w:r>
    </w:p>
    <w:p w14:paraId="45DA494F" w14:textId="77777777" w:rsidR="004F39F6" w:rsidRDefault="00731C67">
      <w:pPr>
        <w:spacing w:line="360" w:lineRule="auto"/>
        <w:jc w:val="center"/>
        <w:rPr>
          <w:sz w:val="24"/>
        </w:rPr>
      </w:pPr>
      <w:r>
        <w:rPr>
          <w:sz w:val="24"/>
        </w:rPr>
        <w:t>肥满度</w:t>
      </w:r>
      <w:r>
        <w:rPr>
          <w:sz w:val="24"/>
        </w:rPr>
        <w:t>(CF</w:t>
      </w:r>
      <w:r>
        <w:rPr>
          <w:sz w:val="24"/>
        </w:rPr>
        <w:t>，</w:t>
      </w:r>
      <w:r>
        <w:rPr>
          <w:sz w:val="24"/>
        </w:rPr>
        <w:t>g/cm</w:t>
      </w:r>
      <w:r>
        <w:rPr>
          <w:sz w:val="24"/>
          <w:vertAlign w:val="superscript"/>
        </w:rPr>
        <w:t>3</w:t>
      </w:r>
      <w:r>
        <w:rPr>
          <w:sz w:val="24"/>
        </w:rPr>
        <w:t>) = (W /L</w:t>
      </w:r>
      <w:r>
        <w:rPr>
          <w:sz w:val="24"/>
          <w:vertAlign w:val="superscript"/>
        </w:rPr>
        <w:t>3</w:t>
      </w:r>
      <w:r>
        <w:rPr>
          <w:sz w:val="24"/>
        </w:rPr>
        <w:t xml:space="preserve"> ) ×100</w:t>
      </w:r>
      <w:r>
        <w:rPr>
          <w:sz w:val="24"/>
        </w:rPr>
        <w:t>；</w:t>
      </w:r>
    </w:p>
    <w:p w14:paraId="623B2C9F" w14:textId="77777777" w:rsidR="004F39F6" w:rsidRDefault="00731C67">
      <w:pPr>
        <w:spacing w:line="360" w:lineRule="auto"/>
        <w:jc w:val="center"/>
        <w:rPr>
          <w:sz w:val="24"/>
        </w:rPr>
      </w:pPr>
      <w:proofErr w:type="gramStart"/>
      <w:r>
        <w:rPr>
          <w:sz w:val="24"/>
        </w:rPr>
        <w:t>腹脂比</w:t>
      </w:r>
      <w:proofErr w:type="gramEnd"/>
      <w:r>
        <w:rPr>
          <w:sz w:val="24"/>
        </w:rPr>
        <w:t>(IPF</w:t>
      </w:r>
      <w:r>
        <w:rPr>
          <w:sz w:val="24"/>
        </w:rPr>
        <w:t>，</w:t>
      </w:r>
      <w:r>
        <w:rPr>
          <w:sz w:val="24"/>
        </w:rPr>
        <w:t>%) = (W</w:t>
      </w:r>
      <w:r>
        <w:rPr>
          <w:sz w:val="24"/>
          <w:vertAlign w:val="subscript"/>
        </w:rPr>
        <w:t>i</w:t>
      </w:r>
      <w:r>
        <w:rPr>
          <w:sz w:val="24"/>
        </w:rPr>
        <w:t xml:space="preserve"> /W) ×100</w:t>
      </w:r>
      <w:r>
        <w:rPr>
          <w:sz w:val="24"/>
        </w:rPr>
        <w:t>；</w:t>
      </w:r>
    </w:p>
    <w:p w14:paraId="132BB033" w14:textId="77777777" w:rsidR="004F39F6" w:rsidRDefault="00731C67">
      <w:pPr>
        <w:spacing w:line="360" w:lineRule="auto"/>
        <w:jc w:val="center"/>
        <w:rPr>
          <w:sz w:val="24"/>
        </w:rPr>
      </w:pPr>
      <w:r>
        <w:rPr>
          <w:sz w:val="24"/>
        </w:rPr>
        <w:t>肝体比</w:t>
      </w:r>
      <w:r>
        <w:rPr>
          <w:sz w:val="24"/>
        </w:rPr>
        <w:t>(HIS</w:t>
      </w:r>
      <w:r>
        <w:rPr>
          <w:sz w:val="24"/>
        </w:rPr>
        <w:t>，</w:t>
      </w:r>
      <w:r>
        <w:rPr>
          <w:sz w:val="24"/>
        </w:rPr>
        <w:t>%) = (</w:t>
      </w:r>
      <w:proofErr w:type="spellStart"/>
      <w:r>
        <w:rPr>
          <w:sz w:val="24"/>
        </w:rPr>
        <w:t>W</w:t>
      </w:r>
      <w:r>
        <w:rPr>
          <w:sz w:val="24"/>
          <w:vertAlign w:val="subscript"/>
        </w:rPr>
        <w:t>h</w:t>
      </w:r>
      <w:proofErr w:type="spellEnd"/>
      <w:r>
        <w:rPr>
          <w:sz w:val="24"/>
          <w:vertAlign w:val="subscript"/>
        </w:rPr>
        <w:t xml:space="preserve"> </w:t>
      </w:r>
      <w:r>
        <w:rPr>
          <w:sz w:val="24"/>
        </w:rPr>
        <w:t>/W) ×100</w:t>
      </w:r>
      <w:r>
        <w:rPr>
          <w:sz w:val="24"/>
        </w:rPr>
        <w:t>；</w:t>
      </w:r>
    </w:p>
    <w:p w14:paraId="0E133F3D" w14:textId="77777777" w:rsidR="004F39F6" w:rsidRDefault="00731C67">
      <w:pPr>
        <w:spacing w:line="360" w:lineRule="auto"/>
        <w:jc w:val="center"/>
        <w:rPr>
          <w:sz w:val="24"/>
        </w:rPr>
      </w:pPr>
      <w:r>
        <w:rPr>
          <w:sz w:val="24"/>
        </w:rPr>
        <w:t>脏体比</w:t>
      </w:r>
      <w:r>
        <w:rPr>
          <w:sz w:val="24"/>
        </w:rPr>
        <w:t>(VSI</w:t>
      </w:r>
      <w:r>
        <w:rPr>
          <w:sz w:val="24"/>
        </w:rPr>
        <w:t>，</w:t>
      </w:r>
      <w:r>
        <w:rPr>
          <w:sz w:val="24"/>
        </w:rPr>
        <w:t>%) = (W</w:t>
      </w:r>
      <w:r>
        <w:rPr>
          <w:sz w:val="24"/>
          <w:vertAlign w:val="subscript"/>
        </w:rPr>
        <w:t>v</w:t>
      </w:r>
      <w:r>
        <w:rPr>
          <w:sz w:val="24"/>
        </w:rPr>
        <w:t xml:space="preserve"> /W) ×100</w:t>
      </w:r>
      <w:r>
        <w:rPr>
          <w:sz w:val="24"/>
        </w:rPr>
        <w:t>。</w:t>
      </w:r>
    </w:p>
    <w:p w14:paraId="136DCF2B" w14:textId="77777777" w:rsidR="004F39F6" w:rsidRDefault="00731C67">
      <w:pPr>
        <w:spacing w:line="360" w:lineRule="auto"/>
        <w:ind w:firstLineChars="200" w:firstLine="480"/>
        <w:rPr>
          <w:sz w:val="24"/>
        </w:rPr>
      </w:pPr>
      <w:r>
        <w:rPr>
          <w:sz w:val="24"/>
        </w:rPr>
        <w:t>式中：</w:t>
      </w:r>
      <w:r>
        <w:rPr>
          <w:sz w:val="24"/>
        </w:rPr>
        <w:t>W</w:t>
      </w:r>
      <w:r>
        <w:rPr>
          <w:sz w:val="24"/>
        </w:rPr>
        <w:t>为鱼体质量</w:t>
      </w:r>
      <w:r>
        <w:rPr>
          <w:sz w:val="24"/>
        </w:rPr>
        <w:t>(g)</w:t>
      </w:r>
      <w:r>
        <w:rPr>
          <w:sz w:val="24"/>
        </w:rPr>
        <w:t>；</w:t>
      </w:r>
      <w:r>
        <w:rPr>
          <w:sz w:val="24"/>
        </w:rPr>
        <w:t>L</w:t>
      </w:r>
      <w:r>
        <w:rPr>
          <w:sz w:val="24"/>
        </w:rPr>
        <w:t>为鱼体长</w:t>
      </w:r>
      <w:r>
        <w:rPr>
          <w:sz w:val="24"/>
        </w:rPr>
        <w:t>(cm)</w:t>
      </w:r>
      <w:r>
        <w:rPr>
          <w:sz w:val="24"/>
        </w:rPr>
        <w:t>；</w:t>
      </w:r>
      <w:r>
        <w:rPr>
          <w:sz w:val="24"/>
        </w:rPr>
        <w:t>W</w:t>
      </w:r>
      <w:r>
        <w:rPr>
          <w:sz w:val="24"/>
          <w:vertAlign w:val="subscript"/>
        </w:rPr>
        <w:t>i</w:t>
      </w:r>
      <w:r>
        <w:rPr>
          <w:sz w:val="24"/>
        </w:rPr>
        <w:t>为鱼腹腔脂肪重</w:t>
      </w:r>
      <w:r>
        <w:rPr>
          <w:sz w:val="24"/>
        </w:rPr>
        <w:t>(g)</w:t>
      </w:r>
      <w:r>
        <w:rPr>
          <w:sz w:val="24"/>
        </w:rPr>
        <w:t>；</w:t>
      </w:r>
      <w:proofErr w:type="spellStart"/>
      <w:r>
        <w:rPr>
          <w:sz w:val="24"/>
        </w:rPr>
        <w:t>W</w:t>
      </w:r>
      <w:r>
        <w:rPr>
          <w:sz w:val="24"/>
          <w:vertAlign w:val="subscript"/>
        </w:rPr>
        <w:t>h</w:t>
      </w:r>
      <w:proofErr w:type="spellEnd"/>
      <w:r>
        <w:rPr>
          <w:sz w:val="24"/>
        </w:rPr>
        <w:t>为鱼肝脏重</w:t>
      </w:r>
      <w:r>
        <w:rPr>
          <w:sz w:val="24"/>
        </w:rPr>
        <w:t>(g)</w:t>
      </w:r>
      <w:r>
        <w:rPr>
          <w:sz w:val="24"/>
        </w:rPr>
        <w:t>；</w:t>
      </w:r>
      <w:r>
        <w:rPr>
          <w:sz w:val="24"/>
        </w:rPr>
        <w:t>W</w:t>
      </w:r>
      <w:r>
        <w:rPr>
          <w:sz w:val="24"/>
          <w:vertAlign w:val="subscript"/>
        </w:rPr>
        <w:t>v</w:t>
      </w:r>
      <w:r>
        <w:rPr>
          <w:sz w:val="24"/>
        </w:rPr>
        <w:t>为鱼内脏重</w:t>
      </w:r>
      <w:r>
        <w:rPr>
          <w:sz w:val="24"/>
        </w:rPr>
        <w:t>(g)</w:t>
      </w:r>
      <w:r>
        <w:rPr>
          <w:sz w:val="24"/>
        </w:rPr>
        <w:t>。</w:t>
      </w:r>
    </w:p>
    <w:p w14:paraId="76B16D73" w14:textId="77777777" w:rsidR="004F39F6" w:rsidRDefault="00731C67">
      <w:pPr>
        <w:pStyle w:val="af3"/>
        <w:numPr>
          <w:ilvl w:val="2"/>
          <w:numId w:val="2"/>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肌肉脂肪酸组成测定</w:t>
      </w:r>
    </w:p>
    <w:p w14:paraId="0FC0C3E6" w14:textId="77777777" w:rsidR="004F39F6" w:rsidRDefault="00731C67">
      <w:pPr>
        <w:spacing w:line="360" w:lineRule="auto"/>
        <w:ind w:firstLineChars="200" w:firstLine="480"/>
        <w:rPr>
          <w:sz w:val="24"/>
        </w:rPr>
      </w:pPr>
      <w:r>
        <w:rPr>
          <w:sz w:val="24"/>
        </w:rPr>
        <w:t>肌肉样品真空冷冻干燥</w:t>
      </w:r>
      <w:r>
        <w:rPr>
          <w:sz w:val="24"/>
        </w:rPr>
        <w:t>48h</w:t>
      </w:r>
      <w:r>
        <w:rPr>
          <w:sz w:val="24"/>
        </w:rPr>
        <w:t>，研磨粉碎，干燥。制备好肌肉样品采用氯仿</w:t>
      </w:r>
      <w:r>
        <w:rPr>
          <w:sz w:val="24"/>
        </w:rPr>
        <w:t>∶</w:t>
      </w:r>
      <w:r>
        <w:rPr>
          <w:sz w:val="24"/>
        </w:rPr>
        <w:t>甲醇</w:t>
      </w:r>
      <w:r>
        <w:rPr>
          <w:sz w:val="24"/>
        </w:rPr>
        <w:t>∶</w:t>
      </w:r>
      <w:r>
        <w:rPr>
          <w:sz w:val="24"/>
        </w:rPr>
        <w:t>水</w:t>
      </w:r>
      <w:r>
        <w:rPr>
          <w:sz w:val="24"/>
        </w:rPr>
        <w:t>= 2∶2∶1</w:t>
      </w:r>
      <w:r>
        <w:rPr>
          <w:sz w:val="24"/>
        </w:rPr>
        <w:t>抽提总脂肪，采用氢氧化钾－甲醇对脂肪酸甲酯化，再用正庚烷萃取脂肪酸甲酯。样品经</w:t>
      </w:r>
      <w:proofErr w:type="gramStart"/>
      <w:r>
        <w:rPr>
          <w:sz w:val="24"/>
        </w:rPr>
        <w:t>皂化甲</w:t>
      </w:r>
      <w:proofErr w:type="gramEnd"/>
      <w:r>
        <w:rPr>
          <w:sz w:val="24"/>
        </w:rPr>
        <w:t>酯化后，用气相色谱</w:t>
      </w:r>
      <w:r>
        <w:rPr>
          <w:sz w:val="24"/>
        </w:rPr>
        <w:t>—</w:t>
      </w:r>
      <w:r>
        <w:rPr>
          <w:sz w:val="24"/>
        </w:rPr>
        <w:t>质谱仪</w:t>
      </w:r>
      <w:r>
        <w:rPr>
          <w:sz w:val="24"/>
        </w:rPr>
        <w:t>(Agilent 7890B</w:t>
      </w:r>
      <w:r>
        <w:rPr>
          <w:sz w:val="24"/>
        </w:rPr>
        <w:t>－</w:t>
      </w:r>
      <w:r>
        <w:rPr>
          <w:sz w:val="24"/>
        </w:rPr>
        <w:t>597R7A)</w:t>
      </w:r>
      <w:r>
        <w:rPr>
          <w:sz w:val="24"/>
        </w:rPr>
        <w:t>进行分析。采用面积归一化法测定淡水石首鱼肌肉样品脂肪酸组成及含量。</w:t>
      </w:r>
    </w:p>
    <w:p w14:paraId="7128106A" w14:textId="77777777" w:rsidR="004F39F6" w:rsidRDefault="00731C67">
      <w:pPr>
        <w:spacing w:line="360" w:lineRule="auto"/>
        <w:rPr>
          <w:sz w:val="24"/>
        </w:rPr>
      </w:pPr>
      <w:r>
        <w:rPr>
          <w:sz w:val="24"/>
        </w:rPr>
        <w:t xml:space="preserve">1.4.3  </w:t>
      </w:r>
      <w:r>
        <w:rPr>
          <w:sz w:val="24"/>
        </w:rPr>
        <w:t>肝脏脂肪代谢相关基因表达测定</w:t>
      </w:r>
    </w:p>
    <w:p w14:paraId="290AA5C0" w14:textId="77777777" w:rsidR="004F39F6" w:rsidRDefault="00731C67">
      <w:pPr>
        <w:spacing w:line="360" w:lineRule="auto"/>
        <w:ind w:firstLineChars="200" w:firstLine="480"/>
        <w:rPr>
          <w:sz w:val="24"/>
        </w:rPr>
      </w:pPr>
      <w:r>
        <w:rPr>
          <w:sz w:val="24"/>
        </w:rPr>
        <w:t>用</w:t>
      </w:r>
      <w:proofErr w:type="spellStart"/>
      <w:r>
        <w:rPr>
          <w:sz w:val="24"/>
        </w:rPr>
        <w:t>Trizol</w:t>
      </w:r>
      <w:proofErr w:type="spellEnd"/>
      <w:r>
        <w:rPr>
          <w:sz w:val="24"/>
        </w:rPr>
        <w:t>试剂提取总</w:t>
      </w:r>
      <w:r>
        <w:rPr>
          <w:sz w:val="24"/>
        </w:rPr>
        <w:t>RNA</w:t>
      </w:r>
      <w:r>
        <w:rPr>
          <w:sz w:val="24"/>
        </w:rPr>
        <w:t>。提取的</w:t>
      </w:r>
      <w:r>
        <w:rPr>
          <w:sz w:val="24"/>
        </w:rPr>
        <w:t>RNA</w:t>
      </w:r>
      <w:r>
        <w:rPr>
          <w:sz w:val="24"/>
        </w:rPr>
        <w:t>使用超微量分光光度计测量吸光度</w:t>
      </w:r>
      <w:r>
        <w:rPr>
          <w:sz w:val="24"/>
        </w:rPr>
        <w:t>OD)</w:t>
      </w:r>
      <w:r>
        <w:rPr>
          <w:sz w:val="24"/>
          <w:vertAlign w:val="subscript"/>
        </w:rPr>
        <w:t>260 /280</w:t>
      </w:r>
      <w:r>
        <w:rPr>
          <w:sz w:val="24"/>
        </w:rPr>
        <w:t>的比值及</w:t>
      </w:r>
      <w:r>
        <w:rPr>
          <w:sz w:val="24"/>
        </w:rPr>
        <w:t>RNA</w:t>
      </w:r>
      <w:r>
        <w:rPr>
          <w:sz w:val="24"/>
        </w:rPr>
        <w:t>浓度，</w:t>
      </w:r>
      <w:r>
        <w:rPr>
          <w:sz w:val="24"/>
        </w:rPr>
        <w:t>OD</w:t>
      </w:r>
      <w:r>
        <w:rPr>
          <w:sz w:val="24"/>
          <w:vertAlign w:val="subscript"/>
        </w:rPr>
        <w:t>260/280</w:t>
      </w:r>
      <w:r>
        <w:rPr>
          <w:sz w:val="24"/>
        </w:rPr>
        <w:t>比值均在</w:t>
      </w:r>
      <w:r>
        <w:rPr>
          <w:sz w:val="24"/>
        </w:rPr>
        <w:t>1.80</w:t>
      </w:r>
      <w:r>
        <w:rPr>
          <w:sz w:val="24"/>
        </w:rPr>
        <w:t>～</w:t>
      </w:r>
      <w:r>
        <w:rPr>
          <w:sz w:val="24"/>
        </w:rPr>
        <w:t>2.</w:t>
      </w:r>
      <w:r>
        <w:rPr>
          <w:sz w:val="24"/>
        </w:rPr>
        <w:t>00</w:t>
      </w:r>
      <w:r>
        <w:rPr>
          <w:sz w:val="24"/>
        </w:rPr>
        <w:t>，</w:t>
      </w:r>
      <w:r>
        <w:rPr>
          <w:sz w:val="24"/>
        </w:rPr>
        <w:t>NA</w:t>
      </w:r>
      <w:r>
        <w:rPr>
          <w:sz w:val="24"/>
        </w:rPr>
        <w:t>可用于</w:t>
      </w:r>
      <w:r>
        <w:rPr>
          <w:sz w:val="24"/>
        </w:rPr>
        <w:t>cDNA</w:t>
      </w:r>
      <w:r>
        <w:rPr>
          <w:sz w:val="24"/>
        </w:rPr>
        <w:t>反转录。</w:t>
      </w:r>
    </w:p>
    <w:p w14:paraId="18857851" w14:textId="77777777" w:rsidR="004F39F6" w:rsidRDefault="00731C67">
      <w:pPr>
        <w:spacing w:line="360" w:lineRule="auto"/>
        <w:jc w:val="center"/>
        <w:rPr>
          <w:sz w:val="24"/>
        </w:rPr>
      </w:pPr>
      <w:r>
        <w:rPr>
          <w:noProof/>
          <w:sz w:val="24"/>
        </w:rPr>
        <w:drawing>
          <wp:inline distT="0" distB="0" distL="0" distR="0" wp14:anchorId="74BFF274" wp14:editId="02C54CF2">
            <wp:extent cx="5502275" cy="2292985"/>
            <wp:effectExtent l="0" t="0" r="9525"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4"/>
                    <a:stretch>
                      <a:fillRect/>
                    </a:stretch>
                  </pic:blipFill>
                  <pic:spPr>
                    <a:xfrm>
                      <a:off x="0" y="0"/>
                      <a:ext cx="5502275" cy="2292985"/>
                    </a:xfrm>
                    <a:prstGeom prst="rect">
                      <a:avLst/>
                    </a:prstGeom>
                  </pic:spPr>
                </pic:pic>
              </a:graphicData>
            </a:graphic>
          </wp:inline>
        </w:drawing>
      </w:r>
    </w:p>
    <w:p w14:paraId="53656C6E" w14:textId="77777777" w:rsidR="004F39F6" w:rsidRDefault="00731C67">
      <w:pPr>
        <w:spacing w:line="360" w:lineRule="auto"/>
        <w:ind w:firstLineChars="200" w:firstLine="480"/>
        <w:rPr>
          <w:sz w:val="24"/>
        </w:rPr>
      </w:pPr>
      <w:r>
        <w:rPr>
          <w:sz w:val="24"/>
        </w:rPr>
        <w:t>cDNA</w:t>
      </w:r>
      <w:r>
        <w:rPr>
          <w:sz w:val="24"/>
        </w:rPr>
        <w:t>合成按照</w:t>
      </w:r>
      <w:proofErr w:type="spellStart"/>
      <w:r>
        <w:rPr>
          <w:sz w:val="24"/>
        </w:rPr>
        <w:t>PrimeScript</w:t>
      </w:r>
      <w:proofErr w:type="spellEnd"/>
      <w:r>
        <w:rPr>
          <w:sz w:val="24"/>
        </w:rPr>
        <w:t xml:space="preserve"> </w:t>
      </w:r>
      <w:r>
        <w:rPr>
          <w:sz w:val="24"/>
          <w:vertAlign w:val="superscript"/>
        </w:rPr>
        <w:t>TM</w:t>
      </w:r>
      <w:r>
        <w:rPr>
          <w:sz w:val="24"/>
        </w:rPr>
        <w:t xml:space="preserve"> RT reagent Kit with gDNA Eraser ( Perfect Real Time )(</w:t>
      </w:r>
      <w:r>
        <w:rPr>
          <w:sz w:val="24"/>
        </w:rPr>
        <w:t>大</w:t>
      </w:r>
      <w:r>
        <w:rPr>
          <w:sz w:val="24"/>
        </w:rPr>
        <w:t xml:space="preserve"> </w:t>
      </w:r>
      <w:r>
        <w:rPr>
          <w:sz w:val="24"/>
        </w:rPr>
        <w:t>连</w:t>
      </w:r>
      <w:proofErr w:type="spellStart"/>
      <w:r>
        <w:rPr>
          <w:sz w:val="24"/>
        </w:rPr>
        <w:t>TaKaRa</w:t>
      </w:r>
      <w:proofErr w:type="spellEnd"/>
      <w:r>
        <w:rPr>
          <w:sz w:val="24"/>
        </w:rPr>
        <w:t xml:space="preserve"> </w:t>
      </w:r>
      <w:r>
        <w:rPr>
          <w:sz w:val="24"/>
        </w:rPr>
        <w:t>有限公司</w:t>
      </w:r>
      <w:r>
        <w:rPr>
          <w:sz w:val="24"/>
        </w:rPr>
        <w:t>)</w:t>
      </w:r>
      <w:r>
        <w:rPr>
          <w:sz w:val="24"/>
        </w:rPr>
        <w:t>说明书进行操作。</w:t>
      </w:r>
      <w:proofErr w:type="gramStart"/>
      <w:r>
        <w:rPr>
          <w:sz w:val="24"/>
        </w:rPr>
        <w:t>反应分</w:t>
      </w:r>
      <w:proofErr w:type="gramEnd"/>
      <w:r>
        <w:rPr>
          <w:sz w:val="24"/>
        </w:rPr>
        <w:t>2</w:t>
      </w:r>
      <w:r>
        <w:rPr>
          <w:sz w:val="24"/>
        </w:rPr>
        <w:t>步进行。第</w:t>
      </w:r>
      <w:r>
        <w:rPr>
          <w:sz w:val="24"/>
        </w:rPr>
        <w:t>1</w:t>
      </w:r>
      <w:r>
        <w:rPr>
          <w:sz w:val="24"/>
        </w:rPr>
        <w:t>步是去除基因组</w:t>
      </w:r>
      <w:r>
        <w:rPr>
          <w:sz w:val="24"/>
        </w:rPr>
        <w:t>DNA</w:t>
      </w:r>
      <w:r>
        <w:rPr>
          <w:sz w:val="24"/>
        </w:rPr>
        <w:t>，反应体系：</w:t>
      </w:r>
      <w:r>
        <w:rPr>
          <w:sz w:val="24"/>
        </w:rPr>
        <w:t xml:space="preserve">5×g DNA Eraser Buffer 2.0 </w:t>
      </w:r>
      <w:proofErr w:type="spellStart"/>
      <w:r>
        <w:rPr>
          <w:sz w:val="24"/>
        </w:rPr>
        <w:t>μL</w:t>
      </w:r>
      <w:proofErr w:type="spellEnd"/>
      <w:r>
        <w:rPr>
          <w:sz w:val="24"/>
        </w:rPr>
        <w:t>、</w:t>
      </w:r>
      <w:r>
        <w:rPr>
          <w:sz w:val="24"/>
        </w:rPr>
        <w:t xml:space="preserve">gDNA Eraser 1.0 </w:t>
      </w:r>
      <w:proofErr w:type="spellStart"/>
      <w:r>
        <w:rPr>
          <w:sz w:val="24"/>
        </w:rPr>
        <w:t>μL</w:t>
      </w:r>
      <w:proofErr w:type="spellEnd"/>
      <w:r>
        <w:rPr>
          <w:sz w:val="24"/>
        </w:rPr>
        <w:t>、</w:t>
      </w:r>
      <w:r>
        <w:rPr>
          <w:sz w:val="24"/>
        </w:rPr>
        <w:t>RNA 1μg /</w:t>
      </w:r>
      <w:proofErr w:type="spellStart"/>
      <w:r>
        <w:rPr>
          <w:sz w:val="24"/>
        </w:rPr>
        <w:t>μL</w:t>
      </w:r>
      <w:proofErr w:type="spellEnd"/>
      <w:r>
        <w:rPr>
          <w:sz w:val="24"/>
        </w:rPr>
        <w:t>、补</w:t>
      </w:r>
      <w:r>
        <w:rPr>
          <w:sz w:val="24"/>
        </w:rPr>
        <w:t>RNA Free dH</w:t>
      </w:r>
      <w:r>
        <w:rPr>
          <w:sz w:val="24"/>
          <w:vertAlign w:val="subscript"/>
        </w:rPr>
        <w:t>2</w:t>
      </w:r>
      <w:r>
        <w:rPr>
          <w:sz w:val="24"/>
        </w:rPr>
        <w:t>O</w:t>
      </w:r>
      <w:r>
        <w:rPr>
          <w:sz w:val="24"/>
        </w:rPr>
        <w:t>至</w:t>
      </w:r>
      <w:r>
        <w:rPr>
          <w:sz w:val="24"/>
        </w:rPr>
        <w:t xml:space="preserve">10 </w:t>
      </w:r>
      <w:proofErr w:type="spellStart"/>
      <w:r>
        <w:rPr>
          <w:sz w:val="24"/>
        </w:rPr>
        <w:t>μL</w:t>
      </w:r>
      <w:proofErr w:type="spellEnd"/>
      <w:r>
        <w:rPr>
          <w:sz w:val="24"/>
        </w:rPr>
        <w:t>，反应条件为</w:t>
      </w:r>
      <w:r>
        <w:rPr>
          <w:sz w:val="24"/>
        </w:rPr>
        <w:t>42 ℃ 2 min</w:t>
      </w:r>
      <w:r>
        <w:rPr>
          <w:sz w:val="24"/>
        </w:rPr>
        <w:t>，</w:t>
      </w:r>
      <w:r>
        <w:rPr>
          <w:sz w:val="24"/>
        </w:rPr>
        <w:t>4 ℃</w:t>
      </w:r>
      <w:r>
        <w:rPr>
          <w:sz w:val="24"/>
        </w:rPr>
        <w:t>。第</w:t>
      </w:r>
      <w:r>
        <w:rPr>
          <w:sz w:val="24"/>
        </w:rPr>
        <w:t>2</w:t>
      </w:r>
      <w:r>
        <w:rPr>
          <w:sz w:val="24"/>
        </w:rPr>
        <w:t>步是反转录反应，</w:t>
      </w:r>
      <w:r>
        <w:rPr>
          <w:sz w:val="24"/>
        </w:rPr>
        <w:t>反应体系</w:t>
      </w:r>
      <w:r>
        <w:rPr>
          <w:sz w:val="24"/>
        </w:rPr>
        <w:t xml:space="preserve">: </w:t>
      </w:r>
      <w:proofErr w:type="spellStart"/>
      <w:r>
        <w:rPr>
          <w:sz w:val="24"/>
        </w:rPr>
        <w:t>PrimeScript</w:t>
      </w:r>
      <w:proofErr w:type="spellEnd"/>
      <w:r>
        <w:rPr>
          <w:sz w:val="24"/>
        </w:rPr>
        <w:t xml:space="preserve"> </w:t>
      </w:r>
      <w:r>
        <w:rPr>
          <w:sz w:val="24"/>
        </w:rPr>
        <w:lastRenderedPageBreak/>
        <w:t xml:space="preserve">RT Enzyme Mix I 1.0 </w:t>
      </w:r>
      <w:proofErr w:type="spellStart"/>
      <w:r>
        <w:rPr>
          <w:sz w:val="24"/>
        </w:rPr>
        <w:t>μL</w:t>
      </w:r>
      <w:proofErr w:type="spellEnd"/>
      <w:r>
        <w:rPr>
          <w:sz w:val="24"/>
        </w:rPr>
        <w:t>、</w:t>
      </w:r>
      <w:r>
        <w:rPr>
          <w:sz w:val="24"/>
        </w:rPr>
        <w:t xml:space="preserve">RT Primer Mix 1.0 </w:t>
      </w:r>
      <w:proofErr w:type="spellStart"/>
      <w:r>
        <w:rPr>
          <w:sz w:val="24"/>
        </w:rPr>
        <w:t>μL</w:t>
      </w:r>
      <w:proofErr w:type="spellEnd"/>
      <w:r>
        <w:rPr>
          <w:sz w:val="24"/>
        </w:rPr>
        <w:t>、</w:t>
      </w:r>
      <w:r>
        <w:rPr>
          <w:sz w:val="24"/>
        </w:rPr>
        <w:t xml:space="preserve">5×PrimeScript Buffer 2( for Real Time) 4 </w:t>
      </w:r>
      <w:proofErr w:type="spellStart"/>
      <w:r>
        <w:rPr>
          <w:sz w:val="24"/>
        </w:rPr>
        <w:t>μL</w:t>
      </w:r>
      <w:proofErr w:type="spellEnd"/>
      <w:r>
        <w:rPr>
          <w:sz w:val="24"/>
        </w:rPr>
        <w:t>、</w:t>
      </w:r>
      <w:r>
        <w:rPr>
          <w:sz w:val="24"/>
        </w:rPr>
        <w:t>RNase Free dH</w:t>
      </w:r>
      <w:r>
        <w:rPr>
          <w:sz w:val="24"/>
          <w:vertAlign w:val="subscript"/>
        </w:rPr>
        <w:t>2</w:t>
      </w:r>
      <w:r>
        <w:rPr>
          <w:sz w:val="24"/>
        </w:rPr>
        <w:t xml:space="preserve">O 4 </w:t>
      </w:r>
      <w:proofErr w:type="spellStart"/>
      <w:r>
        <w:rPr>
          <w:sz w:val="24"/>
        </w:rPr>
        <w:t>μL</w:t>
      </w:r>
      <w:proofErr w:type="spellEnd"/>
      <w:r>
        <w:rPr>
          <w:sz w:val="24"/>
        </w:rPr>
        <w:t>、步骤</w:t>
      </w:r>
      <w:r>
        <w:rPr>
          <w:sz w:val="24"/>
        </w:rPr>
        <w:t>1</w:t>
      </w:r>
      <w:r>
        <w:rPr>
          <w:sz w:val="24"/>
        </w:rPr>
        <w:t>反应液</w:t>
      </w:r>
      <w:r>
        <w:rPr>
          <w:sz w:val="24"/>
        </w:rPr>
        <w:t>10μL</w:t>
      </w:r>
      <w:r>
        <w:rPr>
          <w:sz w:val="24"/>
        </w:rPr>
        <w:t>，反应条件为</w:t>
      </w:r>
      <w:r>
        <w:rPr>
          <w:sz w:val="24"/>
        </w:rPr>
        <w:t>37 ℃ 15 min</w:t>
      </w:r>
      <w:r>
        <w:rPr>
          <w:sz w:val="24"/>
        </w:rPr>
        <w:t>，</w:t>
      </w:r>
      <w:r>
        <w:rPr>
          <w:sz w:val="24"/>
        </w:rPr>
        <w:t>85 ℃ 5 s</w:t>
      </w:r>
      <w:r>
        <w:rPr>
          <w:sz w:val="24"/>
        </w:rPr>
        <w:t>，</w:t>
      </w:r>
      <w:r>
        <w:rPr>
          <w:sz w:val="24"/>
        </w:rPr>
        <w:t>4℃</w:t>
      </w:r>
      <w:r>
        <w:rPr>
          <w:sz w:val="24"/>
        </w:rPr>
        <w:t>。</w:t>
      </w:r>
    </w:p>
    <w:p w14:paraId="74FD89DB" w14:textId="77777777" w:rsidR="004F39F6" w:rsidRDefault="00731C67">
      <w:pPr>
        <w:spacing w:line="360" w:lineRule="auto"/>
        <w:ind w:firstLineChars="200" w:firstLine="480"/>
        <w:rPr>
          <w:sz w:val="24"/>
        </w:rPr>
      </w:pPr>
      <w:r>
        <w:rPr>
          <w:sz w:val="24"/>
        </w:rPr>
        <w:t>试验所用引物均根据淡水石首鱼三代全长</w:t>
      </w:r>
      <w:proofErr w:type="gramStart"/>
      <w:r>
        <w:rPr>
          <w:sz w:val="24"/>
        </w:rPr>
        <w:t>无参转录组</w:t>
      </w:r>
      <w:proofErr w:type="gramEnd"/>
      <w:r>
        <w:rPr>
          <w:sz w:val="24"/>
        </w:rPr>
        <w:t>测序所得到的基因序列，采用</w:t>
      </w:r>
      <w:r>
        <w:rPr>
          <w:sz w:val="24"/>
        </w:rPr>
        <w:t xml:space="preserve"> Primer5</w:t>
      </w:r>
      <w:r>
        <w:rPr>
          <w:sz w:val="24"/>
        </w:rPr>
        <w:t>设计所得。引物由上海捷瑞生物工程有限公司合成，引物信息见表</w:t>
      </w:r>
      <w:r>
        <w:rPr>
          <w:sz w:val="24"/>
        </w:rPr>
        <w:t>1</w:t>
      </w:r>
      <w:r>
        <w:rPr>
          <w:sz w:val="24"/>
        </w:rPr>
        <w:t>。</w:t>
      </w:r>
    </w:p>
    <w:p w14:paraId="3D9E84DA" w14:textId="77777777" w:rsidR="004F39F6" w:rsidRDefault="00731C67">
      <w:pPr>
        <w:spacing w:line="360" w:lineRule="auto"/>
        <w:ind w:firstLineChars="200" w:firstLine="480"/>
        <w:rPr>
          <w:sz w:val="24"/>
        </w:rPr>
      </w:pPr>
      <w:r>
        <w:rPr>
          <w:sz w:val="24"/>
        </w:rPr>
        <w:t>RT-PCR</w:t>
      </w:r>
      <w:r>
        <w:rPr>
          <w:sz w:val="24"/>
        </w:rPr>
        <w:t>按照</w:t>
      </w:r>
      <w:proofErr w:type="spellStart"/>
      <w:r>
        <w:rPr>
          <w:sz w:val="24"/>
        </w:rPr>
        <w:t>Prim</w:t>
      </w:r>
      <w:r>
        <w:rPr>
          <w:sz w:val="24"/>
        </w:rPr>
        <w:t>eScript</w:t>
      </w:r>
      <w:proofErr w:type="spellEnd"/>
      <w:r>
        <w:rPr>
          <w:sz w:val="24"/>
        </w:rPr>
        <w:t xml:space="preserve"> </w:t>
      </w:r>
      <w:r>
        <w:rPr>
          <w:sz w:val="24"/>
          <w:vertAlign w:val="superscript"/>
        </w:rPr>
        <w:t>TM</w:t>
      </w:r>
      <w:r>
        <w:rPr>
          <w:sz w:val="24"/>
        </w:rPr>
        <w:t xml:space="preserve"> RT Master Mix ( Perfect Real Time) (</w:t>
      </w:r>
      <w:r>
        <w:rPr>
          <w:sz w:val="24"/>
        </w:rPr>
        <w:t>大连</w:t>
      </w:r>
      <w:r>
        <w:rPr>
          <w:sz w:val="24"/>
        </w:rPr>
        <w:t xml:space="preserve"> </w:t>
      </w:r>
      <w:proofErr w:type="spellStart"/>
      <w:r>
        <w:rPr>
          <w:sz w:val="24"/>
        </w:rPr>
        <w:t>TaKaRa</w:t>
      </w:r>
      <w:proofErr w:type="spellEnd"/>
      <w:r>
        <w:rPr>
          <w:sz w:val="24"/>
        </w:rPr>
        <w:t xml:space="preserve"> </w:t>
      </w:r>
      <w:r>
        <w:rPr>
          <w:sz w:val="24"/>
        </w:rPr>
        <w:t>有限公司</w:t>
      </w:r>
      <w:r>
        <w:rPr>
          <w:sz w:val="24"/>
        </w:rPr>
        <w:t xml:space="preserve">) </w:t>
      </w:r>
      <w:r>
        <w:rPr>
          <w:sz w:val="24"/>
        </w:rPr>
        <w:t>说明书进行操作。总反应体系</w:t>
      </w:r>
      <w:r>
        <w:rPr>
          <w:sz w:val="24"/>
        </w:rPr>
        <w:t xml:space="preserve">25 </w:t>
      </w:r>
      <w:proofErr w:type="spellStart"/>
      <w:r>
        <w:rPr>
          <w:sz w:val="24"/>
        </w:rPr>
        <w:t>μL</w:t>
      </w:r>
      <w:proofErr w:type="spellEnd"/>
      <w:r>
        <w:rPr>
          <w:sz w:val="24"/>
        </w:rPr>
        <w:t>，其中</w:t>
      </w:r>
      <w:r>
        <w:rPr>
          <w:sz w:val="24"/>
        </w:rPr>
        <w:t xml:space="preserve"> TB Green Premix Ex </w:t>
      </w:r>
      <w:proofErr w:type="spellStart"/>
      <w:r>
        <w:rPr>
          <w:sz w:val="24"/>
        </w:rPr>
        <w:t>TaqⅡ</w:t>
      </w:r>
      <w:proofErr w:type="spellEnd"/>
      <w:r>
        <w:rPr>
          <w:sz w:val="24"/>
        </w:rPr>
        <w:t xml:space="preserve">( Tli </w:t>
      </w:r>
      <w:r>
        <w:rPr>
          <w:sz w:val="24"/>
        </w:rPr>
        <w:t>Ｒ</w:t>
      </w:r>
      <w:proofErr w:type="spellStart"/>
      <w:r>
        <w:rPr>
          <w:sz w:val="24"/>
        </w:rPr>
        <w:t>NaseH</w:t>
      </w:r>
      <w:proofErr w:type="spellEnd"/>
      <w:r>
        <w:rPr>
          <w:sz w:val="24"/>
        </w:rPr>
        <w:t xml:space="preserve"> Plus) (2×) 12</w:t>
      </w:r>
      <w:r>
        <w:rPr>
          <w:sz w:val="24"/>
        </w:rPr>
        <w:t>．</w:t>
      </w:r>
      <w:r>
        <w:rPr>
          <w:sz w:val="24"/>
        </w:rPr>
        <w:t xml:space="preserve">5 </w:t>
      </w:r>
      <w:proofErr w:type="spellStart"/>
      <w:r>
        <w:rPr>
          <w:sz w:val="24"/>
        </w:rPr>
        <w:t>μL</w:t>
      </w:r>
      <w:proofErr w:type="spellEnd"/>
      <w:r>
        <w:rPr>
          <w:sz w:val="24"/>
        </w:rPr>
        <w:t>、</w:t>
      </w:r>
      <w:r>
        <w:rPr>
          <w:sz w:val="24"/>
        </w:rPr>
        <w:t xml:space="preserve">PCR Forward Primer(10 </w:t>
      </w:r>
      <w:proofErr w:type="spellStart"/>
      <w:r>
        <w:rPr>
          <w:sz w:val="24"/>
        </w:rPr>
        <w:t>μmol</w:t>
      </w:r>
      <w:proofErr w:type="spellEnd"/>
      <w:r>
        <w:rPr>
          <w:sz w:val="24"/>
        </w:rPr>
        <w:t xml:space="preserve"> /L ) 1 </w:t>
      </w:r>
      <w:proofErr w:type="spellStart"/>
      <w:r>
        <w:rPr>
          <w:sz w:val="24"/>
        </w:rPr>
        <w:t>μL</w:t>
      </w:r>
      <w:proofErr w:type="spellEnd"/>
      <w:r>
        <w:rPr>
          <w:sz w:val="24"/>
        </w:rPr>
        <w:t>、</w:t>
      </w:r>
      <w:r>
        <w:rPr>
          <w:sz w:val="24"/>
        </w:rPr>
        <w:t xml:space="preserve">PCR Reverse Primer (10μmol /L ) 1 </w:t>
      </w:r>
      <w:proofErr w:type="spellStart"/>
      <w:r>
        <w:rPr>
          <w:sz w:val="24"/>
        </w:rPr>
        <w:t>μmol</w:t>
      </w:r>
      <w:proofErr w:type="spellEnd"/>
      <w:r>
        <w:rPr>
          <w:sz w:val="24"/>
        </w:rPr>
        <w:t>/L</w:t>
      </w:r>
      <w:r>
        <w:rPr>
          <w:sz w:val="24"/>
        </w:rPr>
        <w:t>、</w:t>
      </w:r>
      <w:r>
        <w:rPr>
          <w:sz w:val="24"/>
        </w:rPr>
        <w:t>RT</w:t>
      </w:r>
      <w:r>
        <w:rPr>
          <w:sz w:val="24"/>
        </w:rPr>
        <w:t>反应液</w:t>
      </w:r>
      <w:r>
        <w:rPr>
          <w:sz w:val="24"/>
        </w:rPr>
        <w:t>(cDNA</w:t>
      </w:r>
      <w:r>
        <w:rPr>
          <w:sz w:val="24"/>
        </w:rPr>
        <w:t>溶液</w:t>
      </w:r>
      <w:r>
        <w:rPr>
          <w:sz w:val="24"/>
        </w:rPr>
        <w:t xml:space="preserve">) 2 </w:t>
      </w:r>
      <w:proofErr w:type="spellStart"/>
      <w:r>
        <w:rPr>
          <w:sz w:val="24"/>
        </w:rPr>
        <w:t>μL</w:t>
      </w:r>
      <w:proofErr w:type="spellEnd"/>
      <w:r>
        <w:rPr>
          <w:sz w:val="24"/>
        </w:rPr>
        <w:t>、灭菌水</w:t>
      </w:r>
      <w:r>
        <w:rPr>
          <w:sz w:val="24"/>
        </w:rPr>
        <w:t xml:space="preserve">8.5 </w:t>
      </w:r>
      <w:proofErr w:type="spellStart"/>
      <w:r>
        <w:rPr>
          <w:sz w:val="24"/>
        </w:rPr>
        <w:t>μL</w:t>
      </w:r>
      <w:proofErr w:type="spellEnd"/>
      <w:r>
        <w:rPr>
          <w:sz w:val="24"/>
        </w:rPr>
        <w:t>。反应条件为：预变性</w:t>
      </w:r>
      <w:r>
        <w:rPr>
          <w:sz w:val="24"/>
        </w:rPr>
        <w:t>95 ℃ 30 s; PCR</w:t>
      </w:r>
      <w:r>
        <w:rPr>
          <w:sz w:val="24"/>
        </w:rPr>
        <w:t>反应</w:t>
      </w:r>
      <w:r>
        <w:rPr>
          <w:sz w:val="24"/>
        </w:rPr>
        <w:t>95℃ 5 s</w:t>
      </w:r>
      <w:r>
        <w:rPr>
          <w:sz w:val="24"/>
        </w:rPr>
        <w:t>，</w:t>
      </w:r>
      <w:r>
        <w:rPr>
          <w:sz w:val="24"/>
        </w:rPr>
        <w:t>60℃ 30 s</w:t>
      </w:r>
      <w:r>
        <w:rPr>
          <w:sz w:val="24"/>
        </w:rPr>
        <w:t>，循环</w:t>
      </w:r>
      <w:r>
        <w:rPr>
          <w:sz w:val="24"/>
        </w:rPr>
        <w:t>40</w:t>
      </w:r>
      <w:r>
        <w:rPr>
          <w:sz w:val="24"/>
        </w:rPr>
        <w:t>次。根据三代全长</w:t>
      </w:r>
      <w:proofErr w:type="gramStart"/>
      <w:r>
        <w:rPr>
          <w:sz w:val="24"/>
        </w:rPr>
        <w:t>转录组</w:t>
      </w:r>
      <w:proofErr w:type="gramEnd"/>
      <w:r>
        <w:rPr>
          <w:sz w:val="24"/>
        </w:rPr>
        <w:t>测序数据不同组织之间基因表达量平均值、变异系数以及差异倍数筛选候选内参基因，制作候选内参的标准曲线确定扩增效率，用</w:t>
      </w:r>
      <w:proofErr w:type="spellStart"/>
      <w:r>
        <w:rPr>
          <w:sz w:val="24"/>
        </w:rPr>
        <w:t>geNorm</w:t>
      </w:r>
      <w:proofErr w:type="spellEnd"/>
      <w:r>
        <w:rPr>
          <w:sz w:val="24"/>
        </w:rPr>
        <w:t>等软件筛选</w:t>
      </w:r>
      <w:proofErr w:type="gramStart"/>
      <w:r>
        <w:rPr>
          <w:sz w:val="24"/>
        </w:rPr>
        <w:t>得到泛素折叠</w:t>
      </w:r>
      <w:proofErr w:type="gramEnd"/>
      <w:r>
        <w:rPr>
          <w:sz w:val="24"/>
        </w:rPr>
        <w:t>修饰蛋白</w:t>
      </w:r>
      <w:r>
        <w:rPr>
          <w:sz w:val="24"/>
        </w:rPr>
        <w:t>1(</w:t>
      </w:r>
      <w:r>
        <w:rPr>
          <w:i/>
          <w:iCs/>
          <w:sz w:val="24"/>
        </w:rPr>
        <w:t>ufm</w:t>
      </w:r>
      <w:r>
        <w:rPr>
          <w:sz w:val="24"/>
        </w:rPr>
        <w:t>1)</w:t>
      </w:r>
      <w:r>
        <w:rPr>
          <w:sz w:val="24"/>
        </w:rPr>
        <w:t>为相对</w:t>
      </w:r>
      <w:proofErr w:type="gramStart"/>
      <w:r>
        <w:rPr>
          <w:sz w:val="24"/>
        </w:rPr>
        <w:t>最</w:t>
      </w:r>
      <w:proofErr w:type="gramEnd"/>
      <w:r>
        <w:rPr>
          <w:sz w:val="24"/>
        </w:rPr>
        <w:t>适内参。本试验选用</w:t>
      </w:r>
      <w:r>
        <w:rPr>
          <w:sz w:val="24"/>
        </w:rPr>
        <w:t>ufm1</w:t>
      </w:r>
      <w:r>
        <w:rPr>
          <w:sz w:val="24"/>
        </w:rPr>
        <w:t>为内参，用</w:t>
      </w:r>
      <w:r>
        <w:rPr>
          <w:sz w:val="24"/>
        </w:rPr>
        <w:t>2</w:t>
      </w:r>
      <w:r>
        <w:rPr>
          <w:sz w:val="24"/>
          <w:vertAlign w:val="superscript"/>
        </w:rPr>
        <w:t>－</w:t>
      </w:r>
      <w:proofErr w:type="spellStart"/>
      <w:r>
        <w:rPr>
          <w:sz w:val="24"/>
          <w:vertAlign w:val="superscript"/>
        </w:rPr>
        <w:t>ΔΔCt</w:t>
      </w:r>
      <w:proofErr w:type="spellEnd"/>
      <w:r>
        <w:rPr>
          <w:sz w:val="24"/>
        </w:rPr>
        <w:t>法计算目的基因相对表达量。</w:t>
      </w:r>
    </w:p>
    <w:p w14:paraId="055B876D" w14:textId="77777777" w:rsidR="004F39F6" w:rsidRDefault="00731C67">
      <w:pPr>
        <w:pStyle w:val="af3"/>
        <w:numPr>
          <w:ilvl w:val="1"/>
          <w:numId w:val="2"/>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数据处理</w:t>
      </w:r>
    </w:p>
    <w:p w14:paraId="2367071D" w14:textId="77777777" w:rsidR="004F39F6" w:rsidRDefault="00731C67">
      <w:pPr>
        <w:spacing w:line="360" w:lineRule="auto"/>
        <w:ind w:firstLineChars="200" w:firstLine="480"/>
        <w:rPr>
          <w:sz w:val="24"/>
        </w:rPr>
      </w:pPr>
      <w:r>
        <w:rPr>
          <w:sz w:val="24"/>
        </w:rPr>
        <w:t>数据分析采用</w:t>
      </w:r>
      <w:r>
        <w:rPr>
          <w:sz w:val="24"/>
        </w:rPr>
        <w:t>SPSS26</w:t>
      </w:r>
      <w:r>
        <w:rPr>
          <w:sz w:val="24"/>
        </w:rPr>
        <w:t>统计分析软件对使用数据进行单因素方差分析</w:t>
      </w:r>
      <w:r>
        <w:rPr>
          <w:sz w:val="24"/>
        </w:rPr>
        <w:t>(one-way ANOVA)</w:t>
      </w:r>
      <w:r>
        <w:rPr>
          <w:sz w:val="24"/>
        </w:rPr>
        <w:t>，差异</w:t>
      </w:r>
      <w:proofErr w:type="gramStart"/>
      <w:r>
        <w:rPr>
          <w:sz w:val="24"/>
        </w:rPr>
        <w:t>显著用</w:t>
      </w:r>
      <w:proofErr w:type="gramEnd"/>
      <w:r>
        <w:rPr>
          <w:sz w:val="24"/>
        </w:rPr>
        <w:t>Duncan</w:t>
      </w:r>
      <w:r>
        <w:rPr>
          <w:sz w:val="24"/>
        </w:rPr>
        <w:t>氏法进行多重比较，</w:t>
      </w:r>
      <w:r>
        <w:rPr>
          <w:i/>
          <w:iCs/>
          <w:sz w:val="24"/>
        </w:rPr>
        <w:t>P</w:t>
      </w:r>
      <w:r>
        <w:rPr>
          <w:sz w:val="24"/>
        </w:rPr>
        <w:t>＜</w:t>
      </w:r>
      <w:r>
        <w:rPr>
          <w:sz w:val="24"/>
        </w:rPr>
        <w:t>0</w:t>
      </w:r>
      <w:r>
        <w:rPr>
          <w:sz w:val="24"/>
        </w:rPr>
        <w:t>．</w:t>
      </w:r>
      <w:r>
        <w:rPr>
          <w:sz w:val="24"/>
        </w:rPr>
        <w:t>05</w:t>
      </w:r>
      <w:r>
        <w:rPr>
          <w:sz w:val="24"/>
        </w:rPr>
        <w:t>视为差异显著，结果均以平均值</w:t>
      </w:r>
      <w:r>
        <w:rPr>
          <w:sz w:val="24"/>
        </w:rPr>
        <w:t>±</w:t>
      </w:r>
      <w:r>
        <w:rPr>
          <w:sz w:val="24"/>
        </w:rPr>
        <w:t>标准误</w:t>
      </w:r>
      <w:r>
        <w:rPr>
          <w:sz w:val="24"/>
        </w:rPr>
        <w:t>(mean ± SE)</w:t>
      </w:r>
      <w:r>
        <w:rPr>
          <w:sz w:val="24"/>
        </w:rPr>
        <w:t>表示。</w:t>
      </w:r>
    </w:p>
    <w:p w14:paraId="4288A4F3" w14:textId="77777777" w:rsidR="004F39F6" w:rsidRDefault="00731C67">
      <w:pPr>
        <w:spacing w:line="360" w:lineRule="auto"/>
        <w:rPr>
          <w:sz w:val="24"/>
        </w:rPr>
      </w:pPr>
      <w:r>
        <w:rPr>
          <w:sz w:val="24"/>
        </w:rPr>
        <w:t xml:space="preserve">2  </w:t>
      </w:r>
      <w:r>
        <w:rPr>
          <w:sz w:val="24"/>
        </w:rPr>
        <w:t>结果</w:t>
      </w:r>
    </w:p>
    <w:p w14:paraId="0F2CC7B6" w14:textId="77777777" w:rsidR="004F39F6" w:rsidRDefault="00731C67">
      <w:pPr>
        <w:spacing w:line="360" w:lineRule="auto"/>
        <w:rPr>
          <w:sz w:val="24"/>
        </w:rPr>
      </w:pPr>
      <w:r>
        <w:rPr>
          <w:sz w:val="24"/>
        </w:rPr>
        <w:t xml:space="preserve">2.1  </w:t>
      </w:r>
      <w:r>
        <w:rPr>
          <w:sz w:val="24"/>
        </w:rPr>
        <w:t>饥饿时间对淡水石首鱼形体指标及肌肉粗脂肪含量的影响</w:t>
      </w:r>
      <w:r>
        <w:rPr>
          <w:sz w:val="24"/>
        </w:rPr>
        <w:t xml:space="preserve"> </w:t>
      </w:r>
    </w:p>
    <w:p w14:paraId="43F644E5" w14:textId="77777777" w:rsidR="004F39F6" w:rsidRDefault="00731C67">
      <w:pPr>
        <w:spacing w:line="360" w:lineRule="auto"/>
        <w:ind w:firstLineChars="200" w:firstLine="480"/>
        <w:rPr>
          <w:sz w:val="24"/>
        </w:rPr>
      </w:pPr>
      <w:r>
        <w:rPr>
          <w:sz w:val="24"/>
        </w:rPr>
        <w:t>由表</w:t>
      </w:r>
      <w:r>
        <w:rPr>
          <w:sz w:val="24"/>
        </w:rPr>
        <w:t>2</w:t>
      </w:r>
      <w:r>
        <w:rPr>
          <w:sz w:val="24"/>
        </w:rPr>
        <w:t>可知，试验期间，淡水石首鱼存活率均为</w:t>
      </w:r>
      <w:r>
        <w:rPr>
          <w:sz w:val="24"/>
        </w:rPr>
        <w:t>100%</w:t>
      </w:r>
      <w:r>
        <w:rPr>
          <w:sz w:val="24"/>
        </w:rPr>
        <w:t>，体重显著下降</w:t>
      </w:r>
      <w:r>
        <w:rPr>
          <w:sz w:val="24"/>
        </w:rPr>
        <w:t>(</w:t>
      </w:r>
      <w:r>
        <w:rPr>
          <w:i/>
          <w:iCs/>
          <w:sz w:val="24"/>
        </w:rPr>
        <w:t>P</w:t>
      </w:r>
      <w:r>
        <w:rPr>
          <w:sz w:val="24"/>
        </w:rPr>
        <w:t>＜</w:t>
      </w:r>
      <w:r>
        <w:rPr>
          <w:sz w:val="24"/>
        </w:rPr>
        <w:t>0.05)</w:t>
      </w:r>
      <w:r>
        <w:rPr>
          <w:sz w:val="24"/>
        </w:rPr>
        <w:t>。饥饿条件下，淡水石首鱼肌肉粗脂肪含量下降，其中在饥饿</w:t>
      </w:r>
      <w:r>
        <w:rPr>
          <w:sz w:val="24"/>
        </w:rPr>
        <w:t>21d</w:t>
      </w:r>
      <w:r>
        <w:rPr>
          <w:sz w:val="24"/>
        </w:rPr>
        <w:t>时开始显著下降；在饥饿</w:t>
      </w:r>
      <w:r>
        <w:rPr>
          <w:sz w:val="24"/>
        </w:rPr>
        <w:t xml:space="preserve">21d </w:t>
      </w:r>
      <w:r>
        <w:rPr>
          <w:sz w:val="24"/>
        </w:rPr>
        <w:t>以后，肌肉粗脂肪含量无显著差异</w:t>
      </w:r>
      <w:r>
        <w:rPr>
          <w:sz w:val="24"/>
        </w:rPr>
        <w:t>(</w:t>
      </w:r>
      <w:r>
        <w:rPr>
          <w:i/>
          <w:iCs/>
          <w:sz w:val="24"/>
        </w:rPr>
        <w:t>P</w:t>
      </w:r>
      <w:r>
        <w:rPr>
          <w:sz w:val="24"/>
        </w:rPr>
        <w:t>＞</w:t>
      </w:r>
      <w:r>
        <w:rPr>
          <w:sz w:val="24"/>
        </w:rPr>
        <w:t>0.05)</w:t>
      </w:r>
      <w:r>
        <w:rPr>
          <w:sz w:val="24"/>
        </w:rPr>
        <w:t>。</w:t>
      </w:r>
      <w:r>
        <w:rPr>
          <w:sz w:val="24"/>
        </w:rPr>
        <w:t xml:space="preserve"> </w:t>
      </w:r>
    </w:p>
    <w:p w14:paraId="59BDCC5F" w14:textId="77777777" w:rsidR="004F39F6" w:rsidRDefault="00731C67">
      <w:pPr>
        <w:spacing w:line="360" w:lineRule="auto"/>
        <w:jc w:val="center"/>
        <w:rPr>
          <w:sz w:val="24"/>
        </w:rPr>
      </w:pPr>
      <w:r>
        <w:rPr>
          <w:noProof/>
          <w:sz w:val="24"/>
        </w:rPr>
        <w:drawing>
          <wp:inline distT="0" distB="0" distL="0" distR="0" wp14:anchorId="66259CAE" wp14:editId="4BF8A4F7">
            <wp:extent cx="5078730" cy="2327275"/>
            <wp:effectExtent l="0" t="0" r="127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5"/>
                    <a:stretch>
                      <a:fillRect/>
                    </a:stretch>
                  </pic:blipFill>
                  <pic:spPr>
                    <a:xfrm>
                      <a:off x="0" y="0"/>
                      <a:ext cx="5078730" cy="2327275"/>
                    </a:xfrm>
                    <a:prstGeom prst="rect">
                      <a:avLst/>
                    </a:prstGeom>
                  </pic:spPr>
                </pic:pic>
              </a:graphicData>
            </a:graphic>
          </wp:inline>
        </w:drawing>
      </w:r>
    </w:p>
    <w:p w14:paraId="615647C7" w14:textId="77777777" w:rsidR="004F39F6" w:rsidRDefault="00731C67">
      <w:pPr>
        <w:spacing w:line="360" w:lineRule="auto"/>
        <w:ind w:firstLineChars="200" w:firstLine="480"/>
        <w:rPr>
          <w:sz w:val="24"/>
        </w:rPr>
      </w:pPr>
      <w:r>
        <w:rPr>
          <w:sz w:val="24"/>
        </w:rPr>
        <w:lastRenderedPageBreak/>
        <w:t>由图</w:t>
      </w:r>
      <w:r>
        <w:rPr>
          <w:sz w:val="24"/>
        </w:rPr>
        <w:t>1</w:t>
      </w:r>
      <w:r>
        <w:rPr>
          <w:sz w:val="24"/>
        </w:rPr>
        <w:t>可知，淡水石首鱼的肥满度、肝体比、脏体比、</w:t>
      </w:r>
      <w:proofErr w:type="gramStart"/>
      <w:r>
        <w:rPr>
          <w:sz w:val="24"/>
        </w:rPr>
        <w:t>腹脂比随</w:t>
      </w:r>
      <w:proofErr w:type="gramEnd"/>
      <w:r>
        <w:rPr>
          <w:sz w:val="24"/>
        </w:rPr>
        <w:t>饥饿时间增加而下降。统计结果表明，以饥饿</w:t>
      </w:r>
      <w:r>
        <w:rPr>
          <w:sz w:val="24"/>
        </w:rPr>
        <w:t>0d</w:t>
      </w:r>
      <w:r>
        <w:rPr>
          <w:sz w:val="24"/>
        </w:rPr>
        <w:t>为对照，肥满度在饥饿</w:t>
      </w:r>
      <w:r>
        <w:rPr>
          <w:sz w:val="24"/>
        </w:rPr>
        <w:t>48h</w:t>
      </w:r>
      <w:r>
        <w:rPr>
          <w:sz w:val="24"/>
        </w:rPr>
        <w:t>内没有显著差异</w:t>
      </w:r>
      <w:r>
        <w:rPr>
          <w:sz w:val="24"/>
        </w:rPr>
        <w:t>(</w:t>
      </w:r>
      <w:r>
        <w:rPr>
          <w:i/>
          <w:iCs/>
          <w:sz w:val="24"/>
        </w:rPr>
        <w:t>P</w:t>
      </w:r>
      <w:r>
        <w:rPr>
          <w:sz w:val="24"/>
        </w:rPr>
        <w:t>＞</w:t>
      </w:r>
      <w:r>
        <w:rPr>
          <w:sz w:val="24"/>
        </w:rPr>
        <w:t>0.05)</w:t>
      </w:r>
      <w:r>
        <w:rPr>
          <w:sz w:val="24"/>
        </w:rPr>
        <w:t>，饥饿</w:t>
      </w:r>
      <w:r>
        <w:rPr>
          <w:sz w:val="24"/>
        </w:rPr>
        <w:t>3d</w:t>
      </w:r>
      <w:r>
        <w:rPr>
          <w:sz w:val="24"/>
        </w:rPr>
        <w:t>后显著降低</w:t>
      </w:r>
      <w:r>
        <w:rPr>
          <w:sz w:val="24"/>
        </w:rPr>
        <w:t>(</w:t>
      </w:r>
      <w:r>
        <w:rPr>
          <w:i/>
          <w:iCs/>
          <w:sz w:val="24"/>
        </w:rPr>
        <w:t>P</w:t>
      </w:r>
      <w:r>
        <w:rPr>
          <w:sz w:val="24"/>
        </w:rPr>
        <w:t>＜</w:t>
      </w:r>
      <w:r>
        <w:rPr>
          <w:sz w:val="24"/>
        </w:rPr>
        <w:t>0.05)</w:t>
      </w:r>
      <w:r>
        <w:rPr>
          <w:sz w:val="24"/>
        </w:rPr>
        <w:t>，在饥饿</w:t>
      </w:r>
      <w:r>
        <w:rPr>
          <w:sz w:val="24"/>
        </w:rPr>
        <w:t>4</w:t>
      </w:r>
      <w:r>
        <w:rPr>
          <w:sz w:val="24"/>
        </w:rPr>
        <w:t>～</w:t>
      </w:r>
      <w:r>
        <w:rPr>
          <w:sz w:val="24"/>
        </w:rPr>
        <w:t>14d</w:t>
      </w:r>
      <w:r>
        <w:rPr>
          <w:sz w:val="24"/>
        </w:rPr>
        <w:t>急剧下降，之后趋于平稳</w:t>
      </w:r>
      <w:r>
        <w:rPr>
          <w:sz w:val="24"/>
        </w:rPr>
        <w:t>(</w:t>
      </w:r>
      <w:r>
        <w:rPr>
          <w:sz w:val="24"/>
        </w:rPr>
        <w:t>图</w:t>
      </w:r>
      <w:r>
        <w:rPr>
          <w:sz w:val="24"/>
        </w:rPr>
        <w:t>1</w:t>
      </w:r>
      <w:r>
        <w:rPr>
          <w:sz w:val="24"/>
        </w:rPr>
        <w:t>－</w:t>
      </w:r>
      <w:r>
        <w:rPr>
          <w:sz w:val="24"/>
        </w:rPr>
        <w:t>A)</w:t>
      </w:r>
      <w:r>
        <w:rPr>
          <w:sz w:val="24"/>
        </w:rPr>
        <w:t>。脏体比在饥饿</w:t>
      </w:r>
      <w:r>
        <w:rPr>
          <w:sz w:val="24"/>
        </w:rPr>
        <w:t xml:space="preserve"> 12h</w:t>
      </w:r>
      <w:r>
        <w:rPr>
          <w:sz w:val="24"/>
        </w:rPr>
        <w:t>后开始显著降低</w:t>
      </w:r>
      <w:r>
        <w:rPr>
          <w:sz w:val="24"/>
        </w:rPr>
        <w:t>(</w:t>
      </w:r>
      <w:r>
        <w:rPr>
          <w:i/>
          <w:iCs/>
          <w:sz w:val="24"/>
        </w:rPr>
        <w:t>P</w:t>
      </w:r>
      <w:r>
        <w:rPr>
          <w:sz w:val="24"/>
        </w:rPr>
        <w:t>＜</w:t>
      </w:r>
      <w:r>
        <w:rPr>
          <w:sz w:val="24"/>
        </w:rPr>
        <w:t>0.05)</w:t>
      </w:r>
      <w:r>
        <w:rPr>
          <w:sz w:val="24"/>
        </w:rPr>
        <w:t>，饥饿</w:t>
      </w:r>
      <w:r>
        <w:rPr>
          <w:sz w:val="24"/>
        </w:rPr>
        <w:t>4d</w:t>
      </w:r>
      <w:r>
        <w:rPr>
          <w:sz w:val="24"/>
        </w:rPr>
        <w:t>后趋于稳定</w:t>
      </w:r>
      <w:r>
        <w:rPr>
          <w:sz w:val="24"/>
        </w:rPr>
        <w:t>(</w:t>
      </w:r>
      <w:r>
        <w:rPr>
          <w:sz w:val="24"/>
        </w:rPr>
        <w:t>图</w:t>
      </w:r>
      <w:r>
        <w:rPr>
          <w:sz w:val="24"/>
        </w:rPr>
        <w:t>1</w:t>
      </w:r>
      <w:r>
        <w:rPr>
          <w:sz w:val="24"/>
        </w:rPr>
        <w:t>－</w:t>
      </w:r>
      <w:r>
        <w:rPr>
          <w:sz w:val="24"/>
        </w:rPr>
        <w:t>B)</w:t>
      </w:r>
      <w:r>
        <w:rPr>
          <w:sz w:val="24"/>
        </w:rPr>
        <w:t>；肝体比在饥饿</w:t>
      </w:r>
      <w:r>
        <w:rPr>
          <w:sz w:val="24"/>
        </w:rPr>
        <w:t>48h</w:t>
      </w:r>
      <w:r>
        <w:rPr>
          <w:sz w:val="24"/>
        </w:rPr>
        <w:t>后开始显著降低</w:t>
      </w:r>
      <w:r>
        <w:rPr>
          <w:sz w:val="24"/>
        </w:rPr>
        <w:t>(</w:t>
      </w:r>
      <w:r>
        <w:rPr>
          <w:i/>
          <w:iCs/>
          <w:sz w:val="24"/>
        </w:rPr>
        <w:t>P</w:t>
      </w:r>
      <w:r>
        <w:rPr>
          <w:sz w:val="24"/>
        </w:rPr>
        <w:t>＜</w:t>
      </w:r>
      <w:r>
        <w:rPr>
          <w:sz w:val="24"/>
        </w:rPr>
        <w:t>0.05)</w:t>
      </w:r>
      <w:r>
        <w:rPr>
          <w:sz w:val="24"/>
        </w:rPr>
        <w:t>，饥饿</w:t>
      </w:r>
      <w:r>
        <w:rPr>
          <w:sz w:val="24"/>
        </w:rPr>
        <w:t>6d</w:t>
      </w:r>
      <w:r>
        <w:rPr>
          <w:sz w:val="24"/>
        </w:rPr>
        <w:t>后趋于稳定</w:t>
      </w:r>
      <w:r>
        <w:rPr>
          <w:sz w:val="24"/>
        </w:rPr>
        <w:t>(</w:t>
      </w:r>
      <w:r>
        <w:rPr>
          <w:sz w:val="24"/>
        </w:rPr>
        <w:t>图</w:t>
      </w:r>
      <w:r>
        <w:rPr>
          <w:sz w:val="24"/>
        </w:rPr>
        <w:t>1</w:t>
      </w:r>
      <w:r>
        <w:rPr>
          <w:sz w:val="24"/>
        </w:rPr>
        <w:t>－</w:t>
      </w:r>
      <w:r>
        <w:rPr>
          <w:sz w:val="24"/>
        </w:rPr>
        <w:t>C)</w:t>
      </w:r>
      <w:r>
        <w:rPr>
          <w:sz w:val="24"/>
        </w:rPr>
        <w:t>；</w:t>
      </w:r>
      <w:proofErr w:type="gramStart"/>
      <w:r>
        <w:rPr>
          <w:sz w:val="24"/>
        </w:rPr>
        <w:t>腹脂比</w:t>
      </w:r>
      <w:proofErr w:type="gramEnd"/>
      <w:r>
        <w:rPr>
          <w:sz w:val="24"/>
        </w:rPr>
        <w:t>在饥饿</w:t>
      </w:r>
      <w:r>
        <w:rPr>
          <w:sz w:val="24"/>
        </w:rPr>
        <w:t>10d</w:t>
      </w:r>
      <w:r>
        <w:rPr>
          <w:sz w:val="24"/>
        </w:rPr>
        <w:t>后显著降低</w:t>
      </w:r>
      <w:r>
        <w:rPr>
          <w:sz w:val="24"/>
        </w:rPr>
        <w:t>(</w:t>
      </w:r>
      <w:r>
        <w:rPr>
          <w:i/>
          <w:iCs/>
          <w:sz w:val="24"/>
        </w:rPr>
        <w:t>P</w:t>
      </w:r>
      <w:r>
        <w:rPr>
          <w:sz w:val="24"/>
        </w:rPr>
        <w:t>＜</w:t>
      </w:r>
      <w:r>
        <w:rPr>
          <w:sz w:val="24"/>
        </w:rPr>
        <w:t>0.05)</w:t>
      </w:r>
      <w:r>
        <w:rPr>
          <w:sz w:val="24"/>
        </w:rPr>
        <w:t>，饥饿</w:t>
      </w:r>
      <w:r>
        <w:rPr>
          <w:sz w:val="24"/>
        </w:rPr>
        <w:t>14d</w:t>
      </w:r>
      <w:r>
        <w:rPr>
          <w:sz w:val="24"/>
        </w:rPr>
        <w:t>后趋于稳定</w:t>
      </w:r>
      <w:r>
        <w:rPr>
          <w:sz w:val="24"/>
        </w:rPr>
        <w:t>(</w:t>
      </w:r>
      <w:r>
        <w:rPr>
          <w:sz w:val="24"/>
        </w:rPr>
        <w:t>图</w:t>
      </w:r>
      <w:r>
        <w:rPr>
          <w:sz w:val="24"/>
        </w:rPr>
        <w:t>1</w:t>
      </w:r>
      <w:r>
        <w:rPr>
          <w:sz w:val="24"/>
        </w:rPr>
        <w:t>－</w:t>
      </w:r>
      <w:r>
        <w:rPr>
          <w:sz w:val="24"/>
        </w:rPr>
        <w:t>D)</w:t>
      </w:r>
      <w:r>
        <w:rPr>
          <w:sz w:val="24"/>
        </w:rPr>
        <w:t>。</w:t>
      </w:r>
    </w:p>
    <w:p w14:paraId="460C9361" w14:textId="77777777" w:rsidR="004F39F6" w:rsidRDefault="00731C67">
      <w:pPr>
        <w:spacing w:line="360" w:lineRule="auto"/>
        <w:jc w:val="center"/>
        <w:rPr>
          <w:sz w:val="24"/>
        </w:rPr>
      </w:pPr>
      <w:r>
        <w:rPr>
          <w:noProof/>
          <w:sz w:val="24"/>
        </w:rPr>
        <w:drawing>
          <wp:inline distT="0" distB="0" distL="0" distR="0" wp14:anchorId="1CDD7BD6" wp14:editId="77E48DFD">
            <wp:extent cx="4509135" cy="3202940"/>
            <wp:effectExtent l="0" t="0" r="12065" b="101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6"/>
                    <a:stretch>
                      <a:fillRect/>
                    </a:stretch>
                  </pic:blipFill>
                  <pic:spPr>
                    <a:xfrm>
                      <a:off x="0" y="0"/>
                      <a:ext cx="4509135" cy="3202940"/>
                    </a:xfrm>
                    <a:prstGeom prst="rect">
                      <a:avLst/>
                    </a:prstGeom>
                  </pic:spPr>
                </pic:pic>
              </a:graphicData>
            </a:graphic>
          </wp:inline>
        </w:drawing>
      </w:r>
    </w:p>
    <w:p w14:paraId="6B7ED444" w14:textId="77777777" w:rsidR="004F39F6" w:rsidRDefault="00731C67">
      <w:pPr>
        <w:spacing w:line="360" w:lineRule="auto"/>
        <w:rPr>
          <w:sz w:val="24"/>
        </w:rPr>
      </w:pPr>
      <w:r>
        <w:rPr>
          <w:sz w:val="24"/>
        </w:rPr>
        <w:t xml:space="preserve">2.2  </w:t>
      </w:r>
      <w:r>
        <w:rPr>
          <w:sz w:val="24"/>
        </w:rPr>
        <w:t>饥饿时间对淡水石首鱼肌肉脂肪酸组成的影响</w:t>
      </w:r>
    </w:p>
    <w:p w14:paraId="7BA22159" w14:textId="77777777" w:rsidR="004F39F6" w:rsidRDefault="00731C67">
      <w:pPr>
        <w:spacing w:line="360" w:lineRule="auto"/>
        <w:ind w:firstLineChars="200" w:firstLine="480"/>
        <w:rPr>
          <w:sz w:val="24"/>
        </w:rPr>
      </w:pPr>
      <w:r>
        <w:rPr>
          <w:sz w:val="24"/>
        </w:rPr>
        <w:t>基于上述结果，发现饥饿</w:t>
      </w:r>
      <w:r>
        <w:rPr>
          <w:sz w:val="24"/>
        </w:rPr>
        <w:t>24h</w:t>
      </w:r>
      <w:r>
        <w:rPr>
          <w:sz w:val="24"/>
        </w:rPr>
        <w:t>及</w:t>
      </w:r>
      <w:r>
        <w:rPr>
          <w:sz w:val="24"/>
        </w:rPr>
        <w:t>14</w:t>
      </w:r>
      <w:r>
        <w:rPr>
          <w:sz w:val="24"/>
        </w:rPr>
        <w:t>、</w:t>
      </w:r>
      <w:r>
        <w:rPr>
          <w:sz w:val="24"/>
        </w:rPr>
        <w:t>42d</w:t>
      </w:r>
      <w:r>
        <w:rPr>
          <w:sz w:val="24"/>
        </w:rPr>
        <w:t>是形体指标变化的关键时间点，选取该时间点进行后续试验分析。由表</w:t>
      </w:r>
      <w:r>
        <w:rPr>
          <w:sz w:val="24"/>
        </w:rPr>
        <w:t>3</w:t>
      </w:r>
      <w:r>
        <w:rPr>
          <w:sz w:val="24"/>
        </w:rPr>
        <w:t>可知，在不同饥饿时间下共检测到脂肪酸</w:t>
      </w:r>
      <w:r>
        <w:rPr>
          <w:sz w:val="24"/>
        </w:rPr>
        <w:t>26</w:t>
      </w:r>
      <w:r>
        <w:rPr>
          <w:sz w:val="24"/>
        </w:rPr>
        <w:t>种，包括</w:t>
      </w:r>
      <w:r>
        <w:rPr>
          <w:sz w:val="24"/>
        </w:rPr>
        <w:t>8</w:t>
      </w:r>
      <w:r>
        <w:rPr>
          <w:sz w:val="24"/>
        </w:rPr>
        <w:t>种饱和脂肪酸</w:t>
      </w:r>
      <w:r>
        <w:rPr>
          <w:sz w:val="24"/>
        </w:rPr>
        <w:t>(saturated fatty acid</w:t>
      </w:r>
      <w:r>
        <w:rPr>
          <w:sz w:val="24"/>
        </w:rPr>
        <w:t>，</w:t>
      </w:r>
      <w:r>
        <w:rPr>
          <w:sz w:val="24"/>
        </w:rPr>
        <w:t>SFA)</w:t>
      </w:r>
      <w:r>
        <w:rPr>
          <w:sz w:val="24"/>
        </w:rPr>
        <w:t>、</w:t>
      </w:r>
      <w:r>
        <w:rPr>
          <w:sz w:val="24"/>
        </w:rPr>
        <w:t>6</w:t>
      </w:r>
      <w:r>
        <w:rPr>
          <w:sz w:val="24"/>
        </w:rPr>
        <w:t>种单不饱和脂肪酸</w:t>
      </w:r>
      <w:r>
        <w:rPr>
          <w:sz w:val="24"/>
        </w:rPr>
        <w:t>(monounsaturated fatty acids</w:t>
      </w:r>
      <w:r>
        <w:rPr>
          <w:sz w:val="24"/>
        </w:rPr>
        <w:t>，</w:t>
      </w:r>
      <w:r>
        <w:rPr>
          <w:sz w:val="24"/>
        </w:rPr>
        <w:t>MUFA)</w:t>
      </w:r>
      <w:r>
        <w:rPr>
          <w:sz w:val="24"/>
        </w:rPr>
        <w:t>、</w:t>
      </w:r>
      <w:r>
        <w:rPr>
          <w:sz w:val="24"/>
        </w:rPr>
        <w:t>12</w:t>
      </w:r>
      <w:r>
        <w:rPr>
          <w:sz w:val="24"/>
        </w:rPr>
        <w:t>多不饱和脂肪酸</w:t>
      </w:r>
      <w:r>
        <w:rPr>
          <w:sz w:val="24"/>
        </w:rPr>
        <w:t>(polyunsaturated fatty acids</w:t>
      </w:r>
      <w:r>
        <w:rPr>
          <w:sz w:val="24"/>
        </w:rPr>
        <w:t>，</w:t>
      </w:r>
      <w:r>
        <w:rPr>
          <w:sz w:val="24"/>
        </w:rPr>
        <w:t>PUFA)</w:t>
      </w:r>
      <w:r>
        <w:rPr>
          <w:sz w:val="24"/>
        </w:rPr>
        <w:t>。结果显示，随着饥饿时间增加，</w:t>
      </w:r>
      <w:r>
        <w:rPr>
          <w:sz w:val="24"/>
        </w:rPr>
        <w:t>SFA</w:t>
      </w:r>
      <w:r>
        <w:rPr>
          <w:sz w:val="24"/>
        </w:rPr>
        <w:t>含量呈略微下降的趋势，但无显著差异</w:t>
      </w:r>
      <w:r>
        <w:rPr>
          <w:sz w:val="24"/>
        </w:rPr>
        <w:t>(</w:t>
      </w:r>
      <w:r>
        <w:rPr>
          <w:i/>
          <w:iCs/>
          <w:sz w:val="24"/>
        </w:rPr>
        <w:t>P</w:t>
      </w:r>
      <w:r>
        <w:rPr>
          <w:sz w:val="24"/>
        </w:rPr>
        <w:t>＞</w:t>
      </w:r>
      <w:r>
        <w:rPr>
          <w:sz w:val="24"/>
        </w:rPr>
        <w:t>0.05)</w:t>
      </w:r>
      <w:r>
        <w:rPr>
          <w:sz w:val="24"/>
        </w:rPr>
        <w:t>，饥饿</w:t>
      </w:r>
      <w:r>
        <w:rPr>
          <w:sz w:val="24"/>
        </w:rPr>
        <w:t>14</w:t>
      </w:r>
      <w:r>
        <w:rPr>
          <w:sz w:val="24"/>
        </w:rPr>
        <w:t>和</w:t>
      </w:r>
      <w:r>
        <w:rPr>
          <w:sz w:val="24"/>
        </w:rPr>
        <w:t>42d</w:t>
      </w:r>
      <w:r>
        <w:rPr>
          <w:sz w:val="24"/>
        </w:rPr>
        <w:t>时，</w:t>
      </w:r>
      <w:r>
        <w:rPr>
          <w:sz w:val="24"/>
        </w:rPr>
        <w:t>MUFA</w:t>
      </w:r>
      <w:r>
        <w:rPr>
          <w:sz w:val="24"/>
        </w:rPr>
        <w:t>含量显著低于饥饿</w:t>
      </w:r>
      <w:r>
        <w:rPr>
          <w:sz w:val="24"/>
        </w:rPr>
        <w:t>24h(</w:t>
      </w:r>
      <w:r>
        <w:rPr>
          <w:i/>
          <w:iCs/>
          <w:sz w:val="24"/>
        </w:rPr>
        <w:t>P</w:t>
      </w:r>
      <w:r>
        <w:rPr>
          <w:sz w:val="24"/>
        </w:rPr>
        <w:t>＜</w:t>
      </w:r>
      <w:r>
        <w:rPr>
          <w:sz w:val="24"/>
        </w:rPr>
        <w:t>0.05)</w:t>
      </w:r>
      <w:r>
        <w:rPr>
          <w:sz w:val="24"/>
        </w:rPr>
        <w:t>。</w:t>
      </w:r>
      <w:r>
        <w:rPr>
          <w:sz w:val="24"/>
        </w:rPr>
        <w:t>PUFA</w:t>
      </w:r>
      <w:r>
        <w:rPr>
          <w:sz w:val="24"/>
        </w:rPr>
        <w:t>含量在不同饥饿时间差异显著</w:t>
      </w:r>
      <w:r>
        <w:rPr>
          <w:sz w:val="24"/>
        </w:rPr>
        <w:t>(</w:t>
      </w:r>
      <w:r>
        <w:rPr>
          <w:i/>
          <w:iCs/>
          <w:sz w:val="24"/>
        </w:rPr>
        <w:t>P</w:t>
      </w:r>
      <w:r>
        <w:rPr>
          <w:sz w:val="24"/>
        </w:rPr>
        <w:t>＜</w:t>
      </w:r>
      <w:r>
        <w:rPr>
          <w:sz w:val="24"/>
        </w:rPr>
        <w:t>0.05)</w:t>
      </w:r>
      <w:r>
        <w:rPr>
          <w:sz w:val="24"/>
        </w:rPr>
        <w:t>，饥饿</w:t>
      </w:r>
      <w:r>
        <w:rPr>
          <w:sz w:val="24"/>
        </w:rPr>
        <w:t>14</w:t>
      </w:r>
      <w:r>
        <w:rPr>
          <w:sz w:val="24"/>
        </w:rPr>
        <w:t>和</w:t>
      </w:r>
      <w:r>
        <w:rPr>
          <w:sz w:val="24"/>
        </w:rPr>
        <w:t>42</w:t>
      </w:r>
      <w:r>
        <w:rPr>
          <w:sz w:val="24"/>
        </w:rPr>
        <w:t>显著高于饥饿</w:t>
      </w:r>
      <w:r>
        <w:rPr>
          <w:sz w:val="24"/>
        </w:rPr>
        <w:t>0</w:t>
      </w:r>
      <w:r>
        <w:rPr>
          <w:sz w:val="24"/>
        </w:rPr>
        <w:t>和</w:t>
      </w:r>
      <w:r>
        <w:rPr>
          <w:sz w:val="24"/>
        </w:rPr>
        <w:t>24h(</w:t>
      </w:r>
      <w:r>
        <w:rPr>
          <w:i/>
          <w:iCs/>
          <w:sz w:val="24"/>
        </w:rPr>
        <w:t>P</w:t>
      </w:r>
      <w:r>
        <w:rPr>
          <w:sz w:val="24"/>
        </w:rPr>
        <w:t>＜</w:t>
      </w:r>
      <w:r>
        <w:rPr>
          <w:sz w:val="24"/>
        </w:rPr>
        <w:t>0.05)</w:t>
      </w:r>
      <w:r>
        <w:rPr>
          <w:sz w:val="24"/>
        </w:rPr>
        <w:t>。其中，饥饿</w:t>
      </w:r>
      <w:r>
        <w:rPr>
          <w:sz w:val="24"/>
        </w:rPr>
        <w:t>42d</w:t>
      </w:r>
      <w:r>
        <w:rPr>
          <w:sz w:val="24"/>
        </w:rPr>
        <w:t>时二十碳戊烯酸</w:t>
      </w:r>
      <w:r>
        <w:rPr>
          <w:sz w:val="24"/>
        </w:rPr>
        <w:t>(</w:t>
      </w:r>
      <w:proofErr w:type="spellStart"/>
      <w:r>
        <w:rPr>
          <w:sz w:val="24"/>
        </w:rPr>
        <w:t>eicosapentaenoic</w:t>
      </w:r>
      <w:proofErr w:type="spellEnd"/>
      <w:r>
        <w:rPr>
          <w:sz w:val="24"/>
        </w:rPr>
        <w:t xml:space="preserve"> acid</w:t>
      </w:r>
      <w:r>
        <w:rPr>
          <w:sz w:val="24"/>
        </w:rPr>
        <w:t>，</w:t>
      </w:r>
      <w:r>
        <w:rPr>
          <w:sz w:val="24"/>
        </w:rPr>
        <w:t>EPA)</w:t>
      </w:r>
      <w:r>
        <w:rPr>
          <w:sz w:val="24"/>
        </w:rPr>
        <w:t>和二十二碳六烯酸</w:t>
      </w:r>
      <w:r>
        <w:rPr>
          <w:sz w:val="24"/>
        </w:rPr>
        <w:t>(docosahexaenoic acid</w:t>
      </w:r>
      <w:r>
        <w:rPr>
          <w:sz w:val="24"/>
        </w:rPr>
        <w:t>，</w:t>
      </w:r>
      <w:r>
        <w:rPr>
          <w:sz w:val="24"/>
        </w:rPr>
        <w:t>DHA)</w:t>
      </w:r>
      <w:r>
        <w:rPr>
          <w:sz w:val="24"/>
        </w:rPr>
        <w:t>含量均显著高于其他饥饿时间</w:t>
      </w:r>
      <w:r>
        <w:rPr>
          <w:sz w:val="24"/>
        </w:rPr>
        <w:t>(</w:t>
      </w:r>
      <w:r>
        <w:rPr>
          <w:i/>
          <w:iCs/>
          <w:sz w:val="24"/>
        </w:rPr>
        <w:t>P</w:t>
      </w:r>
      <w:r>
        <w:rPr>
          <w:sz w:val="24"/>
        </w:rPr>
        <w:t>＜</w:t>
      </w:r>
      <w:r>
        <w:rPr>
          <w:sz w:val="24"/>
        </w:rPr>
        <w:t>0.05)</w:t>
      </w:r>
      <w:r>
        <w:rPr>
          <w:sz w:val="24"/>
        </w:rPr>
        <w:t>，</w:t>
      </w:r>
      <w:r>
        <w:rPr>
          <w:sz w:val="24"/>
        </w:rPr>
        <w:t>EPA +DHA</w:t>
      </w:r>
      <w:r>
        <w:rPr>
          <w:sz w:val="24"/>
        </w:rPr>
        <w:t>含量显著高于其他各饥饿时间</w:t>
      </w:r>
      <w:r>
        <w:rPr>
          <w:sz w:val="24"/>
        </w:rPr>
        <w:t>(</w:t>
      </w:r>
      <w:r>
        <w:rPr>
          <w:i/>
          <w:iCs/>
          <w:sz w:val="24"/>
        </w:rPr>
        <w:t>P</w:t>
      </w:r>
      <w:r>
        <w:rPr>
          <w:sz w:val="24"/>
        </w:rPr>
        <w:t>＜</w:t>
      </w:r>
      <w:r>
        <w:rPr>
          <w:sz w:val="24"/>
        </w:rPr>
        <w:t>0.05)</w:t>
      </w:r>
      <w:r>
        <w:rPr>
          <w:sz w:val="24"/>
        </w:rPr>
        <w:t>。此外，饥饿</w:t>
      </w:r>
      <w:r>
        <w:rPr>
          <w:sz w:val="24"/>
        </w:rPr>
        <w:t>42d</w:t>
      </w:r>
      <w:r>
        <w:rPr>
          <w:sz w:val="24"/>
        </w:rPr>
        <w:t>时，</w:t>
      </w:r>
      <w:r>
        <w:rPr>
          <w:sz w:val="24"/>
        </w:rPr>
        <w:t>n-3</w:t>
      </w:r>
      <w:r>
        <w:rPr>
          <w:sz w:val="24"/>
        </w:rPr>
        <w:t>系列不饱和脂肪酸含量显著高于其他饥饿时间</w:t>
      </w:r>
      <w:r>
        <w:rPr>
          <w:sz w:val="24"/>
        </w:rPr>
        <w:t>(</w:t>
      </w:r>
      <w:r>
        <w:rPr>
          <w:i/>
          <w:iCs/>
          <w:sz w:val="24"/>
        </w:rPr>
        <w:t>P</w:t>
      </w:r>
      <w:r>
        <w:rPr>
          <w:sz w:val="24"/>
        </w:rPr>
        <w:t>＜</w:t>
      </w:r>
      <w:r>
        <w:rPr>
          <w:sz w:val="24"/>
        </w:rPr>
        <w:t>0.5)</w:t>
      </w:r>
      <w:r>
        <w:rPr>
          <w:sz w:val="24"/>
        </w:rPr>
        <w:t>；</w:t>
      </w:r>
      <w:r>
        <w:rPr>
          <w:sz w:val="24"/>
        </w:rPr>
        <w:t>n-6</w:t>
      </w:r>
      <w:r>
        <w:rPr>
          <w:sz w:val="24"/>
        </w:rPr>
        <w:t>系列饱和脂肪酸含量逐渐升高，饥饿</w:t>
      </w:r>
      <w:r>
        <w:rPr>
          <w:sz w:val="24"/>
        </w:rPr>
        <w:t>24h</w:t>
      </w:r>
      <w:r>
        <w:rPr>
          <w:sz w:val="24"/>
        </w:rPr>
        <w:t>及</w:t>
      </w:r>
      <w:r>
        <w:rPr>
          <w:sz w:val="24"/>
        </w:rPr>
        <w:t>14</w:t>
      </w:r>
      <w:r>
        <w:rPr>
          <w:sz w:val="24"/>
        </w:rPr>
        <w:t>、</w:t>
      </w:r>
      <w:r>
        <w:rPr>
          <w:sz w:val="24"/>
        </w:rPr>
        <w:t>42d</w:t>
      </w:r>
      <w:r>
        <w:rPr>
          <w:sz w:val="24"/>
        </w:rPr>
        <w:t>时均显著高于饥饿</w:t>
      </w:r>
      <w:r>
        <w:rPr>
          <w:sz w:val="24"/>
        </w:rPr>
        <w:t>0h(</w:t>
      </w:r>
      <w:r>
        <w:rPr>
          <w:i/>
          <w:iCs/>
          <w:sz w:val="24"/>
        </w:rPr>
        <w:t>P</w:t>
      </w:r>
      <w:r>
        <w:rPr>
          <w:sz w:val="24"/>
        </w:rPr>
        <w:t>＜</w:t>
      </w:r>
      <w:r>
        <w:rPr>
          <w:sz w:val="24"/>
        </w:rPr>
        <w:t>0.05)</w:t>
      </w:r>
      <w:r>
        <w:rPr>
          <w:sz w:val="24"/>
        </w:rPr>
        <w:t>。</w:t>
      </w:r>
    </w:p>
    <w:p w14:paraId="15E63BDC" w14:textId="77777777" w:rsidR="004F39F6" w:rsidRDefault="00731C67">
      <w:pPr>
        <w:spacing w:line="360" w:lineRule="auto"/>
        <w:ind w:firstLineChars="200" w:firstLine="480"/>
        <w:jc w:val="center"/>
        <w:rPr>
          <w:sz w:val="24"/>
        </w:rPr>
      </w:pPr>
      <w:r>
        <w:rPr>
          <w:noProof/>
          <w:sz w:val="24"/>
        </w:rPr>
        <w:lastRenderedPageBreak/>
        <w:drawing>
          <wp:inline distT="0" distB="0" distL="0" distR="0" wp14:anchorId="16282D88" wp14:editId="1E676F62">
            <wp:extent cx="3884295" cy="4704080"/>
            <wp:effectExtent l="0" t="0" r="1905"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7"/>
                    <a:stretch>
                      <a:fillRect/>
                    </a:stretch>
                  </pic:blipFill>
                  <pic:spPr>
                    <a:xfrm>
                      <a:off x="0" y="0"/>
                      <a:ext cx="3884295" cy="4704080"/>
                    </a:xfrm>
                    <a:prstGeom prst="rect">
                      <a:avLst/>
                    </a:prstGeom>
                  </pic:spPr>
                </pic:pic>
              </a:graphicData>
            </a:graphic>
          </wp:inline>
        </w:drawing>
      </w:r>
    </w:p>
    <w:p w14:paraId="3C932962" w14:textId="77777777" w:rsidR="004F39F6" w:rsidRDefault="00731C67">
      <w:pPr>
        <w:spacing w:line="360" w:lineRule="auto"/>
        <w:rPr>
          <w:sz w:val="24"/>
        </w:rPr>
      </w:pPr>
      <w:r>
        <w:rPr>
          <w:sz w:val="24"/>
        </w:rPr>
        <w:t xml:space="preserve">2.3  </w:t>
      </w:r>
      <w:r>
        <w:rPr>
          <w:sz w:val="24"/>
        </w:rPr>
        <w:t>饥饿时间对淡水石首鱼肝脏脂肪代谢相关基因表达的影响</w:t>
      </w:r>
    </w:p>
    <w:p w14:paraId="74A772DC" w14:textId="77777777" w:rsidR="004F39F6" w:rsidRDefault="00731C67">
      <w:pPr>
        <w:spacing w:line="360" w:lineRule="auto"/>
        <w:ind w:firstLineChars="200" w:firstLine="480"/>
        <w:rPr>
          <w:sz w:val="24"/>
        </w:rPr>
      </w:pPr>
      <w:r>
        <w:rPr>
          <w:sz w:val="24"/>
        </w:rPr>
        <w:t>如图</w:t>
      </w:r>
      <w:r>
        <w:rPr>
          <w:sz w:val="24"/>
        </w:rPr>
        <w:t>2</w:t>
      </w:r>
      <w:r>
        <w:rPr>
          <w:sz w:val="24"/>
        </w:rPr>
        <w:t>可知，饥饿</w:t>
      </w:r>
      <w:r>
        <w:rPr>
          <w:sz w:val="24"/>
        </w:rPr>
        <w:t>14</w:t>
      </w:r>
      <w:r>
        <w:rPr>
          <w:sz w:val="24"/>
        </w:rPr>
        <w:t>和</w:t>
      </w:r>
      <w:r>
        <w:rPr>
          <w:sz w:val="24"/>
        </w:rPr>
        <w:t>42d</w:t>
      </w:r>
      <w:r>
        <w:rPr>
          <w:sz w:val="24"/>
        </w:rPr>
        <w:t>显著提高了过氧化物酶体增殖激活受体</w:t>
      </w:r>
      <w:r>
        <w:rPr>
          <w:sz w:val="24"/>
        </w:rPr>
        <w:t>α(</w:t>
      </w:r>
      <w:r>
        <w:rPr>
          <w:i/>
          <w:iCs/>
          <w:sz w:val="24"/>
        </w:rPr>
        <w:t>PPAR</w:t>
      </w:r>
      <w:r>
        <w:rPr>
          <w:sz w:val="24"/>
        </w:rPr>
        <w:t>α)</w:t>
      </w:r>
      <w:r>
        <w:rPr>
          <w:sz w:val="24"/>
        </w:rPr>
        <w:t>和肉毒碱棕榈酰基转移酶</w:t>
      </w:r>
      <w:r>
        <w:rPr>
          <w:sz w:val="24"/>
        </w:rPr>
        <w:t>A(</w:t>
      </w:r>
      <w:r>
        <w:rPr>
          <w:i/>
          <w:iCs/>
          <w:sz w:val="24"/>
        </w:rPr>
        <w:t>CPT</w:t>
      </w:r>
      <w:r>
        <w:rPr>
          <w:sz w:val="24"/>
        </w:rPr>
        <w:t>1A)</w:t>
      </w:r>
      <w:r>
        <w:rPr>
          <w:sz w:val="24"/>
        </w:rPr>
        <w:t>基因相对表达量</w:t>
      </w:r>
      <w:r>
        <w:rPr>
          <w:sz w:val="24"/>
        </w:rPr>
        <w:t>(P</w:t>
      </w:r>
      <w:r>
        <w:rPr>
          <w:sz w:val="24"/>
        </w:rPr>
        <w:t>＜</w:t>
      </w:r>
      <w:r>
        <w:rPr>
          <w:sz w:val="24"/>
        </w:rPr>
        <w:t>0</w:t>
      </w:r>
      <w:r>
        <w:rPr>
          <w:sz w:val="24"/>
        </w:rPr>
        <w:t>．</w:t>
      </w:r>
      <w:r>
        <w:rPr>
          <w:sz w:val="24"/>
        </w:rPr>
        <w:t>05)(</w:t>
      </w:r>
      <w:r>
        <w:rPr>
          <w:sz w:val="24"/>
        </w:rPr>
        <w:t>图</w:t>
      </w:r>
      <w:r>
        <w:rPr>
          <w:sz w:val="24"/>
        </w:rPr>
        <w:t>2</w:t>
      </w:r>
      <w:r>
        <w:rPr>
          <w:sz w:val="24"/>
        </w:rPr>
        <w:t>－</w:t>
      </w:r>
      <w:r>
        <w:rPr>
          <w:sz w:val="24"/>
        </w:rPr>
        <w:t>A</w:t>
      </w:r>
      <w:r>
        <w:rPr>
          <w:sz w:val="24"/>
        </w:rPr>
        <w:t>，图</w:t>
      </w:r>
      <w:r>
        <w:rPr>
          <w:sz w:val="24"/>
        </w:rPr>
        <w:t>2</w:t>
      </w:r>
      <w:r>
        <w:rPr>
          <w:sz w:val="24"/>
        </w:rPr>
        <w:t>－</w:t>
      </w:r>
      <w:r>
        <w:rPr>
          <w:sz w:val="24"/>
        </w:rPr>
        <w:t>B)</w:t>
      </w:r>
      <w:r>
        <w:rPr>
          <w:sz w:val="24"/>
        </w:rPr>
        <w:t>，饥饿</w:t>
      </w:r>
      <w:r>
        <w:rPr>
          <w:sz w:val="24"/>
        </w:rPr>
        <w:t>24h</w:t>
      </w:r>
      <w:r>
        <w:rPr>
          <w:sz w:val="24"/>
        </w:rPr>
        <w:t>及</w:t>
      </w:r>
      <w:r>
        <w:rPr>
          <w:sz w:val="24"/>
        </w:rPr>
        <w:t xml:space="preserve"> 14</w:t>
      </w:r>
      <w:r>
        <w:rPr>
          <w:sz w:val="24"/>
        </w:rPr>
        <w:t>、</w:t>
      </w:r>
      <w:r>
        <w:rPr>
          <w:sz w:val="24"/>
        </w:rPr>
        <w:t>4</w:t>
      </w:r>
      <w:r>
        <w:rPr>
          <w:sz w:val="24"/>
        </w:rPr>
        <w:t>2d</w:t>
      </w:r>
      <w:r>
        <w:rPr>
          <w:sz w:val="24"/>
        </w:rPr>
        <w:t>显著提高了酰基辅酶</w:t>
      </w:r>
      <w:r>
        <w:rPr>
          <w:sz w:val="24"/>
        </w:rPr>
        <w:t>A</w:t>
      </w:r>
      <w:r>
        <w:rPr>
          <w:sz w:val="24"/>
        </w:rPr>
        <w:t>氧化酶</w:t>
      </w:r>
      <w:r>
        <w:rPr>
          <w:sz w:val="24"/>
        </w:rPr>
        <w:t>(ACO)</w:t>
      </w:r>
      <w:r>
        <w:rPr>
          <w:sz w:val="24"/>
        </w:rPr>
        <w:t>基因相对表达量</w:t>
      </w:r>
      <w:r>
        <w:rPr>
          <w:sz w:val="24"/>
        </w:rPr>
        <w:t>(P</w:t>
      </w:r>
      <w:r>
        <w:rPr>
          <w:sz w:val="24"/>
        </w:rPr>
        <w:t>＜</w:t>
      </w:r>
      <w:r>
        <w:rPr>
          <w:sz w:val="24"/>
        </w:rPr>
        <w:t>0.05)(</w:t>
      </w:r>
      <w:r>
        <w:rPr>
          <w:sz w:val="24"/>
        </w:rPr>
        <w:t>图</w:t>
      </w:r>
      <w:r>
        <w:rPr>
          <w:sz w:val="24"/>
        </w:rPr>
        <w:t>2</w:t>
      </w:r>
      <w:r>
        <w:rPr>
          <w:sz w:val="24"/>
        </w:rPr>
        <w:t>－</w:t>
      </w:r>
      <w:r>
        <w:rPr>
          <w:sz w:val="24"/>
        </w:rPr>
        <w:t>C)</w:t>
      </w:r>
      <w:r>
        <w:rPr>
          <w:sz w:val="24"/>
        </w:rPr>
        <w:t>；而饥饿</w:t>
      </w:r>
      <w:r>
        <w:rPr>
          <w:sz w:val="24"/>
        </w:rPr>
        <w:t>14</w:t>
      </w:r>
      <w:r>
        <w:rPr>
          <w:sz w:val="24"/>
        </w:rPr>
        <w:t>和</w:t>
      </w:r>
      <w:r>
        <w:rPr>
          <w:sz w:val="24"/>
        </w:rPr>
        <w:t>42d</w:t>
      </w:r>
      <w:r>
        <w:rPr>
          <w:sz w:val="24"/>
        </w:rPr>
        <w:t>时，脂肪酸合成。</w:t>
      </w:r>
    </w:p>
    <w:p w14:paraId="56EE4F17" w14:textId="77777777" w:rsidR="004F39F6" w:rsidRDefault="00731C67">
      <w:pPr>
        <w:spacing w:line="360" w:lineRule="auto"/>
        <w:jc w:val="center"/>
        <w:rPr>
          <w:sz w:val="24"/>
        </w:rPr>
      </w:pPr>
      <w:r>
        <w:rPr>
          <w:noProof/>
          <w:sz w:val="24"/>
        </w:rPr>
        <w:drawing>
          <wp:inline distT="0" distB="0" distL="0" distR="0" wp14:anchorId="0128C631" wp14:editId="1447F323">
            <wp:extent cx="3618865" cy="2266315"/>
            <wp:effectExtent l="0" t="0" r="63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8"/>
                    <a:stretch>
                      <a:fillRect/>
                    </a:stretch>
                  </pic:blipFill>
                  <pic:spPr>
                    <a:xfrm>
                      <a:off x="0" y="0"/>
                      <a:ext cx="3618865" cy="2266315"/>
                    </a:xfrm>
                    <a:prstGeom prst="rect">
                      <a:avLst/>
                    </a:prstGeom>
                  </pic:spPr>
                </pic:pic>
              </a:graphicData>
            </a:graphic>
          </wp:inline>
        </w:drawing>
      </w:r>
    </w:p>
    <w:p w14:paraId="0F5D1839" w14:textId="77777777" w:rsidR="004F39F6" w:rsidRDefault="00731C67">
      <w:pPr>
        <w:spacing w:line="360" w:lineRule="auto"/>
        <w:rPr>
          <w:sz w:val="24"/>
        </w:rPr>
      </w:pPr>
      <w:r>
        <w:rPr>
          <w:sz w:val="24"/>
        </w:rPr>
        <w:lastRenderedPageBreak/>
        <w:t xml:space="preserve">3  </w:t>
      </w:r>
      <w:r>
        <w:rPr>
          <w:sz w:val="24"/>
        </w:rPr>
        <w:t>讨论</w:t>
      </w:r>
      <w:r>
        <w:rPr>
          <w:sz w:val="24"/>
        </w:rPr>
        <w:t xml:space="preserve"> </w:t>
      </w:r>
    </w:p>
    <w:p w14:paraId="017707A5" w14:textId="77777777" w:rsidR="004F39F6" w:rsidRDefault="00731C67">
      <w:pPr>
        <w:spacing w:line="360" w:lineRule="auto"/>
        <w:rPr>
          <w:sz w:val="24"/>
        </w:rPr>
      </w:pPr>
      <w:r>
        <w:rPr>
          <w:sz w:val="24"/>
        </w:rPr>
        <w:t xml:space="preserve">3.1  </w:t>
      </w:r>
      <w:r>
        <w:rPr>
          <w:sz w:val="24"/>
        </w:rPr>
        <w:t>饥饿时间对淡水石首鱼形体指标的影响</w:t>
      </w:r>
    </w:p>
    <w:p w14:paraId="4E6CFC9D" w14:textId="77777777" w:rsidR="004F39F6" w:rsidRDefault="00731C67">
      <w:pPr>
        <w:spacing w:line="360" w:lineRule="auto"/>
        <w:ind w:firstLineChars="200" w:firstLine="480"/>
        <w:rPr>
          <w:sz w:val="24"/>
        </w:rPr>
      </w:pPr>
      <w:r>
        <w:rPr>
          <w:sz w:val="24"/>
        </w:rPr>
        <w:t>当鱼类处于饥饿状态时，无法有效地从外界获取能量物质，只能消耗自身贮藏的营养物质维持生命活动，形体指标可以直观地反映自身营养消耗及生长状况</w:t>
      </w:r>
      <w:r>
        <w:rPr>
          <w:sz w:val="24"/>
          <w:vertAlign w:val="superscript"/>
        </w:rPr>
        <w:t>[15-16]</w:t>
      </w:r>
      <w:r>
        <w:rPr>
          <w:sz w:val="24"/>
        </w:rPr>
        <w:t>。本试验显示，淡水石首鱼在饥饿</w:t>
      </w:r>
      <w:r>
        <w:rPr>
          <w:sz w:val="24"/>
        </w:rPr>
        <w:t>42d</w:t>
      </w:r>
      <w:r>
        <w:rPr>
          <w:sz w:val="24"/>
        </w:rPr>
        <w:t>时，体重、肥满度、肝体比、脏体比、</w:t>
      </w:r>
      <w:proofErr w:type="gramStart"/>
      <w:r>
        <w:rPr>
          <w:sz w:val="24"/>
        </w:rPr>
        <w:t>腹脂比</w:t>
      </w:r>
      <w:proofErr w:type="gramEnd"/>
      <w:r>
        <w:rPr>
          <w:sz w:val="24"/>
        </w:rPr>
        <w:t>下降，这与黒鯛幼鱼</w:t>
      </w:r>
      <w:r>
        <w:rPr>
          <w:sz w:val="24"/>
        </w:rPr>
        <w:t>(</w:t>
      </w:r>
      <w:proofErr w:type="spellStart"/>
      <w:r>
        <w:rPr>
          <w:i/>
          <w:iCs/>
          <w:sz w:val="24"/>
        </w:rPr>
        <w:t>Acanthopagrus</w:t>
      </w:r>
      <w:proofErr w:type="spellEnd"/>
      <w:r>
        <w:rPr>
          <w:i/>
          <w:iCs/>
          <w:sz w:val="24"/>
        </w:rPr>
        <w:t xml:space="preserve"> </w:t>
      </w:r>
      <w:proofErr w:type="spellStart"/>
      <w:r>
        <w:rPr>
          <w:i/>
          <w:iCs/>
          <w:sz w:val="24"/>
        </w:rPr>
        <w:t>schlegelii</w:t>
      </w:r>
      <w:proofErr w:type="spellEnd"/>
      <w:r>
        <w:rPr>
          <w:sz w:val="24"/>
        </w:rPr>
        <w:t>)</w:t>
      </w:r>
      <w:r>
        <w:rPr>
          <w:sz w:val="24"/>
          <w:vertAlign w:val="superscript"/>
        </w:rPr>
        <w:t xml:space="preserve"> [17]</w:t>
      </w:r>
      <w:r>
        <w:rPr>
          <w:sz w:val="24"/>
        </w:rPr>
        <w:t>、吉富罗非鱼</w:t>
      </w:r>
      <w:r>
        <w:rPr>
          <w:sz w:val="24"/>
        </w:rPr>
        <w:t>(</w:t>
      </w:r>
      <w:r>
        <w:rPr>
          <w:i/>
          <w:iCs/>
          <w:sz w:val="24"/>
        </w:rPr>
        <w:t>GIFT</w:t>
      </w:r>
      <w:r>
        <w:rPr>
          <w:i/>
          <w:iCs/>
          <w:sz w:val="24"/>
        </w:rPr>
        <w:t>，</w:t>
      </w:r>
      <w:r>
        <w:rPr>
          <w:i/>
          <w:iCs/>
          <w:sz w:val="24"/>
        </w:rPr>
        <w:t xml:space="preserve">Oreochromis </w:t>
      </w:r>
      <w:proofErr w:type="spellStart"/>
      <w:r>
        <w:rPr>
          <w:i/>
          <w:iCs/>
          <w:sz w:val="24"/>
        </w:rPr>
        <w:t>niloticus</w:t>
      </w:r>
      <w:proofErr w:type="spellEnd"/>
      <w:r>
        <w:rPr>
          <w:sz w:val="24"/>
        </w:rPr>
        <w:t>)</w:t>
      </w:r>
      <w:r>
        <w:rPr>
          <w:sz w:val="24"/>
          <w:vertAlign w:val="superscript"/>
        </w:rPr>
        <w:t>[18]</w:t>
      </w:r>
      <w:r>
        <w:rPr>
          <w:sz w:val="24"/>
        </w:rPr>
        <w:t>、彭泽鲫</w:t>
      </w:r>
      <w:r>
        <w:rPr>
          <w:sz w:val="24"/>
        </w:rPr>
        <w:t>(</w:t>
      </w:r>
      <w:r>
        <w:rPr>
          <w:i/>
          <w:iCs/>
          <w:sz w:val="24"/>
        </w:rPr>
        <w:t xml:space="preserve">Carassius auratus var. </w:t>
      </w:r>
      <w:proofErr w:type="spellStart"/>
      <w:r>
        <w:rPr>
          <w:i/>
          <w:iCs/>
          <w:sz w:val="24"/>
        </w:rPr>
        <w:t>Pengze</w:t>
      </w:r>
      <w:proofErr w:type="spellEnd"/>
      <w:r>
        <w:rPr>
          <w:sz w:val="24"/>
        </w:rPr>
        <w:t>)</w:t>
      </w:r>
      <w:r>
        <w:rPr>
          <w:sz w:val="24"/>
        </w:rPr>
        <w:t>幼鱼</w:t>
      </w:r>
      <w:r>
        <w:rPr>
          <w:sz w:val="24"/>
          <w:vertAlign w:val="superscript"/>
        </w:rPr>
        <w:t>[19]</w:t>
      </w:r>
      <w:r>
        <w:rPr>
          <w:sz w:val="24"/>
        </w:rPr>
        <w:t>等的研究结果一致。在饥饿条件下，鱼类动用各种贮能器官中能源物质的先后顺序存在不同</w:t>
      </w:r>
      <w:r>
        <w:rPr>
          <w:sz w:val="24"/>
          <w:vertAlign w:val="superscript"/>
        </w:rPr>
        <w:t>[20]</w:t>
      </w:r>
      <w:r>
        <w:rPr>
          <w:sz w:val="24"/>
        </w:rPr>
        <w:t>。</w:t>
      </w:r>
      <w:proofErr w:type="gramStart"/>
      <w:r>
        <w:rPr>
          <w:sz w:val="24"/>
        </w:rPr>
        <w:t>杜震宇</w:t>
      </w:r>
      <w:proofErr w:type="gramEnd"/>
      <w:r>
        <w:rPr>
          <w:sz w:val="24"/>
        </w:rPr>
        <w:t>等</w:t>
      </w:r>
      <w:r>
        <w:rPr>
          <w:sz w:val="24"/>
          <w:vertAlign w:val="superscript"/>
        </w:rPr>
        <w:t>[21]</w:t>
      </w:r>
      <w:r>
        <w:rPr>
          <w:sz w:val="24"/>
        </w:rPr>
        <w:t>在研究饥饿对鲈</w:t>
      </w:r>
      <w:r>
        <w:rPr>
          <w:sz w:val="24"/>
        </w:rPr>
        <w:t>(</w:t>
      </w:r>
      <w:proofErr w:type="spellStart"/>
      <w:r>
        <w:rPr>
          <w:i/>
          <w:iCs/>
          <w:sz w:val="24"/>
        </w:rPr>
        <w:t>Perca</w:t>
      </w:r>
      <w:proofErr w:type="spellEnd"/>
      <w:r>
        <w:rPr>
          <w:i/>
          <w:iCs/>
          <w:sz w:val="24"/>
        </w:rPr>
        <w:t xml:space="preserve"> </w:t>
      </w:r>
      <w:proofErr w:type="spellStart"/>
      <w:r>
        <w:rPr>
          <w:i/>
          <w:iCs/>
          <w:sz w:val="24"/>
        </w:rPr>
        <w:t>fluviatilis</w:t>
      </w:r>
      <w:proofErr w:type="spellEnd"/>
      <w:r>
        <w:rPr>
          <w:sz w:val="24"/>
        </w:rPr>
        <w:t>)</w:t>
      </w:r>
      <w:r>
        <w:rPr>
          <w:sz w:val="24"/>
        </w:rPr>
        <w:t>形体指标影响中发现，鲈在饥饿条件下，会首先动用肠系膜脂肪提供能量。</w:t>
      </w:r>
      <w:proofErr w:type="gramStart"/>
      <w:r>
        <w:rPr>
          <w:sz w:val="24"/>
        </w:rPr>
        <w:t>钟金香</w:t>
      </w:r>
      <w:proofErr w:type="gramEnd"/>
      <w:r>
        <w:rPr>
          <w:sz w:val="24"/>
        </w:rPr>
        <w:t>等</w:t>
      </w:r>
      <w:r>
        <w:rPr>
          <w:sz w:val="24"/>
          <w:vertAlign w:val="superscript"/>
        </w:rPr>
        <w:t>[22]</w:t>
      </w:r>
      <w:r>
        <w:rPr>
          <w:sz w:val="24"/>
        </w:rPr>
        <w:t>研究发鳙鱼</w:t>
      </w:r>
      <w:r>
        <w:rPr>
          <w:sz w:val="24"/>
        </w:rPr>
        <w:t>(</w:t>
      </w:r>
      <w:proofErr w:type="spellStart"/>
      <w:r>
        <w:rPr>
          <w:i/>
          <w:iCs/>
          <w:sz w:val="24"/>
        </w:rPr>
        <w:t>Aristichthys</w:t>
      </w:r>
      <w:proofErr w:type="spellEnd"/>
      <w:r>
        <w:rPr>
          <w:i/>
          <w:iCs/>
          <w:sz w:val="24"/>
        </w:rPr>
        <w:t xml:space="preserve"> nobilis</w:t>
      </w:r>
      <w:r>
        <w:rPr>
          <w:sz w:val="24"/>
        </w:rPr>
        <w:t>)</w:t>
      </w:r>
      <w:r>
        <w:rPr>
          <w:sz w:val="24"/>
        </w:rPr>
        <w:t>在饥饿</w:t>
      </w:r>
      <w:r>
        <w:rPr>
          <w:sz w:val="24"/>
        </w:rPr>
        <w:t>25d</w:t>
      </w:r>
      <w:r>
        <w:rPr>
          <w:sz w:val="24"/>
        </w:rPr>
        <w:t>时会同时动用内脏和肝脏中的物质提供能量。研究发现，淡水石首鱼</w:t>
      </w:r>
      <w:r>
        <w:rPr>
          <w:sz w:val="24"/>
        </w:rPr>
        <w:t>(</w:t>
      </w:r>
      <w:r>
        <w:rPr>
          <w:sz w:val="24"/>
        </w:rPr>
        <w:t>取样时腹</w:t>
      </w:r>
      <w:r>
        <w:rPr>
          <w:sz w:val="24"/>
        </w:rPr>
        <w:t>腔存在大量脂肪</w:t>
      </w:r>
      <w:r>
        <w:rPr>
          <w:sz w:val="24"/>
        </w:rPr>
        <w:t>)</w:t>
      </w:r>
      <w:r>
        <w:rPr>
          <w:sz w:val="24"/>
        </w:rPr>
        <w:t>在饥饿条件下，淡水石首鱼脏体比和肝体比</w:t>
      </w:r>
      <w:proofErr w:type="gramStart"/>
      <w:r>
        <w:rPr>
          <w:sz w:val="24"/>
        </w:rPr>
        <w:t>先显著</w:t>
      </w:r>
      <w:proofErr w:type="gramEnd"/>
      <w:r>
        <w:rPr>
          <w:sz w:val="24"/>
        </w:rPr>
        <w:t>降低，其中脏体比在饥饿</w:t>
      </w:r>
      <w:r>
        <w:rPr>
          <w:sz w:val="24"/>
        </w:rPr>
        <w:t>12h</w:t>
      </w:r>
      <w:r>
        <w:rPr>
          <w:sz w:val="24"/>
        </w:rPr>
        <w:t>后显著降低，肝体比在饥饿</w:t>
      </w:r>
      <w:r>
        <w:rPr>
          <w:sz w:val="24"/>
        </w:rPr>
        <w:t>48h</w:t>
      </w:r>
      <w:r>
        <w:rPr>
          <w:sz w:val="24"/>
        </w:rPr>
        <w:t>后显著降低，且两者总体降幅相似，而饥饿</w:t>
      </w:r>
      <w:r>
        <w:rPr>
          <w:sz w:val="24"/>
        </w:rPr>
        <w:t>6d</w:t>
      </w:r>
      <w:proofErr w:type="gramStart"/>
      <w:r>
        <w:rPr>
          <w:sz w:val="24"/>
        </w:rPr>
        <w:t>后腹脂比明显</w:t>
      </w:r>
      <w:proofErr w:type="gramEnd"/>
      <w:r>
        <w:rPr>
          <w:sz w:val="24"/>
        </w:rPr>
        <w:t>降低。这表明淡水石首鱼在饥饿状态下，首先会消耗用内脏中残留食物消化供能，其次再动用肝脏提供能量，最后消耗腹部脂肪供能。</w:t>
      </w:r>
      <w:proofErr w:type="gramStart"/>
      <w:r>
        <w:rPr>
          <w:sz w:val="24"/>
        </w:rPr>
        <w:t>钟金香</w:t>
      </w:r>
      <w:proofErr w:type="gramEnd"/>
      <w:r>
        <w:rPr>
          <w:sz w:val="24"/>
        </w:rPr>
        <w:t>等</w:t>
      </w:r>
      <w:r>
        <w:rPr>
          <w:sz w:val="24"/>
          <w:vertAlign w:val="superscript"/>
        </w:rPr>
        <w:t>[23]</w:t>
      </w:r>
      <w:r>
        <w:rPr>
          <w:sz w:val="24"/>
        </w:rPr>
        <w:t>研究发斑点叉尾鮰</w:t>
      </w:r>
      <w:r>
        <w:rPr>
          <w:sz w:val="24"/>
        </w:rPr>
        <w:t xml:space="preserve">( </w:t>
      </w:r>
      <w:proofErr w:type="spellStart"/>
      <w:r>
        <w:rPr>
          <w:sz w:val="24"/>
        </w:rPr>
        <w:t>Ictalurus</w:t>
      </w:r>
      <w:proofErr w:type="spellEnd"/>
      <w:r>
        <w:rPr>
          <w:sz w:val="24"/>
        </w:rPr>
        <w:t xml:space="preserve"> punctatus)</w:t>
      </w:r>
      <w:r>
        <w:rPr>
          <w:sz w:val="24"/>
        </w:rPr>
        <w:t>在饥饿时首先动用内脏中储能物质，其次动用肝脏中的储能物质，这与本试验的研究结果一致。</w:t>
      </w:r>
      <w:r>
        <w:rPr>
          <w:sz w:val="24"/>
        </w:rPr>
        <w:t xml:space="preserve"> </w:t>
      </w:r>
    </w:p>
    <w:p w14:paraId="4623EB4D" w14:textId="77777777" w:rsidR="004F39F6" w:rsidRDefault="00731C67">
      <w:pPr>
        <w:spacing w:line="360" w:lineRule="auto"/>
        <w:rPr>
          <w:sz w:val="24"/>
        </w:rPr>
      </w:pPr>
      <w:r>
        <w:rPr>
          <w:sz w:val="24"/>
        </w:rPr>
        <w:t xml:space="preserve">3.2  </w:t>
      </w:r>
      <w:r>
        <w:rPr>
          <w:sz w:val="24"/>
        </w:rPr>
        <w:t>饥饿时间对淡水石首鱼肌肉脂肪酸组成的影响</w:t>
      </w:r>
      <w:r>
        <w:rPr>
          <w:sz w:val="24"/>
        </w:rPr>
        <w:t xml:space="preserve"> </w:t>
      </w:r>
    </w:p>
    <w:p w14:paraId="6B06CD39" w14:textId="77777777" w:rsidR="004F39F6" w:rsidRDefault="00731C67">
      <w:pPr>
        <w:spacing w:line="360" w:lineRule="auto"/>
        <w:ind w:firstLineChars="200" w:firstLine="480"/>
        <w:rPr>
          <w:sz w:val="24"/>
        </w:rPr>
      </w:pPr>
      <w:r>
        <w:rPr>
          <w:sz w:val="24"/>
        </w:rPr>
        <w:t>肌肉</w:t>
      </w:r>
      <w:r>
        <w:rPr>
          <w:sz w:val="24"/>
        </w:rPr>
        <w:t>作为鱼类主要产品，其营养价值与人类息息相关。因此分析饥饿胁迫下肌肉脂肪酸组成种类及含量有助于推动淡水石首鱼健康养殖以及提供高品质鱼产品。随着饥饿时间的延长，肌肉粗脂肪含量逐渐在下降。而在饥饿条件下，鱼类对脂肪酸的利用存在一定的规律，一般优先利用</w:t>
      </w:r>
      <w:r>
        <w:rPr>
          <w:sz w:val="24"/>
        </w:rPr>
        <w:t>SFA</w:t>
      </w:r>
      <w:r>
        <w:rPr>
          <w:sz w:val="24"/>
        </w:rPr>
        <w:t>，其次利用</w:t>
      </w:r>
      <w:r>
        <w:rPr>
          <w:sz w:val="24"/>
        </w:rPr>
        <w:t>MUFA</w:t>
      </w:r>
      <w:r>
        <w:rPr>
          <w:sz w:val="24"/>
        </w:rPr>
        <w:t>，最后利用</w:t>
      </w:r>
      <w:r>
        <w:rPr>
          <w:sz w:val="24"/>
        </w:rPr>
        <w:t>PUFA</w:t>
      </w:r>
      <w:r>
        <w:rPr>
          <w:sz w:val="24"/>
          <w:vertAlign w:val="superscript"/>
        </w:rPr>
        <w:t>[24]</w:t>
      </w:r>
      <w:r>
        <w:rPr>
          <w:sz w:val="24"/>
        </w:rPr>
        <w:t>。在饥饿状态下，</w:t>
      </w:r>
      <w:proofErr w:type="gramStart"/>
      <w:r>
        <w:rPr>
          <w:sz w:val="24"/>
        </w:rPr>
        <w:t>鲵</w:t>
      </w:r>
      <w:proofErr w:type="gramEnd"/>
      <w:r>
        <w:rPr>
          <w:sz w:val="24"/>
        </w:rPr>
        <w:t>(</w:t>
      </w:r>
      <w:proofErr w:type="spellStart"/>
      <w:r>
        <w:rPr>
          <w:i/>
          <w:iCs/>
          <w:sz w:val="24"/>
        </w:rPr>
        <w:t>Miichthys</w:t>
      </w:r>
      <w:proofErr w:type="spellEnd"/>
      <w:r>
        <w:rPr>
          <w:i/>
          <w:iCs/>
          <w:sz w:val="24"/>
        </w:rPr>
        <w:t xml:space="preserve"> </w:t>
      </w:r>
      <w:proofErr w:type="spellStart"/>
      <w:r>
        <w:rPr>
          <w:i/>
          <w:iCs/>
          <w:sz w:val="24"/>
        </w:rPr>
        <w:t>miiuy</w:t>
      </w:r>
      <w:proofErr w:type="spellEnd"/>
      <w:r>
        <w:rPr>
          <w:i/>
          <w:iCs/>
          <w:sz w:val="24"/>
        </w:rPr>
        <w:t xml:space="preserve"> </w:t>
      </w:r>
      <w:proofErr w:type="spellStart"/>
      <w:r>
        <w:rPr>
          <w:i/>
          <w:iCs/>
          <w:sz w:val="24"/>
        </w:rPr>
        <w:t>Basilewsky</w:t>
      </w:r>
      <w:proofErr w:type="spellEnd"/>
      <w:r>
        <w:rPr>
          <w:sz w:val="24"/>
        </w:rPr>
        <w:t>)</w:t>
      </w:r>
      <w:r>
        <w:rPr>
          <w:sz w:val="24"/>
        </w:rPr>
        <w:t>幼鱼、点带石斑</w:t>
      </w:r>
      <w:r>
        <w:rPr>
          <w:sz w:val="24"/>
        </w:rPr>
        <w:t>(</w:t>
      </w:r>
      <w:proofErr w:type="spellStart"/>
      <w:r>
        <w:rPr>
          <w:i/>
          <w:iCs/>
          <w:sz w:val="24"/>
        </w:rPr>
        <w:t>Epinephelus</w:t>
      </w:r>
      <w:proofErr w:type="spellEnd"/>
      <w:r>
        <w:rPr>
          <w:i/>
          <w:iCs/>
          <w:sz w:val="24"/>
        </w:rPr>
        <w:t xml:space="preserve"> </w:t>
      </w:r>
      <w:proofErr w:type="spellStart"/>
      <w:r>
        <w:rPr>
          <w:i/>
          <w:iCs/>
          <w:sz w:val="24"/>
        </w:rPr>
        <w:t>coioides</w:t>
      </w:r>
      <w:proofErr w:type="spellEnd"/>
      <w:r>
        <w:rPr>
          <w:sz w:val="24"/>
        </w:rPr>
        <w:t>)</w:t>
      </w:r>
      <w:r>
        <w:rPr>
          <w:sz w:val="24"/>
        </w:rPr>
        <w:t>幼鱼和长峭</w:t>
      </w:r>
      <w:r>
        <w:rPr>
          <w:sz w:val="24"/>
        </w:rPr>
        <w:t>(</w:t>
      </w:r>
      <w:r>
        <w:rPr>
          <w:i/>
          <w:iCs/>
          <w:sz w:val="24"/>
        </w:rPr>
        <w:t>Octopus minor</w:t>
      </w:r>
      <w:r>
        <w:rPr>
          <w:sz w:val="24"/>
        </w:rPr>
        <w:t>)</w:t>
      </w:r>
      <w:r>
        <w:rPr>
          <w:sz w:val="24"/>
        </w:rPr>
        <w:t>优先利用</w:t>
      </w:r>
      <w:r>
        <w:rPr>
          <w:sz w:val="24"/>
        </w:rPr>
        <w:t xml:space="preserve"> </w:t>
      </w:r>
      <w:r>
        <w:rPr>
          <w:sz w:val="24"/>
        </w:rPr>
        <w:t>SFA</w:t>
      </w:r>
      <w:r>
        <w:rPr>
          <w:sz w:val="24"/>
        </w:rPr>
        <w:t>，其次利用</w:t>
      </w:r>
      <w:r>
        <w:rPr>
          <w:sz w:val="24"/>
        </w:rPr>
        <w:t>MUFA</w:t>
      </w:r>
      <w:r>
        <w:rPr>
          <w:sz w:val="24"/>
        </w:rPr>
        <w:t>，最后利用</w:t>
      </w:r>
      <w:r>
        <w:rPr>
          <w:sz w:val="24"/>
        </w:rPr>
        <w:t>PUFA</w:t>
      </w:r>
      <w:r>
        <w:rPr>
          <w:sz w:val="24"/>
          <w:vertAlign w:val="superscript"/>
        </w:rPr>
        <w:t>[25</w:t>
      </w:r>
      <w:r>
        <w:rPr>
          <w:sz w:val="24"/>
          <w:vertAlign w:val="superscript"/>
        </w:rPr>
        <w:t>－</w:t>
      </w:r>
      <w:r>
        <w:rPr>
          <w:sz w:val="24"/>
          <w:vertAlign w:val="superscript"/>
        </w:rPr>
        <w:t>27]</w:t>
      </w:r>
      <w:r>
        <w:rPr>
          <w:sz w:val="24"/>
        </w:rPr>
        <w:t>。然而有些鱼类在饥饿条件下对脂肪酸的利用顺序存在着一定差异。养殖大黄鱼</w:t>
      </w:r>
      <w:r>
        <w:rPr>
          <w:sz w:val="24"/>
        </w:rPr>
        <w:t>(</w:t>
      </w:r>
      <w:proofErr w:type="spellStart"/>
      <w:r>
        <w:rPr>
          <w:i/>
          <w:iCs/>
          <w:sz w:val="24"/>
        </w:rPr>
        <w:t>Larimichthys</w:t>
      </w:r>
      <w:proofErr w:type="spellEnd"/>
      <w:r>
        <w:rPr>
          <w:i/>
          <w:iCs/>
          <w:sz w:val="24"/>
        </w:rPr>
        <w:t xml:space="preserve"> </w:t>
      </w:r>
      <w:proofErr w:type="spellStart"/>
      <w:r>
        <w:rPr>
          <w:i/>
          <w:iCs/>
          <w:sz w:val="24"/>
        </w:rPr>
        <w:t>crocea</w:t>
      </w:r>
      <w:proofErr w:type="spellEnd"/>
      <w:r>
        <w:rPr>
          <w:sz w:val="24"/>
        </w:rPr>
        <w:t>)</w:t>
      </w:r>
      <w:r>
        <w:rPr>
          <w:sz w:val="24"/>
        </w:rPr>
        <w:t>在禁食中，</w:t>
      </w:r>
      <w:r>
        <w:rPr>
          <w:sz w:val="24"/>
        </w:rPr>
        <w:t>SFA</w:t>
      </w:r>
      <w:r>
        <w:rPr>
          <w:sz w:val="24"/>
        </w:rPr>
        <w:t>和</w:t>
      </w:r>
      <w:r>
        <w:rPr>
          <w:sz w:val="24"/>
        </w:rPr>
        <w:t>MUFA</w:t>
      </w:r>
      <w:r>
        <w:rPr>
          <w:sz w:val="24"/>
        </w:rPr>
        <w:t>含量变化趋势不明显，</w:t>
      </w:r>
      <w:r>
        <w:rPr>
          <w:sz w:val="24"/>
        </w:rPr>
        <w:t>PUFA</w:t>
      </w:r>
      <w:r>
        <w:rPr>
          <w:sz w:val="24"/>
        </w:rPr>
        <w:t>含量呈下降趋势</w:t>
      </w:r>
      <w:r>
        <w:rPr>
          <w:sz w:val="24"/>
          <w:vertAlign w:val="superscript"/>
        </w:rPr>
        <w:t>[28]</w:t>
      </w:r>
      <w:r>
        <w:rPr>
          <w:sz w:val="24"/>
        </w:rPr>
        <w:t>。瓦氏黄</w:t>
      </w:r>
      <w:proofErr w:type="gramStart"/>
      <w:r>
        <w:rPr>
          <w:sz w:val="24"/>
        </w:rPr>
        <w:t>颡</w:t>
      </w:r>
      <w:proofErr w:type="gramEnd"/>
      <w:r>
        <w:rPr>
          <w:sz w:val="24"/>
        </w:rPr>
        <w:t>鱼</w:t>
      </w:r>
      <w:r>
        <w:rPr>
          <w:sz w:val="24"/>
        </w:rPr>
        <w:t>(</w:t>
      </w:r>
      <w:proofErr w:type="spellStart"/>
      <w:r>
        <w:rPr>
          <w:i/>
          <w:iCs/>
          <w:sz w:val="24"/>
        </w:rPr>
        <w:t>P.vachelli</w:t>
      </w:r>
      <w:proofErr w:type="spellEnd"/>
      <w:r>
        <w:rPr>
          <w:sz w:val="24"/>
        </w:rPr>
        <w:t>)</w:t>
      </w:r>
      <w:r>
        <w:rPr>
          <w:sz w:val="24"/>
        </w:rPr>
        <w:t>脂肪酸利用则表现出</w:t>
      </w:r>
      <w:r>
        <w:rPr>
          <w:sz w:val="24"/>
        </w:rPr>
        <w:t>SFA</w:t>
      </w:r>
      <w:r>
        <w:rPr>
          <w:sz w:val="24"/>
        </w:rPr>
        <w:t>含量无显著变化，</w:t>
      </w:r>
      <w:r>
        <w:rPr>
          <w:sz w:val="24"/>
        </w:rPr>
        <w:t>MUFA</w:t>
      </w:r>
      <w:r>
        <w:rPr>
          <w:sz w:val="24"/>
        </w:rPr>
        <w:t>含量降低，</w:t>
      </w:r>
      <w:r>
        <w:rPr>
          <w:sz w:val="24"/>
        </w:rPr>
        <w:t>PUFA</w:t>
      </w:r>
      <w:r>
        <w:rPr>
          <w:sz w:val="24"/>
        </w:rPr>
        <w:t>含量上升</w:t>
      </w:r>
      <w:r>
        <w:rPr>
          <w:sz w:val="24"/>
          <w:vertAlign w:val="superscript"/>
        </w:rPr>
        <w:t>[29]</w:t>
      </w:r>
      <w:r>
        <w:rPr>
          <w:sz w:val="24"/>
        </w:rPr>
        <w:t>。这说明鱼类对脂肪酸的</w:t>
      </w:r>
      <w:proofErr w:type="gramStart"/>
      <w:r>
        <w:rPr>
          <w:sz w:val="24"/>
        </w:rPr>
        <w:t>利用因</w:t>
      </w:r>
      <w:proofErr w:type="gramEnd"/>
      <w:r>
        <w:rPr>
          <w:sz w:val="24"/>
        </w:rPr>
        <w:t>鱼的种类、禁食条件等存在差异。本试验结果显示，淡水石首鱼在饥饿</w:t>
      </w:r>
      <w:r>
        <w:rPr>
          <w:sz w:val="24"/>
        </w:rPr>
        <w:t>24h</w:t>
      </w:r>
      <w:r>
        <w:rPr>
          <w:sz w:val="24"/>
        </w:rPr>
        <w:t>时，肌肉</w:t>
      </w:r>
      <w:r>
        <w:rPr>
          <w:sz w:val="24"/>
        </w:rPr>
        <w:t>SFA</w:t>
      </w:r>
      <w:r>
        <w:rPr>
          <w:sz w:val="24"/>
        </w:rPr>
        <w:t>、</w:t>
      </w:r>
      <w:r>
        <w:rPr>
          <w:sz w:val="24"/>
        </w:rPr>
        <w:t xml:space="preserve">MUFA </w:t>
      </w:r>
      <w:r>
        <w:rPr>
          <w:sz w:val="24"/>
        </w:rPr>
        <w:t>和</w:t>
      </w:r>
      <w:r>
        <w:rPr>
          <w:sz w:val="24"/>
        </w:rPr>
        <w:t>PUFA</w:t>
      </w:r>
      <w:r>
        <w:rPr>
          <w:sz w:val="24"/>
        </w:rPr>
        <w:t>含量无显著变化，这</w:t>
      </w:r>
      <w:r>
        <w:rPr>
          <w:sz w:val="24"/>
        </w:rPr>
        <w:t>可能是因为饥饿时间太短；饥饿</w:t>
      </w:r>
      <w:r>
        <w:rPr>
          <w:sz w:val="24"/>
        </w:rPr>
        <w:t>14</w:t>
      </w:r>
      <w:r>
        <w:rPr>
          <w:sz w:val="24"/>
        </w:rPr>
        <w:t>和</w:t>
      </w:r>
      <w:r>
        <w:rPr>
          <w:sz w:val="24"/>
        </w:rPr>
        <w:t>42d</w:t>
      </w:r>
      <w:r>
        <w:rPr>
          <w:sz w:val="24"/>
        </w:rPr>
        <w:t>时，肌肉</w:t>
      </w:r>
      <w:r>
        <w:rPr>
          <w:sz w:val="24"/>
        </w:rPr>
        <w:t>SFA</w:t>
      </w:r>
      <w:r>
        <w:rPr>
          <w:sz w:val="24"/>
        </w:rPr>
        <w:t>含量无显著变化，</w:t>
      </w:r>
      <w:r>
        <w:rPr>
          <w:sz w:val="24"/>
        </w:rPr>
        <w:t>MUFA</w:t>
      </w:r>
      <w:r>
        <w:rPr>
          <w:sz w:val="24"/>
        </w:rPr>
        <w:t>含量显著降低，</w:t>
      </w:r>
      <w:r>
        <w:rPr>
          <w:sz w:val="24"/>
        </w:rPr>
        <w:t>PUFA</w:t>
      </w:r>
      <w:r>
        <w:rPr>
          <w:sz w:val="24"/>
        </w:rPr>
        <w:t>含量显著上升。这可能是因为</w:t>
      </w:r>
      <w:r>
        <w:rPr>
          <w:sz w:val="24"/>
        </w:rPr>
        <w:t>SFA</w:t>
      </w:r>
      <w:r>
        <w:rPr>
          <w:sz w:val="24"/>
        </w:rPr>
        <w:t>和</w:t>
      </w:r>
      <w:r>
        <w:rPr>
          <w:sz w:val="24"/>
        </w:rPr>
        <w:t>MUF</w:t>
      </w:r>
      <w:r>
        <w:rPr>
          <w:sz w:val="24"/>
        </w:rPr>
        <w:t>容</w:t>
      </w:r>
      <w:r>
        <w:rPr>
          <w:sz w:val="24"/>
        </w:rPr>
        <w:lastRenderedPageBreak/>
        <w:t>易通过线粒体进行</w:t>
      </w:r>
      <w:r>
        <w:rPr>
          <w:sz w:val="24"/>
        </w:rPr>
        <w:t>β</w:t>
      </w:r>
      <w:r>
        <w:rPr>
          <w:sz w:val="24"/>
        </w:rPr>
        <w:t>氧化提供能量，而</w:t>
      </w:r>
      <w:r>
        <w:rPr>
          <w:sz w:val="24"/>
        </w:rPr>
        <w:t>PUFA</w:t>
      </w:r>
      <w:r>
        <w:rPr>
          <w:sz w:val="24"/>
        </w:rPr>
        <w:t>经</w:t>
      </w:r>
      <w:r>
        <w:rPr>
          <w:sz w:val="24"/>
        </w:rPr>
        <w:t>β</w:t>
      </w:r>
      <w:r>
        <w:rPr>
          <w:sz w:val="24"/>
        </w:rPr>
        <w:t>氧化需要</w:t>
      </w:r>
      <w:proofErr w:type="gramStart"/>
      <w:r>
        <w:rPr>
          <w:sz w:val="24"/>
        </w:rPr>
        <w:t>差向酶</w:t>
      </w:r>
      <w:proofErr w:type="gramEnd"/>
      <w:r>
        <w:rPr>
          <w:sz w:val="24"/>
        </w:rPr>
        <w:t>和异构酶参与</w:t>
      </w:r>
      <w:r>
        <w:rPr>
          <w:sz w:val="24"/>
          <w:vertAlign w:val="superscript"/>
        </w:rPr>
        <w:t>[30</w:t>
      </w:r>
      <w:r>
        <w:rPr>
          <w:sz w:val="24"/>
          <w:vertAlign w:val="superscript"/>
        </w:rPr>
        <w:t>－</w:t>
      </w:r>
      <w:r>
        <w:rPr>
          <w:sz w:val="24"/>
          <w:vertAlign w:val="superscript"/>
        </w:rPr>
        <w:t>32]</w:t>
      </w:r>
      <w:r>
        <w:rPr>
          <w:sz w:val="24"/>
        </w:rPr>
        <w:t>。此外，</w:t>
      </w:r>
      <w:r>
        <w:rPr>
          <w:sz w:val="24"/>
        </w:rPr>
        <w:t>PUFA</w:t>
      </w:r>
      <w:r>
        <w:rPr>
          <w:sz w:val="24"/>
        </w:rPr>
        <w:t>是生物膜、神经和视觉系统的重要组成成分，具有比供能更加重要的生物功能而被保留下来</w:t>
      </w:r>
      <w:r>
        <w:rPr>
          <w:sz w:val="24"/>
          <w:vertAlign w:val="superscript"/>
        </w:rPr>
        <w:t>[33-35]</w:t>
      </w:r>
      <w:r>
        <w:rPr>
          <w:sz w:val="24"/>
        </w:rPr>
        <w:t>。在饥饿</w:t>
      </w:r>
      <w:r>
        <w:rPr>
          <w:sz w:val="24"/>
        </w:rPr>
        <w:t>42d</w:t>
      </w:r>
      <w:r>
        <w:rPr>
          <w:sz w:val="24"/>
        </w:rPr>
        <w:t>后，本试验中肌肉</w:t>
      </w:r>
      <w:r>
        <w:rPr>
          <w:sz w:val="24"/>
        </w:rPr>
        <w:t>EP+DHA</w:t>
      </w:r>
      <w:r>
        <w:rPr>
          <w:sz w:val="24"/>
        </w:rPr>
        <w:t>含量升高，</w:t>
      </w:r>
      <w:r>
        <w:rPr>
          <w:sz w:val="24"/>
        </w:rPr>
        <w:t>∑</w:t>
      </w:r>
    </w:p>
    <w:p w14:paraId="7EFC0541" w14:textId="77777777" w:rsidR="004F39F6" w:rsidRDefault="00731C67">
      <w:pPr>
        <w:spacing w:line="360" w:lineRule="auto"/>
        <w:ind w:firstLineChars="200" w:firstLine="480"/>
        <w:rPr>
          <w:sz w:val="24"/>
        </w:rPr>
      </w:pPr>
      <w:r>
        <w:rPr>
          <w:sz w:val="24"/>
        </w:rPr>
        <w:t>n-3PUFA</w:t>
      </w:r>
      <w:r>
        <w:rPr>
          <w:sz w:val="24"/>
        </w:rPr>
        <w:t>和</w:t>
      </w:r>
      <w:r>
        <w:rPr>
          <w:sz w:val="24"/>
        </w:rPr>
        <w:t>∑n-6PUFA</w:t>
      </w:r>
      <w:r>
        <w:rPr>
          <w:sz w:val="24"/>
        </w:rPr>
        <w:t>含量升高，这与点带石斑幼鱼肌肉脂肪酸研究结果</w:t>
      </w:r>
      <w:r>
        <w:rPr>
          <w:sz w:val="24"/>
          <w:vertAlign w:val="superscript"/>
        </w:rPr>
        <w:t>[26]</w:t>
      </w:r>
      <w:r>
        <w:rPr>
          <w:sz w:val="24"/>
        </w:rPr>
        <w:t>一致。研究结果表明，饥饿可以改变淡</w:t>
      </w:r>
      <w:r>
        <w:rPr>
          <w:sz w:val="24"/>
        </w:rPr>
        <w:t>水石首鱼肌肉不同类型脂肪酸组成，影响鱼产品的营养价值。</w:t>
      </w:r>
    </w:p>
    <w:p w14:paraId="25629111" w14:textId="77777777" w:rsidR="004F39F6" w:rsidRDefault="00731C67">
      <w:pPr>
        <w:spacing w:line="360" w:lineRule="auto"/>
        <w:rPr>
          <w:sz w:val="24"/>
        </w:rPr>
      </w:pPr>
      <w:r>
        <w:rPr>
          <w:sz w:val="24"/>
        </w:rPr>
        <w:t xml:space="preserve">3.3  </w:t>
      </w:r>
      <w:r>
        <w:rPr>
          <w:sz w:val="24"/>
        </w:rPr>
        <w:t>饥饿时间对淡水石首鱼肝脏脂肪代谢相关基因表达的影响</w:t>
      </w:r>
    </w:p>
    <w:p w14:paraId="5163F5CB" w14:textId="77777777" w:rsidR="004F39F6" w:rsidRDefault="00731C67">
      <w:pPr>
        <w:spacing w:line="360" w:lineRule="auto"/>
        <w:ind w:firstLineChars="200" w:firstLine="480"/>
        <w:rPr>
          <w:sz w:val="24"/>
        </w:rPr>
      </w:pPr>
      <w:r>
        <w:rPr>
          <w:sz w:val="24"/>
        </w:rPr>
        <w:t>脂肪作为体内能量储存最高的物质，维持机体的生命活动至关重要</w:t>
      </w:r>
      <w:r>
        <w:rPr>
          <w:sz w:val="24"/>
          <w:vertAlign w:val="superscript"/>
        </w:rPr>
        <w:t>[36]</w:t>
      </w:r>
      <w:r>
        <w:rPr>
          <w:sz w:val="24"/>
        </w:rPr>
        <w:t>。为进一步探索淡水石首鱼饥饿胁迫过程脂肪代谢变化规律，对脂肪合成及分解代谢相关基因表达进行分析。脂肪代谢是一个复杂的生物学过程，包括脂肪的转运、分解、合成。脂肪代谢过程中，有大量的酶及辅助因子参与，还会受到糖代谢、氨基酸代谢的影响，它们之间进行相互调控，维持着机体的代谢平衡</w:t>
      </w:r>
      <w:r>
        <w:rPr>
          <w:sz w:val="24"/>
          <w:vertAlign w:val="superscript"/>
        </w:rPr>
        <w:t>[37]</w:t>
      </w:r>
      <w:r>
        <w:rPr>
          <w:sz w:val="24"/>
        </w:rPr>
        <w:t>。因此，探讨脂肪代谢关键因子在脂肪转运、分解及</w:t>
      </w:r>
      <w:r>
        <w:rPr>
          <w:sz w:val="24"/>
        </w:rPr>
        <w:t>合成的作用，有助于了解淡水石首鱼在饥饿状态下脂肪分解代谢的动态过程。过氧化物酶体增殖</w:t>
      </w:r>
      <w:r>
        <w:rPr>
          <w:sz w:val="24"/>
        </w:rPr>
        <w:t xml:space="preserve"> </w:t>
      </w:r>
      <w:r>
        <w:rPr>
          <w:sz w:val="24"/>
        </w:rPr>
        <w:t>激活受体</w:t>
      </w:r>
      <w:r>
        <w:rPr>
          <w:sz w:val="24"/>
        </w:rPr>
        <w:t>(PPARs)</w:t>
      </w:r>
      <w:r>
        <w:rPr>
          <w:sz w:val="24"/>
        </w:rPr>
        <w:t>在脂质代谢过程中具有重要作用，其中</w:t>
      </w:r>
      <w:r>
        <w:rPr>
          <w:sz w:val="24"/>
        </w:rPr>
        <w:t>PPARα</w:t>
      </w:r>
      <w:r>
        <w:rPr>
          <w:sz w:val="24"/>
        </w:rPr>
        <w:t>可以调节下游脂肪分解代谢关键因子的表达，参与脂肪代谢</w:t>
      </w:r>
      <w:r>
        <w:rPr>
          <w:sz w:val="24"/>
        </w:rPr>
        <w:t>[38</w:t>
      </w:r>
      <w:r>
        <w:rPr>
          <w:sz w:val="24"/>
        </w:rPr>
        <w:t>－</w:t>
      </w:r>
      <w:r>
        <w:rPr>
          <w:sz w:val="24"/>
        </w:rPr>
        <w:t>40]</w:t>
      </w:r>
      <w:r>
        <w:rPr>
          <w:sz w:val="24"/>
        </w:rPr>
        <w:t>。肉毒碱棕榈酰基转移酶</w:t>
      </w:r>
      <w:r>
        <w:rPr>
          <w:sz w:val="24"/>
        </w:rPr>
        <w:t>(CPT)</w:t>
      </w:r>
      <w:r>
        <w:rPr>
          <w:sz w:val="24"/>
        </w:rPr>
        <w:t>是调节体内脂肪酸</w:t>
      </w:r>
      <w:r>
        <w:rPr>
          <w:sz w:val="24"/>
        </w:rPr>
        <w:t>β</w:t>
      </w:r>
      <w:r>
        <w:rPr>
          <w:sz w:val="24"/>
        </w:rPr>
        <w:t>氧化的关键酶与限速酶，</w:t>
      </w:r>
      <w:r>
        <w:rPr>
          <w:sz w:val="24"/>
        </w:rPr>
        <w:t>β</w:t>
      </w:r>
      <w:r>
        <w:rPr>
          <w:sz w:val="24"/>
        </w:rPr>
        <w:t>氧化是体内脂肪酸主要分解过程</w:t>
      </w:r>
      <w:r>
        <w:rPr>
          <w:sz w:val="24"/>
          <w:vertAlign w:val="superscript"/>
        </w:rPr>
        <w:t>[41]</w:t>
      </w:r>
      <w:r>
        <w:rPr>
          <w:sz w:val="24"/>
        </w:rPr>
        <w:t>。本试验结果显示，淡水石首鱼饥饿</w:t>
      </w:r>
      <w:r>
        <w:rPr>
          <w:sz w:val="24"/>
        </w:rPr>
        <w:t>24h</w:t>
      </w:r>
      <w:r>
        <w:rPr>
          <w:sz w:val="24"/>
        </w:rPr>
        <w:t>时，肝脏</w:t>
      </w:r>
      <w:r>
        <w:rPr>
          <w:i/>
          <w:iCs/>
          <w:sz w:val="24"/>
        </w:rPr>
        <w:t>PPAR</w:t>
      </w:r>
      <w:r>
        <w:rPr>
          <w:sz w:val="24"/>
        </w:rPr>
        <w:t>α</w:t>
      </w:r>
      <w:r>
        <w:rPr>
          <w:sz w:val="24"/>
        </w:rPr>
        <w:t>和</w:t>
      </w:r>
      <w:r>
        <w:rPr>
          <w:i/>
          <w:iCs/>
          <w:sz w:val="24"/>
        </w:rPr>
        <w:t>CPT</w:t>
      </w:r>
      <w:r>
        <w:rPr>
          <w:sz w:val="24"/>
        </w:rPr>
        <w:t>1A</w:t>
      </w:r>
      <w:r>
        <w:rPr>
          <w:sz w:val="24"/>
        </w:rPr>
        <w:t>基因相对表达量略微上调，接着在饥饿</w:t>
      </w:r>
      <w:r>
        <w:rPr>
          <w:sz w:val="24"/>
        </w:rPr>
        <w:t xml:space="preserve">14d </w:t>
      </w:r>
      <w:r>
        <w:rPr>
          <w:sz w:val="24"/>
        </w:rPr>
        <w:t>以后，</w:t>
      </w:r>
      <w:r>
        <w:rPr>
          <w:i/>
          <w:iCs/>
          <w:sz w:val="24"/>
        </w:rPr>
        <w:t>PPAR</w:t>
      </w:r>
      <w:r>
        <w:rPr>
          <w:sz w:val="24"/>
        </w:rPr>
        <w:t>α</w:t>
      </w:r>
      <w:r>
        <w:rPr>
          <w:sz w:val="24"/>
        </w:rPr>
        <w:t>和</w:t>
      </w:r>
      <w:r>
        <w:rPr>
          <w:i/>
          <w:iCs/>
          <w:sz w:val="24"/>
        </w:rPr>
        <w:t>CPT</w:t>
      </w:r>
      <w:r>
        <w:rPr>
          <w:sz w:val="24"/>
        </w:rPr>
        <w:t>1A</w:t>
      </w:r>
      <w:r>
        <w:rPr>
          <w:sz w:val="24"/>
        </w:rPr>
        <w:t>基因相对表达量显著上调。这与宁丽军</w:t>
      </w:r>
      <w:r>
        <w:rPr>
          <w:sz w:val="24"/>
          <w:vertAlign w:val="superscript"/>
        </w:rPr>
        <w:t>[42]</w:t>
      </w:r>
      <w:r>
        <w:rPr>
          <w:sz w:val="24"/>
        </w:rPr>
        <w:t>报道</w:t>
      </w:r>
      <w:r>
        <w:rPr>
          <w:sz w:val="24"/>
        </w:rPr>
        <w:t>尼罗罗非鱼</w:t>
      </w:r>
      <w:r>
        <w:rPr>
          <w:sz w:val="24"/>
        </w:rPr>
        <w:t>(</w:t>
      </w:r>
      <w:r>
        <w:rPr>
          <w:i/>
          <w:iCs/>
          <w:sz w:val="24"/>
        </w:rPr>
        <w:t xml:space="preserve">Oreochromis </w:t>
      </w:r>
      <w:proofErr w:type="spellStart"/>
      <w:r>
        <w:rPr>
          <w:i/>
          <w:iCs/>
          <w:sz w:val="24"/>
        </w:rPr>
        <w:t>niloticus</w:t>
      </w:r>
      <w:proofErr w:type="spellEnd"/>
      <w:r>
        <w:rPr>
          <w:sz w:val="24"/>
        </w:rPr>
        <w:t>)</w:t>
      </w:r>
      <w:r>
        <w:rPr>
          <w:sz w:val="24"/>
        </w:rPr>
        <w:t>在饥饿</w:t>
      </w:r>
      <w:r>
        <w:rPr>
          <w:sz w:val="24"/>
        </w:rPr>
        <w:t>3d</w:t>
      </w:r>
      <w:r>
        <w:rPr>
          <w:sz w:val="24"/>
        </w:rPr>
        <w:t>开始显著上调</w:t>
      </w:r>
      <w:r>
        <w:rPr>
          <w:i/>
          <w:iCs/>
          <w:sz w:val="24"/>
        </w:rPr>
        <w:t>PPAR</w:t>
      </w:r>
      <w:r>
        <w:rPr>
          <w:sz w:val="24"/>
        </w:rPr>
        <w:t>α</w:t>
      </w:r>
      <w:r>
        <w:rPr>
          <w:sz w:val="24"/>
        </w:rPr>
        <w:t>和</w:t>
      </w:r>
      <w:r>
        <w:rPr>
          <w:i/>
          <w:iCs/>
          <w:sz w:val="24"/>
        </w:rPr>
        <w:t>CPT</w:t>
      </w:r>
      <w:r>
        <w:rPr>
          <w:sz w:val="24"/>
        </w:rPr>
        <w:t>1A</w:t>
      </w:r>
      <w:r>
        <w:rPr>
          <w:sz w:val="24"/>
        </w:rPr>
        <w:t>基因相对表达的结果一致。结果表明，淡水石首鱼在饥饿</w:t>
      </w:r>
      <w:r>
        <w:rPr>
          <w:sz w:val="24"/>
        </w:rPr>
        <w:t>24h</w:t>
      </w:r>
      <w:r>
        <w:rPr>
          <w:sz w:val="24"/>
        </w:rPr>
        <w:t>时，鱼体暂时可以满足正常代谢活动所需要的能量，不需要过多的脂肪酸氧化提供能量，因此</w:t>
      </w:r>
      <w:r>
        <w:rPr>
          <w:i/>
          <w:iCs/>
          <w:sz w:val="24"/>
        </w:rPr>
        <w:t>CPT</w:t>
      </w:r>
      <w:r>
        <w:rPr>
          <w:sz w:val="24"/>
        </w:rPr>
        <w:t>1A</w:t>
      </w:r>
      <w:r>
        <w:rPr>
          <w:sz w:val="24"/>
        </w:rPr>
        <w:t>基因相对表达量无显著变化。在饥饿</w:t>
      </w:r>
      <w:r>
        <w:rPr>
          <w:sz w:val="24"/>
        </w:rPr>
        <w:t>14d</w:t>
      </w:r>
      <w:r>
        <w:rPr>
          <w:sz w:val="24"/>
        </w:rPr>
        <w:t>以后，鱼</w:t>
      </w:r>
      <w:proofErr w:type="gramStart"/>
      <w:r>
        <w:rPr>
          <w:sz w:val="24"/>
        </w:rPr>
        <w:t>体开始</w:t>
      </w:r>
      <w:proofErr w:type="gramEnd"/>
      <w:r>
        <w:rPr>
          <w:sz w:val="24"/>
        </w:rPr>
        <w:t>动用脂肪进行供能，此时</w:t>
      </w:r>
      <w:r>
        <w:rPr>
          <w:i/>
          <w:iCs/>
          <w:sz w:val="24"/>
        </w:rPr>
        <w:t>CPT</w:t>
      </w:r>
      <w:r>
        <w:rPr>
          <w:sz w:val="24"/>
        </w:rPr>
        <w:t>1A</w:t>
      </w:r>
      <w:r>
        <w:rPr>
          <w:sz w:val="24"/>
        </w:rPr>
        <w:t>基因相对表达量急剧上升。然而，我们观察到</w:t>
      </w:r>
      <w:r>
        <w:rPr>
          <w:sz w:val="24"/>
        </w:rPr>
        <w:t>ACO</w:t>
      </w:r>
      <w:r>
        <w:rPr>
          <w:sz w:val="24"/>
        </w:rPr>
        <w:t>基因相对表达量在饥饿</w:t>
      </w:r>
      <w:r>
        <w:rPr>
          <w:sz w:val="24"/>
        </w:rPr>
        <w:t>24h</w:t>
      </w:r>
      <w:r>
        <w:rPr>
          <w:sz w:val="24"/>
        </w:rPr>
        <w:t>及</w:t>
      </w:r>
      <w:r>
        <w:rPr>
          <w:sz w:val="24"/>
        </w:rPr>
        <w:t>14</w:t>
      </w:r>
      <w:r>
        <w:rPr>
          <w:sz w:val="24"/>
        </w:rPr>
        <w:t>、</w:t>
      </w:r>
      <w:r>
        <w:rPr>
          <w:sz w:val="24"/>
        </w:rPr>
        <w:t>42d</w:t>
      </w:r>
      <w:r>
        <w:rPr>
          <w:sz w:val="24"/>
        </w:rPr>
        <w:t>时无显著变化，具体原因需要进一步试验分析。此外淡水石首鱼肝脏</w:t>
      </w:r>
      <w:r>
        <w:rPr>
          <w:sz w:val="24"/>
        </w:rPr>
        <w:t>FAS</w:t>
      </w:r>
      <w:r>
        <w:rPr>
          <w:sz w:val="24"/>
        </w:rPr>
        <w:t>基因相对表达量呈现下调趋势，</w:t>
      </w:r>
      <w:r>
        <w:rPr>
          <w:sz w:val="24"/>
        </w:rPr>
        <w:t>表明机体内脂肪合成代谢也在降低。这与瓦氏黄</w:t>
      </w:r>
      <w:proofErr w:type="gramStart"/>
      <w:r>
        <w:rPr>
          <w:sz w:val="24"/>
        </w:rPr>
        <w:t>颡</w:t>
      </w:r>
      <w:proofErr w:type="gramEnd"/>
      <w:r>
        <w:rPr>
          <w:sz w:val="24"/>
        </w:rPr>
        <w:t>鱼</w:t>
      </w:r>
      <w:r>
        <w:rPr>
          <w:sz w:val="24"/>
          <w:vertAlign w:val="superscript"/>
        </w:rPr>
        <w:t>[29]</w:t>
      </w:r>
      <w:r>
        <w:rPr>
          <w:sz w:val="24"/>
        </w:rPr>
        <w:t>、虎龙斑鱼</w:t>
      </w:r>
      <w:r>
        <w:rPr>
          <w:sz w:val="24"/>
          <w:vertAlign w:val="superscript"/>
        </w:rPr>
        <w:t>[43]</w:t>
      </w:r>
      <w:r>
        <w:rPr>
          <w:sz w:val="24"/>
        </w:rPr>
        <w:t>报道的结果一致。上述分析表明，淡水石首鱼在饥饿条件下，会激活</w:t>
      </w:r>
      <w:r>
        <w:rPr>
          <w:sz w:val="24"/>
        </w:rPr>
        <w:t>PPARα</w:t>
      </w:r>
      <w:r>
        <w:rPr>
          <w:sz w:val="24"/>
        </w:rPr>
        <w:t>，上调</w:t>
      </w:r>
      <w:r>
        <w:rPr>
          <w:i/>
          <w:iCs/>
          <w:sz w:val="24"/>
        </w:rPr>
        <w:t>CPT</w:t>
      </w:r>
      <w:r>
        <w:rPr>
          <w:sz w:val="24"/>
        </w:rPr>
        <w:t>1A</w:t>
      </w:r>
      <w:r>
        <w:rPr>
          <w:sz w:val="24"/>
        </w:rPr>
        <w:t>基因相对表达量，加速脂肪酸氧化供能，脂肪分解代谢加剧；同时</w:t>
      </w:r>
      <w:r>
        <w:rPr>
          <w:sz w:val="24"/>
        </w:rPr>
        <w:t>AS</w:t>
      </w:r>
      <w:r>
        <w:rPr>
          <w:sz w:val="24"/>
        </w:rPr>
        <w:t>基因相对表达下调，脂肪合成代谢受阻。</w:t>
      </w:r>
      <w:r>
        <w:rPr>
          <w:sz w:val="24"/>
        </w:rPr>
        <w:t>FAS</w:t>
      </w:r>
      <w:r>
        <w:rPr>
          <w:sz w:val="24"/>
        </w:rPr>
        <w:t>基因相对表达量下调表明脂肪酸合成减少，</w:t>
      </w:r>
      <w:r>
        <w:rPr>
          <w:sz w:val="24"/>
        </w:rPr>
        <w:t>CPT1AS</w:t>
      </w:r>
      <w:r>
        <w:rPr>
          <w:sz w:val="24"/>
        </w:rPr>
        <w:t>基因相对表达量上调表明脂肪酸进行</w:t>
      </w:r>
      <w:r>
        <w:rPr>
          <w:sz w:val="24"/>
        </w:rPr>
        <w:t>β</w:t>
      </w:r>
      <w:r>
        <w:rPr>
          <w:sz w:val="24"/>
        </w:rPr>
        <w:t>氧化分解增强，从侧面反映了淡水石首鱼在饥饿状态下肌肉脂肪酸含量的变化。由此推测，在饥饿条件下，脂肪分解代谢增强而合成代谢减弱，导致淡水石首鱼肝脏脂肪减少。</w:t>
      </w:r>
    </w:p>
    <w:p w14:paraId="02D94491" w14:textId="77777777" w:rsidR="004F39F6" w:rsidRDefault="00731C67">
      <w:pPr>
        <w:spacing w:line="360" w:lineRule="auto"/>
        <w:rPr>
          <w:sz w:val="24"/>
        </w:rPr>
      </w:pPr>
      <w:r>
        <w:rPr>
          <w:sz w:val="24"/>
        </w:rPr>
        <w:lastRenderedPageBreak/>
        <w:t xml:space="preserve">4  </w:t>
      </w:r>
      <w:r>
        <w:rPr>
          <w:sz w:val="24"/>
        </w:rPr>
        <w:t>结论</w:t>
      </w:r>
      <w:r>
        <w:rPr>
          <w:sz w:val="24"/>
        </w:rPr>
        <w:t xml:space="preserve"> </w:t>
      </w:r>
    </w:p>
    <w:p w14:paraId="64281DA7" w14:textId="77777777" w:rsidR="004F39F6" w:rsidRDefault="00731C67">
      <w:pPr>
        <w:pStyle w:val="af3"/>
        <w:numPr>
          <w:ilvl w:val="0"/>
          <w:numId w:val="3"/>
        </w:numPr>
        <w:spacing w:line="360" w:lineRule="auto"/>
        <w:ind w:left="0" w:firstLineChars="0" w:firstLine="357"/>
        <w:rPr>
          <w:rFonts w:ascii="Times New Roman" w:eastAsia="宋体" w:hAnsi="Times New Roman" w:cs="Times New Roman"/>
          <w:sz w:val="24"/>
          <w:szCs w:val="24"/>
        </w:rPr>
      </w:pPr>
      <w:r>
        <w:rPr>
          <w:rFonts w:ascii="Times New Roman" w:eastAsia="宋体" w:hAnsi="Times New Roman" w:cs="Times New Roman"/>
          <w:sz w:val="24"/>
          <w:szCs w:val="24"/>
        </w:rPr>
        <w:t>饥饿胁迫降低淡水石首鱼形体指标，如肥满度、</w:t>
      </w:r>
      <w:proofErr w:type="gramStart"/>
      <w:r>
        <w:rPr>
          <w:rFonts w:ascii="Times New Roman" w:eastAsia="宋体" w:hAnsi="Times New Roman" w:cs="Times New Roman"/>
          <w:sz w:val="24"/>
          <w:szCs w:val="24"/>
        </w:rPr>
        <w:t>腹脂比</w:t>
      </w:r>
      <w:proofErr w:type="gramEnd"/>
      <w:r>
        <w:rPr>
          <w:rFonts w:ascii="Times New Roman" w:eastAsia="宋体" w:hAnsi="Times New Roman" w:cs="Times New Roman"/>
          <w:sz w:val="24"/>
          <w:szCs w:val="24"/>
        </w:rPr>
        <w:t>、肝体比、脏体比。</w:t>
      </w:r>
      <w:r>
        <w:rPr>
          <w:rFonts w:ascii="Times New Roman" w:eastAsia="宋体" w:hAnsi="Times New Roman" w:cs="Times New Roman"/>
          <w:sz w:val="24"/>
          <w:szCs w:val="24"/>
        </w:rPr>
        <w:t xml:space="preserve"> </w:t>
      </w:r>
    </w:p>
    <w:p w14:paraId="72068B99" w14:textId="77777777" w:rsidR="004F39F6" w:rsidRDefault="00731C67">
      <w:pPr>
        <w:pStyle w:val="af3"/>
        <w:numPr>
          <w:ilvl w:val="0"/>
          <w:numId w:val="3"/>
        </w:numPr>
        <w:spacing w:line="360" w:lineRule="auto"/>
        <w:ind w:left="0" w:firstLineChars="0" w:firstLine="357"/>
        <w:rPr>
          <w:rFonts w:ascii="Times New Roman" w:eastAsia="宋体" w:hAnsi="Times New Roman" w:cs="Times New Roman"/>
          <w:sz w:val="24"/>
          <w:szCs w:val="24"/>
        </w:rPr>
      </w:pPr>
      <w:r>
        <w:rPr>
          <w:rFonts w:ascii="Times New Roman" w:eastAsia="宋体" w:hAnsi="Times New Roman" w:cs="Times New Roman"/>
          <w:sz w:val="24"/>
          <w:szCs w:val="24"/>
        </w:rPr>
        <w:t>饥饿胁迫影响淡水石首鱼肌肉不同类型脂肪酸组成。</w:t>
      </w:r>
      <w:r>
        <w:rPr>
          <w:rFonts w:ascii="Times New Roman" w:eastAsia="宋体" w:hAnsi="Times New Roman" w:cs="Times New Roman"/>
          <w:sz w:val="24"/>
          <w:szCs w:val="24"/>
        </w:rPr>
        <w:t xml:space="preserve"> </w:t>
      </w:r>
    </w:p>
    <w:p w14:paraId="00266E10" w14:textId="77777777" w:rsidR="004F39F6" w:rsidRDefault="00731C67">
      <w:pPr>
        <w:pStyle w:val="af3"/>
        <w:numPr>
          <w:ilvl w:val="0"/>
          <w:numId w:val="3"/>
        </w:numPr>
        <w:spacing w:line="360" w:lineRule="auto"/>
        <w:ind w:left="0" w:firstLineChars="0" w:firstLine="357"/>
        <w:rPr>
          <w:rFonts w:ascii="Times New Roman" w:eastAsia="宋体" w:hAnsi="Times New Roman" w:cs="Times New Roman"/>
          <w:sz w:val="24"/>
          <w:szCs w:val="24"/>
        </w:rPr>
      </w:pPr>
      <w:r>
        <w:rPr>
          <w:rFonts w:ascii="Times New Roman" w:eastAsia="宋体" w:hAnsi="Times New Roman" w:cs="Times New Roman"/>
          <w:sz w:val="24"/>
          <w:szCs w:val="24"/>
        </w:rPr>
        <w:t>饥饿胁迫促进淡水石首鱼脂肪酸氧化供能，抑制脂肪酸合成。</w:t>
      </w:r>
    </w:p>
    <w:p w14:paraId="5D590A7E" w14:textId="77777777" w:rsidR="004F39F6" w:rsidRDefault="00731C67">
      <w:pPr>
        <w:spacing w:line="360" w:lineRule="auto"/>
        <w:rPr>
          <w:sz w:val="24"/>
        </w:rPr>
      </w:pPr>
      <w:r>
        <w:rPr>
          <w:sz w:val="24"/>
        </w:rPr>
        <w:t>参考文献：略</w:t>
      </w:r>
    </w:p>
    <w:p w14:paraId="3BF463D5" w14:textId="77777777" w:rsidR="004F39F6" w:rsidRDefault="00731C67">
      <w:pPr>
        <w:spacing w:line="360" w:lineRule="auto"/>
        <w:ind w:firstLineChars="700" w:firstLine="1470"/>
        <w:jc w:val="right"/>
        <w:rPr>
          <w:sz w:val="24"/>
        </w:rPr>
      </w:pPr>
      <w:r>
        <w:rPr>
          <w:szCs w:val="21"/>
        </w:rPr>
        <w:t>原文刊登在《动物营养学报》，</w:t>
      </w:r>
      <w:r>
        <w:rPr>
          <w:color w:val="333333"/>
          <w:szCs w:val="21"/>
          <w:shd w:val="clear" w:color="auto" w:fill="FFFFFF"/>
        </w:rPr>
        <w:t>网络首发时间：</w:t>
      </w:r>
      <w:r>
        <w:rPr>
          <w:color w:val="333333"/>
          <w:szCs w:val="21"/>
          <w:shd w:val="clear" w:color="auto" w:fill="FFFFFF"/>
        </w:rPr>
        <w:t>2021-09-18 16:04:22</w:t>
      </w:r>
    </w:p>
    <w:p w14:paraId="29A6C55C" w14:textId="77777777" w:rsidR="004F39F6" w:rsidRDefault="00731C67">
      <w:pPr>
        <w:pStyle w:val="1"/>
        <w:spacing w:line="460" w:lineRule="exact"/>
        <w:rPr>
          <w:rStyle w:val="vm"/>
          <w:rFonts w:eastAsia="黑体"/>
          <w:b w:val="0"/>
          <w:bCs w:val="0"/>
          <w:sz w:val="32"/>
          <w:szCs w:val="32"/>
          <w:bdr w:val="single" w:sz="4" w:space="0" w:color="auto"/>
        </w:rPr>
      </w:pPr>
      <w:bookmarkStart w:id="32" w:name="_Toc95682102"/>
      <w:r>
        <w:rPr>
          <w:rStyle w:val="vm"/>
          <w:rFonts w:eastAsia="黑体"/>
          <w:sz w:val="32"/>
          <w:szCs w:val="32"/>
          <w:bdr w:val="single" w:sz="4" w:space="0" w:color="auto"/>
        </w:rPr>
        <w:t>饲料研发</w:t>
      </w:r>
      <w:bookmarkEnd w:id="32"/>
    </w:p>
    <w:p w14:paraId="7DEE323C"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33" w:name="_Toc95682103"/>
      <w:r>
        <w:rPr>
          <w:rFonts w:ascii="Times New Roman" w:eastAsia="黑体" w:hAnsi="Times New Roman" w:cs="Times New Roman"/>
          <w:sz w:val="32"/>
          <w:szCs w:val="32"/>
        </w:rPr>
        <w:t>不同糖脂比饲料对大规格草鱼生长性能和形体指标的影响</w:t>
      </w:r>
      <w:bookmarkEnd w:id="33"/>
    </w:p>
    <w:p w14:paraId="360A2381" w14:textId="77777777" w:rsidR="004F39F6" w:rsidRDefault="00731C67">
      <w:pPr>
        <w:ind w:firstLineChars="200" w:firstLine="420"/>
        <w:jc w:val="center"/>
        <w:rPr>
          <w:szCs w:val="21"/>
        </w:rPr>
      </w:pPr>
      <w:r>
        <w:rPr>
          <w:szCs w:val="21"/>
        </w:rPr>
        <w:t>陈宇航</w:t>
      </w:r>
      <w:r>
        <w:rPr>
          <w:vertAlign w:val="superscript"/>
        </w:rPr>
        <w:t>1</w:t>
      </w:r>
      <w:r>
        <w:rPr>
          <w:vertAlign w:val="superscript"/>
        </w:rPr>
        <w:t>，</w:t>
      </w:r>
      <w:r>
        <w:rPr>
          <w:vertAlign w:val="superscript"/>
        </w:rPr>
        <w:t>2</w:t>
      </w:r>
      <w:r>
        <w:rPr>
          <w:szCs w:val="21"/>
        </w:rPr>
        <w:t xml:space="preserve"> </w:t>
      </w:r>
      <w:r>
        <w:rPr>
          <w:szCs w:val="21"/>
        </w:rPr>
        <w:t>刘建高</w:t>
      </w:r>
      <w:r>
        <w:rPr>
          <w:szCs w:val="21"/>
          <w:vertAlign w:val="superscript"/>
        </w:rPr>
        <w:t>3</w:t>
      </w:r>
      <w:r>
        <w:rPr>
          <w:szCs w:val="21"/>
        </w:rPr>
        <w:t xml:space="preserve"> </w:t>
      </w:r>
      <w:r>
        <w:rPr>
          <w:szCs w:val="21"/>
        </w:rPr>
        <w:t>陈</w:t>
      </w:r>
      <w:r>
        <w:rPr>
          <w:szCs w:val="21"/>
        </w:rPr>
        <w:t xml:space="preserve"> </w:t>
      </w:r>
      <w:r>
        <w:rPr>
          <w:szCs w:val="21"/>
        </w:rPr>
        <w:t>来</w:t>
      </w:r>
      <w:r>
        <w:rPr>
          <w:szCs w:val="21"/>
          <w:vertAlign w:val="superscript"/>
        </w:rPr>
        <w:t>1</w:t>
      </w:r>
      <w:r>
        <w:rPr>
          <w:szCs w:val="21"/>
          <w:vertAlign w:val="superscript"/>
        </w:rPr>
        <w:t>，</w:t>
      </w:r>
      <w:r>
        <w:rPr>
          <w:szCs w:val="21"/>
          <w:vertAlign w:val="superscript"/>
        </w:rPr>
        <w:t xml:space="preserve">2 </w:t>
      </w:r>
      <w:r>
        <w:rPr>
          <w:szCs w:val="21"/>
        </w:rPr>
        <w:t>袁俊光</w:t>
      </w:r>
      <w:r>
        <w:rPr>
          <w:szCs w:val="21"/>
          <w:vertAlign w:val="superscript"/>
        </w:rPr>
        <w:t>1</w:t>
      </w:r>
      <w:r>
        <w:rPr>
          <w:szCs w:val="21"/>
          <w:vertAlign w:val="superscript"/>
        </w:rPr>
        <w:t>，</w:t>
      </w:r>
      <w:r>
        <w:rPr>
          <w:szCs w:val="21"/>
          <w:vertAlign w:val="superscript"/>
        </w:rPr>
        <w:t>2</w:t>
      </w:r>
      <w:r>
        <w:rPr>
          <w:szCs w:val="21"/>
        </w:rPr>
        <w:t xml:space="preserve"> </w:t>
      </w:r>
      <w:proofErr w:type="gramStart"/>
      <w:r>
        <w:rPr>
          <w:szCs w:val="21"/>
        </w:rPr>
        <w:t>曹双俊</w:t>
      </w:r>
      <w:proofErr w:type="gramEnd"/>
      <w:r>
        <w:rPr>
          <w:szCs w:val="21"/>
          <w:vertAlign w:val="superscript"/>
        </w:rPr>
        <w:t>1</w:t>
      </w:r>
      <w:r>
        <w:rPr>
          <w:szCs w:val="21"/>
          <w:vertAlign w:val="superscript"/>
        </w:rPr>
        <w:t>，</w:t>
      </w:r>
      <w:r>
        <w:rPr>
          <w:szCs w:val="21"/>
          <w:vertAlign w:val="superscript"/>
        </w:rPr>
        <w:t>2</w:t>
      </w:r>
    </w:p>
    <w:p w14:paraId="3E00E182" w14:textId="77777777" w:rsidR="004F39F6" w:rsidRDefault="00731C67">
      <w:pPr>
        <w:ind w:firstLineChars="200" w:firstLine="420"/>
        <w:jc w:val="center"/>
        <w:rPr>
          <w:szCs w:val="21"/>
        </w:rPr>
      </w:pPr>
      <w:r>
        <w:rPr>
          <w:szCs w:val="21"/>
        </w:rPr>
        <w:t>（</w:t>
      </w:r>
      <w:r>
        <w:rPr>
          <w:szCs w:val="21"/>
        </w:rPr>
        <w:t>1.</w:t>
      </w:r>
      <w:r>
        <w:rPr>
          <w:szCs w:val="21"/>
        </w:rPr>
        <w:t>广东德宁水产科技有限公司，广东佛山</w:t>
      </w:r>
      <w:r>
        <w:rPr>
          <w:szCs w:val="21"/>
        </w:rPr>
        <w:t>528300</w:t>
      </w:r>
      <w:r>
        <w:rPr>
          <w:szCs w:val="21"/>
        </w:rPr>
        <w:t>；</w:t>
      </w:r>
      <w:r>
        <w:rPr>
          <w:szCs w:val="21"/>
        </w:rPr>
        <w:t>2.</w:t>
      </w:r>
      <w:r>
        <w:rPr>
          <w:szCs w:val="21"/>
        </w:rPr>
        <w:t>佛山市水产高效健康养殖工程技术研究中心，广东佛山</w:t>
      </w:r>
      <w:r>
        <w:rPr>
          <w:szCs w:val="21"/>
        </w:rPr>
        <w:t>528300</w:t>
      </w:r>
      <w:r>
        <w:rPr>
          <w:szCs w:val="21"/>
        </w:rPr>
        <w:t>；</w:t>
      </w:r>
      <w:r>
        <w:rPr>
          <w:szCs w:val="21"/>
        </w:rPr>
        <w:t xml:space="preserve"> 3.</w:t>
      </w:r>
      <w:r>
        <w:rPr>
          <w:szCs w:val="21"/>
        </w:rPr>
        <w:t>新希望六和股份有限公司，四川成都</w:t>
      </w:r>
      <w:r>
        <w:rPr>
          <w:szCs w:val="21"/>
        </w:rPr>
        <w:t xml:space="preserve"> 610063</w:t>
      </w:r>
      <w:r>
        <w:rPr>
          <w:szCs w:val="21"/>
        </w:rPr>
        <w:t>）</w:t>
      </w:r>
    </w:p>
    <w:p w14:paraId="42D8034E" w14:textId="77777777" w:rsidR="004F39F6" w:rsidRDefault="00731C67">
      <w:r>
        <w:rPr>
          <w:b/>
          <w:bCs/>
        </w:rPr>
        <w:t>摘要：</w:t>
      </w:r>
      <w:r>
        <w:t>研究旨在探究草鱼膨化饲料中不同糖脂比（</w:t>
      </w:r>
      <w:r>
        <w:t>CHO:L</w:t>
      </w:r>
      <w:r>
        <w:t>）对大规格草鱼</w:t>
      </w:r>
      <w:r>
        <w:t>[(1061.33±12.49) g]</w:t>
      </w:r>
      <w:r>
        <w:t>生长性能和形体指标的影响。试验设计了</w:t>
      </w:r>
      <w:r>
        <w:t>4</w:t>
      </w:r>
      <w:r>
        <w:t>个等氮（粗蛋白</w:t>
      </w:r>
      <w:r>
        <w:t>30%</w:t>
      </w:r>
      <w:r>
        <w:t>）等能（</w:t>
      </w:r>
      <w:r>
        <w:t>12.5 kJ/g</w:t>
      </w:r>
      <w:r>
        <w:t>）不同糖脂比处理组（</w:t>
      </w:r>
      <w:r>
        <w:t>30%</w:t>
      </w:r>
      <w:r>
        <w:t>小麦、</w:t>
      </w:r>
      <w:r>
        <w:t>1.4%</w:t>
      </w:r>
      <w:r>
        <w:t>豆油，糖脂比</w:t>
      </w:r>
      <w:r>
        <w:t>6.49</w:t>
      </w:r>
      <w:r>
        <w:t>组；</w:t>
      </w:r>
      <w:r>
        <w:t>25%</w:t>
      </w:r>
      <w:r>
        <w:t>小麦、</w:t>
      </w:r>
      <w:r>
        <w:t>2.4%</w:t>
      </w:r>
      <w:r>
        <w:t>豆油，糖脂比</w:t>
      </w:r>
      <w:r>
        <w:t>4.94</w:t>
      </w:r>
      <w:r>
        <w:t>组；</w:t>
      </w:r>
      <w:r>
        <w:t>19%</w:t>
      </w:r>
      <w:r>
        <w:t>小麦、</w:t>
      </w:r>
      <w:r>
        <w:t>4.1%</w:t>
      </w:r>
      <w:r>
        <w:t>豆油，糖脂比</w:t>
      </w:r>
      <w:r>
        <w:t>3.4</w:t>
      </w:r>
      <w:r>
        <w:t>2</w:t>
      </w:r>
      <w:r>
        <w:t>组；</w:t>
      </w:r>
      <w:r>
        <w:t>14%</w:t>
      </w:r>
      <w:r>
        <w:t>小麦、</w:t>
      </w:r>
      <w:r>
        <w:t>5.8%</w:t>
      </w:r>
      <w:r>
        <w:t>豆油，糖脂比</w:t>
      </w:r>
      <w:r>
        <w:t>1.93</w:t>
      </w:r>
      <w:r>
        <w:t>组）和等氮（粗蛋白</w:t>
      </w:r>
      <w:r>
        <w:t>30%</w:t>
      </w:r>
      <w:r>
        <w:t>）略低能量（</w:t>
      </w:r>
      <w:r>
        <w:t>11.5kJ/g</w:t>
      </w:r>
      <w:r>
        <w:t>）的（</w:t>
      </w:r>
      <w:r>
        <w:t>14%</w:t>
      </w:r>
      <w:r>
        <w:t>小麦、</w:t>
      </w:r>
      <w:r>
        <w:t>3%</w:t>
      </w:r>
      <w:r>
        <w:t>豆油，糖脂比</w:t>
      </w:r>
      <w:r>
        <w:t>3.11</w:t>
      </w:r>
      <w:r>
        <w:t>组）试验组，共</w:t>
      </w:r>
      <w:r>
        <w:t>5</w:t>
      </w:r>
      <w:r>
        <w:t>个试验组，每组</w:t>
      </w:r>
      <w:r>
        <w:t>5</w:t>
      </w:r>
      <w:r>
        <w:t>个重复，每个重复放置</w:t>
      </w:r>
      <w:r>
        <w:t>25</w:t>
      </w:r>
      <w:r>
        <w:t>尾鱼，并进行</w:t>
      </w:r>
      <w:r>
        <w:t>60d</w:t>
      </w:r>
      <w:r>
        <w:t>的养殖试验。结果表明，在</w:t>
      </w:r>
      <w:proofErr w:type="gramStart"/>
      <w:r>
        <w:t>相同可</w:t>
      </w:r>
      <w:proofErr w:type="gramEnd"/>
      <w:r>
        <w:t>消化能水平下，随着饲料中糖脂比例不断降低，草鱼的增重率、特定生长率、肥满度不断升高，饲料系数下降，并在糖脂比</w:t>
      </w:r>
      <w:r>
        <w:t>1.93</w:t>
      </w:r>
      <w:r>
        <w:t>组，草鱼的增重率、特定生长率、饲料系数和肥满度达到最高，说明饲料能量分配在脂肪上比较与分配在糖类上更有助于该规格草鱼的生长；在相同的可消化能（</w:t>
      </w:r>
      <w:r>
        <w:t xml:space="preserve">12.5 </w:t>
      </w:r>
      <w:r>
        <w:t>kJ/g</w:t>
      </w:r>
      <w:r>
        <w:t>）水平下，不同糖脂分配对草鱼的肝体比和成活率没有显著的影响。</w:t>
      </w:r>
      <w:r>
        <w:t>1000 g</w:t>
      </w:r>
      <w:r>
        <w:t>左右草鱼对饲料脂肪的利用率高于淀粉。研究表明，同样的可消化能水平下，能量分配在脂肪上比分配在淀粉上更有助于草鱼的生长；从糖脂比</w:t>
      </w:r>
      <w:r>
        <w:t>3.42</w:t>
      </w:r>
      <w:r>
        <w:t>组和糖脂比</w:t>
      </w:r>
      <w:r>
        <w:t>1.93</w:t>
      </w:r>
      <w:r>
        <w:t>组的生长结果比较来看，豆油小麦在草鱼上的比价关系：</w:t>
      </w:r>
      <w:r>
        <w:t>1%</w:t>
      </w:r>
      <w:r>
        <w:t>的豆油相当于</w:t>
      </w:r>
      <w:r>
        <w:t>3%</w:t>
      </w:r>
      <w:r>
        <w:t>的小麦。</w:t>
      </w:r>
    </w:p>
    <w:p w14:paraId="7403A152" w14:textId="77777777" w:rsidR="004F39F6" w:rsidRDefault="00731C67">
      <w:r>
        <w:rPr>
          <w:b/>
          <w:bCs/>
        </w:rPr>
        <w:t>关键词：</w:t>
      </w:r>
      <w:r>
        <w:t>草鱼；能量；糖脂比；生长；形体指标</w:t>
      </w:r>
    </w:p>
    <w:p w14:paraId="4A50CCC3" w14:textId="77777777" w:rsidR="004F39F6" w:rsidRDefault="00731C67">
      <w:pPr>
        <w:jc w:val="center"/>
        <w:rPr>
          <w:b/>
          <w:bCs/>
          <w:sz w:val="24"/>
        </w:rPr>
      </w:pPr>
      <w:r>
        <w:rPr>
          <w:b/>
          <w:bCs/>
          <w:sz w:val="24"/>
        </w:rPr>
        <w:t>Effects of Different Dietary Carbohydrate Lipid Ratios on Growth Performance a</w:t>
      </w:r>
      <w:r>
        <w:rPr>
          <w:b/>
          <w:bCs/>
          <w:sz w:val="24"/>
        </w:rPr>
        <w:t>nd Morphometric Parameters of Large-sized Grass Carp (</w:t>
      </w:r>
      <w:proofErr w:type="spellStart"/>
      <w:r>
        <w:rPr>
          <w:b/>
          <w:bCs/>
          <w:i/>
          <w:iCs/>
          <w:sz w:val="24"/>
        </w:rPr>
        <w:t>Ctenopharyngodon</w:t>
      </w:r>
      <w:proofErr w:type="spellEnd"/>
      <w:r>
        <w:rPr>
          <w:b/>
          <w:bCs/>
          <w:i/>
          <w:iCs/>
          <w:sz w:val="24"/>
        </w:rPr>
        <w:t xml:space="preserve"> </w:t>
      </w:r>
      <w:proofErr w:type="spellStart"/>
      <w:r>
        <w:rPr>
          <w:b/>
          <w:bCs/>
          <w:i/>
          <w:iCs/>
          <w:sz w:val="24"/>
        </w:rPr>
        <w:t>idellu</w:t>
      </w:r>
      <w:proofErr w:type="spellEnd"/>
      <w:r>
        <w:rPr>
          <w:b/>
          <w:bCs/>
          <w:sz w:val="24"/>
        </w:rPr>
        <w:t xml:space="preserve">) </w:t>
      </w:r>
    </w:p>
    <w:p w14:paraId="18CC25FD" w14:textId="77777777" w:rsidR="004F39F6" w:rsidRDefault="00731C67">
      <w:pPr>
        <w:jc w:val="center"/>
      </w:pPr>
      <w:r>
        <w:rPr>
          <w:szCs w:val="21"/>
        </w:rPr>
        <w:t>CHEN Yuhang</w:t>
      </w:r>
      <w:r>
        <w:rPr>
          <w:szCs w:val="21"/>
          <w:vertAlign w:val="superscript"/>
        </w:rPr>
        <w:t>1,2</w:t>
      </w:r>
      <w:r>
        <w:rPr>
          <w:szCs w:val="21"/>
        </w:rPr>
        <w:t xml:space="preserve"> LIU Jian’gao</w:t>
      </w:r>
      <w:r>
        <w:rPr>
          <w:szCs w:val="21"/>
          <w:vertAlign w:val="superscript"/>
        </w:rPr>
        <w:t>3</w:t>
      </w:r>
      <w:r>
        <w:rPr>
          <w:szCs w:val="21"/>
        </w:rPr>
        <w:t xml:space="preserve"> CHEN Lai</w:t>
      </w:r>
      <w:r>
        <w:rPr>
          <w:szCs w:val="21"/>
          <w:vertAlign w:val="superscript"/>
        </w:rPr>
        <w:t>1,2</w:t>
      </w:r>
      <w:r>
        <w:rPr>
          <w:szCs w:val="21"/>
        </w:rPr>
        <w:t xml:space="preserve"> YUAN Junguang</w:t>
      </w:r>
      <w:r>
        <w:rPr>
          <w:szCs w:val="21"/>
          <w:vertAlign w:val="superscript"/>
        </w:rPr>
        <w:t>1,2</w:t>
      </w:r>
      <w:r>
        <w:rPr>
          <w:szCs w:val="21"/>
        </w:rPr>
        <w:t xml:space="preserve"> CAO </w:t>
      </w:r>
      <w:proofErr w:type="spellStart"/>
      <w:r>
        <w:rPr>
          <w:szCs w:val="21"/>
        </w:rPr>
        <w:t>Shuangjun</w:t>
      </w:r>
      <w:proofErr w:type="spellEnd"/>
    </w:p>
    <w:p w14:paraId="6ADA29E2" w14:textId="77777777" w:rsidR="004F39F6" w:rsidRDefault="00731C67">
      <w:pPr>
        <w:jc w:val="center"/>
        <w:rPr>
          <w:i/>
          <w:iCs/>
          <w:szCs w:val="21"/>
        </w:rPr>
      </w:pPr>
      <w:r>
        <w:rPr>
          <w:i/>
          <w:iCs/>
          <w:szCs w:val="21"/>
        </w:rPr>
        <w:t xml:space="preserve">(1. Guangdong </w:t>
      </w:r>
      <w:proofErr w:type="spellStart"/>
      <w:r>
        <w:rPr>
          <w:i/>
          <w:iCs/>
          <w:szCs w:val="21"/>
        </w:rPr>
        <w:t>Daynew</w:t>
      </w:r>
      <w:proofErr w:type="spellEnd"/>
      <w:r>
        <w:rPr>
          <w:i/>
          <w:iCs/>
          <w:szCs w:val="21"/>
        </w:rPr>
        <w:t xml:space="preserve"> Aquatic Sci-Tech Co., Ltd., Guangdong Foshan 528300, China; 2. Foshan </w:t>
      </w:r>
      <w:r>
        <w:rPr>
          <w:i/>
          <w:iCs/>
          <w:szCs w:val="21"/>
        </w:rPr>
        <w:t xml:space="preserve">Efficient and Healthy Aquaculture Engineering Research Center, Guangdong Foshan 528300, China; 3. New Hope </w:t>
      </w:r>
      <w:proofErr w:type="spellStart"/>
      <w:r>
        <w:rPr>
          <w:i/>
          <w:iCs/>
          <w:szCs w:val="21"/>
        </w:rPr>
        <w:t>Liuhe</w:t>
      </w:r>
      <w:proofErr w:type="spellEnd"/>
      <w:r>
        <w:rPr>
          <w:i/>
          <w:iCs/>
          <w:szCs w:val="21"/>
        </w:rPr>
        <w:t xml:space="preserve"> Co., Ltd., Sichuan Chengdu 610063, China)</w:t>
      </w:r>
    </w:p>
    <w:p w14:paraId="4E85AE2C" w14:textId="77777777" w:rsidR="004F39F6" w:rsidRDefault="00731C67">
      <w:pPr>
        <w:rPr>
          <w:szCs w:val="21"/>
        </w:rPr>
      </w:pPr>
      <w:r>
        <w:rPr>
          <w:b/>
          <w:bCs/>
          <w:szCs w:val="21"/>
        </w:rPr>
        <w:t>Abstract</w:t>
      </w:r>
      <w:r>
        <w:rPr>
          <w:b/>
          <w:bCs/>
          <w:szCs w:val="21"/>
        </w:rPr>
        <w:t>：</w:t>
      </w:r>
      <w:r>
        <w:rPr>
          <w:szCs w:val="21"/>
        </w:rPr>
        <w:t>A 60-days feeding experiment was conducted to investigate the effects of different dietary c</w:t>
      </w:r>
      <w:r>
        <w:rPr>
          <w:szCs w:val="21"/>
        </w:rPr>
        <w:t>arbohydrate lipid ratios on growth performance and morphometric parameters of grass carp (</w:t>
      </w:r>
      <w:proofErr w:type="spellStart"/>
      <w:r>
        <w:rPr>
          <w:i/>
          <w:iCs/>
          <w:szCs w:val="21"/>
        </w:rPr>
        <w:t>Ctenopharyngodon</w:t>
      </w:r>
      <w:proofErr w:type="spellEnd"/>
      <w:r>
        <w:rPr>
          <w:i/>
          <w:iCs/>
          <w:szCs w:val="21"/>
        </w:rPr>
        <w:t xml:space="preserve"> </w:t>
      </w:r>
      <w:proofErr w:type="spellStart"/>
      <w:r>
        <w:rPr>
          <w:i/>
          <w:iCs/>
          <w:szCs w:val="21"/>
        </w:rPr>
        <w:t>idellu</w:t>
      </w:r>
      <w:proofErr w:type="spellEnd"/>
      <w:r>
        <w:rPr>
          <w:szCs w:val="21"/>
        </w:rPr>
        <w:t xml:space="preserve">). Four isonitrogenous and </w:t>
      </w:r>
      <w:proofErr w:type="spellStart"/>
      <w:r>
        <w:rPr>
          <w:szCs w:val="21"/>
        </w:rPr>
        <w:t>isoenergy</w:t>
      </w:r>
      <w:proofErr w:type="spellEnd"/>
      <w:r>
        <w:rPr>
          <w:szCs w:val="21"/>
        </w:rPr>
        <w:t xml:space="preserve"> (12.5 kJ/g) diets were formulated design with carbohydrate lipid (</w:t>
      </w:r>
      <w:proofErr w:type="gramStart"/>
      <w:r>
        <w:rPr>
          <w:szCs w:val="21"/>
        </w:rPr>
        <w:t>CHO</w:t>
      </w:r>
      <w:r>
        <w:rPr>
          <w:rFonts w:eastAsia="Times New Roman"/>
          <w:szCs w:val="21"/>
        </w:rPr>
        <w:t>:</w:t>
      </w:r>
      <w:r>
        <w:rPr>
          <w:szCs w:val="21"/>
        </w:rPr>
        <w:t>L</w:t>
      </w:r>
      <w:proofErr w:type="gramEnd"/>
      <w:r>
        <w:rPr>
          <w:szCs w:val="21"/>
        </w:rPr>
        <w:t>) ratios of 6.49 (wheat 30%, soybea</w:t>
      </w:r>
      <w:r>
        <w:rPr>
          <w:szCs w:val="21"/>
        </w:rPr>
        <w:t>n oil 1.4%), 4.94 (wheat 25%, soybean oil 2.4%), 3.42 (wheat 19%, soybean oil 4.1%), 1.93 (wheat 14%, soybean oil 5.8%), and one isonitrogenous and lower energy (11.5 kJ/g) was formulated design to CHO</w:t>
      </w:r>
      <w:r>
        <w:rPr>
          <w:rFonts w:eastAsia="Times New Roman"/>
          <w:szCs w:val="21"/>
        </w:rPr>
        <w:t>:</w:t>
      </w:r>
      <w:r>
        <w:rPr>
          <w:szCs w:val="21"/>
        </w:rPr>
        <w:t>L ratio=3.11 (wheat 14%, soybean oil 5.8%), respective</w:t>
      </w:r>
      <w:r>
        <w:rPr>
          <w:szCs w:val="21"/>
        </w:rPr>
        <w:t>ly. Each diet was fed to 5 replicates with 25 grass carp [initial body weight</w:t>
      </w:r>
      <w:proofErr w:type="gramStart"/>
      <w:r>
        <w:rPr>
          <w:szCs w:val="21"/>
        </w:rPr>
        <w:t>=(</w:t>
      </w:r>
      <w:proofErr w:type="gramEnd"/>
      <w:r>
        <w:rPr>
          <w:szCs w:val="21"/>
        </w:rPr>
        <w:t xml:space="preserve">1061.33±12.49) g] in each replicate. The results showed that </w:t>
      </w:r>
      <w:r>
        <w:rPr>
          <w:szCs w:val="21"/>
        </w:rPr>
        <w:lastRenderedPageBreak/>
        <w:t>in the same digestible energy level different dietary carbohydrate lipid ratios significantly affected the weight ga</w:t>
      </w:r>
      <w:r>
        <w:rPr>
          <w:szCs w:val="21"/>
        </w:rPr>
        <w:t>in (WG), specific growth rate (SGR) and condition factor (CF). The WG, SGR and CF decreased with the increasing of lipid and the decreasing of starch. And the group fed with CHO</w:t>
      </w:r>
      <w:r>
        <w:rPr>
          <w:rFonts w:eastAsia="Times New Roman"/>
          <w:szCs w:val="21"/>
        </w:rPr>
        <w:t>:</w:t>
      </w:r>
      <w:r>
        <w:rPr>
          <w:szCs w:val="21"/>
        </w:rPr>
        <w:t xml:space="preserve"> L=1.93 (wheat 14%, soybean oil 5.8%) was the highest. This indicated that the</w:t>
      </w:r>
      <w:r>
        <w:rPr>
          <w:szCs w:val="21"/>
        </w:rPr>
        <w:t xml:space="preserve"> feed energy distribution </w:t>
      </w:r>
      <w:proofErr w:type="spellStart"/>
      <w:r>
        <w:rPr>
          <w:szCs w:val="21"/>
        </w:rPr>
        <w:t>onlipid</w:t>
      </w:r>
      <w:proofErr w:type="spellEnd"/>
      <w:r>
        <w:rPr>
          <w:szCs w:val="21"/>
        </w:rPr>
        <w:t xml:space="preserve"> was more conducive to the growth of grass carp than on carbohydrate. The hepatosomatic index (HIS) and survival rate (SR) were similar among the treatments. The results showed that medium size grass carp (about 1 000 g) sh</w:t>
      </w:r>
      <w:r>
        <w:rPr>
          <w:szCs w:val="21"/>
        </w:rPr>
        <w:t>owed higher feed utilization at lipid than that of the starch. In conclusion, in the same digestible energy level, the distribution of energy on lipid was more conducive to grass carp growth than that on carbohydrate. Compared with the growth performance r</w:t>
      </w:r>
      <w:r>
        <w:rPr>
          <w:szCs w:val="21"/>
        </w:rPr>
        <w:t xml:space="preserve">esults of group </w:t>
      </w:r>
      <w:proofErr w:type="gramStart"/>
      <w:r>
        <w:rPr>
          <w:szCs w:val="21"/>
        </w:rPr>
        <w:t>CHO</w:t>
      </w:r>
      <w:r>
        <w:rPr>
          <w:rFonts w:eastAsia="Times New Roman"/>
          <w:szCs w:val="21"/>
        </w:rPr>
        <w:t>:</w:t>
      </w:r>
      <w:r>
        <w:rPr>
          <w:szCs w:val="21"/>
        </w:rPr>
        <w:t>L</w:t>
      </w:r>
      <w:proofErr w:type="gramEnd"/>
      <w:r>
        <w:rPr>
          <w:szCs w:val="21"/>
        </w:rPr>
        <w:t>=3.42 and CHO</w:t>
      </w:r>
      <w:r>
        <w:rPr>
          <w:rFonts w:eastAsia="Times New Roman"/>
          <w:szCs w:val="21"/>
        </w:rPr>
        <w:t>:</w:t>
      </w:r>
      <w:r>
        <w:rPr>
          <w:szCs w:val="21"/>
        </w:rPr>
        <w:t xml:space="preserve">L=1.93, the price relation of soybean oil and wheat on grass carp was as the </w:t>
      </w:r>
      <w:proofErr w:type="spellStart"/>
      <w:r>
        <w:rPr>
          <w:szCs w:val="21"/>
        </w:rPr>
        <w:t>followsing</w:t>
      </w:r>
      <w:proofErr w:type="spellEnd"/>
      <w:r>
        <w:rPr>
          <w:szCs w:val="21"/>
        </w:rPr>
        <w:t>: 1% soybean oil was equivalent to 3% wheat.</w:t>
      </w:r>
    </w:p>
    <w:p w14:paraId="7977BD8D" w14:textId="77777777" w:rsidR="004F39F6" w:rsidRDefault="00731C67">
      <w:pPr>
        <w:rPr>
          <w:szCs w:val="21"/>
        </w:rPr>
      </w:pPr>
      <w:r>
        <w:rPr>
          <w:b/>
          <w:bCs/>
          <w:szCs w:val="21"/>
        </w:rPr>
        <w:t>Key words</w:t>
      </w:r>
      <w:r>
        <w:rPr>
          <w:b/>
          <w:bCs/>
          <w:szCs w:val="21"/>
        </w:rPr>
        <w:t>：</w:t>
      </w:r>
      <w:r>
        <w:rPr>
          <w:szCs w:val="21"/>
        </w:rPr>
        <w:t>grass carp (</w:t>
      </w:r>
      <w:proofErr w:type="spellStart"/>
      <w:r>
        <w:rPr>
          <w:i/>
          <w:iCs/>
          <w:szCs w:val="21"/>
        </w:rPr>
        <w:t>Ctenopharyngodon</w:t>
      </w:r>
      <w:proofErr w:type="spellEnd"/>
      <w:r>
        <w:rPr>
          <w:i/>
          <w:iCs/>
          <w:szCs w:val="21"/>
        </w:rPr>
        <w:t xml:space="preserve"> </w:t>
      </w:r>
      <w:proofErr w:type="spellStart"/>
      <w:r>
        <w:rPr>
          <w:i/>
          <w:iCs/>
          <w:szCs w:val="21"/>
        </w:rPr>
        <w:t>idellu</w:t>
      </w:r>
      <w:proofErr w:type="spellEnd"/>
      <w:r>
        <w:rPr>
          <w:szCs w:val="21"/>
        </w:rPr>
        <w:t>); energy; carbohydrate lipid ratio; growth;</w:t>
      </w:r>
      <w:r>
        <w:rPr>
          <w:szCs w:val="21"/>
        </w:rPr>
        <w:t xml:space="preserve"> morphometric parameter</w:t>
      </w:r>
    </w:p>
    <w:p w14:paraId="01AFB5D3" w14:textId="77777777" w:rsidR="004F39F6" w:rsidRDefault="004F39F6">
      <w:pPr>
        <w:jc w:val="center"/>
        <w:rPr>
          <w:szCs w:val="21"/>
        </w:rPr>
      </w:pPr>
    </w:p>
    <w:p w14:paraId="4CDF0CD5" w14:textId="77777777" w:rsidR="004F39F6" w:rsidRDefault="00731C67">
      <w:pPr>
        <w:spacing w:line="360" w:lineRule="auto"/>
        <w:ind w:firstLineChars="200" w:firstLine="480"/>
        <w:rPr>
          <w:sz w:val="24"/>
        </w:rPr>
      </w:pPr>
      <w:r>
        <w:rPr>
          <w:sz w:val="24"/>
        </w:rPr>
        <w:t>鱼体能量主要来源于饲料中蛋白质、脂肪和糖类三大营养物质，这三种营养物质经过一系列的生化反应释放能量供机体的生长、繁殖和维持鱼体内基础代谢所需，并相互协调互补</w:t>
      </w:r>
      <w:r>
        <w:rPr>
          <w:sz w:val="24"/>
          <w:vertAlign w:val="superscript"/>
        </w:rPr>
        <w:t>[1]</w:t>
      </w:r>
      <w:r>
        <w:rPr>
          <w:sz w:val="24"/>
        </w:rPr>
        <w:t>。脂肪和糖类都可以为鱼类生命活动提供必需的能量，并节约蛋白质</w:t>
      </w:r>
      <w:r>
        <w:rPr>
          <w:sz w:val="24"/>
          <w:vertAlign w:val="superscript"/>
        </w:rPr>
        <w:t>[2]</w:t>
      </w:r>
      <w:r>
        <w:rPr>
          <w:sz w:val="24"/>
        </w:rPr>
        <w:t>。过高或过低的脂肪和淀粉水平都会对鱼类造成不利影响。日粮中过低的脂肪水平</w:t>
      </w:r>
      <w:r>
        <w:rPr>
          <w:sz w:val="24"/>
          <w:vertAlign w:val="superscript"/>
        </w:rPr>
        <w:t>[3]</w:t>
      </w:r>
      <w:r>
        <w:rPr>
          <w:sz w:val="24"/>
        </w:rPr>
        <w:t>和淀粉水平</w:t>
      </w:r>
      <w:r>
        <w:rPr>
          <w:sz w:val="24"/>
          <w:vertAlign w:val="superscript"/>
        </w:rPr>
        <w:t>[4]</w:t>
      </w:r>
      <w:r>
        <w:rPr>
          <w:sz w:val="24"/>
        </w:rPr>
        <w:t>均会降低鱼类生长。而过高脂肪水平会导致鱼体的脂类代谢负担，从而引发鱼类的脂肪肝</w:t>
      </w:r>
      <w:r>
        <w:rPr>
          <w:sz w:val="24"/>
          <w:vertAlign w:val="superscript"/>
        </w:rPr>
        <w:t>[5]</w:t>
      </w:r>
      <w:r>
        <w:rPr>
          <w:sz w:val="24"/>
        </w:rPr>
        <w:t>；过高的淀粉水平使鱼类产生高血糖的症状，如大口</w:t>
      </w:r>
      <w:proofErr w:type="gramStart"/>
      <w:r>
        <w:rPr>
          <w:sz w:val="24"/>
        </w:rPr>
        <w:t>黑鲈对糖类</w:t>
      </w:r>
      <w:proofErr w:type="gramEnd"/>
      <w:r>
        <w:rPr>
          <w:sz w:val="24"/>
        </w:rPr>
        <w:t>的</w:t>
      </w:r>
      <w:proofErr w:type="gramStart"/>
      <w:r>
        <w:rPr>
          <w:sz w:val="24"/>
        </w:rPr>
        <w:t>不</w:t>
      </w:r>
      <w:proofErr w:type="gramEnd"/>
      <w:r>
        <w:rPr>
          <w:sz w:val="24"/>
        </w:rPr>
        <w:t>耐受现象</w:t>
      </w:r>
      <w:r>
        <w:rPr>
          <w:sz w:val="24"/>
          <w:vertAlign w:val="superscript"/>
        </w:rPr>
        <w:t>[6]</w:t>
      </w:r>
      <w:r>
        <w:rPr>
          <w:sz w:val="24"/>
        </w:rPr>
        <w:t>。因此，研究饲料能量在脂肪和糖类之间适宜的分配比例尤为重要。</w:t>
      </w:r>
    </w:p>
    <w:p w14:paraId="23FC3587" w14:textId="77777777" w:rsidR="004F39F6" w:rsidRDefault="00731C67">
      <w:pPr>
        <w:spacing w:line="360" w:lineRule="auto"/>
        <w:ind w:firstLineChars="200" w:firstLine="480"/>
        <w:rPr>
          <w:sz w:val="24"/>
        </w:rPr>
      </w:pPr>
      <w:r>
        <w:rPr>
          <w:sz w:val="24"/>
        </w:rPr>
        <w:t>草鱼（</w:t>
      </w:r>
      <w:proofErr w:type="spellStart"/>
      <w:r>
        <w:rPr>
          <w:i/>
          <w:iCs/>
          <w:sz w:val="24"/>
        </w:rPr>
        <w:t>Ctenopharyngodon</w:t>
      </w:r>
      <w:proofErr w:type="spellEnd"/>
      <w:r>
        <w:rPr>
          <w:i/>
          <w:iCs/>
          <w:sz w:val="24"/>
        </w:rPr>
        <w:t xml:space="preserve"> </w:t>
      </w:r>
      <w:proofErr w:type="spellStart"/>
      <w:r>
        <w:rPr>
          <w:i/>
          <w:iCs/>
          <w:sz w:val="24"/>
        </w:rPr>
        <w:t>idellus</w:t>
      </w:r>
      <w:proofErr w:type="spellEnd"/>
      <w:r>
        <w:rPr>
          <w:sz w:val="24"/>
        </w:rPr>
        <w:t>）在我国年养殖产量已达到</w:t>
      </w:r>
      <w:r>
        <w:rPr>
          <w:sz w:val="24"/>
        </w:rPr>
        <w:t>553</w:t>
      </w:r>
      <w:r>
        <w:rPr>
          <w:sz w:val="24"/>
        </w:rPr>
        <w:t>万吨</w:t>
      </w:r>
      <w:r>
        <w:rPr>
          <w:sz w:val="24"/>
          <w:vertAlign w:val="superscript"/>
        </w:rPr>
        <w:t>[7]</w:t>
      </w:r>
      <w:r>
        <w:rPr>
          <w:sz w:val="24"/>
        </w:rPr>
        <w:t>，是我国重要的饲料养殖品种。目前对草鱼的营养研究主要集中于在幼鱼（小于</w:t>
      </w:r>
      <w:r>
        <w:rPr>
          <w:sz w:val="24"/>
        </w:rPr>
        <w:t>100 g</w:t>
      </w:r>
      <w:r>
        <w:rPr>
          <w:sz w:val="24"/>
        </w:rPr>
        <w:t>）阶段的蛋白</w:t>
      </w:r>
      <w:r>
        <w:rPr>
          <w:sz w:val="24"/>
          <w:vertAlign w:val="superscript"/>
        </w:rPr>
        <w:t>[8-9]</w:t>
      </w:r>
      <w:r>
        <w:rPr>
          <w:sz w:val="24"/>
        </w:rPr>
        <w:t>、氨基酸</w:t>
      </w:r>
      <w:r>
        <w:rPr>
          <w:sz w:val="24"/>
          <w:vertAlign w:val="superscript"/>
        </w:rPr>
        <w:t>[10-11]</w:t>
      </w:r>
      <w:r>
        <w:rPr>
          <w:sz w:val="24"/>
        </w:rPr>
        <w:t>、脂肪源</w:t>
      </w:r>
      <w:r>
        <w:rPr>
          <w:sz w:val="24"/>
          <w:vertAlign w:val="superscript"/>
        </w:rPr>
        <w:t>[12-13]</w:t>
      </w:r>
      <w:r>
        <w:rPr>
          <w:sz w:val="24"/>
        </w:rPr>
        <w:t>和</w:t>
      </w:r>
      <w:proofErr w:type="gramStart"/>
      <w:r>
        <w:rPr>
          <w:sz w:val="24"/>
        </w:rPr>
        <w:t>蛋脂比</w:t>
      </w:r>
      <w:proofErr w:type="gramEnd"/>
      <w:r>
        <w:rPr>
          <w:sz w:val="24"/>
          <w:vertAlign w:val="superscript"/>
        </w:rPr>
        <w:t>[14-15]</w:t>
      </w:r>
      <w:r>
        <w:rPr>
          <w:sz w:val="24"/>
        </w:rPr>
        <w:t>研究方面，而对草鱼大规格阶段（</w:t>
      </w:r>
      <w:r>
        <w:rPr>
          <w:sz w:val="24"/>
        </w:rPr>
        <w:t xml:space="preserve">1000 g </w:t>
      </w:r>
      <w:r>
        <w:rPr>
          <w:sz w:val="24"/>
        </w:rPr>
        <w:t>以上）的营养研究，特别是饲料糖脂比的研究较少。在商业配方中，在饲料标签蛋白固定的情况下，将有限的配方成本投入到除蛋白外的哪种营养素上也存在疑问。因此本文主要探究在等氮等能的条件下，饲料中不同糖脂比对重量</w:t>
      </w:r>
      <w:r>
        <w:rPr>
          <w:sz w:val="24"/>
        </w:rPr>
        <w:t>1000 g</w:t>
      </w:r>
      <w:r>
        <w:rPr>
          <w:sz w:val="24"/>
        </w:rPr>
        <w:t>以上草鱼生长性能指标和形体指标影响，为草鱼实用饲料配方中的脂肪和糖类原料的选择提供科学的参考和依据。</w:t>
      </w:r>
    </w:p>
    <w:p w14:paraId="1D9E46F9" w14:textId="77777777" w:rsidR="004F39F6" w:rsidRDefault="00731C67">
      <w:pPr>
        <w:spacing w:line="360" w:lineRule="auto"/>
        <w:rPr>
          <w:sz w:val="24"/>
        </w:rPr>
      </w:pPr>
      <w:r>
        <w:rPr>
          <w:sz w:val="24"/>
        </w:rPr>
        <w:t xml:space="preserve">1  </w:t>
      </w:r>
      <w:r>
        <w:rPr>
          <w:sz w:val="24"/>
        </w:rPr>
        <w:t>材料与方法</w:t>
      </w:r>
    </w:p>
    <w:p w14:paraId="5C158A82" w14:textId="77777777" w:rsidR="004F39F6" w:rsidRDefault="00731C67">
      <w:pPr>
        <w:spacing w:line="360" w:lineRule="auto"/>
        <w:rPr>
          <w:sz w:val="24"/>
        </w:rPr>
      </w:pPr>
      <w:r>
        <w:rPr>
          <w:sz w:val="24"/>
        </w:rPr>
        <w:t xml:space="preserve">1.1   </w:t>
      </w:r>
      <w:r>
        <w:rPr>
          <w:sz w:val="24"/>
        </w:rPr>
        <w:t>试验设计与饲料</w:t>
      </w:r>
    </w:p>
    <w:p w14:paraId="416F8514" w14:textId="77777777" w:rsidR="004F39F6" w:rsidRDefault="00731C67">
      <w:pPr>
        <w:spacing w:line="360" w:lineRule="auto"/>
        <w:ind w:firstLineChars="200" w:firstLine="480"/>
        <w:rPr>
          <w:sz w:val="24"/>
        </w:rPr>
      </w:pPr>
      <w:r>
        <w:rPr>
          <w:sz w:val="24"/>
        </w:rPr>
        <w:t>试验设</w:t>
      </w:r>
      <w:r>
        <w:rPr>
          <w:sz w:val="24"/>
        </w:rPr>
        <w:t>4</w:t>
      </w:r>
      <w:r>
        <w:rPr>
          <w:sz w:val="24"/>
        </w:rPr>
        <w:t>个等氮</w:t>
      </w:r>
      <w:r>
        <w:rPr>
          <w:sz w:val="24"/>
        </w:rPr>
        <w:t>(</w:t>
      </w:r>
      <w:r>
        <w:rPr>
          <w:sz w:val="24"/>
        </w:rPr>
        <w:t>粗蛋白</w:t>
      </w:r>
      <w:r>
        <w:rPr>
          <w:sz w:val="24"/>
        </w:rPr>
        <w:t>30%)</w:t>
      </w:r>
      <w:r>
        <w:rPr>
          <w:sz w:val="24"/>
        </w:rPr>
        <w:t>等能（</w:t>
      </w:r>
      <w:r>
        <w:rPr>
          <w:sz w:val="24"/>
        </w:rPr>
        <w:t>12.5 kJ/g</w:t>
      </w:r>
      <w:r>
        <w:rPr>
          <w:sz w:val="24"/>
        </w:rPr>
        <w:t>）水平和</w:t>
      </w:r>
      <w:r>
        <w:rPr>
          <w:sz w:val="24"/>
        </w:rPr>
        <w:t>1</w:t>
      </w:r>
      <w:r>
        <w:rPr>
          <w:sz w:val="24"/>
        </w:rPr>
        <w:t>个等氮</w:t>
      </w:r>
      <w:r>
        <w:rPr>
          <w:sz w:val="24"/>
        </w:rPr>
        <w:t>(</w:t>
      </w:r>
      <w:r>
        <w:rPr>
          <w:sz w:val="24"/>
        </w:rPr>
        <w:t>粗蛋白</w:t>
      </w:r>
      <w:r>
        <w:rPr>
          <w:sz w:val="24"/>
        </w:rPr>
        <w:t>30%)</w:t>
      </w:r>
      <w:r>
        <w:rPr>
          <w:sz w:val="24"/>
        </w:rPr>
        <w:t>略低能（</w:t>
      </w:r>
      <w:r>
        <w:rPr>
          <w:sz w:val="24"/>
        </w:rPr>
        <w:t>11.5 kJ/g</w:t>
      </w:r>
      <w:r>
        <w:rPr>
          <w:sz w:val="24"/>
        </w:rPr>
        <w:t>）共五个处理组：</w:t>
      </w:r>
      <w:r>
        <w:rPr>
          <w:sz w:val="24"/>
        </w:rPr>
        <w:t>30%</w:t>
      </w:r>
      <w:r>
        <w:rPr>
          <w:sz w:val="24"/>
        </w:rPr>
        <w:t>小麦、</w:t>
      </w:r>
      <w:r>
        <w:rPr>
          <w:sz w:val="24"/>
        </w:rPr>
        <w:t>1.4%</w:t>
      </w:r>
      <w:r>
        <w:rPr>
          <w:sz w:val="24"/>
        </w:rPr>
        <w:t>豆</w:t>
      </w:r>
      <w:r>
        <w:rPr>
          <w:sz w:val="24"/>
        </w:rPr>
        <w:t>油，糖脂比</w:t>
      </w:r>
      <w:r>
        <w:rPr>
          <w:sz w:val="24"/>
        </w:rPr>
        <w:t xml:space="preserve">6.49 </w:t>
      </w:r>
      <w:r>
        <w:rPr>
          <w:sz w:val="24"/>
        </w:rPr>
        <w:t>组；</w:t>
      </w:r>
      <w:r>
        <w:rPr>
          <w:sz w:val="24"/>
        </w:rPr>
        <w:t>25%</w:t>
      </w:r>
      <w:r>
        <w:rPr>
          <w:sz w:val="24"/>
        </w:rPr>
        <w:t>小麦、</w:t>
      </w:r>
      <w:r>
        <w:rPr>
          <w:sz w:val="24"/>
        </w:rPr>
        <w:t>2.4%</w:t>
      </w:r>
      <w:r>
        <w:rPr>
          <w:sz w:val="24"/>
        </w:rPr>
        <w:t>豆油，糖脂比</w:t>
      </w:r>
      <w:r>
        <w:rPr>
          <w:sz w:val="24"/>
        </w:rPr>
        <w:t>4.94</w:t>
      </w:r>
      <w:r>
        <w:rPr>
          <w:sz w:val="24"/>
        </w:rPr>
        <w:t>组；</w:t>
      </w:r>
      <w:r>
        <w:rPr>
          <w:sz w:val="24"/>
        </w:rPr>
        <w:t>19%</w:t>
      </w:r>
      <w:r>
        <w:rPr>
          <w:sz w:val="24"/>
        </w:rPr>
        <w:t>小麦、</w:t>
      </w:r>
      <w:r>
        <w:rPr>
          <w:sz w:val="24"/>
        </w:rPr>
        <w:t>4.1%</w:t>
      </w:r>
      <w:r>
        <w:rPr>
          <w:sz w:val="24"/>
        </w:rPr>
        <w:t>豆油，糖脂比</w:t>
      </w:r>
      <w:r>
        <w:rPr>
          <w:sz w:val="24"/>
        </w:rPr>
        <w:t>3.42</w:t>
      </w:r>
      <w:r>
        <w:rPr>
          <w:sz w:val="24"/>
        </w:rPr>
        <w:t>组；</w:t>
      </w:r>
      <w:r>
        <w:rPr>
          <w:sz w:val="24"/>
        </w:rPr>
        <w:t>14%</w:t>
      </w:r>
      <w:r>
        <w:rPr>
          <w:sz w:val="24"/>
        </w:rPr>
        <w:t>小麦、</w:t>
      </w:r>
      <w:r>
        <w:rPr>
          <w:sz w:val="24"/>
        </w:rPr>
        <w:t>5.8%</w:t>
      </w:r>
      <w:r>
        <w:rPr>
          <w:sz w:val="24"/>
        </w:rPr>
        <w:t>豆油，糖脂比</w:t>
      </w:r>
      <w:r>
        <w:rPr>
          <w:sz w:val="24"/>
        </w:rPr>
        <w:t>1.93</w:t>
      </w:r>
      <w:r>
        <w:rPr>
          <w:sz w:val="24"/>
        </w:rPr>
        <w:t>组，等氮（粗蛋白</w:t>
      </w:r>
      <w:r>
        <w:rPr>
          <w:sz w:val="24"/>
        </w:rPr>
        <w:t>30%</w:t>
      </w:r>
      <w:r>
        <w:rPr>
          <w:sz w:val="24"/>
        </w:rPr>
        <w:t>）略低能量（</w:t>
      </w:r>
      <w:r>
        <w:rPr>
          <w:sz w:val="24"/>
        </w:rPr>
        <w:t>11.5 kJ/g</w:t>
      </w:r>
      <w:r>
        <w:rPr>
          <w:sz w:val="24"/>
        </w:rPr>
        <w:t>）的</w:t>
      </w:r>
      <w:r>
        <w:rPr>
          <w:sz w:val="24"/>
        </w:rPr>
        <w:t>14%</w:t>
      </w:r>
      <w:r>
        <w:rPr>
          <w:sz w:val="24"/>
        </w:rPr>
        <w:t>小麦、</w:t>
      </w:r>
      <w:r>
        <w:rPr>
          <w:sz w:val="24"/>
        </w:rPr>
        <w:t xml:space="preserve">3% </w:t>
      </w:r>
      <w:r>
        <w:rPr>
          <w:sz w:val="24"/>
        </w:rPr>
        <w:t>豆油，糖脂比</w:t>
      </w:r>
      <w:r>
        <w:rPr>
          <w:sz w:val="24"/>
        </w:rPr>
        <w:t>3.11</w:t>
      </w:r>
      <w:r>
        <w:rPr>
          <w:sz w:val="24"/>
        </w:rPr>
        <w:t>组，饲料配方及营养水平见表</w:t>
      </w:r>
      <w:r>
        <w:rPr>
          <w:sz w:val="24"/>
        </w:rPr>
        <w:t>1</w:t>
      </w:r>
      <w:r>
        <w:rPr>
          <w:sz w:val="24"/>
        </w:rPr>
        <w:t>，每个处理组</w:t>
      </w:r>
      <w:r>
        <w:rPr>
          <w:sz w:val="24"/>
        </w:rPr>
        <w:t>5</w:t>
      </w:r>
      <w:r>
        <w:rPr>
          <w:sz w:val="24"/>
        </w:rPr>
        <w:t>个重复，每个重复</w:t>
      </w:r>
      <w:r>
        <w:rPr>
          <w:sz w:val="24"/>
        </w:rPr>
        <w:t>25</w:t>
      </w:r>
      <w:r>
        <w:rPr>
          <w:sz w:val="24"/>
        </w:rPr>
        <w:t>尾鱼。</w:t>
      </w:r>
    </w:p>
    <w:p w14:paraId="6E5120A9" w14:textId="77777777" w:rsidR="004F39F6" w:rsidRDefault="00731C67">
      <w:pPr>
        <w:spacing w:line="360" w:lineRule="auto"/>
        <w:ind w:firstLineChars="200" w:firstLine="480"/>
        <w:rPr>
          <w:sz w:val="24"/>
        </w:rPr>
      </w:pPr>
      <w:r>
        <w:rPr>
          <w:sz w:val="24"/>
        </w:rPr>
        <w:lastRenderedPageBreak/>
        <w:t>所有饲料原料经粉碎过</w:t>
      </w:r>
      <w:r>
        <w:rPr>
          <w:sz w:val="24"/>
        </w:rPr>
        <w:t>60</w:t>
      </w:r>
      <w:r>
        <w:rPr>
          <w:sz w:val="24"/>
        </w:rPr>
        <w:t>目筛，混合均匀，采用商业饲料公司的</w:t>
      </w:r>
      <w:proofErr w:type="gramStart"/>
      <w:r>
        <w:rPr>
          <w:sz w:val="24"/>
        </w:rPr>
        <w:t>膨化机</w:t>
      </w:r>
      <w:proofErr w:type="gramEnd"/>
      <w:r>
        <w:rPr>
          <w:sz w:val="24"/>
        </w:rPr>
        <w:t>生产，采用孔径为</w:t>
      </w:r>
      <w:r>
        <w:rPr>
          <w:sz w:val="24"/>
        </w:rPr>
        <w:t>3.0 mm</w:t>
      </w:r>
      <w:r>
        <w:rPr>
          <w:sz w:val="24"/>
        </w:rPr>
        <w:t>模板，制成膨化饲料，</w:t>
      </w:r>
      <w:r>
        <w:rPr>
          <w:sz w:val="24"/>
        </w:rPr>
        <w:t>95 ℃</w:t>
      </w:r>
      <w:r>
        <w:rPr>
          <w:sz w:val="24"/>
        </w:rPr>
        <w:t>烘干后，饲料置于</w:t>
      </w:r>
      <w:r>
        <w:rPr>
          <w:sz w:val="24"/>
        </w:rPr>
        <w:t>-18 ℃</w:t>
      </w:r>
      <w:r>
        <w:rPr>
          <w:sz w:val="24"/>
        </w:rPr>
        <w:t>冰箱储存备用。</w:t>
      </w:r>
    </w:p>
    <w:p w14:paraId="395EEFC7" w14:textId="77777777" w:rsidR="004F39F6" w:rsidRDefault="00731C67">
      <w:pPr>
        <w:spacing w:line="360" w:lineRule="auto"/>
        <w:rPr>
          <w:sz w:val="24"/>
        </w:rPr>
      </w:pPr>
      <w:r>
        <w:rPr>
          <w:sz w:val="24"/>
        </w:rPr>
        <w:t xml:space="preserve">1.2   </w:t>
      </w:r>
      <w:r>
        <w:rPr>
          <w:sz w:val="24"/>
        </w:rPr>
        <w:t>试验用鱼</w:t>
      </w:r>
    </w:p>
    <w:p w14:paraId="0A216CDA" w14:textId="77777777" w:rsidR="004F39F6" w:rsidRDefault="00731C67">
      <w:pPr>
        <w:spacing w:line="360" w:lineRule="auto"/>
        <w:ind w:firstLineChars="200" w:firstLine="480"/>
        <w:rPr>
          <w:sz w:val="24"/>
        </w:rPr>
      </w:pPr>
      <w:r>
        <w:rPr>
          <w:sz w:val="24"/>
        </w:rPr>
        <w:t>试验所用草鱼</w:t>
      </w:r>
      <w:r>
        <w:rPr>
          <w:sz w:val="24"/>
        </w:rPr>
        <w:t>初始体重为（</w:t>
      </w:r>
      <w:r>
        <w:rPr>
          <w:sz w:val="24"/>
        </w:rPr>
        <w:t>1061.33±12.49</w:t>
      </w:r>
      <w:r>
        <w:rPr>
          <w:sz w:val="24"/>
        </w:rPr>
        <w:t>）</w:t>
      </w:r>
      <w:r>
        <w:rPr>
          <w:sz w:val="24"/>
        </w:rPr>
        <w:t>g</w:t>
      </w:r>
      <w:r>
        <w:rPr>
          <w:sz w:val="24"/>
        </w:rPr>
        <w:t>，购自中山草鱼苗培育养殖场，试验用草鱼暂养于鱼塘网箱</w:t>
      </w:r>
      <w:proofErr w:type="gramStart"/>
      <w:r>
        <w:rPr>
          <w:sz w:val="24"/>
        </w:rPr>
        <w:t>中驯食</w:t>
      </w:r>
      <w:r>
        <w:rPr>
          <w:sz w:val="24"/>
        </w:rPr>
        <w:t>2</w:t>
      </w:r>
      <w:r>
        <w:rPr>
          <w:sz w:val="24"/>
        </w:rPr>
        <w:t>周</w:t>
      </w:r>
      <w:proofErr w:type="gramEnd"/>
      <w:r>
        <w:rPr>
          <w:sz w:val="24"/>
        </w:rPr>
        <w:t>。试验前停喂</w:t>
      </w:r>
      <w:r>
        <w:rPr>
          <w:sz w:val="24"/>
        </w:rPr>
        <w:t>24 h</w:t>
      </w:r>
      <w:r>
        <w:rPr>
          <w:sz w:val="24"/>
        </w:rPr>
        <w:t>，选取</w:t>
      </w:r>
      <w:r>
        <w:rPr>
          <w:sz w:val="24"/>
        </w:rPr>
        <w:t>625</w:t>
      </w:r>
      <w:r>
        <w:rPr>
          <w:sz w:val="24"/>
        </w:rPr>
        <w:t>尾健康、活力好的草鱼，随机分配于</w:t>
      </w:r>
      <w:r>
        <w:rPr>
          <w:sz w:val="24"/>
        </w:rPr>
        <w:t>25</w:t>
      </w:r>
      <w:r>
        <w:rPr>
          <w:sz w:val="24"/>
        </w:rPr>
        <w:t>个网箱中，每个网箱规格为</w:t>
      </w:r>
      <w:r>
        <w:rPr>
          <w:sz w:val="24"/>
        </w:rPr>
        <w:t>2 m×2 m×1.8 m</w:t>
      </w:r>
      <w:r>
        <w:rPr>
          <w:sz w:val="24"/>
        </w:rPr>
        <w:t>。</w:t>
      </w:r>
    </w:p>
    <w:p w14:paraId="3F59AC94" w14:textId="77777777" w:rsidR="004F39F6" w:rsidRDefault="00731C67">
      <w:pPr>
        <w:spacing w:line="360" w:lineRule="auto"/>
        <w:rPr>
          <w:sz w:val="24"/>
        </w:rPr>
      </w:pPr>
      <w:r>
        <w:rPr>
          <w:sz w:val="24"/>
        </w:rPr>
        <w:t xml:space="preserve">1.3   </w:t>
      </w:r>
      <w:r>
        <w:rPr>
          <w:sz w:val="24"/>
        </w:rPr>
        <w:t>试验管理</w:t>
      </w:r>
    </w:p>
    <w:p w14:paraId="6E3E8B3F" w14:textId="77777777" w:rsidR="004F39F6" w:rsidRDefault="00731C67">
      <w:pPr>
        <w:spacing w:line="360" w:lineRule="auto"/>
        <w:ind w:firstLineChars="200" w:firstLine="480"/>
        <w:rPr>
          <w:sz w:val="24"/>
        </w:rPr>
      </w:pPr>
      <w:r>
        <w:rPr>
          <w:sz w:val="24"/>
        </w:rPr>
        <w:t>开始试验后，根据草鱼的生活习性和试验设计要求，对分组后的试验草鱼进行表观饱食投喂，投喂饲料</w:t>
      </w:r>
      <w:r>
        <w:rPr>
          <w:sz w:val="24"/>
        </w:rPr>
        <w:t xml:space="preserve">30 </w:t>
      </w:r>
      <w:r>
        <w:rPr>
          <w:sz w:val="24"/>
        </w:rPr>
        <w:t>min</w:t>
      </w:r>
      <w:r>
        <w:rPr>
          <w:sz w:val="24"/>
        </w:rPr>
        <w:t>后，鱼不摄食为准。每天投喂三餐，分别是</w:t>
      </w:r>
      <w:r>
        <w:rPr>
          <w:sz w:val="24"/>
        </w:rPr>
        <w:t>8:00</w:t>
      </w:r>
      <w:r>
        <w:rPr>
          <w:sz w:val="24"/>
        </w:rPr>
        <w:t>、</w:t>
      </w:r>
      <w:r>
        <w:rPr>
          <w:sz w:val="24"/>
        </w:rPr>
        <w:t>12:00</w:t>
      </w:r>
      <w:r>
        <w:rPr>
          <w:sz w:val="24"/>
        </w:rPr>
        <w:t>、</w:t>
      </w:r>
      <w:r>
        <w:rPr>
          <w:sz w:val="24"/>
        </w:rPr>
        <w:t>16:30</w:t>
      </w:r>
      <w:r>
        <w:rPr>
          <w:sz w:val="24"/>
        </w:rPr>
        <w:t>。试验周期为</w:t>
      </w:r>
      <w:r>
        <w:rPr>
          <w:sz w:val="24"/>
        </w:rPr>
        <w:t>60 d</w:t>
      </w:r>
      <w:r>
        <w:rPr>
          <w:sz w:val="24"/>
        </w:rPr>
        <w:t>，试验养殖期间，网箱所在鱼塘水温</w:t>
      </w:r>
      <w:r>
        <w:rPr>
          <w:sz w:val="24"/>
        </w:rPr>
        <w:t>27.0</w:t>
      </w:r>
      <w:r>
        <w:rPr>
          <w:sz w:val="24"/>
        </w:rPr>
        <w:t>～</w:t>
      </w:r>
      <w:r>
        <w:rPr>
          <w:sz w:val="24"/>
        </w:rPr>
        <w:t>30.0 ℃</w:t>
      </w:r>
      <w:r>
        <w:rPr>
          <w:sz w:val="24"/>
        </w:rPr>
        <w:t>，水体溶解氧含量在</w:t>
      </w:r>
      <w:r>
        <w:rPr>
          <w:sz w:val="24"/>
        </w:rPr>
        <w:t>5 mg/L</w:t>
      </w:r>
      <w:r>
        <w:rPr>
          <w:sz w:val="24"/>
        </w:rPr>
        <w:t>以上，氨氮低于</w:t>
      </w:r>
      <w:r>
        <w:rPr>
          <w:sz w:val="24"/>
        </w:rPr>
        <w:t>0.5 mg/L</w:t>
      </w:r>
      <w:r>
        <w:rPr>
          <w:sz w:val="24"/>
        </w:rPr>
        <w:t>，亚硝酸盐低于</w:t>
      </w:r>
      <w:r>
        <w:rPr>
          <w:sz w:val="24"/>
        </w:rPr>
        <w:t>0.05 mg/L</w:t>
      </w:r>
      <w:r>
        <w:rPr>
          <w:sz w:val="24"/>
        </w:rPr>
        <w:t>。</w:t>
      </w:r>
    </w:p>
    <w:p w14:paraId="7070D5C9" w14:textId="77777777" w:rsidR="004F39F6" w:rsidRDefault="00731C67">
      <w:pPr>
        <w:spacing w:line="360" w:lineRule="auto"/>
        <w:ind w:firstLineChars="200" w:firstLine="480"/>
        <w:jc w:val="center"/>
        <w:rPr>
          <w:sz w:val="24"/>
        </w:rPr>
      </w:pPr>
      <w:r>
        <w:rPr>
          <w:noProof/>
          <w:sz w:val="24"/>
        </w:rPr>
        <w:drawing>
          <wp:inline distT="0" distB="0" distL="0" distR="0" wp14:anchorId="27473513" wp14:editId="71CBD116">
            <wp:extent cx="2717800" cy="39624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717800" cy="3962400"/>
                    </a:xfrm>
                    <a:prstGeom prst="rect">
                      <a:avLst/>
                    </a:prstGeom>
                    <a:noFill/>
                    <a:ln>
                      <a:noFill/>
                    </a:ln>
                  </pic:spPr>
                </pic:pic>
              </a:graphicData>
            </a:graphic>
          </wp:inline>
        </w:drawing>
      </w:r>
    </w:p>
    <w:p w14:paraId="33C6816C" w14:textId="77777777" w:rsidR="004F39F6" w:rsidRDefault="00731C67">
      <w:pPr>
        <w:spacing w:line="360" w:lineRule="auto"/>
        <w:rPr>
          <w:sz w:val="24"/>
        </w:rPr>
      </w:pPr>
      <w:r>
        <w:rPr>
          <w:sz w:val="24"/>
        </w:rPr>
        <w:t xml:space="preserve">1.4   </w:t>
      </w:r>
      <w:r>
        <w:rPr>
          <w:sz w:val="24"/>
        </w:rPr>
        <w:t>生长性能与计算方法</w:t>
      </w:r>
    </w:p>
    <w:p w14:paraId="615FDA62" w14:textId="77777777" w:rsidR="004F39F6" w:rsidRDefault="00731C67">
      <w:pPr>
        <w:spacing w:line="360" w:lineRule="auto"/>
        <w:ind w:firstLineChars="200" w:firstLine="480"/>
        <w:rPr>
          <w:sz w:val="24"/>
        </w:rPr>
      </w:pPr>
      <w:r>
        <w:rPr>
          <w:sz w:val="24"/>
        </w:rPr>
        <w:t>试验结束时，停喂</w:t>
      </w:r>
      <w:r>
        <w:rPr>
          <w:sz w:val="24"/>
        </w:rPr>
        <w:t>24 h</w:t>
      </w:r>
      <w:r>
        <w:rPr>
          <w:sz w:val="24"/>
        </w:rPr>
        <w:t>，对每个网箱进行称重，统计每个网箱的饲料用量，评估各试验组鱼体生长性能。</w:t>
      </w:r>
    </w:p>
    <w:p w14:paraId="3549CCC0" w14:textId="77777777" w:rsidR="004F39F6" w:rsidRDefault="00731C67">
      <w:pPr>
        <w:spacing w:line="360" w:lineRule="auto"/>
        <w:ind w:firstLineChars="200" w:firstLine="480"/>
        <w:rPr>
          <w:sz w:val="24"/>
        </w:rPr>
      </w:pPr>
      <w:r>
        <w:rPr>
          <w:sz w:val="24"/>
        </w:rPr>
        <w:t>增重率（</w:t>
      </w:r>
      <w:r>
        <w:rPr>
          <w:sz w:val="24"/>
        </w:rPr>
        <w:t>WG</w:t>
      </w:r>
      <w:r>
        <w:rPr>
          <w:sz w:val="24"/>
        </w:rPr>
        <w:t>，</w:t>
      </w:r>
      <w:r>
        <w:rPr>
          <w:sz w:val="24"/>
        </w:rPr>
        <w:t>%</w:t>
      </w:r>
      <w:r>
        <w:rPr>
          <w:sz w:val="24"/>
        </w:rPr>
        <w:t>）</w:t>
      </w:r>
      <w:r>
        <w:rPr>
          <w:sz w:val="24"/>
        </w:rPr>
        <w:t>=[</w:t>
      </w:r>
      <w:proofErr w:type="gramStart"/>
      <w:r>
        <w:rPr>
          <w:sz w:val="24"/>
        </w:rPr>
        <w:t>末重</w:t>
      </w:r>
      <w:proofErr w:type="gramEnd"/>
      <w:r>
        <w:rPr>
          <w:sz w:val="24"/>
        </w:rPr>
        <w:t>(g)-</w:t>
      </w:r>
      <w:r>
        <w:rPr>
          <w:sz w:val="24"/>
        </w:rPr>
        <w:t>初重</w:t>
      </w:r>
      <w:r>
        <w:rPr>
          <w:sz w:val="24"/>
        </w:rPr>
        <w:t>(g)]/</w:t>
      </w:r>
      <w:r>
        <w:rPr>
          <w:sz w:val="24"/>
        </w:rPr>
        <w:t>初重</w:t>
      </w:r>
      <w:r>
        <w:rPr>
          <w:sz w:val="24"/>
        </w:rPr>
        <w:t>(g)×100</w:t>
      </w:r>
    </w:p>
    <w:p w14:paraId="6B40B1D9" w14:textId="77777777" w:rsidR="004F39F6" w:rsidRDefault="00731C67">
      <w:pPr>
        <w:spacing w:line="360" w:lineRule="auto"/>
        <w:ind w:firstLineChars="200" w:firstLine="480"/>
        <w:rPr>
          <w:sz w:val="24"/>
        </w:rPr>
      </w:pPr>
      <w:r>
        <w:rPr>
          <w:sz w:val="24"/>
        </w:rPr>
        <w:lastRenderedPageBreak/>
        <w:t>特定生长率</w:t>
      </w:r>
      <w:r>
        <w:rPr>
          <w:sz w:val="24"/>
        </w:rPr>
        <w:t>(SGR</w:t>
      </w:r>
      <w:r>
        <w:rPr>
          <w:sz w:val="24"/>
        </w:rPr>
        <w:t>，</w:t>
      </w:r>
      <w:r>
        <w:rPr>
          <w:sz w:val="24"/>
        </w:rPr>
        <w:t>%/d)=100×[ln</w:t>
      </w:r>
      <w:r>
        <w:rPr>
          <w:sz w:val="24"/>
        </w:rPr>
        <w:t>末重（</w:t>
      </w:r>
      <w:r>
        <w:rPr>
          <w:sz w:val="24"/>
        </w:rPr>
        <w:t>g</w:t>
      </w:r>
      <w:r>
        <w:rPr>
          <w:sz w:val="24"/>
        </w:rPr>
        <w:t>）</w:t>
      </w:r>
      <w:r>
        <w:rPr>
          <w:sz w:val="24"/>
        </w:rPr>
        <w:t>-ln</w:t>
      </w:r>
      <w:r>
        <w:rPr>
          <w:sz w:val="24"/>
        </w:rPr>
        <w:t>初重</w:t>
      </w:r>
      <w:r>
        <w:rPr>
          <w:sz w:val="24"/>
        </w:rPr>
        <w:t>（</w:t>
      </w:r>
      <w:r>
        <w:rPr>
          <w:sz w:val="24"/>
        </w:rPr>
        <w:t>g</w:t>
      </w:r>
      <w:r>
        <w:rPr>
          <w:sz w:val="24"/>
        </w:rPr>
        <w:t>）</w:t>
      </w:r>
      <w:r>
        <w:rPr>
          <w:sz w:val="24"/>
        </w:rPr>
        <w:t>]/</w:t>
      </w:r>
      <w:r>
        <w:rPr>
          <w:sz w:val="24"/>
        </w:rPr>
        <w:t>养殖天数（</w:t>
      </w:r>
      <w:r>
        <w:rPr>
          <w:sz w:val="24"/>
        </w:rPr>
        <w:t>d</w:t>
      </w:r>
      <w:r>
        <w:rPr>
          <w:sz w:val="24"/>
        </w:rPr>
        <w:t>）</w:t>
      </w:r>
    </w:p>
    <w:p w14:paraId="2BF3B257" w14:textId="77777777" w:rsidR="004F39F6" w:rsidRDefault="00731C67">
      <w:pPr>
        <w:spacing w:line="360" w:lineRule="auto"/>
        <w:rPr>
          <w:sz w:val="24"/>
        </w:rPr>
      </w:pPr>
      <w:r>
        <w:rPr>
          <w:sz w:val="24"/>
        </w:rPr>
        <w:t>日摄食率（</w:t>
      </w:r>
      <w:r>
        <w:rPr>
          <w:sz w:val="24"/>
        </w:rPr>
        <w:t>DFR</w:t>
      </w:r>
      <w:r>
        <w:rPr>
          <w:sz w:val="24"/>
        </w:rPr>
        <w:t>，</w:t>
      </w:r>
      <w:r>
        <w:rPr>
          <w:sz w:val="24"/>
        </w:rPr>
        <w:t>%</w:t>
      </w:r>
      <w:r>
        <w:rPr>
          <w:sz w:val="24"/>
        </w:rPr>
        <w:t>）</w:t>
      </w:r>
      <w:r>
        <w:rPr>
          <w:sz w:val="24"/>
        </w:rPr>
        <w:t>=</w:t>
      </w:r>
      <w:r>
        <w:rPr>
          <w:sz w:val="24"/>
        </w:rPr>
        <w:t>摄食量（</w:t>
      </w:r>
      <w:r>
        <w:rPr>
          <w:sz w:val="24"/>
        </w:rPr>
        <w:t>g</w:t>
      </w:r>
      <w:r>
        <w:rPr>
          <w:sz w:val="24"/>
        </w:rPr>
        <w:t>）</w:t>
      </w:r>
      <w:r>
        <w:rPr>
          <w:sz w:val="24"/>
        </w:rPr>
        <w:t>/[</w:t>
      </w:r>
      <w:r>
        <w:rPr>
          <w:sz w:val="24"/>
        </w:rPr>
        <w:t>末重（</w:t>
      </w:r>
      <w:r>
        <w:rPr>
          <w:sz w:val="24"/>
        </w:rPr>
        <w:t>g</w:t>
      </w:r>
      <w:r>
        <w:rPr>
          <w:sz w:val="24"/>
        </w:rPr>
        <w:t>）</w:t>
      </w:r>
      <w:r>
        <w:rPr>
          <w:sz w:val="24"/>
        </w:rPr>
        <w:t>+</w:t>
      </w:r>
      <w:r>
        <w:rPr>
          <w:sz w:val="24"/>
        </w:rPr>
        <w:t>初重（</w:t>
      </w:r>
      <w:r>
        <w:rPr>
          <w:sz w:val="24"/>
        </w:rPr>
        <w:t>g</w:t>
      </w:r>
      <w:r>
        <w:rPr>
          <w:sz w:val="24"/>
        </w:rPr>
        <w:t>）</w:t>
      </w:r>
      <w:r>
        <w:rPr>
          <w:sz w:val="24"/>
        </w:rPr>
        <w:t>]×2/</w:t>
      </w:r>
      <w:r>
        <w:rPr>
          <w:sz w:val="24"/>
        </w:rPr>
        <w:t>养殖天数（</w:t>
      </w:r>
      <w:r>
        <w:rPr>
          <w:sz w:val="24"/>
        </w:rPr>
        <w:t>d</w:t>
      </w:r>
      <w:r>
        <w:rPr>
          <w:sz w:val="24"/>
        </w:rPr>
        <w:t>）</w:t>
      </w:r>
      <w:r>
        <w:rPr>
          <w:sz w:val="24"/>
        </w:rPr>
        <w:t>×100</w:t>
      </w:r>
    </w:p>
    <w:p w14:paraId="3F0D8BA6" w14:textId="77777777" w:rsidR="004F39F6" w:rsidRDefault="00731C67">
      <w:pPr>
        <w:spacing w:line="360" w:lineRule="auto"/>
        <w:ind w:firstLineChars="200" w:firstLine="480"/>
        <w:rPr>
          <w:sz w:val="24"/>
        </w:rPr>
      </w:pPr>
      <w:r>
        <w:rPr>
          <w:sz w:val="24"/>
        </w:rPr>
        <w:t>饲料系数（</w:t>
      </w:r>
      <w:r>
        <w:rPr>
          <w:sz w:val="24"/>
        </w:rPr>
        <w:t>FCR</w:t>
      </w:r>
      <w:r>
        <w:rPr>
          <w:sz w:val="24"/>
        </w:rPr>
        <w:t>）</w:t>
      </w:r>
      <w:r>
        <w:rPr>
          <w:sz w:val="24"/>
        </w:rPr>
        <w:t>=</w:t>
      </w:r>
      <w:r>
        <w:rPr>
          <w:sz w:val="24"/>
        </w:rPr>
        <w:t>摄食量（</w:t>
      </w:r>
      <w:r>
        <w:rPr>
          <w:sz w:val="24"/>
        </w:rPr>
        <w:t>g</w:t>
      </w:r>
      <w:r>
        <w:rPr>
          <w:sz w:val="24"/>
        </w:rPr>
        <w:t>）</w:t>
      </w:r>
      <w:r>
        <w:rPr>
          <w:sz w:val="24"/>
        </w:rPr>
        <w:t>/[</w:t>
      </w:r>
      <w:r>
        <w:rPr>
          <w:sz w:val="24"/>
        </w:rPr>
        <w:t>末重（</w:t>
      </w:r>
      <w:r>
        <w:rPr>
          <w:sz w:val="24"/>
        </w:rPr>
        <w:t>g</w:t>
      </w:r>
      <w:r>
        <w:rPr>
          <w:sz w:val="24"/>
        </w:rPr>
        <w:t>）</w:t>
      </w:r>
      <w:r>
        <w:rPr>
          <w:sz w:val="24"/>
        </w:rPr>
        <w:t>-</w:t>
      </w:r>
      <w:r>
        <w:rPr>
          <w:sz w:val="24"/>
        </w:rPr>
        <w:t>初重（</w:t>
      </w:r>
      <w:r>
        <w:rPr>
          <w:sz w:val="24"/>
        </w:rPr>
        <w:t>g</w:t>
      </w:r>
      <w:r>
        <w:rPr>
          <w:sz w:val="24"/>
        </w:rPr>
        <w:t>）</w:t>
      </w:r>
      <w:r>
        <w:rPr>
          <w:sz w:val="24"/>
        </w:rPr>
        <w:t>]</w:t>
      </w:r>
    </w:p>
    <w:p w14:paraId="05B32332" w14:textId="77777777" w:rsidR="004F39F6" w:rsidRDefault="00731C67">
      <w:pPr>
        <w:spacing w:line="360" w:lineRule="auto"/>
        <w:ind w:firstLineChars="200" w:firstLine="480"/>
        <w:rPr>
          <w:sz w:val="24"/>
        </w:rPr>
      </w:pPr>
      <w:r>
        <w:rPr>
          <w:sz w:val="24"/>
        </w:rPr>
        <w:t>成活率</w:t>
      </w:r>
      <w:r>
        <w:rPr>
          <w:sz w:val="24"/>
        </w:rPr>
        <w:t>(SR</w:t>
      </w:r>
      <w:r>
        <w:rPr>
          <w:sz w:val="24"/>
        </w:rPr>
        <w:t>，</w:t>
      </w:r>
      <w:r>
        <w:rPr>
          <w:sz w:val="24"/>
        </w:rPr>
        <w:t>%)=100×</w:t>
      </w:r>
      <w:r>
        <w:rPr>
          <w:sz w:val="24"/>
        </w:rPr>
        <w:t>终末尾数</w:t>
      </w:r>
      <w:r>
        <w:rPr>
          <w:sz w:val="24"/>
        </w:rPr>
        <w:t>/</w:t>
      </w:r>
      <w:r>
        <w:rPr>
          <w:sz w:val="24"/>
        </w:rPr>
        <w:t>初始尾数</w:t>
      </w:r>
    </w:p>
    <w:p w14:paraId="4459D801" w14:textId="77777777" w:rsidR="004F39F6" w:rsidRDefault="00731C67">
      <w:pPr>
        <w:spacing w:line="360" w:lineRule="auto"/>
        <w:ind w:firstLineChars="200" w:firstLine="480"/>
        <w:rPr>
          <w:sz w:val="24"/>
        </w:rPr>
      </w:pPr>
      <w:r>
        <w:rPr>
          <w:sz w:val="24"/>
        </w:rPr>
        <w:t>肥满度</w:t>
      </w:r>
      <w:r>
        <w:rPr>
          <w:sz w:val="24"/>
        </w:rPr>
        <w:t>(CF</w:t>
      </w:r>
      <w:r>
        <w:rPr>
          <w:sz w:val="24"/>
        </w:rPr>
        <w:t>，</w:t>
      </w:r>
      <w:r>
        <w:rPr>
          <w:sz w:val="24"/>
        </w:rPr>
        <w:t>g/cm</w:t>
      </w:r>
      <w:r>
        <w:rPr>
          <w:sz w:val="24"/>
          <w:vertAlign w:val="superscript"/>
        </w:rPr>
        <w:t>3</w:t>
      </w:r>
      <w:r>
        <w:rPr>
          <w:sz w:val="24"/>
        </w:rPr>
        <w:t xml:space="preserve"> )=</w:t>
      </w:r>
      <w:r>
        <w:rPr>
          <w:sz w:val="24"/>
        </w:rPr>
        <w:t>体重（</w:t>
      </w:r>
      <w:r>
        <w:rPr>
          <w:sz w:val="24"/>
        </w:rPr>
        <w:t>g</w:t>
      </w:r>
      <w:r>
        <w:rPr>
          <w:sz w:val="24"/>
        </w:rPr>
        <w:t>）</w:t>
      </w:r>
      <w:r>
        <w:rPr>
          <w:sz w:val="24"/>
        </w:rPr>
        <w:t>/[</w:t>
      </w:r>
      <w:r>
        <w:rPr>
          <w:sz w:val="24"/>
        </w:rPr>
        <w:t>体长（</w:t>
      </w:r>
      <w:r>
        <w:rPr>
          <w:sz w:val="24"/>
        </w:rPr>
        <w:t>cm</w:t>
      </w:r>
      <w:r>
        <w:rPr>
          <w:sz w:val="24"/>
        </w:rPr>
        <w:t>）</w:t>
      </w:r>
      <w:r>
        <w:rPr>
          <w:sz w:val="24"/>
        </w:rPr>
        <w:t xml:space="preserve">] </w:t>
      </w:r>
      <w:r>
        <w:rPr>
          <w:sz w:val="24"/>
          <w:vertAlign w:val="superscript"/>
        </w:rPr>
        <w:t>3</w:t>
      </w:r>
    </w:p>
    <w:p w14:paraId="45C089F6" w14:textId="77777777" w:rsidR="004F39F6" w:rsidRDefault="00731C67">
      <w:pPr>
        <w:spacing w:line="360" w:lineRule="auto"/>
        <w:ind w:firstLineChars="200" w:firstLine="480"/>
        <w:rPr>
          <w:sz w:val="24"/>
        </w:rPr>
      </w:pPr>
      <w:r>
        <w:rPr>
          <w:sz w:val="24"/>
        </w:rPr>
        <w:t>脏体比（</w:t>
      </w:r>
      <w:r>
        <w:rPr>
          <w:sz w:val="24"/>
        </w:rPr>
        <w:t>VSI,%</w:t>
      </w:r>
      <w:r>
        <w:rPr>
          <w:sz w:val="24"/>
        </w:rPr>
        <w:t>）</w:t>
      </w:r>
      <w:r>
        <w:rPr>
          <w:sz w:val="24"/>
        </w:rPr>
        <w:t>=</w:t>
      </w:r>
      <w:r>
        <w:rPr>
          <w:sz w:val="24"/>
        </w:rPr>
        <w:t>内脏重（</w:t>
      </w:r>
      <w:r>
        <w:rPr>
          <w:sz w:val="24"/>
        </w:rPr>
        <w:t>g</w:t>
      </w:r>
      <w:r>
        <w:rPr>
          <w:sz w:val="24"/>
        </w:rPr>
        <w:t>）</w:t>
      </w:r>
      <w:r>
        <w:rPr>
          <w:sz w:val="24"/>
        </w:rPr>
        <w:t>/</w:t>
      </w:r>
      <w:r>
        <w:rPr>
          <w:sz w:val="24"/>
        </w:rPr>
        <w:t>体重（</w:t>
      </w:r>
      <w:r>
        <w:rPr>
          <w:sz w:val="24"/>
        </w:rPr>
        <w:t>g</w:t>
      </w:r>
      <w:r>
        <w:rPr>
          <w:sz w:val="24"/>
        </w:rPr>
        <w:t>）</w:t>
      </w:r>
      <w:r>
        <w:rPr>
          <w:sz w:val="24"/>
        </w:rPr>
        <w:t>×100</w:t>
      </w:r>
    </w:p>
    <w:p w14:paraId="067975EB" w14:textId="77777777" w:rsidR="004F39F6" w:rsidRDefault="00731C67">
      <w:pPr>
        <w:spacing w:line="360" w:lineRule="auto"/>
        <w:ind w:firstLineChars="200" w:firstLine="480"/>
        <w:rPr>
          <w:sz w:val="24"/>
        </w:rPr>
      </w:pPr>
      <w:r>
        <w:rPr>
          <w:sz w:val="24"/>
        </w:rPr>
        <w:t>肝体比（</w:t>
      </w:r>
      <w:r>
        <w:rPr>
          <w:sz w:val="24"/>
        </w:rPr>
        <w:t>HIS,%</w:t>
      </w:r>
      <w:r>
        <w:rPr>
          <w:sz w:val="24"/>
        </w:rPr>
        <w:t>）</w:t>
      </w:r>
      <w:r>
        <w:rPr>
          <w:sz w:val="24"/>
        </w:rPr>
        <w:t>=</w:t>
      </w:r>
      <w:r>
        <w:rPr>
          <w:sz w:val="24"/>
        </w:rPr>
        <w:t>肝脏重（</w:t>
      </w:r>
      <w:r>
        <w:rPr>
          <w:sz w:val="24"/>
        </w:rPr>
        <w:t>g</w:t>
      </w:r>
      <w:r>
        <w:rPr>
          <w:sz w:val="24"/>
        </w:rPr>
        <w:t>）</w:t>
      </w:r>
      <w:r>
        <w:rPr>
          <w:sz w:val="24"/>
        </w:rPr>
        <w:t>/</w:t>
      </w:r>
      <w:r>
        <w:rPr>
          <w:sz w:val="24"/>
        </w:rPr>
        <w:t>体重（</w:t>
      </w:r>
      <w:r>
        <w:rPr>
          <w:sz w:val="24"/>
        </w:rPr>
        <w:t>g</w:t>
      </w:r>
      <w:r>
        <w:rPr>
          <w:sz w:val="24"/>
        </w:rPr>
        <w:t>）</w:t>
      </w:r>
      <w:r>
        <w:rPr>
          <w:sz w:val="24"/>
        </w:rPr>
        <w:t>×100</w:t>
      </w:r>
    </w:p>
    <w:p w14:paraId="7CAD59C9" w14:textId="77777777" w:rsidR="004F39F6" w:rsidRDefault="00731C67">
      <w:pPr>
        <w:spacing w:line="360" w:lineRule="auto"/>
        <w:rPr>
          <w:sz w:val="24"/>
        </w:rPr>
      </w:pPr>
      <w:r>
        <w:rPr>
          <w:sz w:val="24"/>
        </w:rPr>
        <w:t xml:space="preserve">1.5   </w:t>
      </w:r>
      <w:r>
        <w:rPr>
          <w:sz w:val="24"/>
        </w:rPr>
        <w:t>数据统计与处理</w:t>
      </w:r>
    </w:p>
    <w:p w14:paraId="215A74AC" w14:textId="77777777" w:rsidR="004F39F6" w:rsidRDefault="00731C67">
      <w:pPr>
        <w:spacing w:line="360" w:lineRule="auto"/>
        <w:ind w:firstLineChars="200" w:firstLine="480"/>
        <w:rPr>
          <w:sz w:val="24"/>
        </w:rPr>
      </w:pPr>
      <w:r>
        <w:rPr>
          <w:sz w:val="24"/>
        </w:rPr>
        <w:t>采用</w:t>
      </w:r>
      <w:r>
        <w:rPr>
          <w:sz w:val="24"/>
        </w:rPr>
        <w:t>SPSS 18.0</w:t>
      </w:r>
      <w:r>
        <w:rPr>
          <w:sz w:val="24"/>
        </w:rPr>
        <w:t>对结果数据进行单因素方差分析</w:t>
      </w:r>
      <w:r>
        <w:rPr>
          <w:sz w:val="24"/>
        </w:rPr>
        <w:t xml:space="preserve"> (one-way ANOV</w:t>
      </w:r>
      <w:r>
        <w:rPr>
          <w:sz w:val="24"/>
        </w:rPr>
        <w:t>A)</w:t>
      </w:r>
      <w:r>
        <w:rPr>
          <w:sz w:val="24"/>
        </w:rPr>
        <w:t>，数据用</w:t>
      </w:r>
      <w:r>
        <w:rPr>
          <w:sz w:val="24"/>
        </w:rPr>
        <w:t>“</w:t>
      </w:r>
      <w:r>
        <w:rPr>
          <w:sz w:val="24"/>
        </w:rPr>
        <w:t>平均值</w:t>
      </w:r>
      <w:r>
        <w:rPr>
          <w:sz w:val="24"/>
        </w:rPr>
        <w:t>±</w:t>
      </w:r>
      <w:r>
        <w:rPr>
          <w:sz w:val="24"/>
        </w:rPr>
        <w:t>标准差（</w:t>
      </w:r>
      <w:r>
        <w:rPr>
          <w:sz w:val="24"/>
        </w:rPr>
        <w:t>M±SD</w:t>
      </w:r>
      <w:r>
        <w:rPr>
          <w:sz w:val="24"/>
        </w:rPr>
        <w:t>）</w:t>
      </w:r>
      <w:r>
        <w:rPr>
          <w:sz w:val="24"/>
        </w:rPr>
        <w:t>”</w:t>
      </w:r>
      <w:r>
        <w:rPr>
          <w:sz w:val="24"/>
        </w:rPr>
        <w:t>表示，若差异达到显著，采用</w:t>
      </w:r>
      <w:r>
        <w:rPr>
          <w:sz w:val="24"/>
        </w:rPr>
        <w:t>Duncan</w:t>
      </w:r>
      <w:proofErr w:type="gramStart"/>
      <w:r>
        <w:rPr>
          <w:sz w:val="24"/>
        </w:rPr>
        <w:t>’</w:t>
      </w:r>
      <w:proofErr w:type="gramEnd"/>
      <w:r>
        <w:rPr>
          <w:sz w:val="24"/>
        </w:rPr>
        <w:t>s</w:t>
      </w:r>
      <w:r>
        <w:rPr>
          <w:sz w:val="24"/>
        </w:rPr>
        <w:t>多重比较法分析试验结果的差异显著性，差异显著水平为</w:t>
      </w:r>
      <w:r>
        <w:rPr>
          <w:sz w:val="24"/>
        </w:rPr>
        <w:t>P&lt;0.05</w:t>
      </w:r>
      <w:r>
        <w:rPr>
          <w:sz w:val="24"/>
        </w:rPr>
        <w:t>。</w:t>
      </w:r>
    </w:p>
    <w:p w14:paraId="263ABFAE" w14:textId="77777777" w:rsidR="004F39F6" w:rsidRDefault="00731C67">
      <w:pPr>
        <w:spacing w:line="360" w:lineRule="auto"/>
        <w:rPr>
          <w:sz w:val="24"/>
        </w:rPr>
      </w:pPr>
      <w:r>
        <w:rPr>
          <w:sz w:val="24"/>
        </w:rPr>
        <w:t xml:space="preserve">2  </w:t>
      </w:r>
      <w:r>
        <w:rPr>
          <w:sz w:val="24"/>
        </w:rPr>
        <w:t>结果与分析</w:t>
      </w:r>
    </w:p>
    <w:p w14:paraId="36D83DD8" w14:textId="77777777" w:rsidR="004F39F6" w:rsidRDefault="00731C67">
      <w:pPr>
        <w:spacing w:line="360" w:lineRule="auto"/>
        <w:rPr>
          <w:sz w:val="24"/>
        </w:rPr>
      </w:pPr>
      <w:r>
        <w:rPr>
          <w:sz w:val="24"/>
        </w:rPr>
        <w:t xml:space="preserve">2.1   </w:t>
      </w:r>
      <w:r>
        <w:rPr>
          <w:sz w:val="24"/>
        </w:rPr>
        <w:t>饲料中不同糖脂分配对草鱼生长性能及饲料系数的影响</w:t>
      </w:r>
      <w:r>
        <w:rPr>
          <w:sz w:val="24"/>
        </w:rPr>
        <w:t>(</w:t>
      </w:r>
      <w:r>
        <w:rPr>
          <w:sz w:val="24"/>
        </w:rPr>
        <w:t>见表</w:t>
      </w:r>
      <w:r>
        <w:rPr>
          <w:sz w:val="24"/>
        </w:rPr>
        <w:t>2)</w:t>
      </w:r>
    </w:p>
    <w:p w14:paraId="20C953D3" w14:textId="77777777" w:rsidR="004F39F6" w:rsidRDefault="00731C67">
      <w:pPr>
        <w:spacing w:line="360" w:lineRule="auto"/>
        <w:ind w:firstLineChars="200" w:firstLine="480"/>
        <w:rPr>
          <w:sz w:val="24"/>
        </w:rPr>
      </w:pPr>
      <w:r>
        <w:rPr>
          <w:sz w:val="24"/>
        </w:rPr>
        <w:t>由表</w:t>
      </w:r>
      <w:r>
        <w:rPr>
          <w:sz w:val="24"/>
        </w:rPr>
        <w:t xml:space="preserve"> 2 </w:t>
      </w:r>
      <w:r>
        <w:rPr>
          <w:sz w:val="24"/>
        </w:rPr>
        <w:t>可知，在</w:t>
      </w:r>
      <w:proofErr w:type="gramStart"/>
      <w:r>
        <w:rPr>
          <w:sz w:val="24"/>
        </w:rPr>
        <w:t>相同可</w:t>
      </w:r>
      <w:proofErr w:type="gramEnd"/>
      <w:r>
        <w:rPr>
          <w:sz w:val="24"/>
        </w:rPr>
        <w:t>消化能水平下，随着饲料中糖脂比例的下降，草鱼的增重率、特定生长率不断升高，饲料系数下降。并在糖脂比</w:t>
      </w:r>
      <w:r>
        <w:rPr>
          <w:sz w:val="24"/>
        </w:rPr>
        <w:t>1.93</w:t>
      </w:r>
      <w:r>
        <w:rPr>
          <w:sz w:val="24"/>
        </w:rPr>
        <w:t>组，草鱼的增重率、特定生长率最高和饲料系数最低。饲料不同糖脂比对草鱼的成活率没有显著影响（</w:t>
      </w:r>
      <w:r>
        <w:rPr>
          <w:sz w:val="24"/>
        </w:rPr>
        <w:t>P&gt;0.05</w:t>
      </w:r>
      <w:r>
        <w:rPr>
          <w:sz w:val="24"/>
        </w:rPr>
        <w:t>）。</w:t>
      </w:r>
    </w:p>
    <w:p w14:paraId="66A17CA6" w14:textId="77777777" w:rsidR="004F39F6" w:rsidRDefault="00731C67">
      <w:pPr>
        <w:spacing w:line="360" w:lineRule="auto"/>
        <w:ind w:firstLineChars="200" w:firstLine="480"/>
        <w:jc w:val="center"/>
        <w:rPr>
          <w:sz w:val="24"/>
        </w:rPr>
      </w:pPr>
      <w:r>
        <w:rPr>
          <w:noProof/>
          <w:sz w:val="24"/>
        </w:rPr>
        <w:drawing>
          <wp:inline distT="0" distB="0" distL="0" distR="0" wp14:anchorId="33211D82" wp14:editId="1875E4A9">
            <wp:extent cx="3804920" cy="1225550"/>
            <wp:effectExtent l="0" t="0" r="508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804920" cy="1225550"/>
                    </a:xfrm>
                    <a:prstGeom prst="rect">
                      <a:avLst/>
                    </a:prstGeom>
                    <a:noFill/>
                    <a:ln>
                      <a:noFill/>
                    </a:ln>
                  </pic:spPr>
                </pic:pic>
              </a:graphicData>
            </a:graphic>
          </wp:inline>
        </w:drawing>
      </w:r>
    </w:p>
    <w:p w14:paraId="5C37D295" w14:textId="77777777" w:rsidR="004F39F6" w:rsidRDefault="00731C67">
      <w:pPr>
        <w:spacing w:line="360" w:lineRule="auto"/>
        <w:rPr>
          <w:sz w:val="24"/>
        </w:rPr>
      </w:pPr>
      <w:r>
        <w:rPr>
          <w:sz w:val="24"/>
        </w:rPr>
        <w:t xml:space="preserve">2.2   </w:t>
      </w:r>
      <w:r>
        <w:rPr>
          <w:sz w:val="24"/>
        </w:rPr>
        <w:t>饲料中不同糖脂分配</w:t>
      </w:r>
      <w:r>
        <w:rPr>
          <w:sz w:val="24"/>
        </w:rPr>
        <w:t>对草鱼形体指标的影响（见表</w:t>
      </w:r>
      <w:r>
        <w:rPr>
          <w:sz w:val="24"/>
        </w:rPr>
        <w:t>3</w:t>
      </w:r>
      <w:r>
        <w:rPr>
          <w:sz w:val="24"/>
        </w:rPr>
        <w:t>）</w:t>
      </w:r>
    </w:p>
    <w:p w14:paraId="649675A5" w14:textId="77777777" w:rsidR="004F39F6" w:rsidRDefault="00731C67">
      <w:pPr>
        <w:spacing w:line="360" w:lineRule="auto"/>
        <w:ind w:firstLineChars="200" w:firstLine="480"/>
        <w:rPr>
          <w:sz w:val="24"/>
        </w:rPr>
      </w:pPr>
      <w:r>
        <w:rPr>
          <w:sz w:val="24"/>
        </w:rPr>
        <w:t>由表</w:t>
      </w:r>
      <w:r>
        <w:rPr>
          <w:sz w:val="24"/>
        </w:rPr>
        <w:t>3</w:t>
      </w:r>
      <w:r>
        <w:rPr>
          <w:sz w:val="24"/>
        </w:rPr>
        <w:t>可知，糖脂比</w:t>
      </w:r>
      <w:r>
        <w:rPr>
          <w:sz w:val="24"/>
        </w:rPr>
        <w:t>1.93</w:t>
      </w:r>
      <w:r>
        <w:rPr>
          <w:sz w:val="24"/>
        </w:rPr>
        <w:t>组鱼体肥满</w:t>
      </w:r>
      <w:proofErr w:type="gramStart"/>
      <w:r>
        <w:rPr>
          <w:sz w:val="24"/>
        </w:rPr>
        <w:t>度显著</w:t>
      </w:r>
      <w:proofErr w:type="gramEnd"/>
      <w:r>
        <w:rPr>
          <w:sz w:val="24"/>
        </w:rPr>
        <w:t>高于糖脂比</w:t>
      </w:r>
      <w:r>
        <w:rPr>
          <w:sz w:val="24"/>
        </w:rPr>
        <w:t>6.49</w:t>
      </w:r>
      <w:r>
        <w:rPr>
          <w:sz w:val="24"/>
        </w:rPr>
        <w:t>组（</w:t>
      </w:r>
      <w:r>
        <w:rPr>
          <w:sz w:val="24"/>
        </w:rPr>
        <w:t>P</w:t>
      </w:r>
      <w:r>
        <w:rPr>
          <w:sz w:val="24"/>
        </w:rPr>
        <w:t>＜</w:t>
      </w:r>
      <w:r>
        <w:rPr>
          <w:sz w:val="24"/>
        </w:rPr>
        <w:t>0.05</w:t>
      </w:r>
      <w:r>
        <w:rPr>
          <w:sz w:val="24"/>
        </w:rPr>
        <w:t>）。各试验组的</w:t>
      </w:r>
      <w:proofErr w:type="gramStart"/>
      <w:r>
        <w:rPr>
          <w:sz w:val="24"/>
        </w:rPr>
        <w:t>鱼体脏体</w:t>
      </w:r>
      <w:proofErr w:type="gramEnd"/>
      <w:r>
        <w:rPr>
          <w:sz w:val="24"/>
        </w:rPr>
        <w:t>比和肝体</w:t>
      </w:r>
      <w:proofErr w:type="gramStart"/>
      <w:r>
        <w:rPr>
          <w:sz w:val="24"/>
        </w:rPr>
        <w:t>比随着</w:t>
      </w:r>
      <w:proofErr w:type="gramEnd"/>
      <w:r>
        <w:rPr>
          <w:sz w:val="24"/>
        </w:rPr>
        <w:t>饲料中糖脂比下降，有着升高的趋势，但各组之间无显著差异（</w:t>
      </w:r>
      <w:r>
        <w:rPr>
          <w:sz w:val="24"/>
        </w:rPr>
        <w:t>P&gt;0.05</w:t>
      </w:r>
      <w:r>
        <w:rPr>
          <w:sz w:val="24"/>
        </w:rPr>
        <w:t>）。</w:t>
      </w:r>
    </w:p>
    <w:p w14:paraId="7B2C1AC5" w14:textId="77777777" w:rsidR="004F39F6" w:rsidRDefault="00731C67">
      <w:pPr>
        <w:spacing w:line="360" w:lineRule="auto"/>
        <w:ind w:firstLineChars="200" w:firstLine="480"/>
        <w:jc w:val="center"/>
        <w:rPr>
          <w:sz w:val="24"/>
        </w:rPr>
      </w:pPr>
      <w:r>
        <w:rPr>
          <w:noProof/>
          <w:sz w:val="24"/>
        </w:rPr>
        <w:drawing>
          <wp:inline distT="0" distB="0" distL="0" distR="0" wp14:anchorId="7DD1F877" wp14:editId="7B35DB99">
            <wp:extent cx="2787650" cy="1276985"/>
            <wp:effectExtent l="0" t="0" r="635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787650" cy="1276985"/>
                    </a:xfrm>
                    <a:prstGeom prst="rect">
                      <a:avLst/>
                    </a:prstGeom>
                    <a:noFill/>
                    <a:ln>
                      <a:noFill/>
                    </a:ln>
                  </pic:spPr>
                </pic:pic>
              </a:graphicData>
            </a:graphic>
          </wp:inline>
        </w:drawing>
      </w:r>
    </w:p>
    <w:p w14:paraId="660C03FB" w14:textId="77777777" w:rsidR="004F39F6" w:rsidRDefault="00731C67">
      <w:pPr>
        <w:spacing w:line="360" w:lineRule="auto"/>
        <w:rPr>
          <w:sz w:val="24"/>
        </w:rPr>
      </w:pPr>
      <w:r>
        <w:rPr>
          <w:sz w:val="24"/>
        </w:rPr>
        <w:lastRenderedPageBreak/>
        <w:t xml:space="preserve">3  </w:t>
      </w:r>
      <w:r>
        <w:rPr>
          <w:sz w:val="24"/>
        </w:rPr>
        <w:t>讨论</w:t>
      </w:r>
    </w:p>
    <w:p w14:paraId="76019D4E" w14:textId="77777777" w:rsidR="004F39F6" w:rsidRDefault="00731C67">
      <w:pPr>
        <w:spacing w:line="360" w:lineRule="auto"/>
        <w:ind w:firstLineChars="200" w:firstLine="480"/>
        <w:rPr>
          <w:sz w:val="24"/>
        </w:rPr>
      </w:pPr>
      <w:r>
        <w:rPr>
          <w:sz w:val="24"/>
        </w:rPr>
        <w:t>糖类是鱼类生长必不可少的能量物质，且对蛋白质有节约作用。草鱼作为植食性鱼类的代表，其商业配方中糖类的添加比例都比较高。如玉米</w:t>
      </w:r>
      <w:r>
        <w:rPr>
          <w:sz w:val="24"/>
          <w:vertAlign w:val="superscript"/>
        </w:rPr>
        <w:t>[14]</w:t>
      </w:r>
      <w:r>
        <w:rPr>
          <w:sz w:val="24"/>
        </w:rPr>
        <w:t>、大麦</w:t>
      </w:r>
      <w:r>
        <w:rPr>
          <w:sz w:val="24"/>
          <w:vertAlign w:val="superscript"/>
        </w:rPr>
        <w:t>[15]</w:t>
      </w:r>
      <w:r>
        <w:rPr>
          <w:sz w:val="24"/>
        </w:rPr>
        <w:t>、小麦</w:t>
      </w:r>
      <w:r>
        <w:rPr>
          <w:sz w:val="24"/>
          <w:vertAlign w:val="superscript"/>
        </w:rPr>
        <w:t>[16]</w:t>
      </w:r>
      <w:r>
        <w:rPr>
          <w:sz w:val="24"/>
        </w:rPr>
        <w:t>、米糠</w:t>
      </w:r>
      <w:proofErr w:type="gramStart"/>
      <w:r>
        <w:rPr>
          <w:sz w:val="24"/>
        </w:rPr>
        <w:t>粕</w:t>
      </w:r>
      <w:proofErr w:type="gramEnd"/>
      <w:r>
        <w:rPr>
          <w:sz w:val="24"/>
          <w:vertAlign w:val="superscript"/>
        </w:rPr>
        <w:t>[17]</w:t>
      </w:r>
      <w:r>
        <w:rPr>
          <w:sz w:val="24"/>
        </w:rPr>
        <w:t>等。然而过高的糖类水平（大于</w:t>
      </w:r>
      <w:r>
        <w:rPr>
          <w:sz w:val="24"/>
        </w:rPr>
        <w:t>35%</w:t>
      </w:r>
      <w:r>
        <w:rPr>
          <w:sz w:val="24"/>
        </w:rPr>
        <w:t>）</w:t>
      </w:r>
      <w:r>
        <w:rPr>
          <w:sz w:val="24"/>
        </w:rPr>
        <w:t xml:space="preserve"> </w:t>
      </w:r>
      <w:r>
        <w:rPr>
          <w:sz w:val="24"/>
        </w:rPr>
        <w:t>也会对草鱼生长及健康产生负面影响。如抑制糖酵解过程</w:t>
      </w:r>
      <w:r>
        <w:rPr>
          <w:sz w:val="24"/>
          <w:vertAlign w:val="superscript"/>
        </w:rPr>
        <w:t>[17]</w:t>
      </w:r>
      <w:r>
        <w:rPr>
          <w:sz w:val="24"/>
        </w:rPr>
        <w:t>，造成肝脏损伤</w:t>
      </w:r>
      <w:r>
        <w:rPr>
          <w:sz w:val="24"/>
          <w:vertAlign w:val="superscript"/>
        </w:rPr>
        <w:t>[12]</w:t>
      </w:r>
      <w:r>
        <w:rPr>
          <w:sz w:val="24"/>
        </w:rPr>
        <w:t>，降低生长性能</w:t>
      </w:r>
      <w:r>
        <w:rPr>
          <w:sz w:val="24"/>
          <w:vertAlign w:val="superscript"/>
        </w:rPr>
        <w:t>[18]</w:t>
      </w:r>
      <w:r>
        <w:rPr>
          <w:sz w:val="24"/>
        </w:rPr>
        <w:t>等。</w:t>
      </w:r>
      <w:proofErr w:type="spellStart"/>
      <w:r>
        <w:rPr>
          <w:sz w:val="24"/>
        </w:rPr>
        <w:t>Jin</w:t>
      </w:r>
      <w:proofErr w:type="spellEnd"/>
      <w:r>
        <w:rPr>
          <w:sz w:val="24"/>
          <w:vertAlign w:val="superscript"/>
        </w:rPr>
        <w:t>[19]</w:t>
      </w:r>
      <w:r>
        <w:rPr>
          <w:sz w:val="24"/>
        </w:rPr>
        <w:t>在</w:t>
      </w:r>
      <w:r>
        <w:rPr>
          <w:sz w:val="24"/>
        </w:rPr>
        <w:t>6 g</w:t>
      </w:r>
      <w:r>
        <w:rPr>
          <w:sz w:val="24"/>
        </w:rPr>
        <w:t>左右小规格草鱼研究中发现，草鱼生长随着日粮中脂肪的上升，呈现先升高后下降的趋势，且在</w:t>
      </w:r>
      <w:r>
        <w:rPr>
          <w:sz w:val="24"/>
        </w:rPr>
        <w:t>6.5%</w:t>
      </w:r>
      <w:r>
        <w:rPr>
          <w:sz w:val="24"/>
        </w:rPr>
        <w:t>的脂肪水平时候达到最高。这与本试验结果相一致。本试验研究中，糖类水平都低于</w:t>
      </w:r>
      <w:r>
        <w:rPr>
          <w:sz w:val="24"/>
        </w:rPr>
        <w:t>30%</w:t>
      </w:r>
      <w:r>
        <w:rPr>
          <w:sz w:val="24"/>
        </w:rPr>
        <w:t>，且随着饲料中糖类水平下降，脂肪水平上升，草鱼的生长呈上升趋势。且生长在脂肪达到</w:t>
      </w:r>
      <w:r>
        <w:rPr>
          <w:sz w:val="24"/>
        </w:rPr>
        <w:t>7.57%</w:t>
      </w:r>
      <w:r>
        <w:rPr>
          <w:sz w:val="24"/>
        </w:rPr>
        <w:t>水平时达到最高。这说明草鱼可以利用日粮中的糖类，但其利用率低于脂肪。</w:t>
      </w:r>
    </w:p>
    <w:p w14:paraId="36FCB378" w14:textId="77777777" w:rsidR="004F39F6" w:rsidRDefault="00731C67">
      <w:pPr>
        <w:spacing w:line="360" w:lineRule="auto"/>
        <w:ind w:firstLineChars="200" w:firstLine="480"/>
        <w:rPr>
          <w:sz w:val="24"/>
        </w:rPr>
      </w:pPr>
      <w:r>
        <w:rPr>
          <w:sz w:val="24"/>
        </w:rPr>
        <w:t>饲料中非蛋白能量的分配显著影响鱼类的生长，这已在罗非</w:t>
      </w:r>
      <w:r>
        <w:rPr>
          <w:sz w:val="24"/>
        </w:rPr>
        <w:t>鱼</w:t>
      </w:r>
      <w:r>
        <w:rPr>
          <w:sz w:val="24"/>
          <w:vertAlign w:val="superscript"/>
        </w:rPr>
        <w:t>[20]</w:t>
      </w:r>
      <w:r>
        <w:rPr>
          <w:sz w:val="24"/>
        </w:rPr>
        <w:t>、三文鱼</w:t>
      </w:r>
      <w:r>
        <w:rPr>
          <w:sz w:val="24"/>
          <w:vertAlign w:val="superscript"/>
        </w:rPr>
        <w:t>[21]</w:t>
      </w:r>
      <w:r>
        <w:rPr>
          <w:sz w:val="24"/>
        </w:rPr>
        <w:t>等鱼类中有所发现。杨丽萍</w:t>
      </w:r>
      <w:r>
        <w:rPr>
          <w:sz w:val="24"/>
          <w:vertAlign w:val="superscript"/>
        </w:rPr>
        <w:t>[22]</w:t>
      </w:r>
      <w:r>
        <w:rPr>
          <w:sz w:val="24"/>
        </w:rPr>
        <w:t>研究认为小规格罗非鱼达到</w:t>
      </w:r>
      <w:proofErr w:type="gramStart"/>
      <w:r>
        <w:rPr>
          <w:sz w:val="24"/>
        </w:rPr>
        <w:t>最</w:t>
      </w:r>
      <w:proofErr w:type="gramEnd"/>
      <w:r>
        <w:rPr>
          <w:sz w:val="24"/>
        </w:rPr>
        <w:t>适生长的饲料糖脂比为</w:t>
      </w:r>
      <w:r>
        <w:rPr>
          <w:sz w:val="24"/>
        </w:rPr>
        <w:t>8.4</w:t>
      </w:r>
      <w:r>
        <w:rPr>
          <w:sz w:val="24"/>
        </w:rPr>
        <w:t>；王菲</w:t>
      </w:r>
      <w:r>
        <w:rPr>
          <w:sz w:val="24"/>
          <w:vertAlign w:val="superscript"/>
        </w:rPr>
        <w:t>[23]</w:t>
      </w:r>
      <w:r>
        <w:rPr>
          <w:sz w:val="24"/>
        </w:rPr>
        <w:t>研究认为建鲤达到</w:t>
      </w:r>
      <w:proofErr w:type="gramStart"/>
      <w:r>
        <w:rPr>
          <w:sz w:val="24"/>
        </w:rPr>
        <w:t>最</w:t>
      </w:r>
      <w:proofErr w:type="gramEnd"/>
      <w:r>
        <w:rPr>
          <w:sz w:val="24"/>
        </w:rPr>
        <w:t>适生长的饲料糖脂比为</w:t>
      </w:r>
      <w:r>
        <w:rPr>
          <w:sz w:val="24"/>
        </w:rPr>
        <w:t>8.14</w:t>
      </w:r>
      <w:r>
        <w:rPr>
          <w:sz w:val="24"/>
        </w:rPr>
        <w:t>；在</w:t>
      </w:r>
      <w:r>
        <w:rPr>
          <w:sz w:val="24"/>
        </w:rPr>
        <w:t>Gao</w:t>
      </w:r>
      <w:r>
        <w:rPr>
          <w:sz w:val="24"/>
          <w:vertAlign w:val="superscript"/>
        </w:rPr>
        <w:t>[24]</w:t>
      </w:r>
      <w:r>
        <w:rPr>
          <w:sz w:val="24"/>
        </w:rPr>
        <w:t>的研究中，认为</w:t>
      </w:r>
      <w:r>
        <w:rPr>
          <w:sz w:val="24"/>
        </w:rPr>
        <w:t>2~10 g</w:t>
      </w:r>
      <w:r>
        <w:rPr>
          <w:sz w:val="24"/>
        </w:rPr>
        <w:t>阶段草鱼达到</w:t>
      </w:r>
      <w:proofErr w:type="gramStart"/>
      <w:r>
        <w:rPr>
          <w:sz w:val="24"/>
        </w:rPr>
        <w:t>最</w:t>
      </w:r>
      <w:proofErr w:type="gramEnd"/>
      <w:r>
        <w:rPr>
          <w:sz w:val="24"/>
        </w:rPr>
        <w:t>适生长时，饲料中的糖脂比为</w:t>
      </w:r>
      <w:r>
        <w:rPr>
          <w:sz w:val="24"/>
        </w:rPr>
        <w:t>4.7</w:t>
      </w:r>
      <w:r>
        <w:rPr>
          <w:sz w:val="24"/>
        </w:rPr>
        <w:t>；而本试验得出</w:t>
      </w:r>
      <w:proofErr w:type="gramStart"/>
      <w:r>
        <w:rPr>
          <w:sz w:val="24"/>
        </w:rPr>
        <w:t>最</w:t>
      </w:r>
      <w:proofErr w:type="gramEnd"/>
      <w:r>
        <w:rPr>
          <w:sz w:val="24"/>
        </w:rPr>
        <w:t>适</w:t>
      </w:r>
      <w:r>
        <w:rPr>
          <w:sz w:val="24"/>
        </w:rPr>
        <w:t>1000~1900 g</w:t>
      </w:r>
      <w:r>
        <w:rPr>
          <w:sz w:val="24"/>
        </w:rPr>
        <w:t>阶段草鱼达到</w:t>
      </w:r>
      <w:proofErr w:type="gramStart"/>
      <w:r>
        <w:rPr>
          <w:sz w:val="24"/>
        </w:rPr>
        <w:t>最</w:t>
      </w:r>
      <w:proofErr w:type="gramEnd"/>
      <w:r>
        <w:rPr>
          <w:sz w:val="24"/>
        </w:rPr>
        <w:t>适生长时，饲料中的糖脂比为</w:t>
      </w:r>
      <w:r>
        <w:rPr>
          <w:sz w:val="24"/>
        </w:rPr>
        <w:t>1.93</w:t>
      </w:r>
      <w:r>
        <w:rPr>
          <w:sz w:val="24"/>
        </w:rPr>
        <w:t>。这可能与不同鱼种、不同养殖阶段有关。另外本试验设计饲料可消化能（约为</w:t>
      </w:r>
      <w:r>
        <w:rPr>
          <w:sz w:val="24"/>
        </w:rPr>
        <w:t>12.5 kJ/g</w:t>
      </w:r>
      <w:r>
        <w:rPr>
          <w:sz w:val="24"/>
        </w:rPr>
        <w:t>）贴近实际商业生产，较以往研究降低，也说明在低可消化能水平上，该规格的草鱼对</w:t>
      </w:r>
      <w:r>
        <w:rPr>
          <w:sz w:val="24"/>
        </w:rPr>
        <w:t>脂肪的利用率大于糖类。郭小泽</w:t>
      </w:r>
      <w:r>
        <w:rPr>
          <w:sz w:val="24"/>
          <w:vertAlign w:val="superscript"/>
        </w:rPr>
        <w:t>[25]</w:t>
      </w:r>
      <w:r>
        <w:rPr>
          <w:sz w:val="24"/>
        </w:rPr>
        <w:t>研究也认为，草鱼饲料中非蛋白能量的分配不应倾向高碳水化合物。本试验中，低可消化能糖脂比</w:t>
      </w:r>
      <w:r>
        <w:rPr>
          <w:sz w:val="24"/>
        </w:rPr>
        <w:t>3.11</w:t>
      </w:r>
      <w:r>
        <w:rPr>
          <w:sz w:val="24"/>
        </w:rPr>
        <w:t>组，与较高可消化能糖脂比</w:t>
      </w:r>
      <w:r>
        <w:rPr>
          <w:sz w:val="24"/>
        </w:rPr>
        <w:t>4.94</w:t>
      </w:r>
      <w:r>
        <w:rPr>
          <w:sz w:val="24"/>
        </w:rPr>
        <w:t>组相比，依然获得了较高的生长性能，推测也与糖脂比</w:t>
      </w:r>
      <w:r>
        <w:rPr>
          <w:sz w:val="24"/>
        </w:rPr>
        <w:t xml:space="preserve"> 3.11</w:t>
      </w:r>
      <w:r>
        <w:rPr>
          <w:sz w:val="24"/>
        </w:rPr>
        <w:t>组中的脂肪水平较高有关，但糖脂比</w:t>
      </w:r>
      <w:r>
        <w:rPr>
          <w:sz w:val="24"/>
        </w:rPr>
        <w:t>3.11</w:t>
      </w:r>
      <w:r>
        <w:rPr>
          <w:sz w:val="24"/>
        </w:rPr>
        <w:t>组的生长速度不如高可消化能糖脂比</w:t>
      </w:r>
      <w:r>
        <w:rPr>
          <w:sz w:val="24"/>
        </w:rPr>
        <w:t>1.93</w:t>
      </w:r>
      <w:r>
        <w:rPr>
          <w:sz w:val="24"/>
        </w:rPr>
        <w:t>组，这进一步说明脂肪对该阶段的生长促进作用大于淀粉。</w:t>
      </w:r>
    </w:p>
    <w:p w14:paraId="177DDF6F" w14:textId="77777777" w:rsidR="004F39F6" w:rsidRDefault="00731C67">
      <w:pPr>
        <w:spacing w:line="360" w:lineRule="auto"/>
        <w:ind w:firstLineChars="200" w:firstLine="480"/>
        <w:rPr>
          <w:sz w:val="24"/>
        </w:rPr>
      </w:pPr>
      <w:r>
        <w:rPr>
          <w:sz w:val="24"/>
        </w:rPr>
        <w:t>本试验中，随着饲料中的糖脂比不断下降，草鱼肥满度有不同程度的升高，肝体比也有升高的趋势但差异不显著，说明饲料脂肪较淀粉而言更有利于营养物质在鱼机体的积累。这与</w:t>
      </w:r>
      <w:r>
        <w:rPr>
          <w:sz w:val="24"/>
        </w:rPr>
        <w:t>在青海湖裸鲤</w:t>
      </w:r>
      <w:r>
        <w:rPr>
          <w:sz w:val="24"/>
          <w:vertAlign w:val="superscript"/>
        </w:rPr>
        <w:t>[26]</w:t>
      </w:r>
      <w:r>
        <w:rPr>
          <w:sz w:val="24"/>
        </w:rPr>
        <w:t>、罗非鱼</w:t>
      </w:r>
      <w:r>
        <w:rPr>
          <w:sz w:val="24"/>
          <w:vertAlign w:val="superscript"/>
        </w:rPr>
        <w:t>[27]</w:t>
      </w:r>
      <w:r>
        <w:rPr>
          <w:sz w:val="24"/>
        </w:rPr>
        <w:t>中的研究一致。</w:t>
      </w:r>
    </w:p>
    <w:p w14:paraId="52F15AD2" w14:textId="77777777" w:rsidR="004F39F6" w:rsidRDefault="00731C67">
      <w:pPr>
        <w:spacing w:line="360" w:lineRule="auto"/>
        <w:rPr>
          <w:sz w:val="24"/>
        </w:rPr>
      </w:pPr>
      <w:r>
        <w:rPr>
          <w:sz w:val="24"/>
        </w:rPr>
        <w:t xml:space="preserve">4  </w:t>
      </w:r>
      <w:r>
        <w:rPr>
          <w:sz w:val="24"/>
        </w:rPr>
        <w:t>结论</w:t>
      </w:r>
    </w:p>
    <w:p w14:paraId="10361EA8" w14:textId="77777777" w:rsidR="004F39F6" w:rsidRDefault="00731C67">
      <w:pPr>
        <w:spacing w:line="360" w:lineRule="auto"/>
        <w:ind w:firstLineChars="200" w:firstLine="480"/>
        <w:rPr>
          <w:sz w:val="24"/>
        </w:rPr>
      </w:pPr>
      <w:r>
        <w:rPr>
          <w:sz w:val="24"/>
        </w:rPr>
        <w:t>本研究表明，同样的可消化能水平下，能量分配在脂肪上比分配在淀粉上更有助于草鱼的生长；从糖脂比</w:t>
      </w:r>
      <w:r>
        <w:rPr>
          <w:sz w:val="24"/>
        </w:rPr>
        <w:t>3.42</w:t>
      </w:r>
      <w:r>
        <w:rPr>
          <w:sz w:val="24"/>
        </w:rPr>
        <w:t>组和糖脂比</w:t>
      </w:r>
      <w:r>
        <w:rPr>
          <w:sz w:val="24"/>
        </w:rPr>
        <w:t>1.93</w:t>
      </w:r>
      <w:r>
        <w:rPr>
          <w:sz w:val="24"/>
        </w:rPr>
        <w:t>组的生长结果比较来看，豆油小麦在草鱼上的比价关系：</w:t>
      </w:r>
      <w:r>
        <w:rPr>
          <w:sz w:val="24"/>
        </w:rPr>
        <w:t>1%</w:t>
      </w:r>
      <w:r>
        <w:rPr>
          <w:sz w:val="24"/>
        </w:rPr>
        <w:t>的豆油相当于</w:t>
      </w:r>
      <w:r>
        <w:rPr>
          <w:sz w:val="24"/>
        </w:rPr>
        <w:t>3%</w:t>
      </w:r>
      <w:r>
        <w:rPr>
          <w:sz w:val="24"/>
        </w:rPr>
        <w:t>的小麦。</w:t>
      </w:r>
    </w:p>
    <w:p w14:paraId="0742C9E2" w14:textId="77777777" w:rsidR="004F39F6" w:rsidRDefault="00731C67">
      <w:pPr>
        <w:spacing w:line="360" w:lineRule="auto"/>
        <w:rPr>
          <w:sz w:val="24"/>
        </w:rPr>
      </w:pPr>
      <w:r>
        <w:rPr>
          <w:sz w:val="24"/>
        </w:rPr>
        <w:t>参考文献：略</w:t>
      </w:r>
    </w:p>
    <w:p w14:paraId="28479515" w14:textId="77777777" w:rsidR="004F39F6" w:rsidRDefault="00731C67">
      <w:pPr>
        <w:spacing w:line="360" w:lineRule="auto"/>
        <w:ind w:firstLineChars="700" w:firstLine="1470"/>
        <w:jc w:val="right"/>
        <w:rPr>
          <w:szCs w:val="21"/>
        </w:rPr>
      </w:pPr>
      <w:r>
        <w:rPr>
          <w:szCs w:val="21"/>
        </w:rPr>
        <w:t>原文刊登在《饲料工业》，</w:t>
      </w:r>
      <w:r>
        <w:rPr>
          <w:szCs w:val="21"/>
        </w:rPr>
        <w:t>2021,42(14):45-48</w:t>
      </w:r>
    </w:p>
    <w:p w14:paraId="5D2F0006" w14:textId="77777777" w:rsidR="004F39F6" w:rsidRDefault="00731C67">
      <w:pPr>
        <w:pStyle w:val="2"/>
        <w:spacing w:line="460" w:lineRule="exact"/>
        <w:jc w:val="center"/>
        <w:rPr>
          <w:rFonts w:ascii="Times New Roman" w:eastAsia="黑体" w:hAnsi="Times New Roman" w:cs="Times New Roman"/>
          <w:b w:val="0"/>
          <w:bCs w:val="0"/>
          <w:sz w:val="32"/>
          <w:szCs w:val="32"/>
        </w:rPr>
      </w:pPr>
      <w:bookmarkStart w:id="34" w:name="_Toc95682104"/>
      <w:r>
        <w:rPr>
          <w:rFonts w:ascii="Times New Roman" w:eastAsia="黑体" w:hAnsi="Times New Roman" w:cs="Times New Roman"/>
          <w:sz w:val="32"/>
          <w:szCs w:val="32"/>
        </w:rPr>
        <w:lastRenderedPageBreak/>
        <w:t>黄鳝饲料蛋白质需求量的研究</w:t>
      </w:r>
      <w:bookmarkEnd w:id="34"/>
    </w:p>
    <w:p w14:paraId="6F20C543" w14:textId="77777777" w:rsidR="004F39F6" w:rsidRDefault="00731C67">
      <w:pPr>
        <w:ind w:firstLineChars="200" w:firstLine="420"/>
        <w:jc w:val="center"/>
        <w:rPr>
          <w:szCs w:val="21"/>
        </w:rPr>
      </w:pPr>
      <w:r>
        <w:rPr>
          <w:szCs w:val="21"/>
        </w:rPr>
        <w:t>姜文灏</w:t>
      </w:r>
      <w:r>
        <w:rPr>
          <w:szCs w:val="21"/>
        </w:rPr>
        <w:t xml:space="preserve">  </w:t>
      </w:r>
      <w:r>
        <w:rPr>
          <w:szCs w:val="21"/>
        </w:rPr>
        <w:t>杨鑫</w:t>
      </w:r>
      <w:r>
        <w:rPr>
          <w:szCs w:val="21"/>
        </w:rPr>
        <w:t xml:space="preserve">  </w:t>
      </w:r>
      <w:proofErr w:type="gramStart"/>
      <w:r>
        <w:rPr>
          <w:szCs w:val="21"/>
        </w:rPr>
        <w:t>周秋白</w:t>
      </w:r>
      <w:proofErr w:type="gramEnd"/>
      <w:r>
        <w:rPr>
          <w:szCs w:val="21"/>
        </w:rPr>
        <w:t xml:space="preserve">*  </w:t>
      </w:r>
      <w:r>
        <w:rPr>
          <w:szCs w:val="21"/>
        </w:rPr>
        <w:t>王自蕊</w:t>
      </w:r>
      <w:r>
        <w:rPr>
          <w:szCs w:val="21"/>
        </w:rPr>
        <w:t xml:space="preserve">  </w:t>
      </w:r>
      <w:r>
        <w:rPr>
          <w:szCs w:val="21"/>
        </w:rPr>
        <w:t>高淼</w:t>
      </w:r>
      <w:r>
        <w:rPr>
          <w:szCs w:val="21"/>
        </w:rPr>
        <w:t xml:space="preserve">  </w:t>
      </w:r>
      <w:r>
        <w:rPr>
          <w:szCs w:val="21"/>
        </w:rPr>
        <w:t>王颖</w:t>
      </w:r>
      <w:r>
        <w:rPr>
          <w:szCs w:val="21"/>
        </w:rPr>
        <w:t xml:space="preserve">  </w:t>
      </w:r>
      <w:proofErr w:type="gramStart"/>
      <w:r>
        <w:rPr>
          <w:szCs w:val="21"/>
        </w:rPr>
        <w:t>胡重华</w:t>
      </w:r>
      <w:proofErr w:type="gramEnd"/>
      <w:r>
        <w:rPr>
          <w:szCs w:val="21"/>
        </w:rPr>
        <w:t xml:space="preserve">  </w:t>
      </w:r>
      <w:r>
        <w:rPr>
          <w:szCs w:val="21"/>
        </w:rPr>
        <w:t>张文平</w:t>
      </w:r>
    </w:p>
    <w:p w14:paraId="573C886F" w14:textId="77777777" w:rsidR="004F39F6" w:rsidRDefault="00731C67">
      <w:pPr>
        <w:ind w:firstLineChars="200" w:firstLine="420"/>
        <w:jc w:val="center"/>
        <w:rPr>
          <w:szCs w:val="21"/>
        </w:rPr>
      </w:pPr>
      <w:r>
        <w:rPr>
          <w:szCs w:val="21"/>
        </w:rPr>
        <w:t>（江西农业大学动物科学技术学院，南昌</w:t>
      </w:r>
      <w:r>
        <w:rPr>
          <w:szCs w:val="21"/>
        </w:rPr>
        <w:t xml:space="preserve"> 330045</w:t>
      </w:r>
      <w:r>
        <w:rPr>
          <w:szCs w:val="21"/>
        </w:rPr>
        <w:t>）</w:t>
      </w:r>
    </w:p>
    <w:p w14:paraId="484AF625" w14:textId="77777777" w:rsidR="004F39F6" w:rsidRDefault="00731C67">
      <w:pPr>
        <w:rPr>
          <w:szCs w:val="22"/>
        </w:rPr>
      </w:pPr>
      <w:r>
        <w:rPr>
          <w:b/>
          <w:bCs/>
          <w:szCs w:val="22"/>
        </w:rPr>
        <w:t>摘要：</w:t>
      </w:r>
      <w:r>
        <w:rPr>
          <w:szCs w:val="22"/>
        </w:rPr>
        <w:t>本试验旨在确定黄鳝对饲料蛋白质的需求量。试验分</w:t>
      </w:r>
      <w:r>
        <w:rPr>
          <w:szCs w:val="22"/>
        </w:rPr>
        <w:t>7</w:t>
      </w:r>
      <w:r>
        <w:rPr>
          <w:szCs w:val="22"/>
        </w:rPr>
        <w:t>组，每组</w:t>
      </w:r>
      <w:r>
        <w:rPr>
          <w:szCs w:val="22"/>
        </w:rPr>
        <w:t>4</w:t>
      </w:r>
      <w:r>
        <w:rPr>
          <w:szCs w:val="22"/>
        </w:rPr>
        <w:t>个重复。每个重复放养初始重为（</w:t>
      </w:r>
      <w:r>
        <w:rPr>
          <w:szCs w:val="22"/>
        </w:rPr>
        <w:t>17.1±0.2</w:t>
      </w:r>
      <w:r>
        <w:rPr>
          <w:szCs w:val="22"/>
        </w:rPr>
        <w:t>）</w:t>
      </w:r>
      <w:r>
        <w:rPr>
          <w:szCs w:val="22"/>
        </w:rPr>
        <w:t>g</w:t>
      </w:r>
      <w:r>
        <w:rPr>
          <w:szCs w:val="22"/>
        </w:rPr>
        <w:t>的幼</w:t>
      </w:r>
      <w:proofErr w:type="gramStart"/>
      <w:r>
        <w:rPr>
          <w:szCs w:val="22"/>
        </w:rPr>
        <w:t>鳝</w:t>
      </w:r>
      <w:proofErr w:type="gramEnd"/>
      <w:r>
        <w:rPr>
          <w:szCs w:val="22"/>
        </w:rPr>
        <w:t>25</w:t>
      </w:r>
      <w:r>
        <w:rPr>
          <w:szCs w:val="22"/>
        </w:rPr>
        <w:t>尾，分别以鱼粉和酪蛋白为主要蛋白源，蛋白质含量依次为</w:t>
      </w:r>
      <w:r>
        <w:rPr>
          <w:szCs w:val="22"/>
        </w:rPr>
        <w:t>32.74 %</w:t>
      </w:r>
      <w:r>
        <w:rPr>
          <w:szCs w:val="22"/>
        </w:rPr>
        <w:t>、</w:t>
      </w:r>
      <w:r>
        <w:rPr>
          <w:szCs w:val="22"/>
        </w:rPr>
        <w:t>38.50 %</w:t>
      </w:r>
      <w:r>
        <w:rPr>
          <w:szCs w:val="22"/>
        </w:rPr>
        <w:t>、</w:t>
      </w:r>
      <w:r>
        <w:rPr>
          <w:szCs w:val="22"/>
        </w:rPr>
        <w:t>42.26 %</w:t>
      </w:r>
      <w:r>
        <w:rPr>
          <w:szCs w:val="22"/>
        </w:rPr>
        <w:t>、</w:t>
      </w:r>
      <w:r>
        <w:rPr>
          <w:szCs w:val="22"/>
        </w:rPr>
        <w:t>48.35 %</w:t>
      </w:r>
      <w:r>
        <w:rPr>
          <w:szCs w:val="22"/>
        </w:rPr>
        <w:t>、</w:t>
      </w:r>
      <w:r>
        <w:rPr>
          <w:szCs w:val="22"/>
        </w:rPr>
        <w:t>52.65 %</w:t>
      </w:r>
      <w:r>
        <w:rPr>
          <w:szCs w:val="22"/>
        </w:rPr>
        <w:t>、</w:t>
      </w:r>
      <w:r>
        <w:rPr>
          <w:szCs w:val="22"/>
        </w:rPr>
        <w:t>57.87 %</w:t>
      </w:r>
      <w:r>
        <w:rPr>
          <w:szCs w:val="22"/>
        </w:rPr>
        <w:t>、</w:t>
      </w:r>
      <w:r>
        <w:rPr>
          <w:szCs w:val="22"/>
        </w:rPr>
        <w:t>62.31 %</w:t>
      </w:r>
      <w:r>
        <w:rPr>
          <w:szCs w:val="22"/>
        </w:rPr>
        <w:t>的</w:t>
      </w:r>
      <w:r>
        <w:rPr>
          <w:szCs w:val="22"/>
        </w:rPr>
        <w:t>7</w:t>
      </w:r>
      <w:r>
        <w:rPr>
          <w:szCs w:val="22"/>
        </w:rPr>
        <w:t>种等能不等氮饲料饲喂</w:t>
      </w:r>
      <w:r>
        <w:rPr>
          <w:szCs w:val="22"/>
        </w:rPr>
        <w:t>60d</w:t>
      </w:r>
      <w:r>
        <w:rPr>
          <w:szCs w:val="22"/>
        </w:rPr>
        <w:t>。以生产性能、蛋白质保留率、生理生化指标等综合评价确定蛋白质的需求量。结果：</w:t>
      </w:r>
      <w:r>
        <w:rPr>
          <w:szCs w:val="22"/>
        </w:rPr>
        <w:t>1.</w:t>
      </w:r>
      <w:r>
        <w:rPr>
          <w:szCs w:val="22"/>
        </w:rPr>
        <w:t>随饲料蛋白质含量升高，饲料系数呈先降低后升高；增重率、特定生长率、蛋白保留率与蛋白质效率先升高后降低；饲料蛋白质含量</w:t>
      </w:r>
      <w:r>
        <w:rPr>
          <w:szCs w:val="22"/>
        </w:rPr>
        <w:t>57.</w:t>
      </w:r>
      <w:r>
        <w:rPr>
          <w:szCs w:val="22"/>
        </w:rPr>
        <w:t>87 %</w:t>
      </w:r>
      <w:r>
        <w:rPr>
          <w:szCs w:val="22"/>
        </w:rPr>
        <w:t>组获得最好的生长性能，</w:t>
      </w:r>
      <w:r>
        <w:rPr>
          <w:szCs w:val="22"/>
        </w:rPr>
        <w:t>52.65 %</w:t>
      </w:r>
      <w:r>
        <w:rPr>
          <w:szCs w:val="22"/>
        </w:rPr>
        <w:t>组蛋白质保留率最高。</w:t>
      </w:r>
      <w:r>
        <w:rPr>
          <w:szCs w:val="22"/>
        </w:rPr>
        <w:t>2.</w:t>
      </w:r>
      <w:r>
        <w:rPr>
          <w:szCs w:val="22"/>
        </w:rPr>
        <w:t>随饲料蛋白质含量升高，黄鳝血清中尿素氮含量升高，谷丙转氨酶和谷草转氨酶的活性先降低后保持稳定，总胆固醇、甘油三酯、高密度脂蛋白、低密度脂蛋白及血糖含量降低；丙二醛含量呈现先降低后升高的趋势，在</w:t>
      </w:r>
      <w:r>
        <w:rPr>
          <w:szCs w:val="22"/>
        </w:rPr>
        <w:t>52.65 %</w:t>
      </w:r>
      <w:r>
        <w:rPr>
          <w:szCs w:val="22"/>
        </w:rPr>
        <w:t>时最低。</w:t>
      </w:r>
      <w:r>
        <w:rPr>
          <w:szCs w:val="22"/>
        </w:rPr>
        <w:t>3.</w:t>
      </w:r>
      <w:r>
        <w:rPr>
          <w:szCs w:val="22"/>
        </w:rPr>
        <w:t>随饲料蛋白质含量升高，黄鳝肝胰脏、胃、肠蛋白酶活性</w:t>
      </w:r>
      <w:proofErr w:type="gramStart"/>
      <w:r>
        <w:rPr>
          <w:szCs w:val="22"/>
        </w:rPr>
        <w:t>先显著</w:t>
      </w:r>
      <w:proofErr w:type="gramEnd"/>
      <w:r>
        <w:rPr>
          <w:szCs w:val="22"/>
        </w:rPr>
        <w:t>上升后呈缓慢上升趋势；肝胰脏脂肪酶活性</w:t>
      </w:r>
      <w:proofErr w:type="gramStart"/>
      <w:r>
        <w:rPr>
          <w:szCs w:val="22"/>
        </w:rPr>
        <w:t>先显著</w:t>
      </w:r>
      <w:proofErr w:type="gramEnd"/>
      <w:r>
        <w:rPr>
          <w:szCs w:val="22"/>
        </w:rPr>
        <w:t>下降后呈缓慢下降趋势，胃、肠脂肪酶活性各试验组之间无显著性差异；胃淀粉酶活性无显著差异，肝胰脏、</w:t>
      </w:r>
      <w:proofErr w:type="gramStart"/>
      <w:r>
        <w:rPr>
          <w:szCs w:val="22"/>
        </w:rPr>
        <w:t>肠呈先显著</w:t>
      </w:r>
      <w:proofErr w:type="gramEnd"/>
      <w:r>
        <w:rPr>
          <w:szCs w:val="22"/>
        </w:rPr>
        <w:t>降低后缓慢下降的趋势</w:t>
      </w:r>
      <w:r>
        <w:rPr>
          <w:szCs w:val="22"/>
        </w:rPr>
        <w:t>。结论：当饲料蛋白质含量低时，黄鳝会加大摄食量满足蛋白质需求，在饲料蛋白质含量过高时，氧化应激增加，黄鳝通过降低摄食量减少蛋白质摄入。以增重率、饲料蛋白质效率、蛋白质保留率及饲料系数为指标回归分析幼</w:t>
      </w:r>
      <w:proofErr w:type="gramStart"/>
      <w:r>
        <w:rPr>
          <w:szCs w:val="22"/>
        </w:rPr>
        <w:t>鳝</w:t>
      </w:r>
      <w:proofErr w:type="gramEnd"/>
      <w:r>
        <w:rPr>
          <w:szCs w:val="22"/>
        </w:rPr>
        <w:t>对饲料蛋白质的适宜需求量为</w:t>
      </w:r>
      <w:r>
        <w:rPr>
          <w:szCs w:val="22"/>
        </w:rPr>
        <w:t>48.51 %—52.60 %</w:t>
      </w:r>
      <w:r>
        <w:rPr>
          <w:szCs w:val="22"/>
        </w:rPr>
        <w:t>。</w:t>
      </w:r>
    </w:p>
    <w:p w14:paraId="7ED1D1E3" w14:textId="77777777" w:rsidR="004F39F6" w:rsidRDefault="00731C67">
      <w:pPr>
        <w:rPr>
          <w:b/>
          <w:bCs/>
          <w:szCs w:val="22"/>
        </w:rPr>
      </w:pPr>
      <w:r>
        <w:rPr>
          <w:b/>
          <w:bCs/>
          <w:szCs w:val="22"/>
        </w:rPr>
        <w:t>关键词：</w:t>
      </w:r>
      <w:r>
        <w:rPr>
          <w:szCs w:val="22"/>
        </w:rPr>
        <w:t>黄鳝</w:t>
      </w:r>
      <w:r>
        <w:t>；</w:t>
      </w:r>
      <w:r>
        <w:rPr>
          <w:szCs w:val="22"/>
        </w:rPr>
        <w:t>蛋白质需求；蛋白质保留率；生理生化指标</w:t>
      </w:r>
    </w:p>
    <w:p w14:paraId="526DF99C" w14:textId="77777777" w:rsidR="004F39F6" w:rsidRDefault="00731C67">
      <w:pPr>
        <w:jc w:val="center"/>
        <w:rPr>
          <w:b/>
          <w:bCs/>
          <w:sz w:val="24"/>
        </w:rPr>
      </w:pPr>
      <w:r>
        <w:rPr>
          <w:b/>
          <w:bCs/>
          <w:sz w:val="24"/>
        </w:rPr>
        <w:t xml:space="preserve">Requirement level of dietary protein for </w:t>
      </w:r>
      <w:proofErr w:type="spellStart"/>
      <w:r>
        <w:rPr>
          <w:b/>
          <w:bCs/>
          <w:sz w:val="24"/>
        </w:rPr>
        <w:t>Monopterus</w:t>
      </w:r>
      <w:proofErr w:type="spellEnd"/>
      <w:r>
        <w:rPr>
          <w:b/>
          <w:bCs/>
          <w:sz w:val="24"/>
        </w:rPr>
        <w:t xml:space="preserve"> albus</w:t>
      </w:r>
    </w:p>
    <w:p w14:paraId="600DB128" w14:textId="77777777" w:rsidR="004F39F6" w:rsidRDefault="00731C67">
      <w:pPr>
        <w:jc w:val="center"/>
        <w:rPr>
          <w:szCs w:val="21"/>
        </w:rPr>
      </w:pPr>
      <w:r>
        <w:rPr>
          <w:szCs w:val="21"/>
        </w:rPr>
        <w:t xml:space="preserve">JIANG </w:t>
      </w:r>
      <w:proofErr w:type="spellStart"/>
      <w:r>
        <w:rPr>
          <w:szCs w:val="21"/>
        </w:rPr>
        <w:t>Wenhao</w:t>
      </w:r>
      <w:proofErr w:type="spellEnd"/>
      <w:r>
        <w:rPr>
          <w:szCs w:val="21"/>
        </w:rPr>
        <w:t xml:space="preserve"> YANG Xin ZHOU </w:t>
      </w:r>
      <w:proofErr w:type="spellStart"/>
      <w:r>
        <w:rPr>
          <w:szCs w:val="21"/>
        </w:rPr>
        <w:t>Qiubai</w:t>
      </w:r>
      <w:proofErr w:type="spellEnd"/>
      <w:r>
        <w:rPr>
          <w:szCs w:val="21"/>
        </w:rPr>
        <w:t xml:space="preserve">* </w:t>
      </w:r>
      <w:r>
        <w:rPr>
          <w:szCs w:val="21"/>
        </w:rPr>
        <w:t xml:space="preserve">WANG </w:t>
      </w:r>
      <w:proofErr w:type="spellStart"/>
      <w:r>
        <w:rPr>
          <w:szCs w:val="21"/>
        </w:rPr>
        <w:t>Zirui</w:t>
      </w:r>
      <w:proofErr w:type="spellEnd"/>
      <w:r>
        <w:rPr>
          <w:szCs w:val="21"/>
        </w:rPr>
        <w:t xml:space="preserve"> GAO Miao WANG Ying HU </w:t>
      </w:r>
      <w:proofErr w:type="spellStart"/>
      <w:proofErr w:type="gramStart"/>
      <w:r>
        <w:rPr>
          <w:szCs w:val="21"/>
        </w:rPr>
        <w:t>Zhonghua</w:t>
      </w:r>
      <w:proofErr w:type="spellEnd"/>
      <w:r>
        <w:rPr>
          <w:szCs w:val="21"/>
        </w:rPr>
        <w:t xml:space="preserve">  ZHANG</w:t>
      </w:r>
      <w:proofErr w:type="gramEnd"/>
      <w:r>
        <w:rPr>
          <w:szCs w:val="21"/>
        </w:rPr>
        <w:t xml:space="preserve"> </w:t>
      </w:r>
      <w:proofErr w:type="spellStart"/>
      <w:r>
        <w:rPr>
          <w:szCs w:val="21"/>
        </w:rPr>
        <w:t>Wenping</w:t>
      </w:r>
      <w:proofErr w:type="spellEnd"/>
    </w:p>
    <w:p w14:paraId="0852436C" w14:textId="77777777" w:rsidR="004F39F6" w:rsidRDefault="00731C67">
      <w:pPr>
        <w:jc w:val="center"/>
        <w:rPr>
          <w:i/>
          <w:iCs/>
          <w:szCs w:val="21"/>
        </w:rPr>
      </w:pPr>
      <w:r>
        <w:rPr>
          <w:i/>
          <w:iCs/>
          <w:szCs w:val="21"/>
        </w:rPr>
        <w:t xml:space="preserve">(College of Animal Science, Jiangxi Agricultural University, Nanchang </w:t>
      </w:r>
      <w:r>
        <w:rPr>
          <w:szCs w:val="21"/>
        </w:rPr>
        <w:t>330045</w:t>
      </w:r>
      <w:r>
        <w:rPr>
          <w:i/>
          <w:iCs/>
          <w:szCs w:val="21"/>
        </w:rPr>
        <w:t>, China)</w:t>
      </w:r>
    </w:p>
    <w:p w14:paraId="56F12B53" w14:textId="77777777" w:rsidR="004F39F6" w:rsidRDefault="00731C67">
      <w:pPr>
        <w:widowControl/>
        <w:rPr>
          <w:color w:val="000000"/>
          <w:kern w:val="0"/>
          <w:szCs w:val="21"/>
          <w:lang w:bidi="ar"/>
        </w:rPr>
      </w:pPr>
      <w:r>
        <w:rPr>
          <w:b/>
          <w:bCs/>
          <w:szCs w:val="21"/>
        </w:rPr>
        <w:t>Abstract</w:t>
      </w:r>
      <w:r>
        <w:rPr>
          <w:b/>
          <w:bCs/>
          <w:szCs w:val="21"/>
        </w:rPr>
        <w:t>：</w:t>
      </w:r>
      <w:r>
        <w:rPr>
          <w:szCs w:val="21"/>
        </w:rPr>
        <w:t xml:space="preserve">The study was aimed to determine the requirement level of </w:t>
      </w:r>
      <w:r>
        <w:rPr>
          <w:color w:val="000000"/>
          <w:kern w:val="0"/>
          <w:szCs w:val="21"/>
          <w:lang w:bidi="ar"/>
        </w:rPr>
        <w:t xml:space="preserve">dietary protein for </w:t>
      </w:r>
      <w:proofErr w:type="spellStart"/>
      <w:r>
        <w:rPr>
          <w:color w:val="000000"/>
          <w:kern w:val="0"/>
          <w:szCs w:val="21"/>
          <w:lang w:bidi="ar"/>
        </w:rPr>
        <w:t>ricefield</w:t>
      </w:r>
      <w:proofErr w:type="spellEnd"/>
      <w:r>
        <w:rPr>
          <w:color w:val="000000"/>
          <w:kern w:val="0"/>
          <w:szCs w:val="21"/>
          <w:lang w:bidi="ar"/>
        </w:rPr>
        <w:t xml:space="preserve"> eel (</w:t>
      </w:r>
      <w:proofErr w:type="spellStart"/>
      <w:r>
        <w:rPr>
          <w:i/>
          <w:iCs/>
          <w:color w:val="000000"/>
          <w:kern w:val="0"/>
          <w:szCs w:val="21"/>
          <w:lang w:bidi="ar"/>
        </w:rPr>
        <w:t>Monopterus</w:t>
      </w:r>
      <w:proofErr w:type="spellEnd"/>
      <w:r>
        <w:rPr>
          <w:i/>
          <w:iCs/>
          <w:color w:val="000000"/>
          <w:kern w:val="0"/>
          <w:szCs w:val="21"/>
          <w:lang w:bidi="ar"/>
        </w:rPr>
        <w:t xml:space="preserve"> a</w:t>
      </w:r>
      <w:r>
        <w:rPr>
          <w:i/>
          <w:iCs/>
          <w:color w:val="000000"/>
          <w:kern w:val="0"/>
          <w:szCs w:val="21"/>
          <w:lang w:bidi="ar"/>
        </w:rPr>
        <w:t>lbus</w:t>
      </w:r>
      <w:r>
        <w:rPr>
          <w:color w:val="000000"/>
          <w:kern w:val="0"/>
          <w:szCs w:val="21"/>
          <w:lang w:bidi="ar"/>
        </w:rPr>
        <w:t xml:space="preserve">). The experiment was divided into 7 groups, with 4 replicates in each group. Each replicate included 25 </w:t>
      </w:r>
      <w:proofErr w:type="spellStart"/>
      <w:r>
        <w:rPr>
          <w:color w:val="000000"/>
          <w:kern w:val="0"/>
          <w:szCs w:val="21"/>
          <w:lang w:bidi="ar"/>
        </w:rPr>
        <w:t>ricefield</w:t>
      </w:r>
      <w:proofErr w:type="spellEnd"/>
      <w:r>
        <w:rPr>
          <w:color w:val="000000"/>
          <w:kern w:val="0"/>
          <w:szCs w:val="21"/>
          <w:lang w:bidi="ar"/>
        </w:rPr>
        <w:t xml:space="preserve"> eels with an initial weight of (17.1±0.</w:t>
      </w:r>
      <w:proofErr w:type="gramStart"/>
      <w:r>
        <w:rPr>
          <w:color w:val="000000"/>
          <w:kern w:val="0"/>
          <w:szCs w:val="21"/>
          <w:lang w:bidi="ar"/>
        </w:rPr>
        <w:t>2)g.</w:t>
      </w:r>
      <w:proofErr w:type="gramEnd"/>
      <w:r>
        <w:rPr>
          <w:color w:val="000000"/>
          <w:kern w:val="0"/>
          <w:szCs w:val="21"/>
          <w:lang w:bidi="ar"/>
        </w:rPr>
        <w:t xml:space="preserve"> The </w:t>
      </w:r>
      <w:proofErr w:type="spellStart"/>
      <w:r>
        <w:rPr>
          <w:color w:val="000000"/>
          <w:kern w:val="0"/>
          <w:szCs w:val="21"/>
          <w:lang w:bidi="ar"/>
        </w:rPr>
        <w:t>ricefield</w:t>
      </w:r>
      <w:proofErr w:type="spellEnd"/>
      <w:r>
        <w:rPr>
          <w:color w:val="000000"/>
          <w:kern w:val="0"/>
          <w:szCs w:val="21"/>
          <w:lang w:bidi="ar"/>
        </w:rPr>
        <w:t xml:space="preserve"> eels </w:t>
      </w:r>
      <w:r>
        <w:rPr>
          <w:szCs w:val="21"/>
        </w:rPr>
        <w:t>were fed seven isoenergetic diets respectively for 60d containing differen</w:t>
      </w:r>
      <w:r>
        <w:rPr>
          <w:szCs w:val="21"/>
        </w:rPr>
        <w:t>t levels of crude protein (32.74 %, 38.50 %, 42.26 %, 48.35 %, 52.65 %, 57.87 % and 62.31 %) with fish meal and casein as the main protein source. Then the production performance, protein retention rate, physiological and biochemical indexes were evaluated</w:t>
      </w:r>
      <w:r>
        <w:rPr>
          <w:szCs w:val="21"/>
        </w:rPr>
        <w:t xml:space="preserve"> to determine the requirement level of dietary protein. The results show that 1) with the increase of feed protein level, the feed conversion ratio was decreased and then increased, bu</w:t>
      </w:r>
      <w:r>
        <w:rPr>
          <w:color w:val="000000"/>
          <w:kern w:val="0"/>
          <w:szCs w:val="21"/>
          <w:lang w:bidi="ar"/>
        </w:rPr>
        <w:t>t the weight gain rate, specific growth rate, protein efficiency ratio a</w:t>
      </w:r>
      <w:r>
        <w:rPr>
          <w:color w:val="000000"/>
          <w:kern w:val="0"/>
          <w:szCs w:val="21"/>
          <w:lang w:bidi="ar"/>
        </w:rPr>
        <w:t>nd protein retention rate increased first and then decreased. The growth performance was the highest in 57.87 % of dietary protein group, and the protein retention rate was the best in 52.65 % of dietary protein group. 2) with the increase of dietary prote</w:t>
      </w:r>
      <w:r>
        <w:rPr>
          <w:color w:val="000000"/>
          <w:kern w:val="0"/>
          <w:szCs w:val="21"/>
          <w:lang w:bidi="ar"/>
        </w:rPr>
        <w:t xml:space="preserve">in level, the BUN in </w:t>
      </w:r>
      <w:proofErr w:type="spellStart"/>
      <w:r>
        <w:rPr>
          <w:color w:val="000000"/>
          <w:kern w:val="0"/>
          <w:szCs w:val="21"/>
          <w:lang w:bidi="ar"/>
        </w:rPr>
        <w:t>ricefield</w:t>
      </w:r>
      <w:proofErr w:type="spellEnd"/>
      <w:r>
        <w:rPr>
          <w:color w:val="000000"/>
          <w:kern w:val="0"/>
          <w:szCs w:val="21"/>
          <w:lang w:bidi="ar"/>
        </w:rPr>
        <w:t xml:space="preserve"> eel serum increased, the activities of GPT and GOT in </w:t>
      </w:r>
      <w:proofErr w:type="spellStart"/>
      <w:r>
        <w:rPr>
          <w:color w:val="000000"/>
          <w:kern w:val="0"/>
          <w:szCs w:val="21"/>
          <w:lang w:bidi="ar"/>
        </w:rPr>
        <w:t>ricefield</w:t>
      </w:r>
      <w:proofErr w:type="spellEnd"/>
      <w:r>
        <w:rPr>
          <w:color w:val="000000"/>
          <w:kern w:val="0"/>
          <w:szCs w:val="21"/>
          <w:lang w:bidi="ar"/>
        </w:rPr>
        <w:t xml:space="preserve"> eel serum decreased and then remained unchanged, the contents of TC, TG, HDL-C, LDL-C and blood glucose decreased, and the MDA content in </w:t>
      </w:r>
      <w:proofErr w:type="spellStart"/>
      <w:r>
        <w:rPr>
          <w:color w:val="000000"/>
          <w:kern w:val="0"/>
          <w:szCs w:val="21"/>
          <w:lang w:bidi="ar"/>
        </w:rPr>
        <w:t>ricefield</w:t>
      </w:r>
      <w:proofErr w:type="spellEnd"/>
      <w:r>
        <w:rPr>
          <w:color w:val="000000"/>
          <w:kern w:val="0"/>
          <w:szCs w:val="21"/>
          <w:lang w:bidi="ar"/>
        </w:rPr>
        <w:t xml:space="preserve"> eel serum dec</w:t>
      </w:r>
      <w:r>
        <w:rPr>
          <w:color w:val="000000"/>
          <w:kern w:val="0"/>
          <w:szCs w:val="21"/>
          <w:lang w:bidi="ar"/>
        </w:rPr>
        <w:t xml:space="preserve">reased first and then increased, which was the lowest in 52.65 % of dietary protein level. 3) With the increase of dietary protein level, the protease activities in liver, stomach and intestine of </w:t>
      </w:r>
      <w:proofErr w:type="spellStart"/>
      <w:r>
        <w:rPr>
          <w:color w:val="000000"/>
          <w:kern w:val="0"/>
          <w:szCs w:val="21"/>
          <w:lang w:bidi="ar"/>
        </w:rPr>
        <w:t>ricefield</w:t>
      </w:r>
      <w:proofErr w:type="spellEnd"/>
      <w:r>
        <w:rPr>
          <w:color w:val="000000"/>
          <w:kern w:val="0"/>
          <w:szCs w:val="21"/>
          <w:lang w:bidi="ar"/>
        </w:rPr>
        <w:t xml:space="preserve"> eel increased significantly and then increased sl</w:t>
      </w:r>
      <w:r>
        <w:rPr>
          <w:color w:val="000000"/>
          <w:kern w:val="0"/>
          <w:szCs w:val="21"/>
          <w:lang w:bidi="ar"/>
        </w:rPr>
        <w:t>owly, the lipase activity in liver decreased significantly and then decreased slowly, the lipase activities in stomach and intestinal showed no significant difference, and the amylase activities showed no significant difference in stomach which decreased s</w:t>
      </w:r>
      <w:r>
        <w:rPr>
          <w:color w:val="000000"/>
          <w:kern w:val="0"/>
          <w:szCs w:val="21"/>
          <w:lang w:bidi="ar"/>
        </w:rPr>
        <w:t xml:space="preserve">ignificantly first and then decreased slowly in liver and intestinal. These results indicated that </w:t>
      </w:r>
      <w:proofErr w:type="spellStart"/>
      <w:r>
        <w:rPr>
          <w:color w:val="000000"/>
          <w:kern w:val="0"/>
          <w:szCs w:val="21"/>
          <w:lang w:bidi="ar"/>
        </w:rPr>
        <w:t>ricefield</w:t>
      </w:r>
      <w:proofErr w:type="spellEnd"/>
      <w:r>
        <w:rPr>
          <w:color w:val="000000"/>
          <w:kern w:val="0"/>
          <w:szCs w:val="21"/>
          <w:lang w:bidi="ar"/>
        </w:rPr>
        <w:t xml:space="preserve"> eels will increase the feeding to supplement the protein requirement with low level of dietary protein. While the level of dietary protein was too </w:t>
      </w:r>
      <w:r>
        <w:rPr>
          <w:color w:val="000000"/>
          <w:kern w:val="0"/>
          <w:szCs w:val="21"/>
          <w:lang w:bidi="ar"/>
        </w:rPr>
        <w:t xml:space="preserve">high, the oxidative stress increased, thus </w:t>
      </w:r>
      <w:proofErr w:type="spellStart"/>
      <w:r>
        <w:rPr>
          <w:color w:val="000000"/>
          <w:kern w:val="0"/>
          <w:szCs w:val="21"/>
          <w:lang w:bidi="ar"/>
        </w:rPr>
        <w:t>ricefield</w:t>
      </w:r>
      <w:proofErr w:type="spellEnd"/>
      <w:r>
        <w:rPr>
          <w:color w:val="000000"/>
          <w:kern w:val="0"/>
          <w:szCs w:val="21"/>
          <w:lang w:bidi="ar"/>
        </w:rPr>
        <w:t xml:space="preserve"> eels will reduce the protein intake by reducing food intake. With the regression analysis of weight gain rate, protein efficiency ratio, protein retention </w:t>
      </w:r>
      <w:r>
        <w:rPr>
          <w:color w:val="000000"/>
          <w:kern w:val="0"/>
          <w:szCs w:val="21"/>
          <w:lang w:bidi="ar"/>
        </w:rPr>
        <w:lastRenderedPageBreak/>
        <w:t xml:space="preserve">rate and feed conversion ratio, the appropriate </w:t>
      </w:r>
      <w:r>
        <w:rPr>
          <w:color w:val="000000"/>
          <w:kern w:val="0"/>
          <w:szCs w:val="21"/>
          <w:lang w:bidi="ar"/>
        </w:rPr>
        <w:t xml:space="preserve">requirement level of dietary protein for </w:t>
      </w:r>
      <w:proofErr w:type="spellStart"/>
      <w:r>
        <w:rPr>
          <w:color w:val="000000"/>
          <w:kern w:val="0"/>
          <w:szCs w:val="21"/>
          <w:lang w:bidi="ar"/>
        </w:rPr>
        <w:t>ricefield</w:t>
      </w:r>
      <w:proofErr w:type="spellEnd"/>
      <w:r>
        <w:rPr>
          <w:color w:val="000000"/>
          <w:kern w:val="0"/>
          <w:szCs w:val="21"/>
          <w:lang w:bidi="ar"/>
        </w:rPr>
        <w:t xml:space="preserve"> eels is 48.51 %—52.60 %</w:t>
      </w:r>
    </w:p>
    <w:p w14:paraId="7D17E59E" w14:textId="77777777" w:rsidR="004F39F6" w:rsidRDefault="00731C67">
      <w:pPr>
        <w:rPr>
          <w:color w:val="000000"/>
          <w:kern w:val="0"/>
          <w:szCs w:val="21"/>
          <w:lang w:bidi="ar"/>
        </w:rPr>
      </w:pPr>
      <w:r>
        <w:rPr>
          <w:b/>
          <w:bCs/>
          <w:szCs w:val="21"/>
        </w:rPr>
        <w:t>Key words</w:t>
      </w:r>
      <w:r>
        <w:rPr>
          <w:b/>
          <w:bCs/>
          <w:szCs w:val="21"/>
        </w:rPr>
        <w:t>：</w:t>
      </w:r>
      <w:proofErr w:type="spellStart"/>
      <w:r>
        <w:rPr>
          <w:szCs w:val="21"/>
        </w:rPr>
        <w:t>Ricefield</w:t>
      </w:r>
      <w:proofErr w:type="spellEnd"/>
      <w:r>
        <w:rPr>
          <w:szCs w:val="21"/>
        </w:rPr>
        <w:t xml:space="preserve"> eel (</w:t>
      </w:r>
      <w:proofErr w:type="spellStart"/>
      <w:r>
        <w:rPr>
          <w:i/>
          <w:iCs/>
          <w:szCs w:val="21"/>
        </w:rPr>
        <w:t>Monopterus</w:t>
      </w:r>
      <w:proofErr w:type="spellEnd"/>
      <w:r>
        <w:rPr>
          <w:i/>
          <w:iCs/>
          <w:szCs w:val="21"/>
        </w:rPr>
        <w:t xml:space="preserve"> albus</w:t>
      </w:r>
      <w:r>
        <w:rPr>
          <w:szCs w:val="21"/>
        </w:rPr>
        <w:t>); Protein requirement; Protein retention rate; Physiological and biochemical indexes</w:t>
      </w:r>
    </w:p>
    <w:p w14:paraId="18D0CFC5" w14:textId="77777777" w:rsidR="004F39F6" w:rsidRDefault="004F39F6">
      <w:pPr>
        <w:jc w:val="center"/>
      </w:pPr>
    </w:p>
    <w:p w14:paraId="1DBF654D" w14:textId="77777777" w:rsidR="004F39F6" w:rsidRDefault="00731C67">
      <w:pPr>
        <w:spacing w:line="360" w:lineRule="auto"/>
        <w:ind w:firstLineChars="200" w:firstLine="480"/>
        <w:rPr>
          <w:sz w:val="24"/>
        </w:rPr>
      </w:pPr>
      <w:r>
        <w:rPr>
          <w:sz w:val="24"/>
        </w:rPr>
        <w:t>黄鳝</w:t>
      </w:r>
      <w:r>
        <w:rPr>
          <w:sz w:val="24"/>
        </w:rPr>
        <w:t>(</w:t>
      </w:r>
      <w:proofErr w:type="spellStart"/>
      <w:r>
        <w:rPr>
          <w:i/>
          <w:iCs/>
          <w:sz w:val="24"/>
        </w:rPr>
        <w:t>Monopterus</w:t>
      </w:r>
      <w:proofErr w:type="spellEnd"/>
      <w:r>
        <w:rPr>
          <w:i/>
          <w:iCs/>
          <w:sz w:val="24"/>
        </w:rPr>
        <w:t xml:space="preserve"> albus</w:t>
      </w:r>
      <w:r>
        <w:rPr>
          <w:sz w:val="24"/>
        </w:rPr>
        <w:t>)</w:t>
      </w:r>
      <w:r>
        <w:rPr>
          <w:sz w:val="24"/>
        </w:rPr>
        <w:t>，俗称鳝鱼，属于硬骨鱼纲、合鳃目、合鳃科、黄鳝属，又名鳝鱼、长鱼、田鳗、无鳞公子等。黄鳝肉质细嫩，无肌间刺，具有很高的营养和药用价值</w:t>
      </w:r>
      <w:r>
        <w:rPr>
          <w:sz w:val="24"/>
          <w:vertAlign w:val="superscript"/>
        </w:rPr>
        <w:t>[1]</w:t>
      </w:r>
      <w:r>
        <w:rPr>
          <w:sz w:val="24"/>
        </w:rPr>
        <w:t>。随着野生黄鳝资源减少，主要靠养殖黄鳝满足市场需求，国内</w:t>
      </w:r>
      <w:r>
        <w:rPr>
          <w:sz w:val="24"/>
        </w:rPr>
        <w:t>2018</w:t>
      </w:r>
      <w:r>
        <w:rPr>
          <w:sz w:val="24"/>
        </w:rPr>
        <w:t>年黄鳝养殖产量达</w:t>
      </w:r>
      <w:r>
        <w:rPr>
          <w:sz w:val="24"/>
        </w:rPr>
        <w:t>31.9</w:t>
      </w:r>
      <w:r>
        <w:rPr>
          <w:sz w:val="24"/>
        </w:rPr>
        <w:t>万吨</w:t>
      </w:r>
      <w:r>
        <w:rPr>
          <w:sz w:val="24"/>
          <w:vertAlign w:val="superscript"/>
        </w:rPr>
        <w:t>[2]</w:t>
      </w:r>
      <w:r>
        <w:rPr>
          <w:sz w:val="24"/>
        </w:rPr>
        <w:t>。蛋白质作为动物核心营养成分，是细胞、组织和机体的重要组成部分，除为鱼体生长提供必需氨基酸外，同时还可作为鱼类生命活动的能量来源，是决定鱼类生长和发育的关键因素之一</w:t>
      </w:r>
      <w:r>
        <w:rPr>
          <w:sz w:val="24"/>
          <w:vertAlign w:val="superscript"/>
        </w:rPr>
        <w:t>[3]</w:t>
      </w:r>
      <w:r>
        <w:rPr>
          <w:sz w:val="24"/>
        </w:rPr>
        <w:t>。鱼类必须从外界摄入充足的蛋白质，以维持正常的生命活动。目前关于鱼类的蛋白质需求量已有大量研究，大多数鱼类</w:t>
      </w:r>
      <w:r>
        <w:rPr>
          <w:sz w:val="24"/>
        </w:rPr>
        <w:t>生长适宜的饲料蛋白质含量在</w:t>
      </w:r>
      <w:r>
        <w:rPr>
          <w:sz w:val="24"/>
        </w:rPr>
        <w:t>30 %—50 %</w:t>
      </w:r>
      <w:r>
        <w:rPr>
          <w:sz w:val="24"/>
        </w:rPr>
        <w:t>之间</w:t>
      </w:r>
      <w:r>
        <w:rPr>
          <w:sz w:val="24"/>
          <w:vertAlign w:val="superscript"/>
        </w:rPr>
        <w:t>[4]</w:t>
      </w:r>
      <w:r>
        <w:rPr>
          <w:sz w:val="24"/>
        </w:rPr>
        <w:t>。关于黄鳝蛋白质需求量研究较少，杨代勤</w:t>
      </w:r>
      <w:r>
        <w:rPr>
          <w:sz w:val="24"/>
          <w:vertAlign w:val="superscript"/>
        </w:rPr>
        <w:t>[5]</w:t>
      </w:r>
      <w:r>
        <w:rPr>
          <w:sz w:val="24"/>
        </w:rPr>
        <w:t>及闫建林等</w:t>
      </w:r>
      <w:r>
        <w:rPr>
          <w:sz w:val="24"/>
          <w:vertAlign w:val="superscript"/>
        </w:rPr>
        <w:t>[6]</w:t>
      </w:r>
      <w:r>
        <w:rPr>
          <w:sz w:val="24"/>
        </w:rPr>
        <w:t>曾对</w:t>
      </w:r>
      <w:r>
        <w:rPr>
          <w:sz w:val="24"/>
        </w:rPr>
        <w:t>24—75g</w:t>
      </w:r>
      <w:r>
        <w:rPr>
          <w:sz w:val="24"/>
        </w:rPr>
        <w:t>的黄鳝蛋白质需求量进行了研究，研究结果分别为</w:t>
      </w:r>
      <w:r>
        <w:rPr>
          <w:sz w:val="24"/>
        </w:rPr>
        <w:t>35.7 %</w:t>
      </w:r>
      <w:r>
        <w:rPr>
          <w:sz w:val="24"/>
        </w:rPr>
        <w:t>及</w:t>
      </w:r>
      <w:r>
        <w:rPr>
          <w:sz w:val="24"/>
        </w:rPr>
        <w:t>45 %</w:t>
      </w:r>
      <w:r>
        <w:rPr>
          <w:sz w:val="24"/>
        </w:rPr>
        <w:t>，有着较大的差异。通过对黄鳝饲料市场调查发现效果较好的饲料蛋白质含量大多在</w:t>
      </w:r>
      <w:r>
        <w:rPr>
          <w:sz w:val="24"/>
        </w:rPr>
        <w:t>40 %—50 %</w:t>
      </w:r>
      <w:r>
        <w:rPr>
          <w:sz w:val="24"/>
          <w:vertAlign w:val="superscript"/>
        </w:rPr>
        <w:t>[7]</w:t>
      </w:r>
      <w:r>
        <w:rPr>
          <w:sz w:val="24"/>
        </w:rPr>
        <w:t>，同时均添加冰鲜鱼进行投喂。目前黄鳝饲养主要依靠黄鳝配合饲料与冰鲜鱼</w:t>
      </w:r>
      <w:proofErr w:type="gramStart"/>
      <w:r>
        <w:rPr>
          <w:sz w:val="24"/>
        </w:rPr>
        <w:t>糜</w:t>
      </w:r>
      <w:proofErr w:type="gramEnd"/>
      <w:r>
        <w:rPr>
          <w:sz w:val="24"/>
        </w:rPr>
        <w:t>搅拌投喂来满足黄鳝生长需要，至今还没有完全投喂黄鳝配合饲料进行养殖。同为底</w:t>
      </w:r>
      <w:proofErr w:type="gramStart"/>
      <w:r>
        <w:rPr>
          <w:sz w:val="24"/>
        </w:rPr>
        <w:t>栖</w:t>
      </w:r>
      <w:proofErr w:type="gramEnd"/>
      <w:r>
        <w:rPr>
          <w:sz w:val="24"/>
        </w:rPr>
        <w:t>鱼类的鳗鲡，其体型、食性及生活习性与黄鳝相似，国外对其有较多的研究，如</w:t>
      </w:r>
      <w:r>
        <w:rPr>
          <w:sz w:val="24"/>
        </w:rPr>
        <w:t>S</w:t>
      </w:r>
      <w:r>
        <w:rPr>
          <w:sz w:val="24"/>
        </w:rPr>
        <w:t>M Tibbetts</w:t>
      </w:r>
      <w:r>
        <w:rPr>
          <w:sz w:val="24"/>
        </w:rPr>
        <w:t>研究结果，</w:t>
      </w:r>
      <w:proofErr w:type="gramStart"/>
      <w:r>
        <w:rPr>
          <w:sz w:val="24"/>
        </w:rPr>
        <w:t>幼鳗所需</w:t>
      </w:r>
      <w:proofErr w:type="gramEnd"/>
      <w:r>
        <w:rPr>
          <w:sz w:val="24"/>
        </w:rPr>
        <w:t>蛋白质含量为</w:t>
      </w:r>
      <w:r>
        <w:rPr>
          <w:sz w:val="24"/>
        </w:rPr>
        <w:t>47 %</w:t>
      </w:r>
      <w:r>
        <w:rPr>
          <w:sz w:val="24"/>
          <w:vertAlign w:val="superscript"/>
        </w:rPr>
        <w:t>[8]</w:t>
      </w:r>
      <w:r>
        <w:rPr>
          <w:sz w:val="24"/>
        </w:rPr>
        <w:t>，</w:t>
      </w:r>
      <w:r>
        <w:rPr>
          <w:sz w:val="24"/>
        </w:rPr>
        <w:t>Nose</w:t>
      </w:r>
      <w:r>
        <w:rPr>
          <w:sz w:val="24"/>
        </w:rPr>
        <w:t>研究结果鳗鲡的蛋白需求为</w:t>
      </w:r>
      <w:r>
        <w:rPr>
          <w:sz w:val="24"/>
        </w:rPr>
        <w:t>45 %</w:t>
      </w:r>
      <w:r>
        <w:rPr>
          <w:sz w:val="24"/>
          <w:vertAlign w:val="superscript"/>
        </w:rPr>
        <w:t>[9]</w:t>
      </w:r>
      <w:r>
        <w:rPr>
          <w:sz w:val="24"/>
        </w:rPr>
        <w:t>。不同鱼类对饲料蛋白质含量需求不同，饲料蛋白质含量过低，不满足鱼体需要，会影响鱼体生长，饲料蛋白质含量过高，不仅会增加养殖成本，还会加大鱼体的氮代谢负担，造成蛋白质的浪费</w:t>
      </w:r>
      <w:r>
        <w:rPr>
          <w:sz w:val="24"/>
          <w:vertAlign w:val="superscript"/>
        </w:rPr>
        <w:t>[10]</w:t>
      </w:r>
      <w:r>
        <w:rPr>
          <w:sz w:val="24"/>
        </w:rPr>
        <w:t>，增加氮排泄，形成水体富营养化。推测黄鳝是一种典型的肉食性鱼类，可能对碳水化合物利用能力有限，蛋白质需求量高。黄鳝饲料需求量也越来越大，特别是随着鱼类资源衰退，投喂冰鲜鱼类的养殖方式已不能满足黄鳝产业需求，开发全价黄鳝配合</w:t>
      </w:r>
      <w:r>
        <w:rPr>
          <w:sz w:val="24"/>
        </w:rPr>
        <w:t>饲料势在必行。本试验通过比较不同饲料蛋白质含量对黄鳝生长性能、蛋白质保留率、消化能力及生理生化指标等的影响，综合评价确定黄鳝饲料适宜蛋白质含量，为黄鳝配合饲料的开发提供参考数据。</w:t>
      </w:r>
    </w:p>
    <w:p w14:paraId="529DFF4E" w14:textId="77777777" w:rsidR="004F39F6" w:rsidRDefault="00731C67">
      <w:pPr>
        <w:spacing w:line="360" w:lineRule="auto"/>
        <w:rPr>
          <w:sz w:val="24"/>
          <w:szCs w:val="22"/>
        </w:rPr>
      </w:pPr>
      <w:r>
        <w:rPr>
          <w:sz w:val="24"/>
          <w:szCs w:val="22"/>
        </w:rPr>
        <w:t xml:space="preserve">1  </w:t>
      </w:r>
      <w:r>
        <w:rPr>
          <w:sz w:val="24"/>
          <w:szCs w:val="22"/>
        </w:rPr>
        <w:t>材料方法</w:t>
      </w:r>
      <w:r>
        <w:rPr>
          <w:sz w:val="24"/>
          <w:szCs w:val="22"/>
        </w:rPr>
        <w:t xml:space="preserve"> </w:t>
      </w:r>
    </w:p>
    <w:p w14:paraId="1258465B" w14:textId="77777777" w:rsidR="004F39F6" w:rsidRDefault="00731C67">
      <w:pPr>
        <w:spacing w:line="360" w:lineRule="auto"/>
        <w:rPr>
          <w:sz w:val="24"/>
          <w:szCs w:val="22"/>
        </w:rPr>
      </w:pPr>
      <w:r>
        <w:rPr>
          <w:sz w:val="24"/>
          <w:szCs w:val="22"/>
        </w:rPr>
        <w:t xml:space="preserve">1.1  </w:t>
      </w:r>
      <w:r>
        <w:rPr>
          <w:sz w:val="24"/>
          <w:szCs w:val="22"/>
        </w:rPr>
        <w:t>试验饲料配方及制作</w:t>
      </w:r>
    </w:p>
    <w:p w14:paraId="5F8FBD90" w14:textId="77777777" w:rsidR="004F39F6" w:rsidRDefault="00731C67">
      <w:pPr>
        <w:spacing w:line="360" w:lineRule="auto"/>
        <w:ind w:firstLineChars="200" w:firstLine="480"/>
        <w:rPr>
          <w:sz w:val="24"/>
        </w:rPr>
      </w:pPr>
      <w:r>
        <w:rPr>
          <w:sz w:val="24"/>
        </w:rPr>
        <w:t>试验饲料所需原料采购于南昌</w:t>
      </w:r>
      <w:proofErr w:type="gramStart"/>
      <w:r>
        <w:rPr>
          <w:sz w:val="24"/>
        </w:rPr>
        <w:t>大佑农生物</w:t>
      </w:r>
      <w:proofErr w:type="gramEnd"/>
      <w:r>
        <w:rPr>
          <w:sz w:val="24"/>
        </w:rPr>
        <w:t>科技有限公司。以鱼粉和酪蛋白为主要蛋白源，配制蛋白质含量分别为</w:t>
      </w:r>
      <w:r>
        <w:rPr>
          <w:sz w:val="24"/>
        </w:rPr>
        <w:t>32.74 %</w:t>
      </w:r>
      <w:r>
        <w:rPr>
          <w:sz w:val="24"/>
        </w:rPr>
        <w:t>、</w:t>
      </w:r>
      <w:r>
        <w:rPr>
          <w:sz w:val="24"/>
        </w:rPr>
        <w:t>38.50 %</w:t>
      </w:r>
      <w:r>
        <w:rPr>
          <w:sz w:val="24"/>
        </w:rPr>
        <w:t>、</w:t>
      </w:r>
      <w:r>
        <w:rPr>
          <w:sz w:val="24"/>
        </w:rPr>
        <w:t>42.26 %</w:t>
      </w:r>
      <w:r>
        <w:rPr>
          <w:sz w:val="24"/>
        </w:rPr>
        <w:t>、</w:t>
      </w:r>
      <w:r>
        <w:rPr>
          <w:sz w:val="24"/>
        </w:rPr>
        <w:t>48.35 %</w:t>
      </w:r>
      <w:r>
        <w:rPr>
          <w:sz w:val="24"/>
        </w:rPr>
        <w:t>、</w:t>
      </w:r>
      <w:r>
        <w:rPr>
          <w:sz w:val="24"/>
        </w:rPr>
        <w:t>52.65 %</w:t>
      </w:r>
      <w:r>
        <w:rPr>
          <w:sz w:val="24"/>
        </w:rPr>
        <w:t>、</w:t>
      </w:r>
      <w:r>
        <w:rPr>
          <w:sz w:val="24"/>
        </w:rPr>
        <w:t>57.87 %</w:t>
      </w:r>
      <w:r>
        <w:rPr>
          <w:sz w:val="24"/>
        </w:rPr>
        <w:t>、</w:t>
      </w:r>
      <w:r>
        <w:rPr>
          <w:sz w:val="24"/>
        </w:rPr>
        <w:t>62.31 %(</w:t>
      </w:r>
      <w:r>
        <w:rPr>
          <w:sz w:val="24"/>
        </w:rPr>
        <w:t>干物质</w:t>
      </w:r>
      <w:r>
        <w:rPr>
          <w:sz w:val="24"/>
        </w:rPr>
        <w:t>)</w:t>
      </w:r>
      <w:r>
        <w:rPr>
          <w:sz w:val="24"/>
        </w:rPr>
        <w:t>、的</w:t>
      </w:r>
      <w:r>
        <w:rPr>
          <w:sz w:val="24"/>
        </w:rPr>
        <w:t>7</w:t>
      </w:r>
      <w:r>
        <w:rPr>
          <w:sz w:val="24"/>
        </w:rPr>
        <w:t>种等能不等氮饲料（</w:t>
      </w:r>
      <w:r>
        <w:rPr>
          <w:sz w:val="24"/>
        </w:rPr>
        <w:t>T1</w:t>
      </w:r>
      <w:r>
        <w:rPr>
          <w:sz w:val="24"/>
        </w:rPr>
        <w:t>、</w:t>
      </w:r>
      <w:r>
        <w:rPr>
          <w:sz w:val="24"/>
        </w:rPr>
        <w:t>T2</w:t>
      </w:r>
      <w:r>
        <w:rPr>
          <w:sz w:val="24"/>
        </w:rPr>
        <w:t>、</w:t>
      </w:r>
      <w:r>
        <w:rPr>
          <w:sz w:val="24"/>
        </w:rPr>
        <w:t>T3</w:t>
      </w:r>
      <w:r>
        <w:rPr>
          <w:sz w:val="24"/>
        </w:rPr>
        <w:t>、</w:t>
      </w:r>
      <w:r>
        <w:rPr>
          <w:sz w:val="24"/>
        </w:rPr>
        <w:t>T4</w:t>
      </w:r>
      <w:r>
        <w:rPr>
          <w:sz w:val="24"/>
        </w:rPr>
        <w:t>、</w:t>
      </w:r>
      <w:r>
        <w:rPr>
          <w:sz w:val="24"/>
        </w:rPr>
        <w:t>T5</w:t>
      </w:r>
      <w:r>
        <w:rPr>
          <w:sz w:val="24"/>
        </w:rPr>
        <w:t>、</w:t>
      </w:r>
      <w:r>
        <w:rPr>
          <w:sz w:val="24"/>
        </w:rPr>
        <w:t>T6</w:t>
      </w:r>
      <w:r>
        <w:rPr>
          <w:sz w:val="24"/>
        </w:rPr>
        <w:t>、</w:t>
      </w:r>
      <w:r>
        <w:rPr>
          <w:sz w:val="24"/>
        </w:rPr>
        <w:t>T7</w:t>
      </w:r>
      <w:r>
        <w:rPr>
          <w:sz w:val="24"/>
        </w:rPr>
        <w:t>）</w:t>
      </w:r>
      <w:r>
        <w:rPr>
          <w:sz w:val="24"/>
        </w:rPr>
        <w:t>。试验料制作</w:t>
      </w:r>
      <w:r>
        <w:rPr>
          <w:sz w:val="24"/>
        </w:rPr>
        <w:lastRenderedPageBreak/>
        <w:t>时，先将原料粉碎，过</w:t>
      </w:r>
      <w:r>
        <w:rPr>
          <w:sz w:val="24"/>
        </w:rPr>
        <w:t>80</w:t>
      </w:r>
      <w:r>
        <w:rPr>
          <w:sz w:val="24"/>
        </w:rPr>
        <w:t>目筛</w:t>
      </w:r>
      <w:r>
        <w:rPr>
          <w:sz w:val="24"/>
          <w:vertAlign w:val="superscript"/>
        </w:rPr>
        <w:t>[11]</w:t>
      </w:r>
      <w:r>
        <w:rPr>
          <w:sz w:val="24"/>
        </w:rPr>
        <w:t>，根据比例称量原料并搅拌混合均匀，加入适量的水搅拌均匀，经制膨化</w:t>
      </w:r>
      <w:proofErr w:type="gramStart"/>
      <w:r>
        <w:rPr>
          <w:sz w:val="24"/>
        </w:rPr>
        <w:t>饲料机</w:t>
      </w:r>
      <w:proofErr w:type="gramEnd"/>
      <w:r>
        <w:rPr>
          <w:sz w:val="24"/>
        </w:rPr>
        <w:t>加工制粒，自然晾干后保存于阴凉干燥处备用。试验饲料的原料组成及营养成分见表</w:t>
      </w:r>
      <w:r>
        <w:rPr>
          <w:sz w:val="24"/>
        </w:rPr>
        <w:t>1</w:t>
      </w:r>
      <w:r>
        <w:rPr>
          <w:sz w:val="24"/>
        </w:rPr>
        <w:t>。</w:t>
      </w:r>
    </w:p>
    <w:p w14:paraId="28683978" w14:textId="77777777" w:rsidR="004F39F6" w:rsidRDefault="00731C67">
      <w:pPr>
        <w:widowControl/>
        <w:jc w:val="center"/>
      </w:pPr>
      <w:r>
        <w:rPr>
          <w:noProof/>
        </w:rPr>
        <w:drawing>
          <wp:inline distT="0" distB="0" distL="0" distR="0" wp14:anchorId="5C366BD9" wp14:editId="2ED459FF">
            <wp:extent cx="3959860" cy="3689985"/>
            <wp:effectExtent l="0" t="0" r="254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2"/>
                    <a:stretch>
                      <a:fillRect/>
                    </a:stretch>
                  </pic:blipFill>
                  <pic:spPr>
                    <a:xfrm>
                      <a:off x="0" y="0"/>
                      <a:ext cx="3971570" cy="3701089"/>
                    </a:xfrm>
                    <a:prstGeom prst="rect">
                      <a:avLst/>
                    </a:prstGeom>
                  </pic:spPr>
                </pic:pic>
              </a:graphicData>
            </a:graphic>
          </wp:inline>
        </w:drawing>
      </w:r>
    </w:p>
    <w:p w14:paraId="4171899C" w14:textId="77777777" w:rsidR="004F39F6" w:rsidRDefault="00731C67">
      <w:pPr>
        <w:widowControl/>
        <w:jc w:val="center"/>
      </w:pPr>
      <w:r>
        <w:rPr>
          <w:noProof/>
        </w:rPr>
        <w:drawing>
          <wp:inline distT="0" distB="0" distL="0" distR="0" wp14:anchorId="238D5046" wp14:editId="7F4D4F96">
            <wp:extent cx="4164330" cy="2192655"/>
            <wp:effectExtent l="0" t="0" r="762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3"/>
                    <a:stretch>
                      <a:fillRect/>
                    </a:stretch>
                  </pic:blipFill>
                  <pic:spPr>
                    <a:xfrm>
                      <a:off x="0" y="0"/>
                      <a:ext cx="4174351" cy="2198054"/>
                    </a:xfrm>
                    <a:prstGeom prst="rect">
                      <a:avLst/>
                    </a:prstGeom>
                  </pic:spPr>
                </pic:pic>
              </a:graphicData>
            </a:graphic>
          </wp:inline>
        </w:drawing>
      </w:r>
    </w:p>
    <w:p w14:paraId="3BB8F76B" w14:textId="77777777" w:rsidR="004F39F6" w:rsidRDefault="00731C67">
      <w:pPr>
        <w:spacing w:line="360" w:lineRule="auto"/>
        <w:rPr>
          <w:sz w:val="24"/>
          <w:szCs w:val="22"/>
        </w:rPr>
      </w:pPr>
      <w:r>
        <w:rPr>
          <w:sz w:val="24"/>
          <w:szCs w:val="22"/>
        </w:rPr>
        <w:t xml:space="preserve">1.2  </w:t>
      </w:r>
      <w:r>
        <w:rPr>
          <w:sz w:val="24"/>
          <w:szCs w:val="22"/>
        </w:rPr>
        <w:t>试验鱼及饲养管理</w:t>
      </w:r>
    </w:p>
    <w:p w14:paraId="41F8A43B" w14:textId="77777777" w:rsidR="004F39F6" w:rsidRDefault="00731C67">
      <w:pPr>
        <w:spacing w:line="360" w:lineRule="auto"/>
        <w:ind w:firstLineChars="200" w:firstLine="480"/>
        <w:rPr>
          <w:sz w:val="24"/>
        </w:rPr>
      </w:pPr>
      <w:r>
        <w:rPr>
          <w:sz w:val="24"/>
        </w:rPr>
        <w:t>试验所用黄鳝为鄱阳湖野生黄鳝，黄鳝置于养殖箱中暂养、驯食，直至黄鳝正常摄食配合饲料。完成</w:t>
      </w:r>
      <w:proofErr w:type="gramStart"/>
      <w:r>
        <w:rPr>
          <w:sz w:val="24"/>
        </w:rPr>
        <w:t>驯</w:t>
      </w:r>
      <w:proofErr w:type="gramEnd"/>
      <w:r>
        <w:rPr>
          <w:sz w:val="24"/>
        </w:rPr>
        <w:t>食后，选择活力好的平均体重为（</w:t>
      </w:r>
      <w:r>
        <w:rPr>
          <w:sz w:val="24"/>
        </w:rPr>
        <w:t>17.1±0.2</w:t>
      </w:r>
      <w:r>
        <w:rPr>
          <w:sz w:val="24"/>
        </w:rPr>
        <w:t>）</w:t>
      </w:r>
      <w:r>
        <w:rPr>
          <w:sz w:val="24"/>
        </w:rPr>
        <w:t>g/</w:t>
      </w:r>
      <w:r>
        <w:rPr>
          <w:sz w:val="24"/>
        </w:rPr>
        <w:t>尾幼</w:t>
      </w:r>
      <w:proofErr w:type="gramStart"/>
      <w:r>
        <w:rPr>
          <w:sz w:val="24"/>
        </w:rPr>
        <w:t>鳝</w:t>
      </w:r>
      <w:proofErr w:type="gramEnd"/>
      <w:r>
        <w:rPr>
          <w:sz w:val="24"/>
        </w:rPr>
        <w:t>，共计</w:t>
      </w:r>
      <w:r>
        <w:rPr>
          <w:sz w:val="24"/>
        </w:rPr>
        <w:t>700</w:t>
      </w:r>
      <w:r>
        <w:rPr>
          <w:sz w:val="24"/>
        </w:rPr>
        <w:t>尾作为试验用鱼。然后将黄鳝随机分</w:t>
      </w:r>
      <w:r>
        <w:rPr>
          <w:sz w:val="24"/>
        </w:rPr>
        <w:t>7</w:t>
      </w:r>
      <w:r>
        <w:rPr>
          <w:sz w:val="24"/>
        </w:rPr>
        <w:t>组，每组</w:t>
      </w:r>
      <w:r>
        <w:rPr>
          <w:sz w:val="24"/>
        </w:rPr>
        <w:t>4</w:t>
      </w:r>
      <w:r>
        <w:rPr>
          <w:sz w:val="24"/>
        </w:rPr>
        <w:t>个重复，每个重复</w:t>
      </w:r>
      <w:r>
        <w:rPr>
          <w:sz w:val="24"/>
        </w:rPr>
        <w:t>25</w:t>
      </w:r>
      <w:r>
        <w:rPr>
          <w:sz w:val="24"/>
        </w:rPr>
        <w:t>尾，共</w:t>
      </w:r>
      <w:r>
        <w:rPr>
          <w:sz w:val="24"/>
        </w:rPr>
        <w:t>28</w:t>
      </w:r>
      <w:r>
        <w:rPr>
          <w:sz w:val="24"/>
        </w:rPr>
        <w:t>个养殖箱中，养殖箱容积为</w:t>
      </w:r>
      <w:r>
        <w:rPr>
          <w:sz w:val="24"/>
        </w:rPr>
        <w:t>300L</w:t>
      </w:r>
      <w:r>
        <w:rPr>
          <w:sz w:val="24"/>
        </w:rPr>
        <w:t>。</w:t>
      </w:r>
    </w:p>
    <w:p w14:paraId="7AC13589" w14:textId="77777777" w:rsidR="004F39F6" w:rsidRDefault="00731C67">
      <w:pPr>
        <w:spacing w:line="360" w:lineRule="auto"/>
        <w:ind w:firstLineChars="200" w:firstLine="480"/>
        <w:rPr>
          <w:sz w:val="24"/>
        </w:rPr>
      </w:pPr>
      <w:r>
        <w:rPr>
          <w:sz w:val="24"/>
        </w:rPr>
        <w:t>养殖试验在江西农业大学水产养殖基地进行，养殖用水为经过曝气的自来水，养殖箱</w:t>
      </w:r>
      <w:r>
        <w:rPr>
          <w:sz w:val="24"/>
        </w:rPr>
        <w:lastRenderedPageBreak/>
        <w:t>中连续充气，试验期间根据水质情况进行换水，保持氧气充足，水质良好。试验期间保持养殖水中溶氧量大于</w:t>
      </w:r>
      <w:r>
        <w:rPr>
          <w:sz w:val="24"/>
        </w:rPr>
        <w:t>4 mg/L</w:t>
      </w:r>
      <w:r>
        <w:rPr>
          <w:sz w:val="24"/>
        </w:rPr>
        <w:t>，氨氮小于</w:t>
      </w:r>
      <w:r>
        <w:rPr>
          <w:sz w:val="24"/>
        </w:rPr>
        <w:t>0.2 mg/L</w:t>
      </w:r>
      <w:r>
        <w:rPr>
          <w:sz w:val="24"/>
        </w:rPr>
        <w:t>，</w:t>
      </w:r>
      <w:r>
        <w:rPr>
          <w:sz w:val="24"/>
        </w:rPr>
        <w:t>pH</w:t>
      </w:r>
      <w:r>
        <w:rPr>
          <w:sz w:val="24"/>
        </w:rPr>
        <w:t>在</w:t>
      </w:r>
      <w:r>
        <w:rPr>
          <w:sz w:val="24"/>
        </w:rPr>
        <w:t>7.1—7.4</w:t>
      </w:r>
      <w:r>
        <w:rPr>
          <w:sz w:val="24"/>
        </w:rPr>
        <w:t>之间，水温为自然水温</w:t>
      </w:r>
      <w:r>
        <w:rPr>
          <w:sz w:val="24"/>
        </w:rPr>
        <w:t>18—31 ℃</w:t>
      </w:r>
      <w:r>
        <w:rPr>
          <w:sz w:val="24"/>
        </w:rPr>
        <w:t>。每日下午</w:t>
      </w:r>
      <w:r>
        <w:rPr>
          <w:sz w:val="24"/>
        </w:rPr>
        <w:t>6:00</w:t>
      </w:r>
      <w:r>
        <w:rPr>
          <w:sz w:val="24"/>
        </w:rPr>
        <w:t>左右投食，投食前将饲料与少量水混合</w:t>
      </w:r>
      <w:proofErr w:type="gramStart"/>
      <w:r>
        <w:rPr>
          <w:sz w:val="24"/>
        </w:rPr>
        <w:t>揉</w:t>
      </w:r>
      <w:proofErr w:type="gramEnd"/>
      <w:r>
        <w:rPr>
          <w:sz w:val="24"/>
        </w:rPr>
        <w:t>压成饼状，投食位置在箱中固定位置，投食量约为黄鳝总重的</w:t>
      </w:r>
      <w:r>
        <w:rPr>
          <w:sz w:val="24"/>
        </w:rPr>
        <w:t>2 %</w:t>
      </w:r>
      <w:r>
        <w:rPr>
          <w:sz w:val="24"/>
        </w:rPr>
        <w:t>左右，投食后观察并记录吃食情况，第二天根据记录调整投食量。养殖期持续</w:t>
      </w:r>
      <w:r>
        <w:rPr>
          <w:sz w:val="24"/>
        </w:rPr>
        <w:t>60d</w:t>
      </w:r>
      <w:r>
        <w:rPr>
          <w:sz w:val="24"/>
        </w:rPr>
        <w:t>，整个养殖过程中保持环境安静，避免惊扰黄鳝影响摄食。</w:t>
      </w:r>
    </w:p>
    <w:p w14:paraId="612FBB42" w14:textId="77777777" w:rsidR="004F39F6" w:rsidRDefault="00731C67">
      <w:pPr>
        <w:spacing w:line="360" w:lineRule="auto"/>
        <w:rPr>
          <w:sz w:val="24"/>
          <w:szCs w:val="22"/>
        </w:rPr>
      </w:pPr>
      <w:r>
        <w:rPr>
          <w:sz w:val="24"/>
          <w:szCs w:val="22"/>
        </w:rPr>
        <w:t>1.3</w:t>
      </w:r>
      <w:r>
        <w:rPr>
          <w:sz w:val="24"/>
          <w:szCs w:val="22"/>
        </w:rPr>
        <w:t xml:space="preserve">  </w:t>
      </w:r>
      <w:r>
        <w:rPr>
          <w:sz w:val="24"/>
          <w:szCs w:val="22"/>
        </w:rPr>
        <w:t>样品采集与指标分析</w:t>
      </w:r>
    </w:p>
    <w:p w14:paraId="7F2FC1CB" w14:textId="77777777" w:rsidR="004F39F6" w:rsidRDefault="00731C67">
      <w:pPr>
        <w:spacing w:line="360" w:lineRule="auto"/>
        <w:ind w:firstLineChars="200" w:firstLine="480"/>
        <w:rPr>
          <w:sz w:val="24"/>
        </w:rPr>
      </w:pPr>
      <w:r>
        <w:rPr>
          <w:sz w:val="24"/>
        </w:rPr>
        <w:t>在养殖试验结束后，停食</w:t>
      </w:r>
      <w:r>
        <w:rPr>
          <w:sz w:val="24"/>
        </w:rPr>
        <w:t>24h</w:t>
      </w:r>
      <w:r>
        <w:rPr>
          <w:sz w:val="24"/>
        </w:rPr>
        <w:t>，计数并</w:t>
      </w:r>
      <w:proofErr w:type="gramStart"/>
      <w:r>
        <w:rPr>
          <w:sz w:val="24"/>
        </w:rPr>
        <w:t>称量各箱黄鳝</w:t>
      </w:r>
      <w:proofErr w:type="gramEnd"/>
      <w:r>
        <w:rPr>
          <w:sz w:val="24"/>
        </w:rPr>
        <w:t>数量与总重，计算其存活率（</w:t>
      </w:r>
      <w:r>
        <w:rPr>
          <w:sz w:val="24"/>
        </w:rPr>
        <w:t>Survival</w:t>
      </w:r>
      <w:r>
        <w:rPr>
          <w:sz w:val="24"/>
        </w:rPr>
        <w:t>）、</w:t>
      </w:r>
      <w:proofErr w:type="gramStart"/>
      <w:r>
        <w:rPr>
          <w:sz w:val="24"/>
        </w:rPr>
        <w:t>末均重</w:t>
      </w:r>
      <w:proofErr w:type="gramEnd"/>
      <w:r>
        <w:rPr>
          <w:sz w:val="24"/>
        </w:rPr>
        <w:t>（</w:t>
      </w:r>
      <w:r>
        <w:rPr>
          <w:sz w:val="24"/>
        </w:rPr>
        <w:t>FBW</w:t>
      </w:r>
      <w:r>
        <w:rPr>
          <w:sz w:val="24"/>
        </w:rPr>
        <w:t>）、增重率（</w:t>
      </w:r>
      <w:r>
        <w:rPr>
          <w:sz w:val="24"/>
        </w:rPr>
        <w:t>WGR</w:t>
      </w:r>
      <w:r>
        <w:rPr>
          <w:sz w:val="24"/>
        </w:rPr>
        <w:t>）、特定生长率（</w:t>
      </w:r>
      <w:r>
        <w:rPr>
          <w:sz w:val="24"/>
        </w:rPr>
        <w:t>SGR</w:t>
      </w:r>
      <w:r>
        <w:rPr>
          <w:sz w:val="24"/>
        </w:rPr>
        <w:t>）、饲料系数（</w:t>
      </w:r>
      <w:r>
        <w:rPr>
          <w:sz w:val="24"/>
        </w:rPr>
        <w:t>FCR</w:t>
      </w:r>
      <w:r>
        <w:rPr>
          <w:sz w:val="24"/>
        </w:rPr>
        <w:t>）等。每个重复中取</w:t>
      </w:r>
      <w:r>
        <w:rPr>
          <w:sz w:val="24"/>
        </w:rPr>
        <w:t>3</w:t>
      </w:r>
      <w:r>
        <w:rPr>
          <w:sz w:val="24"/>
        </w:rPr>
        <w:t>尾，共</w:t>
      </w:r>
      <w:r>
        <w:rPr>
          <w:sz w:val="24"/>
        </w:rPr>
        <w:t>12</w:t>
      </w:r>
      <w:r>
        <w:rPr>
          <w:sz w:val="24"/>
        </w:rPr>
        <w:t>尾进行解剖取样。断尾取血</w:t>
      </w:r>
      <w:r>
        <w:rPr>
          <w:sz w:val="24"/>
          <w:vertAlign w:val="superscript"/>
        </w:rPr>
        <w:t>[12]</w:t>
      </w:r>
      <w:r>
        <w:rPr>
          <w:sz w:val="24"/>
        </w:rPr>
        <w:t>，分离血清用于分析各项生化指标。测量体长后分离内脏、肝脏、肠道、脾脏，称重并记录，用于计算脏体指数（</w:t>
      </w:r>
      <w:r>
        <w:rPr>
          <w:sz w:val="24"/>
        </w:rPr>
        <w:t>VSI</w:t>
      </w:r>
      <w:r>
        <w:rPr>
          <w:sz w:val="24"/>
        </w:rPr>
        <w:t>）、肝体指数（</w:t>
      </w:r>
      <w:r>
        <w:rPr>
          <w:sz w:val="24"/>
        </w:rPr>
        <w:t>HSI</w:t>
      </w:r>
      <w:r>
        <w:rPr>
          <w:sz w:val="24"/>
        </w:rPr>
        <w:t>）、肠体指数（</w:t>
      </w:r>
      <w:r>
        <w:rPr>
          <w:sz w:val="24"/>
        </w:rPr>
        <w:t>VI</w:t>
      </w:r>
      <w:r>
        <w:rPr>
          <w:sz w:val="24"/>
        </w:rPr>
        <w:t>）、蛋白质效率（</w:t>
      </w:r>
      <w:r>
        <w:rPr>
          <w:sz w:val="24"/>
        </w:rPr>
        <w:t>PER</w:t>
      </w:r>
      <w:r>
        <w:rPr>
          <w:sz w:val="24"/>
        </w:rPr>
        <w:t>）、肥满度（</w:t>
      </w:r>
      <w:r>
        <w:rPr>
          <w:sz w:val="24"/>
        </w:rPr>
        <w:t>CF</w:t>
      </w:r>
      <w:r>
        <w:rPr>
          <w:sz w:val="24"/>
        </w:rPr>
        <w:t>）等。其中取</w:t>
      </w:r>
      <w:r>
        <w:rPr>
          <w:sz w:val="24"/>
        </w:rPr>
        <w:t>8</w:t>
      </w:r>
      <w:r>
        <w:rPr>
          <w:sz w:val="24"/>
        </w:rPr>
        <w:t>尾肝脏、胃、</w:t>
      </w:r>
      <w:proofErr w:type="gramStart"/>
      <w:r>
        <w:rPr>
          <w:sz w:val="24"/>
        </w:rPr>
        <w:t>肠部分</w:t>
      </w:r>
      <w:proofErr w:type="gramEnd"/>
      <w:r>
        <w:rPr>
          <w:sz w:val="24"/>
        </w:rPr>
        <w:t>组织，</w:t>
      </w:r>
      <w:r>
        <w:rPr>
          <w:sz w:val="24"/>
        </w:rPr>
        <w:t>-80 ℃</w:t>
      </w:r>
      <w:r>
        <w:rPr>
          <w:sz w:val="24"/>
        </w:rPr>
        <w:t>冰箱保存，备用于测定其生理生</w:t>
      </w:r>
      <w:r>
        <w:rPr>
          <w:sz w:val="24"/>
        </w:rPr>
        <w:t>化指标，取部分肌肉样品和收集剩下的肠道及肝脏分别做营养成分分析。另取</w:t>
      </w:r>
      <w:r>
        <w:rPr>
          <w:sz w:val="24"/>
        </w:rPr>
        <w:t>4</w:t>
      </w:r>
      <w:r>
        <w:rPr>
          <w:sz w:val="24"/>
        </w:rPr>
        <w:t>尾黄鳝用于全鱼营养成分分析。</w:t>
      </w:r>
    </w:p>
    <w:p w14:paraId="662A7B62" w14:textId="77777777" w:rsidR="004F39F6" w:rsidRDefault="00731C67">
      <w:pPr>
        <w:spacing w:line="360" w:lineRule="auto"/>
        <w:ind w:firstLineChars="200" w:firstLine="480"/>
        <w:rPr>
          <w:sz w:val="24"/>
        </w:rPr>
      </w:pPr>
      <w:r>
        <w:rPr>
          <w:sz w:val="24"/>
        </w:rPr>
        <w:t>指标测定方法：饲料的常规营养成分分别采用</w:t>
      </w:r>
      <w:r>
        <w:rPr>
          <w:sz w:val="24"/>
        </w:rPr>
        <w:t>105℃</w:t>
      </w:r>
      <w:r>
        <w:rPr>
          <w:sz w:val="24"/>
        </w:rPr>
        <w:t>烘干法</w:t>
      </w:r>
      <w:r>
        <w:rPr>
          <w:sz w:val="24"/>
        </w:rPr>
        <w:t>(GB/T6435——2014)</w:t>
      </w:r>
      <w:r>
        <w:rPr>
          <w:sz w:val="24"/>
        </w:rPr>
        <w:t>、凯氏定氮法</w:t>
      </w:r>
      <w:r>
        <w:rPr>
          <w:sz w:val="24"/>
        </w:rPr>
        <w:t>(GB/T6432——1994)</w:t>
      </w:r>
      <w:r>
        <w:rPr>
          <w:sz w:val="24"/>
        </w:rPr>
        <w:t>、索氏抽提法</w:t>
      </w:r>
      <w:r>
        <w:rPr>
          <w:sz w:val="24"/>
        </w:rPr>
        <w:t>(GB/T6433——2006)</w:t>
      </w:r>
      <w:r>
        <w:rPr>
          <w:sz w:val="24"/>
        </w:rPr>
        <w:t>和灼烧称重法</w:t>
      </w:r>
      <w:r>
        <w:rPr>
          <w:sz w:val="24"/>
        </w:rPr>
        <w:t>(GB/T6438——2007)</w:t>
      </w:r>
      <w:r>
        <w:rPr>
          <w:sz w:val="24"/>
        </w:rPr>
        <w:t>测定。血清生化指标和消化酶活力等均采用南京建成生物工程研究所生产的</w:t>
      </w:r>
      <w:proofErr w:type="gramStart"/>
      <w:r>
        <w:rPr>
          <w:sz w:val="24"/>
        </w:rPr>
        <w:t>的</w:t>
      </w:r>
      <w:proofErr w:type="gramEnd"/>
      <w:r>
        <w:rPr>
          <w:sz w:val="24"/>
        </w:rPr>
        <w:t>试剂盒，严格按照说明书方法进行测定，</w:t>
      </w:r>
      <w:r>
        <w:rPr>
          <w:sz w:val="24"/>
        </w:rPr>
        <w:t>Thermo</w:t>
      </w:r>
      <w:r>
        <w:rPr>
          <w:sz w:val="24"/>
        </w:rPr>
        <w:t>酶标仪读取数据。</w:t>
      </w:r>
    </w:p>
    <w:p w14:paraId="06CC5B83" w14:textId="77777777" w:rsidR="004F39F6" w:rsidRDefault="00731C67">
      <w:pPr>
        <w:spacing w:line="360" w:lineRule="auto"/>
        <w:ind w:firstLineChars="200" w:firstLine="480"/>
        <w:rPr>
          <w:sz w:val="24"/>
        </w:rPr>
      </w:pPr>
      <w:r>
        <w:rPr>
          <w:sz w:val="24"/>
        </w:rPr>
        <w:t>相关计算公式如下：</w:t>
      </w:r>
      <w:r>
        <w:rPr>
          <w:sz w:val="24"/>
        </w:rPr>
        <w:t xml:space="preserve"> </w:t>
      </w:r>
    </w:p>
    <w:p w14:paraId="68DF5C32" w14:textId="77777777" w:rsidR="004F39F6" w:rsidRDefault="00731C67">
      <w:pPr>
        <w:spacing w:line="360" w:lineRule="auto"/>
        <w:ind w:firstLineChars="200" w:firstLine="480"/>
        <w:rPr>
          <w:sz w:val="24"/>
          <w:szCs w:val="22"/>
        </w:rPr>
      </w:pPr>
      <w:r>
        <w:rPr>
          <w:sz w:val="24"/>
          <w:szCs w:val="22"/>
        </w:rPr>
        <w:t>存活率（</w:t>
      </w:r>
      <w:r>
        <w:rPr>
          <w:sz w:val="24"/>
          <w:szCs w:val="22"/>
        </w:rPr>
        <w:t xml:space="preserve">survival rate, </w:t>
      </w:r>
      <w:r>
        <w:rPr>
          <w:sz w:val="24"/>
          <w:szCs w:val="22"/>
        </w:rPr>
        <w:t>%</w:t>
      </w:r>
      <w:r>
        <w:rPr>
          <w:sz w:val="24"/>
          <w:szCs w:val="22"/>
        </w:rPr>
        <w:t>）</w:t>
      </w:r>
      <w:r>
        <w:rPr>
          <w:sz w:val="24"/>
          <w:szCs w:val="22"/>
        </w:rPr>
        <w:t xml:space="preserve">= </w:t>
      </w:r>
      <w:r>
        <w:rPr>
          <w:sz w:val="24"/>
          <w:szCs w:val="22"/>
        </w:rPr>
        <w:t>终</w:t>
      </w:r>
      <w:proofErr w:type="gramStart"/>
      <w:r>
        <w:rPr>
          <w:sz w:val="24"/>
          <w:szCs w:val="22"/>
        </w:rPr>
        <w:t>末数量</w:t>
      </w:r>
      <w:proofErr w:type="gramEnd"/>
      <w:r>
        <w:rPr>
          <w:sz w:val="24"/>
          <w:szCs w:val="22"/>
        </w:rPr>
        <w:t>/</w:t>
      </w:r>
      <w:r>
        <w:rPr>
          <w:sz w:val="24"/>
          <w:szCs w:val="22"/>
        </w:rPr>
        <w:t>初始数量</w:t>
      </w:r>
      <w:r>
        <w:rPr>
          <w:sz w:val="24"/>
          <w:szCs w:val="22"/>
        </w:rPr>
        <w:t xml:space="preserve">×100 </w:t>
      </w:r>
    </w:p>
    <w:p w14:paraId="5BE0DF6D" w14:textId="77777777" w:rsidR="004F39F6" w:rsidRDefault="00731C67">
      <w:pPr>
        <w:spacing w:line="360" w:lineRule="auto"/>
        <w:ind w:firstLineChars="200" w:firstLine="480"/>
        <w:rPr>
          <w:sz w:val="24"/>
          <w:szCs w:val="22"/>
        </w:rPr>
      </w:pPr>
      <w:r>
        <w:rPr>
          <w:sz w:val="24"/>
          <w:szCs w:val="22"/>
        </w:rPr>
        <w:t>增重率（</w:t>
      </w:r>
      <w:r>
        <w:rPr>
          <w:sz w:val="24"/>
          <w:szCs w:val="22"/>
        </w:rPr>
        <w:t>weight gain rate, WGR, %</w:t>
      </w:r>
      <w:r>
        <w:rPr>
          <w:sz w:val="24"/>
          <w:szCs w:val="22"/>
        </w:rPr>
        <w:t>）</w:t>
      </w:r>
      <w:r>
        <w:rPr>
          <w:sz w:val="24"/>
          <w:szCs w:val="22"/>
        </w:rPr>
        <w:t>=</w:t>
      </w:r>
      <w:r>
        <w:rPr>
          <w:sz w:val="24"/>
          <w:szCs w:val="22"/>
        </w:rPr>
        <w:t>（终末体重</w:t>
      </w:r>
      <w:r>
        <w:rPr>
          <w:sz w:val="24"/>
          <w:szCs w:val="22"/>
        </w:rPr>
        <w:t>-</w:t>
      </w:r>
      <w:r>
        <w:rPr>
          <w:sz w:val="24"/>
          <w:szCs w:val="22"/>
        </w:rPr>
        <w:t>初始体重）</w:t>
      </w:r>
      <w:r>
        <w:rPr>
          <w:sz w:val="24"/>
          <w:szCs w:val="22"/>
        </w:rPr>
        <w:t>/</w:t>
      </w:r>
      <w:r>
        <w:rPr>
          <w:sz w:val="24"/>
          <w:szCs w:val="22"/>
        </w:rPr>
        <w:t>初始体重</w:t>
      </w:r>
      <w:r>
        <w:rPr>
          <w:sz w:val="24"/>
          <w:szCs w:val="22"/>
        </w:rPr>
        <w:t xml:space="preserve">×100 </w:t>
      </w:r>
    </w:p>
    <w:p w14:paraId="5CE83CB3" w14:textId="77777777" w:rsidR="004F39F6" w:rsidRDefault="00731C67">
      <w:pPr>
        <w:spacing w:line="360" w:lineRule="auto"/>
        <w:ind w:firstLineChars="200" w:firstLine="480"/>
        <w:rPr>
          <w:sz w:val="24"/>
          <w:szCs w:val="22"/>
        </w:rPr>
      </w:pPr>
      <w:r>
        <w:rPr>
          <w:sz w:val="24"/>
          <w:szCs w:val="22"/>
        </w:rPr>
        <w:t>特定生长率（</w:t>
      </w:r>
      <w:r>
        <w:rPr>
          <w:sz w:val="24"/>
          <w:szCs w:val="22"/>
        </w:rPr>
        <w:t>specific growth rate, SGR, %/d</w:t>
      </w:r>
      <w:r>
        <w:rPr>
          <w:sz w:val="24"/>
          <w:szCs w:val="22"/>
        </w:rPr>
        <w:t>）</w:t>
      </w:r>
      <w:r>
        <w:rPr>
          <w:sz w:val="24"/>
          <w:szCs w:val="22"/>
        </w:rPr>
        <w:t>=</w:t>
      </w:r>
      <w:r>
        <w:rPr>
          <w:sz w:val="24"/>
          <w:szCs w:val="22"/>
        </w:rPr>
        <w:t>（</w:t>
      </w:r>
      <w:r>
        <w:rPr>
          <w:sz w:val="24"/>
          <w:szCs w:val="22"/>
        </w:rPr>
        <w:t xml:space="preserve">Ln </w:t>
      </w:r>
      <w:r>
        <w:rPr>
          <w:sz w:val="24"/>
          <w:szCs w:val="22"/>
        </w:rPr>
        <w:t>终末体重</w:t>
      </w:r>
      <w:r>
        <w:rPr>
          <w:sz w:val="24"/>
          <w:szCs w:val="22"/>
        </w:rPr>
        <w:t xml:space="preserve">-Ln </w:t>
      </w:r>
      <w:r>
        <w:rPr>
          <w:sz w:val="24"/>
          <w:szCs w:val="22"/>
        </w:rPr>
        <w:t>初始体重）</w:t>
      </w:r>
      <w:r>
        <w:rPr>
          <w:sz w:val="24"/>
          <w:szCs w:val="22"/>
        </w:rPr>
        <w:t>/</w:t>
      </w:r>
      <w:r>
        <w:rPr>
          <w:sz w:val="24"/>
          <w:szCs w:val="22"/>
        </w:rPr>
        <w:t>饲养天数</w:t>
      </w:r>
      <w:r>
        <w:rPr>
          <w:sz w:val="24"/>
          <w:szCs w:val="22"/>
        </w:rPr>
        <w:t xml:space="preserve">×100 </w:t>
      </w:r>
    </w:p>
    <w:p w14:paraId="546D92A4" w14:textId="77777777" w:rsidR="004F39F6" w:rsidRDefault="00731C67">
      <w:pPr>
        <w:spacing w:line="360" w:lineRule="auto"/>
        <w:ind w:firstLineChars="200" w:firstLine="480"/>
        <w:rPr>
          <w:sz w:val="24"/>
          <w:szCs w:val="22"/>
        </w:rPr>
      </w:pPr>
      <w:r>
        <w:rPr>
          <w:sz w:val="24"/>
          <w:szCs w:val="22"/>
        </w:rPr>
        <w:t>饲料系数（</w:t>
      </w:r>
      <w:r>
        <w:rPr>
          <w:sz w:val="24"/>
          <w:szCs w:val="22"/>
        </w:rPr>
        <w:t>feed conversion ratio, FCR</w:t>
      </w:r>
      <w:r>
        <w:rPr>
          <w:sz w:val="24"/>
          <w:szCs w:val="22"/>
        </w:rPr>
        <w:t>）</w:t>
      </w:r>
      <w:r>
        <w:rPr>
          <w:sz w:val="24"/>
          <w:szCs w:val="22"/>
        </w:rPr>
        <w:t xml:space="preserve">= </w:t>
      </w:r>
      <w:r>
        <w:rPr>
          <w:sz w:val="24"/>
          <w:szCs w:val="22"/>
        </w:rPr>
        <w:t>饲料摄入量</w:t>
      </w:r>
      <w:r>
        <w:rPr>
          <w:sz w:val="24"/>
          <w:szCs w:val="22"/>
        </w:rPr>
        <w:t>/</w:t>
      </w:r>
      <w:r>
        <w:rPr>
          <w:sz w:val="24"/>
          <w:szCs w:val="22"/>
        </w:rPr>
        <w:t>（终末体重</w:t>
      </w:r>
      <w:r>
        <w:rPr>
          <w:sz w:val="24"/>
          <w:szCs w:val="22"/>
        </w:rPr>
        <w:t>-</w:t>
      </w:r>
      <w:r>
        <w:rPr>
          <w:sz w:val="24"/>
          <w:szCs w:val="22"/>
        </w:rPr>
        <w:t>初始体重）</w:t>
      </w:r>
      <w:r>
        <w:rPr>
          <w:sz w:val="24"/>
          <w:szCs w:val="22"/>
        </w:rPr>
        <w:t xml:space="preserve"> </w:t>
      </w:r>
    </w:p>
    <w:p w14:paraId="0A9F81D6" w14:textId="77777777" w:rsidR="004F39F6" w:rsidRDefault="00731C67">
      <w:pPr>
        <w:spacing w:line="360" w:lineRule="auto"/>
        <w:ind w:firstLineChars="200" w:firstLine="480"/>
        <w:rPr>
          <w:sz w:val="24"/>
          <w:szCs w:val="22"/>
        </w:rPr>
      </w:pPr>
      <w:r>
        <w:rPr>
          <w:sz w:val="24"/>
          <w:szCs w:val="22"/>
        </w:rPr>
        <w:t>蛋白质效率（</w:t>
      </w:r>
      <w:r>
        <w:rPr>
          <w:sz w:val="24"/>
          <w:szCs w:val="22"/>
        </w:rPr>
        <w:t>protein efficiency ratio, PER, %</w:t>
      </w:r>
      <w:r>
        <w:rPr>
          <w:sz w:val="24"/>
          <w:szCs w:val="22"/>
        </w:rPr>
        <w:t>）</w:t>
      </w:r>
      <w:r>
        <w:rPr>
          <w:sz w:val="24"/>
          <w:szCs w:val="22"/>
        </w:rPr>
        <w:t xml:space="preserve">= </w:t>
      </w:r>
      <w:r>
        <w:rPr>
          <w:sz w:val="24"/>
          <w:szCs w:val="22"/>
        </w:rPr>
        <w:t>体重增加量</w:t>
      </w:r>
      <w:r>
        <w:rPr>
          <w:sz w:val="24"/>
          <w:szCs w:val="22"/>
        </w:rPr>
        <w:t>/</w:t>
      </w:r>
      <w:r>
        <w:rPr>
          <w:sz w:val="24"/>
          <w:szCs w:val="22"/>
        </w:rPr>
        <w:t>（饲料摄入量</w:t>
      </w:r>
      <w:r>
        <w:rPr>
          <w:sz w:val="24"/>
          <w:szCs w:val="22"/>
        </w:rPr>
        <w:t>×</w:t>
      </w:r>
      <w:r>
        <w:rPr>
          <w:sz w:val="24"/>
          <w:szCs w:val="22"/>
        </w:rPr>
        <w:t>饲料蛋白含量）</w:t>
      </w:r>
      <w:r>
        <w:rPr>
          <w:sz w:val="24"/>
          <w:szCs w:val="22"/>
        </w:rPr>
        <w:t xml:space="preserve">×100 </w:t>
      </w:r>
    </w:p>
    <w:p w14:paraId="2444A392" w14:textId="77777777" w:rsidR="004F39F6" w:rsidRDefault="00731C67">
      <w:pPr>
        <w:spacing w:line="360" w:lineRule="auto"/>
        <w:ind w:firstLineChars="200" w:firstLine="480"/>
        <w:rPr>
          <w:sz w:val="24"/>
          <w:szCs w:val="22"/>
        </w:rPr>
      </w:pPr>
      <w:r>
        <w:rPr>
          <w:sz w:val="24"/>
          <w:szCs w:val="22"/>
        </w:rPr>
        <w:t>蛋白质保留率（</w:t>
      </w:r>
      <w:r>
        <w:rPr>
          <w:sz w:val="24"/>
          <w:szCs w:val="22"/>
        </w:rPr>
        <w:t>protein retention rate, PRR, %</w:t>
      </w:r>
      <w:r>
        <w:rPr>
          <w:sz w:val="24"/>
          <w:szCs w:val="22"/>
        </w:rPr>
        <w:t>）</w:t>
      </w:r>
      <w:r>
        <w:rPr>
          <w:sz w:val="24"/>
          <w:szCs w:val="22"/>
        </w:rPr>
        <w:t>=</w:t>
      </w:r>
      <w:r>
        <w:rPr>
          <w:sz w:val="24"/>
          <w:szCs w:val="22"/>
        </w:rPr>
        <w:t>（体蛋白增加量</w:t>
      </w:r>
      <w:r>
        <w:rPr>
          <w:sz w:val="24"/>
          <w:szCs w:val="22"/>
        </w:rPr>
        <w:t>/</w:t>
      </w:r>
      <w:r>
        <w:rPr>
          <w:sz w:val="24"/>
          <w:szCs w:val="22"/>
        </w:rPr>
        <w:t>饲料蛋白摄入量）</w:t>
      </w:r>
      <w:r>
        <w:rPr>
          <w:sz w:val="24"/>
          <w:szCs w:val="22"/>
        </w:rPr>
        <w:t xml:space="preserve">×100 </w:t>
      </w:r>
    </w:p>
    <w:p w14:paraId="7843CDAF" w14:textId="77777777" w:rsidR="004F39F6" w:rsidRDefault="00731C67">
      <w:pPr>
        <w:spacing w:line="360" w:lineRule="auto"/>
        <w:ind w:firstLineChars="200" w:firstLine="480"/>
        <w:rPr>
          <w:sz w:val="24"/>
          <w:szCs w:val="22"/>
        </w:rPr>
      </w:pPr>
      <w:r>
        <w:rPr>
          <w:sz w:val="24"/>
          <w:szCs w:val="22"/>
        </w:rPr>
        <w:t>蛋白质摄食率（</w:t>
      </w:r>
      <w:r>
        <w:rPr>
          <w:sz w:val="24"/>
          <w:szCs w:val="22"/>
        </w:rPr>
        <w:t>protein feeding intake, PFI, %/d</w:t>
      </w:r>
      <w:r>
        <w:rPr>
          <w:sz w:val="24"/>
          <w:szCs w:val="22"/>
        </w:rPr>
        <w:t>）</w:t>
      </w:r>
      <w:r>
        <w:rPr>
          <w:sz w:val="24"/>
          <w:szCs w:val="22"/>
        </w:rPr>
        <w:t>=</w:t>
      </w:r>
      <w:r>
        <w:rPr>
          <w:sz w:val="24"/>
          <w:szCs w:val="22"/>
        </w:rPr>
        <w:t>饲料摄入量</w:t>
      </w:r>
      <w:r>
        <w:rPr>
          <w:sz w:val="24"/>
          <w:szCs w:val="22"/>
        </w:rPr>
        <w:t>×</w:t>
      </w:r>
      <w:r>
        <w:rPr>
          <w:sz w:val="24"/>
          <w:szCs w:val="22"/>
        </w:rPr>
        <w:t>饲料蛋白质含量</w:t>
      </w:r>
      <w:r>
        <w:rPr>
          <w:sz w:val="24"/>
          <w:szCs w:val="22"/>
        </w:rPr>
        <w:t>/</w:t>
      </w:r>
      <w:r>
        <w:rPr>
          <w:sz w:val="24"/>
          <w:szCs w:val="22"/>
        </w:rPr>
        <w:t>（饲养天数</w:t>
      </w:r>
      <w:r>
        <w:rPr>
          <w:sz w:val="24"/>
          <w:szCs w:val="22"/>
        </w:rPr>
        <w:t>×</w:t>
      </w:r>
      <w:r>
        <w:rPr>
          <w:sz w:val="24"/>
          <w:szCs w:val="22"/>
        </w:rPr>
        <w:t>（初始体重</w:t>
      </w:r>
      <w:r>
        <w:rPr>
          <w:sz w:val="24"/>
          <w:szCs w:val="22"/>
        </w:rPr>
        <w:t>+</w:t>
      </w:r>
      <w:r>
        <w:rPr>
          <w:sz w:val="24"/>
          <w:szCs w:val="22"/>
        </w:rPr>
        <w:t>终末体重）</w:t>
      </w:r>
      <w:r>
        <w:rPr>
          <w:sz w:val="24"/>
          <w:szCs w:val="22"/>
        </w:rPr>
        <w:t>/2</w:t>
      </w:r>
      <w:r>
        <w:rPr>
          <w:sz w:val="24"/>
          <w:szCs w:val="22"/>
        </w:rPr>
        <w:t>）</w:t>
      </w:r>
      <w:r>
        <w:rPr>
          <w:sz w:val="24"/>
          <w:szCs w:val="22"/>
        </w:rPr>
        <w:t xml:space="preserve">×100 </w:t>
      </w:r>
    </w:p>
    <w:p w14:paraId="5C36B4E0" w14:textId="77777777" w:rsidR="004F39F6" w:rsidRDefault="00731C67">
      <w:pPr>
        <w:spacing w:line="360" w:lineRule="auto"/>
        <w:ind w:firstLineChars="200" w:firstLine="480"/>
        <w:rPr>
          <w:sz w:val="24"/>
          <w:szCs w:val="22"/>
        </w:rPr>
      </w:pPr>
      <w:r>
        <w:rPr>
          <w:sz w:val="24"/>
          <w:szCs w:val="22"/>
        </w:rPr>
        <w:lastRenderedPageBreak/>
        <w:t>干物质摄食率（</w:t>
      </w:r>
      <w:r>
        <w:rPr>
          <w:sz w:val="24"/>
          <w:szCs w:val="22"/>
        </w:rPr>
        <w:t>dry matter feeding intake, DMFI, %/d</w:t>
      </w:r>
      <w:r>
        <w:rPr>
          <w:sz w:val="24"/>
          <w:szCs w:val="22"/>
        </w:rPr>
        <w:t>）</w:t>
      </w:r>
      <w:r>
        <w:rPr>
          <w:sz w:val="24"/>
          <w:szCs w:val="22"/>
        </w:rPr>
        <w:t>=</w:t>
      </w:r>
      <w:r>
        <w:rPr>
          <w:sz w:val="24"/>
          <w:szCs w:val="22"/>
        </w:rPr>
        <w:t>饲料摄入量</w:t>
      </w:r>
      <w:r>
        <w:rPr>
          <w:sz w:val="24"/>
          <w:szCs w:val="22"/>
        </w:rPr>
        <w:t>/</w:t>
      </w:r>
      <w:r>
        <w:rPr>
          <w:sz w:val="24"/>
          <w:szCs w:val="22"/>
        </w:rPr>
        <w:t>饲料水分</w:t>
      </w:r>
      <w:r>
        <w:rPr>
          <w:sz w:val="24"/>
          <w:szCs w:val="22"/>
        </w:rPr>
        <w:t>/</w:t>
      </w:r>
      <w:r>
        <w:rPr>
          <w:sz w:val="24"/>
          <w:szCs w:val="22"/>
        </w:rPr>
        <w:t>（饲养天数</w:t>
      </w:r>
      <w:r>
        <w:rPr>
          <w:sz w:val="24"/>
          <w:szCs w:val="22"/>
        </w:rPr>
        <w:t>×</w:t>
      </w:r>
      <w:r>
        <w:rPr>
          <w:sz w:val="24"/>
          <w:szCs w:val="22"/>
        </w:rPr>
        <w:t>（初始体重</w:t>
      </w:r>
      <w:r>
        <w:rPr>
          <w:sz w:val="24"/>
          <w:szCs w:val="22"/>
        </w:rPr>
        <w:t>+</w:t>
      </w:r>
      <w:r>
        <w:rPr>
          <w:sz w:val="24"/>
          <w:szCs w:val="22"/>
        </w:rPr>
        <w:t>终末体重）</w:t>
      </w:r>
      <w:r>
        <w:rPr>
          <w:sz w:val="24"/>
          <w:szCs w:val="22"/>
        </w:rPr>
        <w:t>/2</w:t>
      </w:r>
      <w:r>
        <w:rPr>
          <w:sz w:val="24"/>
          <w:szCs w:val="22"/>
        </w:rPr>
        <w:t>）</w:t>
      </w:r>
      <w:r>
        <w:rPr>
          <w:sz w:val="24"/>
          <w:szCs w:val="22"/>
        </w:rPr>
        <w:t>×100</w:t>
      </w:r>
    </w:p>
    <w:p w14:paraId="39C5CA6B" w14:textId="77777777" w:rsidR="004F39F6" w:rsidRDefault="00731C67">
      <w:pPr>
        <w:spacing w:line="360" w:lineRule="auto"/>
        <w:rPr>
          <w:sz w:val="24"/>
          <w:szCs w:val="22"/>
        </w:rPr>
      </w:pPr>
      <w:r>
        <w:rPr>
          <w:sz w:val="24"/>
          <w:szCs w:val="22"/>
        </w:rPr>
        <w:t xml:space="preserve">1.4  </w:t>
      </w:r>
      <w:r>
        <w:rPr>
          <w:sz w:val="24"/>
          <w:szCs w:val="22"/>
        </w:rPr>
        <w:t>数据处理分析</w:t>
      </w:r>
    </w:p>
    <w:p w14:paraId="73F34AED" w14:textId="77777777" w:rsidR="004F39F6" w:rsidRDefault="00731C67">
      <w:pPr>
        <w:spacing w:line="360" w:lineRule="auto"/>
        <w:ind w:firstLineChars="200" w:firstLine="480"/>
        <w:rPr>
          <w:sz w:val="24"/>
        </w:rPr>
      </w:pPr>
      <w:r>
        <w:rPr>
          <w:sz w:val="24"/>
        </w:rPr>
        <w:t>试验数据采用平均值</w:t>
      </w:r>
      <w:r>
        <w:rPr>
          <w:sz w:val="24"/>
        </w:rPr>
        <w:t>±</w:t>
      </w:r>
      <w:r>
        <w:rPr>
          <w:sz w:val="24"/>
        </w:rPr>
        <w:t>标准误（</w:t>
      </w:r>
      <w:proofErr w:type="spellStart"/>
      <w:r>
        <w:rPr>
          <w:sz w:val="24"/>
        </w:rPr>
        <w:t>Mean±S</w:t>
      </w:r>
      <w:r>
        <w:rPr>
          <w:sz w:val="24"/>
        </w:rPr>
        <w:t>E</w:t>
      </w:r>
      <w:proofErr w:type="spellEnd"/>
      <w:r>
        <w:rPr>
          <w:sz w:val="24"/>
        </w:rPr>
        <w:t>）表示，用</w:t>
      </w:r>
      <w:r>
        <w:rPr>
          <w:sz w:val="24"/>
        </w:rPr>
        <w:t>SPSS</w:t>
      </w:r>
      <w:r>
        <w:rPr>
          <w:sz w:val="24"/>
        </w:rPr>
        <w:t>（</w:t>
      </w:r>
      <w:r>
        <w:rPr>
          <w:sz w:val="24"/>
        </w:rPr>
        <w:t xml:space="preserve">Statistical </w:t>
      </w:r>
      <w:proofErr w:type="spellStart"/>
      <w:r>
        <w:rPr>
          <w:sz w:val="24"/>
        </w:rPr>
        <w:t>Productand</w:t>
      </w:r>
      <w:proofErr w:type="spellEnd"/>
      <w:r>
        <w:rPr>
          <w:sz w:val="24"/>
        </w:rPr>
        <w:t xml:space="preserve"> Service Solutions</w:t>
      </w:r>
      <w:r>
        <w:rPr>
          <w:sz w:val="24"/>
        </w:rPr>
        <w:t>）</w:t>
      </w:r>
      <w:r>
        <w:rPr>
          <w:sz w:val="24"/>
        </w:rPr>
        <w:t>19.0</w:t>
      </w:r>
      <w:r>
        <w:rPr>
          <w:sz w:val="24"/>
        </w:rPr>
        <w:t>软件进行统计分析，在单因素方差分析（</w:t>
      </w:r>
      <w:r>
        <w:rPr>
          <w:sz w:val="24"/>
        </w:rPr>
        <w:t>One-way ANOVA</w:t>
      </w:r>
      <w:r>
        <w:rPr>
          <w:sz w:val="24"/>
        </w:rPr>
        <w:t>）的基础上，再采用</w:t>
      </w:r>
      <w:r>
        <w:rPr>
          <w:sz w:val="24"/>
        </w:rPr>
        <w:t>Duncan</w:t>
      </w:r>
      <w:r>
        <w:rPr>
          <w:sz w:val="24"/>
        </w:rPr>
        <w:t>氏法进行多重比较，显著水平为</w:t>
      </w:r>
      <w:r>
        <w:rPr>
          <w:i/>
          <w:sz w:val="24"/>
        </w:rPr>
        <w:t>P</w:t>
      </w:r>
      <w:r>
        <w:rPr>
          <w:sz w:val="24"/>
        </w:rPr>
        <w:t>&lt;0.05</w:t>
      </w:r>
      <w:r>
        <w:rPr>
          <w:sz w:val="24"/>
        </w:rPr>
        <w:t>。</w:t>
      </w:r>
    </w:p>
    <w:p w14:paraId="578E610E" w14:textId="77777777" w:rsidR="004F39F6" w:rsidRDefault="00731C67">
      <w:pPr>
        <w:spacing w:line="360" w:lineRule="auto"/>
        <w:rPr>
          <w:sz w:val="24"/>
          <w:szCs w:val="22"/>
        </w:rPr>
      </w:pPr>
      <w:r>
        <w:rPr>
          <w:sz w:val="24"/>
          <w:szCs w:val="22"/>
        </w:rPr>
        <w:t xml:space="preserve">2  </w:t>
      </w:r>
      <w:r>
        <w:rPr>
          <w:sz w:val="24"/>
          <w:szCs w:val="22"/>
        </w:rPr>
        <w:t>结果</w:t>
      </w:r>
    </w:p>
    <w:p w14:paraId="0C2E32C7" w14:textId="77777777" w:rsidR="004F39F6" w:rsidRDefault="00731C67">
      <w:pPr>
        <w:spacing w:line="360" w:lineRule="auto"/>
        <w:rPr>
          <w:sz w:val="24"/>
          <w:szCs w:val="22"/>
        </w:rPr>
      </w:pPr>
      <w:r>
        <w:rPr>
          <w:sz w:val="24"/>
          <w:szCs w:val="22"/>
        </w:rPr>
        <w:t xml:space="preserve">2.1  </w:t>
      </w:r>
      <w:r>
        <w:rPr>
          <w:sz w:val="24"/>
          <w:szCs w:val="22"/>
        </w:rPr>
        <w:t>蛋白质含量对黄鳝生长的影响</w:t>
      </w:r>
    </w:p>
    <w:p w14:paraId="635EA3DA" w14:textId="77777777" w:rsidR="004F39F6" w:rsidRDefault="00731C67">
      <w:pPr>
        <w:spacing w:line="360" w:lineRule="auto"/>
        <w:ind w:firstLineChars="200" w:firstLine="480"/>
        <w:rPr>
          <w:sz w:val="24"/>
        </w:rPr>
      </w:pPr>
      <w:r>
        <w:rPr>
          <w:sz w:val="24"/>
        </w:rPr>
        <w:t>经过</w:t>
      </w:r>
      <w:r>
        <w:rPr>
          <w:sz w:val="24"/>
        </w:rPr>
        <w:t>60d</w:t>
      </w:r>
      <w:r>
        <w:rPr>
          <w:sz w:val="24"/>
        </w:rPr>
        <w:t>的养殖试验后，各试验组黄鳝的存活率、增重率、特定生长率等结果见表</w:t>
      </w:r>
      <w:r>
        <w:rPr>
          <w:sz w:val="24"/>
        </w:rPr>
        <w:t>2</w:t>
      </w:r>
      <w:r>
        <w:rPr>
          <w:sz w:val="24"/>
        </w:rPr>
        <w:t>，存活率各组之间差异不显著（</w:t>
      </w:r>
      <w:r>
        <w:rPr>
          <w:i/>
          <w:iCs/>
          <w:sz w:val="24"/>
        </w:rPr>
        <w:t>P</w:t>
      </w:r>
      <w:r>
        <w:rPr>
          <w:sz w:val="24"/>
        </w:rPr>
        <w:t>&gt;0.05</w:t>
      </w:r>
      <w:r>
        <w:rPr>
          <w:sz w:val="24"/>
        </w:rPr>
        <w:t>）；增重率，随饲料蛋白质含量呈先升高后降低的趋势，</w:t>
      </w:r>
      <w:r>
        <w:rPr>
          <w:sz w:val="24"/>
        </w:rPr>
        <w:t>T5—T7</w:t>
      </w:r>
      <w:proofErr w:type="gramStart"/>
      <w:r>
        <w:rPr>
          <w:sz w:val="24"/>
        </w:rPr>
        <w:t>三</w:t>
      </w:r>
      <w:proofErr w:type="gramEnd"/>
      <w:r>
        <w:rPr>
          <w:sz w:val="24"/>
        </w:rPr>
        <w:t>组显著高于</w:t>
      </w:r>
      <w:r>
        <w:rPr>
          <w:sz w:val="24"/>
        </w:rPr>
        <w:t>T1—T4</w:t>
      </w:r>
      <w:r>
        <w:rPr>
          <w:sz w:val="24"/>
        </w:rPr>
        <w:t>组（</w:t>
      </w:r>
      <w:r>
        <w:rPr>
          <w:i/>
          <w:iCs/>
          <w:sz w:val="24"/>
        </w:rPr>
        <w:t>P</w:t>
      </w:r>
      <w:r>
        <w:rPr>
          <w:sz w:val="24"/>
        </w:rPr>
        <w:t>&lt;0.05</w:t>
      </w:r>
      <w:r>
        <w:rPr>
          <w:sz w:val="24"/>
        </w:rPr>
        <w:t>），但当饲料蛋白含量超过</w:t>
      </w:r>
      <w:r>
        <w:rPr>
          <w:sz w:val="24"/>
        </w:rPr>
        <w:t>52.65 %</w:t>
      </w:r>
      <w:r>
        <w:rPr>
          <w:sz w:val="24"/>
        </w:rPr>
        <w:t>（</w:t>
      </w:r>
      <w:r>
        <w:rPr>
          <w:sz w:val="24"/>
        </w:rPr>
        <w:t>T5</w:t>
      </w:r>
      <w:r>
        <w:rPr>
          <w:sz w:val="24"/>
        </w:rPr>
        <w:t>）时，各高蛋白组间增重率差异不显著（</w:t>
      </w:r>
      <w:r>
        <w:rPr>
          <w:i/>
          <w:iCs/>
          <w:sz w:val="24"/>
        </w:rPr>
        <w:t>P</w:t>
      </w:r>
      <w:r>
        <w:rPr>
          <w:sz w:val="24"/>
        </w:rPr>
        <w:t>&gt;0.05</w:t>
      </w:r>
      <w:r>
        <w:rPr>
          <w:sz w:val="24"/>
        </w:rPr>
        <w:t>）；各组黄鳝的特定生长率的变化趋势与增重率相同。</w:t>
      </w:r>
    </w:p>
    <w:p w14:paraId="40C0DECD" w14:textId="77777777" w:rsidR="004F39F6" w:rsidRDefault="00731C67">
      <w:pPr>
        <w:widowControl/>
        <w:jc w:val="center"/>
        <w:rPr>
          <w:color w:val="000000"/>
          <w:kern w:val="0"/>
          <w:szCs w:val="21"/>
          <w:lang w:bidi="ar"/>
        </w:rPr>
      </w:pPr>
      <w:r>
        <w:rPr>
          <w:noProof/>
          <w:color w:val="000000"/>
          <w:kern w:val="0"/>
          <w:szCs w:val="21"/>
          <w:lang w:bidi="ar"/>
        </w:rPr>
        <w:drawing>
          <wp:inline distT="0" distB="0" distL="0" distR="0" wp14:anchorId="53F33C9B" wp14:editId="3568DDC0">
            <wp:extent cx="4644390" cy="1664335"/>
            <wp:effectExtent l="0" t="0" r="381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4"/>
                    <a:stretch>
                      <a:fillRect/>
                    </a:stretch>
                  </pic:blipFill>
                  <pic:spPr>
                    <a:xfrm>
                      <a:off x="0" y="0"/>
                      <a:ext cx="4656997" cy="1668938"/>
                    </a:xfrm>
                    <a:prstGeom prst="rect">
                      <a:avLst/>
                    </a:prstGeom>
                  </pic:spPr>
                </pic:pic>
              </a:graphicData>
            </a:graphic>
          </wp:inline>
        </w:drawing>
      </w:r>
    </w:p>
    <w:p w14:paraId="42303AEF" w14:textId="77777777" w:rsidR="004F39F6" w:rsidRDefault="00731C67">
      <w:pPr>
        <w:spacing w:line="360" w:lineRule="auto"/>
        <w:rPr>
          <w:sz w:val="24"/>
        </w:rPr>
      </w:pPr>
      <w:r>
        <w:rPr>
          <w:sz w:val="24"/>
        </w:rPr>
        <w:t xml:space="preserve">2.2  </w:t>
      </w:r>
      <w:r>
        <w:rPr>
          <w:sz w:val="24"/>
        </w:rPr>
        <w:t>蛋白质含量对黄鳝饲料利用效果的影响</w:t>
      </w:r>
    </w:p>
    <w:p w14:paraId="4F51C235" w14:textId="77777777" w:rsidR="004F39F6" w:rsidRDefault="00731C67">
      <w:pPr>
        <w:spacing w:line="360" w:lineRule="auto"/>
        <w:ind w:firstLineChars="200" w:firstLine="480"/>
        <w:rPr>
          <w:sz w:val="24"/>
        </w:rPr>
      </w:pPr>
      <w:r>
        <w:rPr>
          <w:sz w:val="24"/>
        </w:rPr>
        <w:t>各组黄鳝的饲料系数及蛋白效率见表</w:t>
      </w:r>
      <w:r>
        <w:rPr>
          <w:sz w:val="24"/>
        </w:rPr>
        <w:t>3</w:t>
      </w:r>
      <w:r>
        <w:rPr>
          <w:sz w:val="24"/>
        </w:rPr>
        <w:t>，由表可知，当饲料粗蛋白含量由</w:t>
      </w:r>
      <w:r>
        <w:rPr>
          <w:sz w:val="24"/>
        </w:rPr>
        <w:t>32.74 %</w:t>
      </w:r>
      <w:r>
        <w:rPr>
          <w:sz w:val="24"/>
        </w:rPr>
        <w:t>（</w:t>
      </w:r>
      <w:r>
        <w:rPr>
          <w:sz w:val="24"/>
        </w:rPr>
        <w:t>T1</w:t>
      </w:r>
      <w:r>
        <w:rPr>
          <w:sz w:val="24"/>
        </w:rPr>
        <w:t>）升高至</w:t>
      </w:r>
      <w:r>
        <w:rPr>
          <w:sz w:val="24"/>
        </w:rPr>
        <w:t>62.31 %</w:t>
      </w:r>
      <w:r>
        <w:rPr>
          <w:sz w:val="24"/>
        </w:rPr>
        <w:t>（</w:t>
      </w:r>
      <w:r>
        <w:rPr>
          <w:sz w:val="24"/>
        </w:rPr>
        <w:t>T7</w:t>
      </w:r>
      <w:r>
        <w:rPr>
          <w:sz w:val="24"/>
        </w:rPr>
        <w:t>）时，饲料系数呈先降低后上升的趋势，</w:t>
      </w:r>
      <w:r>
        <w:rPr>
          <w:sz w:val="24"/>
        </w:rPr>
        <w:t>T5—T7</w:t>
      </w:r>
      <w:proofErr w:type="gramStart"/>
      <w:r>
        <w:rPr>
          <w:sz w:val="24"/>
        </w:rPr>
        <w:t>三</w:t>
      </w:r>
      <w:proofErr w:type="gramEnd"/>
      <w:r>
        <w:rPr>
          <w:sz w:val="24"/>
        </w:rPr>
        <w:t>组显著低于</w:t>
      </w:r>
      <w:r>
        <w:rPr>
          <w:sz w:val="24"/>
        </w:rPr>
        <w:t>T1</w:t>
      </w:r>
      <w:r>
        <w:rPr>
          <w:sz w:val="24"/>
        </w:rPr>
        <w:t>、</w:t>
      </w:r>
      <w:r>
        <w:rPr>
          <w:sz w:val="24"/>
        </w:rPr>
        <w:t>T2</w:t>
      </w:r>
      <w:r>
        <w:rPr>
          <w:sz w:val="24"/>
        </w:rPr>
        <w:t>、</w:t>
      </w:r>
      <w:r>
        <w:rPr>
          <w:sz w:val="24"/>
        </w:rPr>
        <w:t>T3</w:t>
      </w:r>
      <w:r>
        <w:rPr>
          <w:sz w:val="24"/>
        </w:rPr>
        <w:t>组（</w:t>
      </w:r>
      <w:r>
        <w:rPr>
          <w:i/>
          <w:sz w:val="24"/>
        </w:rPr>
        <w:t>P</w:t>
      </w:r>
      <w:r>
        <w:rPr>
          <w:sz w:val="24"/>
        </w:rPr>
        <w:t>&lt;0.05</w:t>
      </w:r>
      <w:r>
        <w:rPr>
          <w:sz w:val="24"/>
        </w:rPr>
        <w:t>），与</w:t>
      </w:r>
      <w:r>
        <w:rPr>
          <w:sz w:val="24"/>
        </w:rPr>
        <w:t>T4</w:t>
      </w:r>
      <w:r>
        <w:rPr>
          <w:sz w:val="24"/>
        </w:rPr>
        <w:t>组无显著性</w:t>
      </w:r>
      <w:r>
        <w:rPr>
          <w:sz w:val="24"/>
        </w:rPr>
        <w:t>差异（</w:t>
      </w:r>
      <w:r>
        <w:rPr>
          <w:i/>
          <w:sz w:val="24"/>
        </w:rPr>
        <w:t>P</w:t>
      </w:r>
      <w:r>
        <w:rPr>
          <w:sz w:val="24"/>
        </w:rPr>
        <w:t>&gt;0.05</w:t>
      </w:r>
      <w:r>
        <w:rPr>
          <w:sz w:val="24"/>
        </w:rPr>
        <w:t>），且</w:t>
      </w:r>
      <w:r>
        <w:rPr>
          <w:sz w:val="24"/>
        </w:rPr>
        <w:t>T5—T7</w:t>
      </w:r>
      <w:proofErr w:type="gramStart"/>
      <w:r>
        <w:rPr>
          <w:sz w:val="24"/>
        </w:rPr>
        <w:t>三</w:t>
      </w:r>
      <w:proofErr w:type="gramEnd"/>
      <w:r>
        <w:rPr>
          <w:sz w:val="24"/>
        </w:rPr>
        <w:t>组间差异不显著（</w:t>
      </w:r>
      <w:r>
        <w:rPr>
          <w:i/>
          <w:sz w:val="24"/>
        </w:rPr>
        <w:t>P</w:t>
      </w:r>
      <w:r>
        <w:rPr>
          <w:sz w:val="24"/>
        </w:rPr>
        <w:t>&gt;0.05</w:t>
      </w:r>
      <w:r>
        <w:rPr>
          <w:sz w:val="24"/>
        </w:rPr>
        <w:t>）；蛋白质效率随饲料蛋白质含量则呈先升高再下降的趋势，</w:t>
      </w:r>
      <w:r>
        <w:rPr>
          <w:sz w:val="24"/>
        </w:rPr>
        <w:t>T5—T7</w:t>
      </w:r>
      <w:proofErr w:type="gramStart"/>
      <w:r>
        <w:rPr>
          <w:sz w:val="24"/>
        </w:rPr>
        <w:t>三</w:t>
      </w:r>
      <w:proofErr w:type="gramEnd"/>
      <w:r>
        <w:rPr>
          <w:sz w:val="24"/>
        </w:rPr>
        <w:t>组显著高于</w:t>
      </w:r>
      <w:r>
        <w:rPr>
          <w:sz w:val="24"/>
        </w:rPr>
        <w:t>T1</w:t>
      </w:r>
      <w:r>
        <w:rPr>
          <w:sz w:val="24"/>
        </w:rPr>
        <w:t>、</w:t>
      </w:r>
      <w:r>
        <w:rPr>
          <w:sz w:val="24"/>
        </w:rPr>
        <w:t>T2</w:t>
      </w:r>
      <w:r>
        <w:rPr>
          <w:sz w:val="24"/>
        </w:rPr>
        <w:t>、</w:t>
      </w:r>
      <w:r>
        <w:rPr>
          <w:sz w:val="24"/>
        </w:rPr>
        <w:t>T3</w:t>
      </w:r>
      <w:r>
        <w:rPr>
          <w:sz w:val="24"/>
        </w:rPr>
        <w:t>组（</w:t>
      </w:r>
      <w:r>
        <w:rPr>
          <w:i/>
          <w:sz w:val="24"/>
        </w:rPr>
        <w:t>P</w:t>
      </w:r>
      <w:r>
        <w:rPr>
          <w:sz w:val="24"/>
        </w:rPr>
        <w:t>&lt;0.05</w:t>
      </w:r>
      <w:r>
        <w:rPr>
          <w:sz w:val="24"/>
        </w:rPr>
        <w:t>），与</w:t>
      </w:r>
      <w:r>
        <w:rPr>
          <w:sz w:val="24"/>
        </w:rPr>
        <w:t>T4</w:t>
      </w:r>
      <w:r>
        <w:rPr>
          <w:sz w:val="24"/>
        </w:rPr>
        <w:t>组无显著性差异（</w:t>
      </w:r>
      <w:r>
        <w:rPr>
          <w:i/>
          <w:sz w:val="24"/>
        </w:rPr>
        <w:t>P</w:t>
      </w:r>
      <w:r>
        <w:rPr>
          <w:sz w:val="24"/>
        </w:rPr>
        <w:t>&gt;0.05</w:t>
      </w:r>
      <w:r>
        <w:rPr>
          <w:sz w:val="24"/>
        </w:rPr>
        <w:t>），且</w:t>
      </w:r>
      <w:r>
        <w:rPr>
          <w:sz w:val="24"/>
        </w:rPr>
        <w:t>T5—T7</w:t>
      </w:r>
      <w:proofErr w:type="gramStart"/>
      <w:r>
        <w:rPr>
          <w:sz w:val="24"/>
        </w:rPr>
        <w:t>三</w:t>
      </w:r>
      <w:proofErr w:type="gramEnd"/>
      <w:r>
        <w:rPr>
          <w:sz w:val="24"/>
        </w:rPr>
        <w:t>组间差异不显著（</w:t>
      </w:r>
      <w:r>
        <w:rPr>
          <w:i/>
          <w:sz w:val="24"/>
        </w:rPr>
        <w:t>P</w:t>
      </w:r>
      <w:r>
        <w:rPr>
          <w:sz w:val="24"/>
        </w:rPr>
        <w:t>&gt;0.05</w:t>
      </w:r>
      <w:r>
        <w:rPr>
          <w:sz w:val="24"/>
        </w:rPr>
        <w:t>）</w:t>
      </w:r>
      <w:r>
        <w:rPr>
          <w:sz w:val="24"/>
        </w:rPr>
        <w:t>;</w:t>
      </w:r>
      <w:r>
        <w:rPr>
          <w:sz w:val="24"/>
        </w:rPr>
        <w:t>蛋白质保留率随饲料蛋白质含量的变化趋势也与蛋白质效率一致，其中当饲料粗蛋白含量为</w:t>
      </w:r>
      <w:r>
        <w:rPr>
          <w:sz w:val="24"/>
        </w:rPr>
        <w:t>52.65 %</w:t>
      </w:r>
      <w:r>
        <w:rPr>
          <w:sz w:val="24"/>
        </w:rPr>
        <w:t>（</w:t>
      </w:r>
      <w:r>
        <w:rPr>
          <w:sz w:val="24"/>
        </w:rPr>
        <w:t>T5</w:t>
      </w:r>
      <w:r>
        <w:rPr>
          <w:sz w:val="24"/>
        </w:rPr>
        <w:t>）时，蛋白质保留率最高；干物质摄食率则随饲料蛋白质含量的升高呈下降趋势，</w:t>
      </w:r>
      <w:r>
        <w:rPr>
          <w:sz w:val="24"/>
        </w:rPr>
        <w:t>T1</w:t>
      </w:r>
      <w:r>
        <w:rPr>
          <w:sz w:val="24"/>
        </w:rPr>
        <w:t>组最高，显著高于其他组（</w:t>
      </w:r>
      <w:r>
        <w:rPr>
          <w:i/>
          <w:sz w:val="24"/>
        </w:rPr>
        <w:t>P</w:t>
      </w:r>
      <w:r>
        <w:rPr>
          <w:sz w:val="24"/>
        </w:rPr>
        <w:t>&lt;0.05</w:t>
      </w:r>
      <w:r>
        <w:rPr>
          <w:sz w:val="24"/>
        </w:rPr>
        <w:t>），且</w:t>
      </w:r>
      <w:r>
        <w:rPr>
          <w:sz w:val="24"/>
        </w:rPr>
        <w:t>T3—T7</w:t>
      </w:r>
      <w:proofErr w:type="gramStart"/>
      <w:r>
        <w:rPr>
          <w:sz w:val="24"/>
        </w:rPr>
        <w:t>五</w:t>
      </w:r>
      <w:proofErr w:type="gramEnd"/>
      <w:r>
        <w:rPr>
          <w:sz w:val="24"/>
        </w:rPr>
        <w:t>组间无显著性差异（</w:t>
      </w:r>
      <w:r>
        <w:rPr>
          <w:i/>
          <w:sz w:val="24"/>
        </w:rPr>
        <w:t>P</w:t>
      </w:r>
      <w:r>
        <w:rPr>
          <w:sz w:val="24"/>
        </w:rPr>
        <w:t>&gt;</w:t>
      </w:r>
      <w:r>
        <w:rPr>
          <w:sz w:val="24"/>
        </w:rPr>
        <w:t>0.05</w:t>
      </w:r>
      <w:r>
        <w:rPr>
          <w:sz w:val="24"/>
        </w:rPr>
        <w:t>）；蛋白质摄食率随饲料蛋白质含量的变化趋势则与干物质摄食率相反，</w:t>
      </w:r>
      <w:r>
        <w:rPr>
          <w:sz w:val="24"/>
        </w:rPr>
        <w:t>T1</w:t>
      </w:r>
      <w:r>
        <w:rPr>
          <w:sz w:val="24"/>
        </w:rPr>
        <w:t>组最低，</w:t>
      </w:r>
      <w:r>
        <w:rPr>
          <w:sz w:val="24"/>
        </w:rPr>
        <w:t>T7</w:t>
      </w:r>
      <w:r>
        <w:rPr>
          <w:sz w:val="24"/>
        </w:rPr>
        <w:t>组最</w:t>
      </w:r>
      <w:r>
        <w:rPr>
          <w:sz w:val="24"/>
        </w:rPr>
        <w:lastRenderedPageBreak/>
        <w:t>高，各组间均具有显著性差异（</w:t>
      </w:r>
      <w:r>
        <w:rPr>
          <w:i/>
          <w:sz w:val="24"/>
        </w:rPr>
        <w:t>P</w:t>
      </w:r>
      <w:r>
        <w:rPr>
          <w:sz w:val="24"/>
        </w:rPr>
        <w:t>&lt;0.05</w:t>
      </w:r>
      <w:r>
        <w:rPr>
          <w:sz w:val="24"/>
        </w:rPr>
        <w:t>）。</w:t>
      </w:r>
    </w:p>
    <w:p w14:paraId="0E944DDD" w14:textId="77777777" w:rsidR="004F39F6" w:rsidRDefault="00731C67">
      <w:pPr>
        <w:widowControl/>
        <w:jc w:val="center"/>
        <w:rPr>
          <w:color w:val="000000"/>
          <w:kern w:val="0"/>
          <w:szCs w:val="21"/>
          <w:lang w:bidi="ar"/>
        </w:rPr>
      </w:pPr>
      <w:r>
        <w:rPr>
          <w:noProof/>
          <w:kern w:val="0"/>
          <w:sz w:val="24"/>
          <w:lang w:bidi="ar"/>
        </w:rPr>
        <w:drawing>
          <wp:inline distT="0" distB="0" distL="114300" distR="114300" wp14:anchorId="130FE79E" wp14:editId="64355C35">
            <wp:extent cx="5168900" cy="1212215"/>
            <wp:effectExtent l="0" t="0" r="0" b="6985"/>
            <wp:docPr id="50"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56"/>
                    <pic:cNvPicPr>
                      <a:picLocks noChangeAspect="1"/>
                    </pic:cNvPicPr>
                  </pic:nvPicPr>
                  <pic:blipFill>
                    <a:blip r:embed="rId55"/>
                    <a:stretch>
                      <a:fillRect/>
                    </a:stretch>
                  </pic:blipFill>
                  <pic:spPr>
                    <a:xfrm>
                      <a:off x="0" y="0"/>
                      <a:ext cx="5181546" cy="1215573"/>
                    </a:xfrm>
                    <a:prstGeom prst="rect">
                      <a:avLst/>
                    </a:prstGeom>
                    <a:noFill/>
                    <a:ln w="9525">
                      <a:noFill/>
                    </a:ln>
                  </pic:spPr>
                </pic:pic>
              </a:graphicData>
            </a:graphic>
          </wp:inline>
        </w:drawing>
      </w:r>
    </w:p>
    <w:p w14:paraId="6A7BCC42" w14:textId="77777777" w:rsidR="004F39F6" w:rsidRDefault="00731C67">
      <w:pPr>
        <w:spacing w:line="360" w:lineRule="auto"/>
        <w:rPr>
          <w:sz w:val="24"/>
        </w:rPr>
      </w:pPr>
      <w:r>
        <w:rPr>
          <w:sz w:val="24"/>
        </w:rPr>
        <w:t xml:space="preserve">2.3  </w:t>
      </w:r>
      <w:r>
        <w:rPr>
          <w:sz w:val="24"/>
        </w:rPr>
        <w:t>黄鳝饲料蛋白质需要量</w:t>
      </w:r>
      <w:r>
        <w:rPr>
          <w:sz w:val="24"/>
        </w:rPr>
        <w:t xml:space="preserve"> </w:t>
      </w:r>
    </w:p>
    <w:p w14:paraId="2A57E9ED" w14:textId="77777777" w:rsidR="004F39F6" w:rsidRDefault="00731C67">
      <w:pPr>
        <w:spacing w:line="360" w:lineRule="auto"/>
        <w:ind w:firstLineChars="200" w:firstLine="480"/>
        <w:rPr>
          <w:sz w:val="24"/>
        </w:rPr>
      </w:pPr>
      <w:r>
        <w:rPr>
          <w:sz w:val="24"/>
        </w:rPr>
        <w:t>根据黄鳝增重</w:t>
      </w:r>
      <w:proofErr w:type="gramStart"/>
      <w:r>
        <w:rPr>
          <w:sz w:val="24"/>
        </w:rPr>
        <w:t>率结果</w:t>
      </w:r>
      <w:proofErr w:type="gramEnd"/>
      <w:r>
        <w:rPr>
          <w:sz w:val="24"/>
        </w:rPr>
        <w:t>可知，试验鱼的增重</w:t>
      </w:r>
      <w:proofErr w:type="gramStart"/>
      <w:r>
        <w:rPr>
          <w:sz w:val="24"/>
        </w:rPr>
        <w:t>率随着</w:t>
      </w:r>
      <w:proofErr w:type="gramEnd"/>
      <w:r>
        <w:rPr>
          <w:sz w:val="24"/>
        </w:rPr>
        <w:t>饲料蛋白含量的上升表现为</w:t>
      </w:r>
      <w:proofErr w:type="gramStart"/>
      <w:r>
        <w:rPr>
          <w:sz w:val="24"/>
        </w:rPr>
        <w:t>先显著</w:t>
      </w:r>
      <w:proofErr w:type="gramEnd"/>
      <w:r>
        <w:rPr>
          <w:sz w:val="24"/>
        </w:rPr>
        <w:t>上升（</w:t>
      </w:r>
      <w:r>
        <w:rPr>
          <w:i/>
          <w:sz w:val="24"/>
        </w:rPr>
        <w:t>P</w:t>
      </w:r>
      <w:r>
        <w:rPr>
          <w:sz w:val="24"/>
        </w:rPr>
        <w:t>&lt;0.05</w:t>
      </w:r>
      <w:r>
        <w:rPr>
          <w:sz w:val="24"/>
        </w:rPr>
        <w:t>），但当饲料蛋白含量超过</w:t>
      </w:r>
      <w:r>
        <w:rPr>
          <w:sz w:val="24"/>
        </w:rPr>
        <w:t>52.65 %</w:t>
      </w:r>
      <w:r>
        <w:rPr>
          <w:sz w:val="24"/>
        </w:rPr>
        <w:t>（干物质）后，无显著性差异（</w:t>
      </w:r>
      <w:r>
        <w:rPr>
          <w:i/>
          <w:sz w:val="24"/>
        </w:rPr>
        <w:t>P</w:t>
      </w:r>
      <w:r>
        <w:rPr>
          <w:sz w:val="24"/>
        </w:rPr>
        <w:t>&gt;0.05</w:t>
      </w:r>
      <w:r>
        <w:rPr>
          <w:sz w:val="24"/>
        </w:rPr>
        <w:t>）。由（图</w:t>
      </w:r>
      <w:r>
        <w:rPr>
          <w:sz w:val="24"/>
        </w:rPr>
        <w:t>1</w:t>
      </w:r>
      <w:r>
        <w:rPr>
          <w:sz w:val="24"/>
        </w:rPr>
        <w:t>）可知，当蛋白含量在</w:t>
      </w:r>
      <w:r>
        <w:rPr>
          <w:sz w:val="24"/>
        </w:rPr>
        <w:t>32.74 %—48.35 %</w:t>
      </w:r>
      <w:r>
        <w:rPr>
          <w:sz w:val="24"/>
        </w:rPr>
        <w:t>（干物质）时，拟合折线模型为</w:t>
      </w:r>
      <w:r>
        <w:rPr>
          <w:sz w:val="24"/>
        </w:rPr>
        <w:t>y=5.4565x-101.3307</w:t>
      </w:r>
      <w:r>
        <w:rPr>
          <w:sz w:val="24"/>
        </w:rPr>
        <w:t>，</w:t>
      </w:r>
      <w:r>
        <w:rPr>
          <w:sz w:val="24"/>
        </w:rPr>
        <w:t>R2=0.9625</w:t>
      </w:r>
      <w:r>
        <w:rPr>
          <w:sz w:val="24"/>
        </w:rPr>
        <w:t>，</w:t>
      </w:r>
      <w:r>
        <w:rPr>
          <w:i/>
          <w:sz w:val="24"/>
        </w:rPr>
        <w:t>P</w:t>
      </w:r>
      <w:r>
        <w:rPr>
          <w:sz w:val="24"/>
        </w:rPr>
        <w:t>&lt;0.05</w:t>
      </w:r>
      <w:r>
        <w:rPr>
          <w:sz w:val="24"/>
        </w:rPr>
        <w:t>。当蛋白</w:t>
      </w:r>
      <w:r>
        <w:rPr>
          <w:sz w:val="24"/>
        </w:rPr>
        <w:t>含量在</w:t>
      </w:r>
      <w:r>
        <w:rPr>
          <w:sz w:val="24"/>
        </w:rPr>
        <w:t>52.65 %—62.31 %</w:t>
      </w:r>
      <w:r>
        <w:rPr>
          <w:sz w:val="24"/>
        </w:rPr>
        <w:t>（干物质）时，折线模型为</w:t>
      </w:r>
      <w:r>
        <w:rPr>
          <w:sz w:val="24"/>
        </w:rPr>
        <w:t>y=0.1362x+178.5256</w:t>
      </w:r>
      <w:r>
        <w:rPr>
          <w:sz w:val="24"/>
        </w:rPr>
        <w:t>，</w:t>
      </w:r>
      <w:r>
        <w:rPr>
          <w:sz w:val="24"/>
        </w:rPr>
        <w:t>R2=0.0214</w:t>
      </w:r>
      <w:r>
        <w:rPr>
          <w:sz w:val="24"/>
        </w:rPr>
        <w:t>。二者交点坐标为（</w:t>
      </w:r>
      <w:r>
        <w:rPr>
          <w:sz w:val="24"/>
        </w:rPr>
        <w:t>52.60,185.68</w:t>
      </w:r>
      <w:r>
        <w:rPr>
          <w:sz w:val="24"/>
        </w:rPr>
        <w:t>），即以增重率为指标幼</w:t>
      </w:r>
      <w:proofErr w:type="gramStart"/>
      <w:r>
        <w:rPr>
          <w:sz w:val="24"/>
        </w:rPr>
        <w:t>鳝</w:t>
      </w:r>
      <w:proofErr w:type="gramEnd"/>
      <w:r>
        <w:rPr>
          <w:sz w:val="24"/>
        </w:rPr>
        <w:t>对蛋白质的需要量为</w:t>
      </w:r>
      <w:r>
        <w:rPr>
          <w:sz w:val="24"/>
        </w:rPr>
        <w:t>52.60 %</w:t>
      </w:r>
      <w:r>
        <w:rPr>
          <w:sz w:val="24"/>
        </w:rPr>
        <w:t>（干物质）。</w:t>
      </w:r>
    </w:p>
    <w:p w14:paraId="09B5FCCC" w14:textId="77777777" w:rsidR="004F39F6" w:rsidRDefault="00731C67">
      <w:pPr>
        <w:widowControl/>
        <w:jc w:val="center"/>
        <w:rPr>
          <w:color w:val="000000"/>
          <w:kern w:val="0"/>
          <w:szCs w:val="21"/>
          <w:lang w:bidi="ar"/>
        </w:rPr>
      </w:pPr>
      <w:r>
        <w:rPr>
          <w:noProof/>
          <w:color w:val="000000"/>
          <w:kern w:val="0"/>
          <w:szCs w:val="21"/>
          <w:lang w:bidi="ar"/>
        </w:rPr>
        <w:drawing>
          <wp:inline distT="0" distB="0" distL="0" distR="0" wp14:anchorId="6E1F45DA" wp14:editId="40C7ABEA">
            <wp:extent cx="4290060" cy="1516380"/>
            <wp:effectExtent l="0" t="0" r="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6"/>
                    <a:stretch>
                      <a:fillRect/>
                    </a:stretch>
                  </pic:blipFill>
                  <pic:spPr>
                    <a:xfrm>
                      <a:off x="0" y="0"/>
                      <a:ext cx="4311774" cy="1524147"/>
                    </a:xfrm>
                    <a:prstGeom prst="rect">
                      <a:avLst/>
                    </a:prstGeom>
                  </pic:spPr>
                </pic:pic>
              </a:graphicData>
            </a:graphic>
          </wp:inline>
        </w:drawing>
      </w:r>
    </w:p>
    <w:p w14:paraId="25AFCD77" w14:textId="77777777" w:rsidR="004F39F6" w:rsidRDefault="00731C67">
      <w:pPr>
        <w:spacing w:line="360" w:lineRule="auto"/>
        <w:ind w:firstLineChars="200" w:firstLine="480"/>
        <w:rPr>
          <w:sz w:val="24"/>
        </w:rPr>
      </w:pPr>
      <w:r>
        <w:rPr>
          <w:sz w:val="24"/>
        </w:rPr>
        <w:t>蛋白质效率随饲料蛋白质含量的变化趋势与增重率随饲料蛋白质含量之间的关系相似。拟合折线模型为：</w:t>
      </w:r>
      <w:r>
        <w:rPr>
          <w:sz w:val="24"/>
        </w:rPr>
        <w:t>y=3.5054x-18.8954,R2=0.9552</w:t>
      </w:r>
      <w:r>
        <w:rPr>
          <w:sz w:val="24"/>
        </w:rPr>
        <w:t>，</w:t>
      </w:r>
      <w:r>
        <w:rPr>
          <w:i/>
          <w:sz w:val="24"/>
        </w:rPr>
        <w:t>P</w:t>
      </w:r>
      <w:r>
        <w:rPr>
          <w:sz w:val="24"/>
        </w:rPr>
        <w:t>&lt;0.05</w:t>
      </w:r>
      <w:r>
        <w:rPr>
          <w:sz w:val="24"/>
        </w:rPr>
        <w:t>，及</w:t>
      </w:r>
      <w:r>
        <w:rPr>
          <w:sz w:val="24"/>
        </w:rPr>
        <w:t>y=-0.1095x+156.706</w:t>
      </w:r>
      <w:r>
        <w:rPr>
          <w:sz w:val="24"/>
        </w:rPr>
        <w:t>，</w:t>
      </w:r>
      <w:r>
        <w:rPr>
          <w:sz w:val="24"/>
        </w:rPr>
        <w:t>R2=0.1521</w:t>
      </w:r>
      <w:r>
        <w:rPr>
          <w:sz w:val="24"/>
        </w:rPr>
        <w:t>并作图（图</w:t>
      </w:r>
      <w:r>
        <w:rPr>
          <w:sz w:val="24"/>
        </w:rPr>
        <w:t>2</w:t>
      </w:r>
      <w:r>
        <w:rPr>
          <w:sz w:val="24"/>
        </w:rPr>
        <w:t>）。由此二公式可知，当</w:t>
      </w:r>
      <w:r>
        <w:rPr>
          <w:sz w:val="24"/>
        </w:rPr>
        <w:t>x=48.51</w:t>
      </w:r>
      <w:r>
        <w:rPr>
          <w:sz w:val="24"/>
        </w:rPr>
        <w:t>时即可获得较</w:t>
      </w:r>
      <w:r>
        <w:rPr>
          <w:sz w:val="24"/>
        </w:rPr>
        <w:t>高的蛋白质效率。因此，由蛋白质效率确定得黄鳝对蛋白质得需要量同样为</w:t>
      </w:r>
      <w:r>
        <w:rPr>
          <w:sz w:val="24"/>
        </w:rPr>
        <w:t>48.51 %</w:t>
      </w:r>
      <w:r>
        <w:rPr>
          <w:sz w:val="24"/>
        </w:rPr>
        <w:t>（干物质）。</w:t>
      </w:r>
    </w:p>
    <w:p w14:paraId="646A2046" w14:textId="77777777" w:rsidR="004F39F6" w:rsidRDefault="00731C67">
      <w:pPr>
        <w:spacing w:line="360" w:lineRule="auto"/>
        <w:ind w:firstLineChars="200" w:firstLine="480"/>
        <w:jc w:val="center"/>
        <w:rPr>
          <w:sz w:val="24"/>
        </w:rPr>
      </w:pPr>
      <w:r>
        <w:rPr>
          <w:noProof/>
          <w:sz w:val="24"/>
        </w:rPr>
        <w:drawing>
          <wp:inline distT="0" distB="0" distL="114300" distR="114300" wp14:anchorId="471B0341" wp14:editId="7258A6E2">
            <wp:extent cx="2743200" cy="1695450"/>
            <wp:effectExtent l="0" t="0" r="0" b="6350"/>
            <wp:docPr id="52"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56"/>
                    <pic:cNvPicPr>
                      <a:picLocks noChangeAspect="1"/>
                    </pic:cNvPicPr>
                  </pic:nvPicPr>
                  <pic:blipFill>
                    <a:blip r:embed="rId57"/>
                    <a:stretch>
                      <a:fillRect/>
                    </a:stretch>
                  </pic:blipFill>
                  <pic:spPr>
                    <a:xfrm>
                      <a:off x="0" y="0"/>
                      <a:ext cx="2743200" cy="1695450"/>
                    </a:xfrm>
                    <a:prstGeom prst="rect">
                      <a:avLst/>
                    </a:prstGeom>
                    <a:noFill/>
                    <a:ln w="9525">
                      <a:noFill/>
                    </a:ln>
                  </pic:spPr>
                </pic:pic>
              </a:graphicData>
            </a:graphic>
          </wp:inline>
        </w:drawing>
      </w:r>
    </w:p>
    <w:p w14:paraId="566519A9" w14:textId="77777777" w:rsidR="004F39F6" w:rsidRDefault="00731C67">
      <w:pPr>
        <w:widowControl/>
        <w:jc w:val="center"/>
        <w:rPr>
          <w:color w:val="000000"/>
          <w:kern w:val="0"/>
          <w:szCs w:val="21"/>
          <w:lang w:bidi="ar"/>
        </w:rPr>
      </w:pPr>
      <w:r>
        <w:rPr>
          <w:noProof/>
          <w:kern w:val="0"/>
          <w:sz w:val="24"/>
          <w:lang w:bidi="ar"/>
        </w:rPr>
        <w:drawing>
          <wp:inline distT="0" distB="0" distL="114300" distR="114300" wp14:anchorId="4E0716E0" wp14:editId="01056313">
            <wp:extent cx="4381500" cy="457200"/>
            <wp:effectExtent l="0" t="0" r="0" b="0"/>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56"/>
                    <pic:cNvPicPr>
                      <a:picLocks noChangeAspect="1"/>
                    </pic:cNvPicPr>
                  </pic:nvPicPr>
                  <pic:blipFill>
                    <a:blip r:embed="rId58"/>
                    <a:stretch>
                      <a:fillRect/>
                    </a:stretch>
                  </pic:blipFill>
                  <pic:spPr>
                    <a:xfrm>
                      <a:off x="0" y="0"/>
                      <a:ext cx="4381500" cy="457200"/>
                    </a:xfrm>
                    <a:prstGeom prst="rect">
                      <a:avLst/>
                    </a:prstGeom>
                    <a:noFill/>
                    <a:ln w="9525">
                      <a:noFill/>
                    </a:ln>
                  </pic:spPr>
                </pic:pic>
              </a:graphicData>
            </a:graphic>
          </wp:inline>
        </w:drawing>
      </w:r>
    </w:p>
    <w:p w14:paraId="7F964860" w14:textId="77777777" w:rsidR="004F39F6" w:rsidRDefault="00731C67">
      <w:pPr>
        <w:spacing w:line="360" w:lineRule="auto"/>
        <w:ind w:firstLineChars="200" w:firstLine="480"/>
        <w:rPr>
          <w:sz w:val="24"/>
        </w:rPr>
      </w:pPr>
      <w:r>
        <w:rPr>
          <w:sz w:val="24"/>
        </w:rPr>
        <w:lastRenderedPageBreak/>
        <w:t>蛋白保留率与蛋白质含量之间的关系拟合曲线模型为：</w:t>
      </w:r>
      <w:r>
        <w:rPr>
          <w:sz w:val="24"/>
        </w:rPr>
        <w:t>y=1.3384x-28.1028,R2=0.9741</w:t>
      </w:r>
      <w:r>
        <w:rPr>
          <w:sz w:val="24"/>
        </w:rPr>
        <w:t>，</w:t>
      </w:r>
      <w:r>
        <w:rPr>
          <w:i/>
          <w:sz w:val="24"/>
        </w:rPr>
        <w:t>P</w:t>
      </w:r>
      <w:r>
        <w:rPr>
          <w:sz w:val="24"/>
        </w:rPr>
        <w:t>&lt;0.05</w:t>
      </w:r>
      <w:r>
        <w:rPr>
          <w:sz w:val="24"/>
        </w:rPr>
        <w:t>，及</w:t>
      </w:r>
      <w:r>
        <w:rPr>
          <w:sz w:val="24"/>
        </w:rPr>
        <w:t>y=-0.1927x+50.6558</w:t>
      </w:r>
      <w:r>
        <w:rPr>
          <w:sz w:val="24"/>
        </w:rPr>
        <w:t>，</w:t>
      </w:r>
      <w:r>
        <w:rPr>
          <w:sz w:val="24"/>
        </w:rPr>
        <w:t>R2=0.2966</w:t>
      </w:r>
      <w:r>
        <w:rPr>
          <w:sz w:val="24"/>
        </w:rPr>
        <w:t>并作图（图</w:t>
      </w:r>
      <w:r>
        <w:rPr>
          <w:sz w:val="24"/>
        </w:rPr>
        <w:t>3</w:t>
      </w:r>
      <w:r>
        <w:rPr>
          <w:sz w:val="24"/>
        </w:rPr>
        <w:t>）。由图可知，当</w:t>
      </w:r>
      <w:r>
        <w:rPr>
          <w:sz w:val="24"/>
        </w:rPr>
        <w:t>x=51.44</w:t>
      </w:r>
      <w:r>
        <w:rPr>
          <w:sz w:val="24"/>
        </w:rPr>
        <w:t>时，即可获得较高的蛋白质保留率。因此，由蛋白保留率确定的黄鳝对蛋白质的需要量为</w:t>
      </w:r>
      <w:r>
        <w:rPr>
          <w:sz w:val="24"/>
        </w:rPr>
        <w:t>51.44 %</w:t>
      </w:r>
      <w:r>
        <w:rPr>
          <w:sz w:val="24"/>
        </w:rPr>
        <w:t>（干物质）。</w:t>
      </w:r>
    </w:p>
    <w:p w14:paraId="43637EDD" w14:textId="77777777" w:rsidR="004F39F6" w:rsidRDefault="00731C67">
      <w:pPr>
        <w:widowControl/>
        <w:jc w:val="center"/>
        <w:rPr>
          <w:color w:val="000000"/>
          <w:kern w:val="0"/>
          <w:szCs w:val="21"/>
          <w:lang w:bidi="ar"/>
        </w:rPr>
      </w:pPr>
      <w:r>
        <w:rPr>
          <w:noProof/>
          <w:color w:val="000000"/>
          <w:kern w:val="0"/>
          <w:szCs w:val="21"/>
          <w:lang w:bidi="ar"/>
        </w:rPr>
        <w:drawing>
          <wp:inline distT="0" distB="0" distL="0" distR="0" wp14:anchorId="46B67F42" wp14:editId="623CD906">
            <wp:extent cx="2957195" cy="1524000"/>
            <wp:effectExtent l="0" t="0" r="190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9"/>
                    <a:stretch>
                      <a:fillRect/>
                    </a:stretch>
                  </pic:blipFill>
                  <pic:spPr>
                    <a:xfrm>
                      <a:off x="0" y="0"/>
                      <a:ext cx="2957195" cy="1524000"/>
                    </a:xfrm>
                    <a:prstGeom prst="rect">
                      <a:avLst/>
                    </a:prstGeom>
                  </pic:spPr>
                </pic:pic>
              </a:graphicData>
            </a:graphic>
          </wp:inline>
        </w:drawing>
      </w:r>
    </w:p>
    <w:p w14:paraId="5B06C504" w14:textId="77777777" w:rsidR="004F39F6" w:rsidRDefault="00731C67">
      <w:pPr>
        <w:spacing w:line="360" w:lineRule="auto"/>
        <w:ind w:firstLineChars="200" w:firstLine="480"/>
        <w:rPr>
          <w:sz w:val="24"/>
        </w:rPr>
      </w:pPr>
      <w:r>
        <w:rPr>
          <w:sz w:val="24"/>
        </w:rPr>
        <w:t>饲料系数与蛋白质含量之间的关系拟合折线模型为：当蛋白含量在</w:t>
      </w:r>
      <w:r>
        <w:rPr>
          <w:sz w:val="24"/>
        </w:rPr>
        <w:t>32.74 %—48.35 %</w:t>
      </w:r>
      <w:r>
        <w:rPr>
          <w:sz w:val="24"/>
        </w:rPr>
        <w:t>（干物质）时，拟合折线模型为</w:t>
      </w:r>
      <w:r>
        <w:rPr>
          <w:sz w:val="24"/>
        </w:rPr>
        <w:t>y=-0.0882x+5.5923</w:t>
      </w:r>
      <w:r>
        <w:rPr>
          <w:sz w:val="24"/>
        </w:rPr>
        <w:t>，</w:t>
      </w:r>
      <w:r>
        <w:rPr>
          <w:sz w:val="24"/>
        </w:rPr>
        <w:t>R2=0.9719</w:t>
      </w:r>
      <w:r>
        <w:rPr>
          <w:sz w:val="24"/>
        </w:rPr>
        <w:t>，</w:t>
      </w:r>
      <w:r>
        <w:rPr>
          <w:i/>
          <w:sz w:val="24"/>
        </w:rPr>
        <w:t>P</w:t>
      </w:r>
      <w:r>
        <w:rPr>
          <w:sz w:val="24"/>
        </w:rPr>
        <w:t>&lt;0.05</w:t>
      </w:r>
      <w:r>
        <w:rPr>
          <w:sz w:val="24"/>
        </w:rPr>
        <w:t>。当蛋白含量在</w:t>
      </w:r>
      <w:r>
        <w:rPr>
          <w:sz w:val="24"/>
        </w:rPr>
        <w:t>52.65 %—62.31 %</w:t>
      </w:r>
      <w:r>
        <w:rPr>
          <w:sz w:val="24"/>
        </w:rPr>
        <w:t>（干物质）时，折线模型为</w:t>
      </w:r>
      <w:r>
        <w:rPr>
          <w:sz w:val="24"/>
        </w:rPr>
        <w:t>y=0.003x+1.0738</w:t>
      </w:r>
      <w:r>
        <w:rPr>
          <w:sz w:val="24"/>
        </w:rPr>
        <w:t>，</w:t>
      </w:r>
      <w:r>
        <w:rPr>
          <w:sz w:val="24"/>
        </w:rPr>
        <w:t>R2=0.0627</w:t>
      </w:r>
      <w:r>
        <w:rPr>
          <w:sz w:val="24"/>
        </w:rPr>
        <w:t>。当</w:t>
      </w:r>
      <w:r>
        <w:rPr>
          <w:sz w:val="24"/>
        </w:rPr>
        <w:t>x=49.53</w:t>
      </w:r>
      <w:r>
        <w:rPr>
          <w:sz w:val="24"/>
        </w:rPr>
        <w:t>时，可获得较低的饲料系数。即以饲料系数为指标幼</w:t>
      </w:r>
      <w:proofErr w:type="gramStart"/>
      <w:r>
        <w:rPr>
          <w:sz w:val="24"/>
        </w:rPr>
        <w:t>鳝</w:t>
      </w:r>
      <w:proofErr w:type="gramEnd"/>
      <w:r>
        <w:rPr>
          <w:sz w:val="24"/>
        </w:rPr>
        <w:t>对蛋白质的需要量为</w:t>
      </w:r>
      <w:r>
        <w:rPr>
          <w:sz w:val="24"/>
        </w:rPr>
        <w:t>49.53 %</w:t>
      </w:r>
      <w:r>
        <w:rPr>
          <w:sz w:val="24"/>
        </w:rPr>
        <w:t>（干物质）。</w:t>
      </w:r>
    </w:p>
    <w:p w14:paraId="2DC11766" w14:textId="77777777" w:rsidR="004F39F6" w:rsidRDefault="00731C67">
      <w:pPr>
        <w:spacing w:line="360" w:lineRule="auto"/>
        <w:ind w:firstLineChars="200" w:firstLine="480"/>
        <w:jc w:val="center"/>
        <w:rPr>
          <w:sz w:val="24"/>
        </w:rPr>
      </w:pPr>
      <w:r>
        <w:rPr>
          <w:sz w:val="24"/>
        </w:rPr>
        <w:t>综上所述，本试验条件下，幼</w:t>
      </w:r>
      <w:proofErr w:type="gramStart"/>
      <w:r>
        <w:rPr>
          <w:sz w:val="24"/>
        </w:rPr>
        <w:t>鳝</w:t>
      </w:r>
      <w:proofErr w:type="gramEnd"/>
      <w:r>
        <w:rPr>
          <w:sz w:val="24"/>
        </w:rPr>
        <w:t>对饲料的蛋白质适宜需求量为</w:t>
      </w:r>
      <w:r>
        <w:rPr>
          <w:sz w:val="24"/>
        </w:rPr>
        <w:t xml:space="preserve"> 48.51 %—52.60 %</w:t>
      </w:r>
      <w:r>
        <w:rPr>
          <w:sz w:val="24"/>
        </w:rPr>
        <w:t>。</w:t>
      </w:r>
      <w:r>
        <w:rPr>
          <w:noProof/>
          <w:sz w:val="24"/>
        </w:rPr>
        <w:drawing>
          <wp:inline distT="0" distB="0" distL="0" distR="0" wp14:anchorId="535E9C83" wp14:editId="6FA7258E">
            <wp:extent cx="3129280" cy="1768475"/>
            <wp:effectExtent l="0" t="0" r="762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0"/>
                    <a:stretch>
                      <a:fillRect/>
                    </a:stretch>
                  </pic:blipFill>
                  <pic:spPr>
                    <a:xfrm>
                      <a:off x="0" y="0"/>
                      <a:ext cx="3129280" cy="1768475"/>
                    </a:xfrm>
                    <a:prstGeom prst="rect">
                      <a:avLst/>
                    </a:prstGeom>
                  </pic:spPr>
                </pic:pic>
              </a:graphicData>
            </a:graphic>
          </wp:inline>
        </w:drawing>
      </w:r>
    </w:p>
    <w:p w14:paraId="63AB81F0" w14:textId="77777777" w:rsidR="004F39F6" w:rsidRDefault="00731C67">
      <w:pPr>
        <w:spacing w:line="360" w:lineRule="auto"/>
        <w:rPr>
          <w:sz w:val="24"/>
        </w:rPr>
      </w:pPr>
      <w:r>
        <w:rPr>
          <w:sz w:val="24"/>
        </w:rPr>
        <w:t>2.4</w:t>
      </w:r>
      <w:r>
        <w:rPr>
          <w:sz w:val="24"/>
        </w:rPr>
        <w:t xml:space="preserve">  </w:t>
      </w:r>
      <w:r>
        <w:rPr>
          <w:sz w:val="24"/>
        </w:rPr>
        <w:t>蛋白质含量对黄鳝血清生化指标的影响</w:t>
      </w:r>
      <w:r>
        <w:rPr>
          <w:sz w:val="24"/>
        </w:rPr>
        <w:t xml:space="preserve"> </w:t>
      </w:r>
    </w:p>
    <w:p w14:paraId="45A4C4E1" w14:textId="77777777" w:rsidR="004F39F6" w:rsidRDefault="00731C67">
      <w:pPr>
        <w:spacing w:line="360" w:lineRule="auto"/>
        <w:ind w:firstLineChars="200" w:firstLine="480"/>
        <w:rPr>
          <w:sz w:val="24"/>
        </w:rPr>
      </w:pPr>
      <w:r>
        <w:rPr>
          <w:sz w:val="24"/>
        </w:rPr>
        <w:t>饲料中不同蛋白质含量对黄鳝血清生化指标的影响见表</w:t>
      </w:r>
      <w:r>
        <w:rPr>
          <w:sz w:val="24"/>
        </w:rPr>
        <w:t xml:space="preserve"> 4</w:t>
      </w:r>
      <w:r>
        <w:rPr>
          <w:sz w:val="24"/>
        </w:rPr>
        <w:t>。随着饲料中蛋白质含量的升高，血清中</w:t>
      </w:r>
      <w:r>
        <w:rPr>
          <w:sz w:val="24"/>
        </w:rPr>
        <w:t>GPT</w:t>
      </w:r>
      <w:r>
        <w:rPr>
          <w:sz w:val="24"/>
        </w:rPr>
        <w:t>、</w:t>
      </w:r>
      <w:r>
        <w:rPr>
          <w:sz w:val="24"/>
        </w:rPr>
        <w:t>GOT</w:t>
      </w:r>
      <w:r>
        <w:rPr>
          <w:sz w:val="24"/>
        </w:rPr>
        <w:t>的活性呈下降趋势，</w:t>
      </w:r>
      <w:r>
        <w:rPr>
          <w:sz w:val="24"/>
        </w:rPr>
        <w:t>T5—T7</w:t>
      </w:r>
      <w:proofErr w:type="gramStart"/>
      <w:r>
        <w:rPr>
          <w:sz w:val="24"/>
        </w:rPr>
        <w:t>三</w:t>
      </w:r>
      <w:proofErr w:type="gramEnd"/>
      <w:r>
        <w:rPr>
          <w:sz w:val="24"/>
        </w:rPr>
        <w:t>组显著低于其他组（</w:t>
      </w:r>
      <w:r>
        <w:rPr>
          <w:i/>
          <w:sz w:val="24"/>
        </w:rPr>
        <w:t>P</w:t>
      </w:r>
      <w:r>
        <w:rPr>
          <w:sz w:val="24"/>
        </w:rPr>
        <w:t>&lt;0.05</w:t>
      </w:r>
      <w:r>
        <w:rPr>
          <w:sz w:val="24"/>
        </w:rPr>
        <w:t>），三组之间无显著性差异（</w:t>
      </w:r>
      <w:r>
        <w:rPr>
          <w:i/>
          <w:sz w:val="24"/>
        </w:rPr>
        <w:t>P</w:t>
      </w:r>
      <w:r>
        <w:rPr>
          <w:sz w:val="24"/>
        </w:rPr>
        <w:t>&gt;0.05</w:t>
      </w:r>
      <w:r>
        <w:rPr>
          <w:sz w:val="24"/>
        </w:rPr>
        <w:t>）；血清中总蛋白的浓度随着饲料中蛋白质含量的升高呈先上升后不变的趋势，以</w:t>
      </w:r>
      <w:r>
        <w:rPr>
          <w:sz w:val="24"/>
        </w:rPr>
        <w:t>T4</w:t>
      </w:r>
      <w:r>
        <w:rPr>
          <w:sz w:val="24"/>
        </w:rPr>
        <w:t>组最高，显著高于</w:t>
      </w:r>
      <w:r>
        <w:rPr>
          <w:sz w:val="24"/>
        </w:rPr>
        <w:t>T1</w:t>
      </w:r>
      <w:r>
        <w:rPr>
          <w:sz w:val="24"/>
        </w:rPr>
        <w:t>、</w:t>
      </w:r>
      <w:r>
        <w:rPr>
          <w:sz w:val="24"/>
        </w:rPr>
        <w:t>T2</w:t>
      </w:r>
      <w:r>
        <w:rPr>
          <w:sz w:val="24"/>
        </w:rPr>
        <w:t>、</w:t>
      </w:r>
      <w:r>
        <w:rPr>
          <w:sz w:val="24"/>
        </w:rPr>
        <w:t>T3</w:t>
      </w:r>
      <w:r>
        <w:rPr>
          <w:sz w:val="24"/>
        </w:rPr>
        <w:t>组（</w:t>
      </w:r>
      <w:r>
        <w:rPr>
          <w:i/>
          <w:sz w:val="24"/>
        </w:rPr>
        <w:t>P</w:t>
      </w:r>
      <w:r>
        <w:rPr>
          <w:sz w:val="24"/>
        </w:rPr>
        <w:t>&lt;0.05</w:t>
      </w:r>
      <w:r>
        <w:rPr>
          <w:sz w:val="24"/>
        </w:rPr>
        <w:t>），与</w:t>
      </w:r>
      <w:r>
        <w:rPr>
          <w:sz w:val="24"/>
        </w:rPr>
        <w:t>T5</w:t>
      </w:r>
      <w:r>
        <w:rPr>
          <w:sz w:val="24"/>
        </w:rPr>
        <w:t>、</w:t>
      </w:r>
      <w:r>
        <w:rPr>
          <w:sz w:val="24"/>
        </w:rPr>
        <w:t>T6</w:t>
      </w:r>
      <w:r>
        <w:rPr>
          <w:sz w:val="24"/>
        </w:rPr>
        <w:t>、</w:t>
      </w:r>
      <w:r>
        <w:rPr>
          <w:sz w:val="24"/>
        </w:rPr>
        <w:t>T7</w:t>
      </w:r>
      <w:r>
        <w:rPr>
          <w:sz w:val="24"/>
        </w:rPr>
        <w:t>组无显著差异（</w:t>
      </w:r>
      <w:r>
        <w:rPr>
          <w:i/>
          <w:sz w:val="24"/>
        </w:rPr>
        <w:t>P</w:t>
      </w:r>
      <w:r>
        <w:rPr>
          <w:sz w:val="24"/>
        </w:rPr>
        <w:t>&gt;0.05</w:t>
      </w:r>
      <w:r>
        <w:rPr>
          <w:sz w:val="24"/>
        </w:rPr>
        <w:t>）；尿素氮的浓度随着饲料中蛋白质含量的升高而升高，</w:t>
      </w:r>
      <w:r>
        <w:rPr>
          <w:sz w:val="24"/>
        </w:rPr>
        <w:t>T7</w:t>
      </w:r>
      <w:r>
        <w:rPr>
          <w:sz w:val="24"/>
        </w:rPr>
        <w:t>组最高，与</w:t>
      </w:r>
      <w:r>
        <w:rPr>
          <w:sz w:val="24"/>
        </w:rPr>
        <w:t>T6</w:t>
      </w:r>
      <w:r>
        <w:rPr>
          <w:sz w:val="24"/>
        </w:rPr>
        <w:t>组差异不显著（</w:t>
      </w:r>
      <w:r>
        <w:rPr>
          <w:i/>
          <w:sz w:val="24"/>
        </w:rPr>
        <w:t>P</w:t>
      </w:r>
      <w:r>
        <w:rPr>
          <w:sz w:val="24"/>
        </w:rPr>
        <w:t>&gt;0.05</w:t>
      </w:r>
      <w:r>
        <w:rPr>
          <w:sz w:val="24"/>
        </w:rPr>
        <w:t>），</w:t>
      </w:r>
      <w:r>
        <w:rPr>
          <w:sz w:val="24"/>
        </w:rPr>
        <w:t>显著高于</w:t>
      </w:r>
      <w:r>
        <w:rPr>
          <w:sz w:val="24"/>
        </w:rPr>
        <w:t>T1—T5</w:t>
      </w:r>
      <w:r>
        <w:rPr>
          <w:sz w:val="24"/>
        </w:rPr>
        <w:t>组（</w:t>
      </w:r>
      <w:r>
        <w:rPr>
          <w:i/>
          <w:sz w:val="24"/>
        </w:rPr>
        <w:t>P</w:t>
      </w:r>
      <w:r>
        <w:rPr>
          <w:sz w:val="24"/>
        </w:rPr>
        <w:t>&lt;0.05</w:t>
      </w:r>
      <w:r>
        <w:rPr>
          <w:sz w:val="24"/>
        </w:rPr>
        <w:t>）；随着饲料中蛋白质含量的升高，血清中总胆固醇、甘油三酯的浓度呈下降趋势，均以</w:t>
      </w:r>
      <w:r>
        <w:rPr>
          <w:sz w:val="24"/>
        </w:rPr>
        <w:t>T1</w:t>
      </w:r>
      <w:r>
        <w:rPr>
          <w:sz w:val="24"/>
        </w:rPr>
        <w:t>组最高，</w:t>
      </w:r>
      <w:r>
        <w:rPr>
          <w:sz w:val="24"/>
        </w:rPr>
        <w:t>T7</w:t>
      </w:r>
      <w:r>
        <w:rPr>
          <w:sz w:val="24"/>
        </w:rPr>
        <w:t>组最低，具有显著性差异（</w:t>
      </w:r>
      <w:r>
        <w:rPr>
          <w:i/>
          <w:sz w:val="24"/>
        </w:rPr>
        <w:t>P</w:t>
      </w:r>
      <w:r>
        <w:rPr>
          <w:sz w:val="24"/>
        </w:rPr>
        <w:t>&lt;0.05</w:t>
      </w:r>
      <w:r>
        <w:rPr>
          <w:sz w:val="24"/>
        </w:rPr>
        <w:t>）；血清中高密度脂蛋白的浓度随着饲料中蛋白质含量的升高呈下降</w:t>
      </w:r>
      <w:r>
        <w:rPr>
          <w:sz w:val="24"/>
        </w:rPr>
        <w:lastRenderedPageBreak/>
        <w:t>趋势，</w:t>
      </w:r>
      <w:r>
        <w:rPr>
          <w:sz w:val="24"/>
        </w:rPr>
        <w:t>T1</w:t>
      </w:r>
      <w:r>
        <w:rPr>
          <w:sz w:val="24"/>
        </w:rPr>
        <w:t>组最高，与</w:t>
      </w:r>
      <w:r>
        <w:rPr>
          <w:sz w:val="24"/>
        </w:rPr>
        <w:t>T2</w:t>
      </w:r>
      <w:r>
        <w:rPr>
          <w:sz w:val="24"/>
        </w:rPr>
        <w:t>组无显著性差异（</w:t>
      </w:r>
      <w:r>
        <w:rPr>
          <w:i/>
          <w:sz w:val="24"/>
        </w:rPr>
        <w:t>P</w:t>
      </w:r>
      <w:r>
        <w:rPr>
          <w:sz w:val="24"/>
        </w:rPr>
        <w:t>&gt;0.05</w:t>
      </w:r>
      <w:r>
        <w:rPr>
          <w:sz w:val="24"/>
        </w:rPr>
        <w:t>），但高于</w:t>
      </w:r>
      <w:r>
        <w:rPr>
          <w:sz w:val="24"/>
        </w:rPr>
        <w:t>T3—T7</w:t>
      </w:r>
      <w:r>
        <w:rPr>
          <w:sz w:val="24"/>
        </w:rPr>
        <w:t>组（</w:t>
      </w:r>
      <w:r>
        <w:rPr>
          <w:i/>
          <w:sz w:val="24"/>
        </w:rPr>
        <w:t>P</w:t>
      </w:r>
      <w:r>
        <w:rPr>
          <w:sz w:val="24"/>
        </w:rPr>
        <w:t>&lt;0.05</w:t>
      </w:r>
      <w:r>
        <w:rPr>
          <w:sz w:val="24"/>
        </w:rPr>
        <w:t>）；血清中低密度脂蛋白的浓度随着饲料中蛋白质含量的升高同样呈下降趋势，</w:t>
      </w:r>
      <w:r>
        <w:rPr>
          <w:sz w:val="24"/>
        </w:rPr>
        <w:t>T1</w:t>
      </w:r>
      <w:r>
        <w:rPr>
          <w:sz w:val="24"/>
        </w:rPr>
        <w:t>组最高，显著高于</w:t>
      </w:r>
      <w:r>
        <w:rPr>
          <w:sz w:val="24"/>
        </w:rPr>
        <w:t>T5—T7</w:t>
      </w:r>
      <w:proofErr w:type="gramStart"/>
      <w:r>
        <w:rPr>
          <w:sz w:val="24"/>
        </w:rPr>
        <w:t>三</w:t>
      </w:r>
      <w:proofErr w:type="gramEnd"/>
      <w:r>
        <w:rPr>
          <w:sz w:val="24"/>
        </w:rPr>
        <w:t>组（</w:t>
      </w:r>
      <w:r>
        <w:rPr>
          <w:i/>
          <w:sz w:val="24"/>
        </w:rPr>
        <w:t>P</w:t>
      </w:r>
      <w:r>
        <w:rPr>
          <w:sz w:val="24"/>
        </w:rPr>
        <w:t>&lt;0.05</w:t>
      </w:r>
      <w:r>
        <w:rPr>
          <w:sz w:val="24"/>
        </w:rPr>
        <w:t>），同时</w:t>
      </w:r>
      <w:r>
        <w:rPr>
          <w:sz w:val="24"/>
        </w:rPr>
        <w:t>T2—T5</w:t>
      </w:r>
      <w:r>
        <w:rPr>
          <w:sz w:val="24"/>
        </w:rPr>
        <w:t>组之间差异不显著（</w:t>
      </w:r>
      <w:r>
        <w:rPr>
          <w:i/>
          <w:sz w:val="24"/>
        </w:rPr>
        <w:t>P</w:t>
      </w:r>
      <w:r>
        <w:rPr>
          <w:sz w:val="24"/>
        </w:rPr>
        <w:t>&gt;0.05</w:t>
      </w:r>
      <w:r>
        <w:rPr>
          <w:sz w:val="24"/>
        </w:rPr>
        <w:t>），</w:t>
      </w:r>
      <w:r>
        <w:rPr>
          <w:sz w:val="24"/>
        </w:rPr>
        <w:t>T4—T7</w:t>
      </w:r>
      <w:r>
        <w:rPr>
          <w:sz w:val="24"/>
        </w:rPr>
        <w:t>组之间差异不显著（</w:t>
      </w:r>
      <w:r>
        <w:rPr>
          <w:i/>
          <w:sz w:val="24"/>
        </w:rPr>
        <w:t>P</w:t>
      </w:r>
      <w:r>
        <w:rPr>
          <w:sz w:val="24"/>
        </w:rPr>
        <w:t>&gt;0.05</w:t>
      </w:r>
      <w:r>
        <w:rPr>
          <w:sz w:val="24"/>
        </w:rPr>
        <w:t>）；血清中肌</w:t>
      </w:r>
      <w:proofErr w:type="gramStart"/>
      <w:r>
        <w:rPr>
          <w:sz w:val="24"/>
        </w:rPr>
        <w:t>酐</w:t>
      </w:r>
      <w:proofErr w:type="gramEnd"/>
      <w:r>
        <w:rPr>
          <w:sz w:val="24"/>
        </w:rPr>
        <w:t>的浓度随着饲料中蛋白质含量的升高无明显变化，各组之间无显著性差异（</w:t>
      </w:r>
      <w:r>
        <w:rPr>
          <w:i/>
          <w:sz w:val="24"/>
        </w:rPr>
        <w:t>P</w:t>
      </w:r>
      <w:r>
        <w:rPr>
          <w:sz w:val="24"/>
        </w:rPr>
        <w:t>&gt;0.05</w:t>
      </w:r>
      <w:r>
        <w:rPr>
          <w:sz w:val="24"/>
        </w:rPr>
        <w:t>）；血清中血糖的浓度随着饲料中蛋白质含量的升高而呈现先降低后不变的趋势，</w:t>
      </w:r>
      <w:r>
        <w:rPr>
          <w:sz w:val="24"/>
        </w:rPr>
        <w:t>T1</w:t>
      </w:r>
      <w:r>
        <w:rPr>
          <w:sz w:val="24"/>
        </w:rPr>
        <w:t>组最高，显著高于其他各组（</w:t>
      </w:r>
      <w:r>
        <w:rPr>
          <w:i/>
          <w:sz w:val="24"/>
        </w:rPr>
        <w:t>P</w:t>
      </w:r>
      <w:r>
        <w:rPr>
          <w:sz w:val="24"/>
        </w:rPr>
        <w:t>&lt;0.05</w:t>
      </w:r>
      <w:r>
        <w:rPr>
          <w:sz w:val="24"/>
        </w:rPr>
        <w:t>），</w:t>
      </w:r>
      <w:r>
        <w:rPr>
          <w:sz w:val="24"/>
        </w:rPr>
        <w:t>T2</w:t>
      </w:r>
      <w:r>
        <w:rPr>
          <w:sz w:val="24"/>
        </w:rPr>
        <w:t>组次之，</w:t>
      </w:r>
      <w:r>
        <w:rPr>
          <w:sz w:val="24"/>
        </w:rPr>
        <w:t>T3</w:t>
      </w:r>
      <w:r>
        <w:rPr>
          <w:sz w:val="24"/>
        </w:rPr>
        <w:t>、</w:t>
      </w:r>
      <w:r>
        <w:rPr>
          <w:sz w:val="24"/>
        </w:rPr>
        <w:t>T4</w:t>
      </w:r>
      <w:r>
        <w:rPr>
          <w:sz w:val="24"/>
        </w:rPr>
        <w:t>随之降低，</w:t>
      </w:r>
      <w:r>
        <w:rPr>
          <w:sz w:val="24"/>
        </w:rPr>
        <w:t>T5</w:t>
      </w:r>
      <w:r>
        <w:rPr>
          <w:sz w:val="24"/>
        </w:rPr>
        <w:t>、</w:t>
      </w:r>
      <w:r>
        <w:rPr>
          <w:sz w:val="24"/>
        </w:rPr>
        <w:t>T6</w:t>
      </w:r>
      <w:r>
        <w:rPr>
          <w:sz w:val="24"/>
        </w:rPr>
        <w:t>、</w:t>
      </w:r>
      <w:r>
        <w:rPr>
          <w:sz w:val="24"/>
        </w:rPr>
        <w:t>T7</w:t>
      </w:r>
      <w:r>
        <w:rPr>
          <w:sz w:val="24"/>
        </w:rPr>
        <w:t>之间无显著性差异（</w:t>
      </w:r>
      <w:r>
        <w:rPr>
          <w:i/>
          <w:sz w:val="24"/>
        </w:rPr>
        <w:t>P</w:t>
      </w:r>
      <w:r>
        <w:rPr>
          <w:sz w:val="24"/>
        </w:rPr>
        <w:t>&gt;0.05</w:t>
      </w:r>
      <w:r>
        <w:rPr>
          <w:sz w:val="24"/>
        </w:rPr>
        <w:t>）。</w:t>
      </w:r>
    </w:p>
    <w:p w14:paraId="5D21CCC5" w14:textId="77777777" w:rsidR="004F39F6" w:rsidRDefault="00731C67">
      <w:pPr>
        <w:widowControl/>
        <w:jc w:val="center"/>
        <w:rPr>
          <w:kern w:val="0"/>
          <w:sz w:val="24"/>
          <w:lang w:bidi="ar"/>
        </w:rPr>
      </w:pPr>
      <w:r>
        <w:rPr>
          <w:noProof/>
          <w:kern w:val="0"/>
          <w:sz w:val="24"/>
          <w:lang w:bidi="ar"/>
        </w:rPr>
        <w:drawing>
          <wp:inline distT="0" distB="0" distL="0" distR="0" wp14:anchorId="7A589BDD" wp14:editId="3460610D">
            <wp:extent cx="4625975" cy="2235835"/>
            <wp:effectExtent l="0" t="0" r="317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1"/>
                    <a:stretch>
                      <a:fillRect/>
                    </a:stretch>
                  </pic:blipFill>
                  <pic:spPr>
                    <a:xfrm>
                      <a:off x="0" y="0"/>
                      <a:ext cx="4651026" cy="2247930"/>
                    </a:xfrm>
                    <a:prstGeom prst="rect">
                      <a:avLst/>
                    </a:prstGeom>
                  </pic:spPr>
                </pic:pic>
              </a:graphicData>
            </a:graphic>
          </wp:inline>
        </w:drawing>
      </w:r>
    </w:p>
    <w:p w14:paraId="74B98405" w14:textId="77777777" w:rsidR="004F39F6" w:rsidRDefault="00731C67">
      <w:pPr>
        <w:spacing w:line="360" w:lineRule="auto"/>
        <w:rPr>
          <w:sz w:val="24"/>
        </w:rPr>
      </w:pPr>
      <w:r>
        <w:rPr>
          <w:sz w:val="24"/>
        </w:rPr>
        <w:t xml:space="preserve">2.5  </w:t>
      </w:r>
      <w:r>
        <w:rPr>
          <w:sz w:val="24"/>
        </w:rPr>
        <w:t>蛋白质含量对黄鳝消化性能的影响</w:t>
      </w:r>
      <w:r>
        <w:rPr>
          <w:sz w:val="24"/>
        </w:rPr>
        <w:t xml:space="preserve"> </w:t>
      </w:r>
    </w:p>
    <w:p w14:paraId="0C0AA796" w14:textId="77777777" w:rsidR="004F39F6" w:rsidRDefault="00731C67">
      <w:pPr>
        <w:spacing w:line="360" w:lineRule="auto"/>
        <w:ind w:firstLineChars="200" w:firstLine="480"/>
        <w:rPr>
          <w:sz w:val="24"/>
        </w:rPr>
      </w:pPr>
      <w:r>
        <w:rPr>
          <w:sz w:val="24"/>
        </w:rPr>
        <w:t>饲料中蛋白含量对黄鳝蛋白酶活性的影响见图</w:t>
      </w:r>
      <w:r>
        <w:rPr>
          <w:sz w:val="24"/>
        </w:rPr>
        <w:t>5</w:t>
      </w:r>
      <w:r>
        <w:rPr>
          <w:sz w:val="24"/>
        </w:rPr>
        <w:t>。在肝胰脏、肠、胃</w:t>
      </w:r>
      <w:r>
        <w:rPr>
          <w:sz w:val="24"/>
        </w:rPr>
        <w:t>3</w:t>
      </w:r>
      <w:r>
        <w:rPr>
          <w:sz w:val="24"/>
        </w:rPr>
        <w:t>种组织中，肝胰脏蛋白酶活性随蛋白质含量的升高而升高，</w:t>
      </w:r>
      <w:r>
        <w:rPr>
          <w:sz w:val="24"/>
        </w:rPr>
        <w:t>T1</w:t>
      </w:r>
      <w:r>
        <w:rPr>
          <w:sz w:val="24"/>
        </w:rPr>
        <w:t>、</w:t>
      </w:r>
      <w:r>
        <w:rPr>
          <w:sz w:val="24"/>
        </w:rPr>
        <w:t>T2</w:t>
      </w:r>
      <w:r>
        <w:rPr>
          <w:sz w:val="24"/>
        </w:rPr>
        <w:t>、</w:t>
      </w:r>
      <w:r>
        <w:rPr>
          <w:sz w:val="24"/>
        </w:rPr>
        <w:t>T3</w:t>
      </w:r>
      <w:r>
        <w:rPr>
          <w:sz w:val="24"/>
        </w:rPr>
        <w:t>组活性较低，且</w:t>
      </w:r>
      <w:r>
        <w:rPr>
          <w:sz w:val="24"/>
        </w:rPr>
        <w:t>3</w:t>
      </w:r>
      <w:r>
        <w:rPr>
          <w:sz w:val="24"/>
        </w:rPr>
        <w:t>个试验组间无显</w:t>
      </w:r>
      <w:r>
        <w:rPr>
          <w:sz w:val="24"/>
        </w:rPr>
        <w:t>著性差异（</w:t>
      </w:r>
      <w:r>
        <w:rPr>
          <w:i/>
          <w:sz w:val="24"/>
        </w:rPr>
        <w:t>P</w:t>
      </w:r>
      <w:r>
        <w:rPr>
          <w:sz w:val="24"/>
        </w:rPr>
        <w:t>&gt;0.05</w:t>
      </w:r>
      <w:r>
        <w:rPr>
          <w:sz w:val="24"/>
        </w:rPr>
        <w:t>），</w:t>
      </w:r>
      <w:r>
        <w:rPr>
          <w:sz w:val="24"/>
        </w:rPr>
        <w:t>T4</w:t>
      </w:r>
      <w:r>
        <w:rPr>
          <w:sz w:val="24"/>
        </w:rPr>
        <w:t>开始逐渐升高，</w:t>
      </w:r>
      <w:r>
        <w:rPr>
          <w:sz w:val="24"/>
        </w:rPr>
        <w:t>T7</w:t>
      </w:r>
      <w:r>
        <w:rPr>
          <w:sz w:val="24"/>
        </w:rPr>
        <w:t>组活性最高，显著高于</w:t>
      </w:r>
      <w:r>
        <w:rPr>
          <w:sz w:val="24"/>
        </w:rPr>
        <w:t>T1—T3</w:t>
      </w:r>
      <w:r>
        <w:rPr>
          <w:sz w:val="24"/>
        </w:rPr>
        <w:t>组（</w:t>
      </w:r>
      <w:r>
        <w:rPr>
          <w:i/>
          <w:sz w:val="24"/>
        </w:rPr>
        <w:t>P</w:t>
      </w:r>
      <w:r>
        <w:rPr>
          <w:sz w:val="24"/>
        </w:rPr>
        <w:t>&lt;0.05</w:t>
      </w:r>
      <w:r>
        <w:rPr>
          <w:sz w:val="24"/>
        </w:rPr>
        <w:t>）；胃蛋白酶活性的变化趋势与肝胰脏蛋白酶活性的变化趋势相似，</w:t>
      </w:r>
      <w:r>
        <w:rPr>
          <w:sz w:val="24"/>
        </w:rPr>
        <w:t>T5—T7</w:t>
      </w:r>
      <w:r>
        <w:rPr>
          <w:sz w:val="24"/>
        </w:rPr>
        <w:t>组活性显著高于前</w:t>
      </w:r>
      <w:r>
        <w:rPr>
          <w:sz w:val="24"/>
        </w:rPr>
        <w:t>4</w:t>
      </w:r>
      <w:r>
        <w:rPr>
          <w:sz w:val="24"/>
        </w:rPr>
        <w:t>组（</w:t>
      </w:r>
      <w:r>
        <w:rPr>
          <w:i/>
          <w:sz w:val="24"/>
        </w:rPr>
        <w:t>P</w:t>
      </w:r>
      <w:r>
        <w:rPr>
          <w:sz w:val="24"/>
        </w:rPr>
        <w:t>&lt;0.05</w:t>
      </w:r>
      <w:r>
        <w:rPr>
          <w:sz w:val="24"/>
        </w:rPr>
        <w:t>），</w:t>
      </w:r>
      <w:r>
        <w:rPr>
          <w:sz w:val="24"/>
        </w:rPr>
        <w:t>T5—T7</w:t>
      </w:r>
      <w:proofErr w:type="gramStart"/>
      <w:r>
        <w:rPr>
          <w:sz w:val="24"/>
        </w:rPr>
        <w:t>三</w:t>
      </w:r>
      <w:proofErr w:type="gramEnd"/>
      <w:r>
        <w:rPr>
          <w:sz w:val="24"/>
        </w:rPr>
        <w:t>组间无显著性差异（</w:t>
      </w:r>
      <w:r>
        <w:rPr>
          <w:i/>
          <w:sz w:val="24"/>
        </w:rPr>
        <w:t>P</w:t>
      </w:r>
      <w:r>
        <w:rPr>
          <w:sz w:val="24"/>
        </w:rPr>
        <w:t>&gt;0.05</w:t>
      </w:r>
      <w:r>
        <w:rPr>
          <w:sz w:val="24"/>
        </w:rPr>
        <w:t>）；肠道的蛋白酶活性较高，随蛋白质含量升高而上升，</w:t>
      </w:r>
      <w:r>
        <w:rPr>
          <w:sz w:val="24"/>
        </w:rPr>
        <w:t>T5</w:t>
      </w:r>
      <w:r>
        <w:rPr>
          <w:sz w:val="24"/>
        </w:rPr>
        <w:t>、</w:t>
      </w:r>
      <w:r>
        <w:rPr>
          <w:sz w:val="24"/>
        </w:rPr>
        <w:t>T6</w:t>
      </w:r>
      <w:r>
        <w:rPr>
          <w:sz w:val="24"/>
        </w:rPr>
        <w:t>、</w:t>
      </w:r>
      <w:r>
        <w:rPr>
          <w:sz w:val="24"/>
        </w:rPr>
        <w:t>T7</w:t>
      </w:r>
      <w:r>
        <w:rPr>
          <w:sz w:val="24"/>
        </w:rPr>
        <w:t>组活性最高，显著高于其他</w:t>
      </w:r>
      <w:r>
        <w:rPr>
          <w:sz w:val="24"/>
        </w:rPr>
        <w:t>4</w:t>
      </w:r>
      <w:r>
        <w:rPr>
          <w:sz w:val="24"/>
        </w:rPr>
        <w:t>组（</w:t>
      </w:r>
      <w:r>
        <w:rPr>
          <w:i/>
          <w:sz w:val="24"/>
        </w:rPr>
        <w:t>P</w:t>
      </w:r>
      <w:r>
        <w:rPr>
          <w:sz w:val="24"/>
        </w:rPr>
        <w:t>&lt;0.05</w:t>
      </w:r>
      <w:r>
        <w:rPr>
          <w:sz w:val="24"/>
        </w:rPr>
        <w:t>），</w:t>
      </w:r>
      <w:r>
        <w:rPr>
          <w:sz w:val="24"/>
        </w:rPr>
        <w:t>T5</w:t>
      </w:r>
      <w:r>
        <w:rPr>
          <w:sz w:val="24"/>
        </w:rPr>
        <w:t>、</w:t>
      </w:r>
      <w:r>
        <w:rPr>
          <w:sz w:val="24"/>
        </w:rPr>
        <w:t>T6</w:t>
      </w:r>
      <w:r>
        <w:rPr>
          <w:sz w:val="24"/>
        </w:rPr>
        <w:t>、</w:t>
      </w:r>
      <w:r>
        <w:rPr>
          <w:sz w:val="24"/>
        </w:rPr>
        <w:t>T7</w:t>
      </w:r>
      <w:r>
        <w:rPr>
          <w:sz w:val="24"/>
        </w:rPr>
        <w:t>组相互之间无显著性差异（</w:t>
      </w:r>
      <w:r>
        <w:rPr>
          <w:i/>
          <w:sz w:val="24"/>
        </w:rPr>
        <w:t>P</w:t>
      </w:r>
      <w:r>
        <w:rPr>
          <w:sz w:val="24"/>
        </w:rPr>
        <w:t>&gt;0.05</w:t>
      </w:r>
      <w:r>
        <w:rPr>
          <w:sz w:val="24"/>
        </w:rPr>
        <w:t>）。</w:t>
      </w:r>
    </w:p>
    <w:p w14:paraId="0FCBCB09" w14:textId="77777777" w:rsidR="004F39F6" w:rsidRDefault="00731C67">
      <w:pPr>
        <w:widowControl/>
        <w:jc w:val="center"/>
      </w:pPr>
      <w:r>
        <w:rPr>
          <w:noProof/>
        </w:rPr>
        <w:drawing>
          <wp:inline distT="0" distB="0" distL="0" distR="0" wp14:anchorId="7077FB9F" wp14:editId="45FD030A">
            <wp:extent cx="3263265" cy="1819275"/>
            <wp:effectExtent l="0" t="0" r="63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2"/>
                    <a:stretch>
                      <a:fillRect/>
                    </a:stretch>
                  </pic:blipFill>
                  <pic:spPr>
                    <a:xfrm>
                      <a:off x="0" y="0"/>
                      <a:ext cx="3263265" cy="1819275"/>
                    </a:xfrm>
                    <a:prstGeom prst="rect">
                      <a:avLst/>
                    </a:prstGeom>
                  </pic:spPr>
                </pic:pic>
              </a:graphicData>
            </a:graphic>
          </wp:inline>
        </w:drawing>
      </w:r>
    </w:p>
    <w:p w14:paraId="1838CBD3" w14:textId="77777777" w:rsidR="004F39F6" w:rsidRDefault="00731C67">
      <w:pPr>
        <w:spacing w:line="360" w:lineRule="auto"/>
        <w:ind w:firstLineChars="200" w:firstLine="480"/>
        <w:rPr>
          <w:sz w:val="24"/>
        </w:rPr>
      </w:pPr>
      <w:r>
        <w:rPr>
          <w:sz w:val="24"/>
        </w:rPr>
        <w:lastRenderedPageBreak/>
        <w:t>饲料中不同蛋白质含量对黄鳝脂肪酶活性的影响见图</w:t>
      </w:r>
      <w:r>
        <w:rPr>
          <w:sz w:val="24"/>
        </w:rPr>
        <w:t>6</w:t>
      </w:r>
      <w:r>
        <w:rPr>
          <w:sz w:val="24"/>
        </w:rPr>
        <w:t>。随着饲料蛋白质含量的升高，肝胰脏脂肪酶呈下降趋势，</w:t>
      </w:r>
      <w:r>
        <w:rPr>
          <w:sz w:val="24"/>
        </w:rPr>
        <w:t>T1</w:t>
      </w:r>
      <w:r>
        <w:rPr>
          <w:sz w:val="24"/>
        </w:rPr>
        <w:t>、</w:t>
      </w:r>
      <w:r>
        <w:rPr>
          <w:sz w:val="24"/>
        </w:rPr>
        <w:t>T2</w:t>
      </w:r>
      <w:r>
        <w:rPr>
          <w:sz w:val="24"/>
        </w:rPr>
        <w:t>组最高，显著高于其他各组（</w:t>
      </w:r>
      <w:r>
        <w:rPr>
          <w:i/>
          <w:sz w:val="24"/>
        </w:rPr>
        <w:t>P</w:t>
      </w:r>
      <w:r>
        <w:rPr>
          <w:sz w:val="24"/>
        </w:rPr>
        <w:t>&lt;0.05</w:t>
      </w:r>
      <w:r>
        <w:rPr>
          <w:sz w:val="24"/>
        </w:rPr>
        <w:t>）；胃、肠脂肪酶活性各试验组之间无显著性差异（</w:t>
      </w:r>
      <w:r>
        <w:rPr>
          <w:i/>
          <w:sz w:val="24"/>
        </w:rPr>
        <w:t>P</w:t>
      </w:r>
      <w:r>
        <w:rPr>
          <w:sz w:val="24"/>
        </w:rPr>
        <w:t>&gt;0.05</w:t>
      </w:r>
      <w:r>
        <w:rPr>
          <w:sz w:val="24"/>
        </w:rPr>
        <w:t>）。</w:t>
      </w:r>
    </w:p>
    <w:p w14:paraId="55F00FEE" w14:textId="77777777" w:rsidR="004F39F6" w:rsidRDefault="00731C67">
      <w:pPr>
        <w:widowControl/>
        <w:jc w:val="center"/>
      </w:pPr>
      <w:r>
        <w:rPr>
          <w:noProof/>
        </w:rPr>
        <w:drawing>
          <wp:inline distT="0" distB="0" distL="0" distR="0" wp14:anchorId="166A6F47" wp14:editId="0C3BA5B4">
            <wp:extent cx="3679825" cy="1972945"/>
            <wp:effectExtent l="0" t="0" r="0"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3"/>
                    <a:stretch>
                      <a:fillRect/>
                    </a:stretch>
                  </pic:blipFill>
                  <pic:spPr>
                    <a:xfrm>
                      <a:off x="0" y="0"/>
                      <a:ext cx="3690163" cy="1978778"/>
                    </a:xfrm>
                    <a:prstGeom prst="rect">
                      <a:avLst/>
                    </a:prstGeom>
                  </pic:spPr>
                </pic:pic>
              </a:graphicData>
            </a:graphic>
          </wp:inline>
        </w:drawing>
      </w:r>
    </w:p>
    <w:p w14:paraId="759FF2BA" w14:textId="77777777" w:rsidR="004F39F6" w:rsidRDefault="00731C67">
      <w:pPr>
        <w:spacing w:line="360" w:lineRule="auto"/>
        <w:ind w:firstLineChars="200" w:firstLine="480"/>
        <w:rPr>
          <w:sz w:val="24"/>
        </w:rPr>
      </w:pPr>
      <w:r>
        <w:rPr>
          <w:sz w:val="24"/>
        </w:rPr>
        <w:t>饲料中不同蛋白质含量对黄鳝淀粉酶活性的影响见图</w:t>
      </w:r>
      <w:r>
        <w:rPr>
          <w:sz w:val="24"/>
        </w:rPr>
        <w:t>7</w:t>
      </w:r>
      <w:r>
        <w:rPr>
          <w:sz w:val="24"/>
        </w:rPr>
        <w:t>。随着饲料蛋白质含量的升高，胃淀粉酶活性无明显变化，各试验组之间无显著性差异（</w:t>
      </w:r>
      <w:r>
        <w:rPr>
          <w:i/>
          <w:sz w:val="24"/>
        </w:rPr>
        <w:t>P</w:t>
      </w:r>
      <w:r>
        <w:rPr>
          <w:sz w:val="24"/>
        </w:rPr>
        <w:t>&gt;0.05</w:t>
      </w:r>
      <w:r>
        <w:rPr>
          <w:sz w:val="24"/>
        </w:rPr>
        <w:t>）；肝胰脏淀粉酶的活性随蛋白质含量的升高呈下降趋势，其中</w:t>
      </w:r>
      <w:r>
        <w:rPr>
          <w:sz w:val="24"/>
        </w:rPr>
        <w:t>T1</w:t>
      </w:r>
      <w:r>
        <w:rPr>
          <w:sz w:val="24"/>
        </w:rPr>
        <w:t>、</w:t>
      </w:r>
      <w:r>
        <w:rPr>
          <w:sz w:val="24"/>
        </w:rPr>
        <w:t>T2</w:t>
      </w:r>
      <w:r>
        <w:rPr>
          <w:sz w:val="24"/>
        </w:rPr>
        <w:t>组较高，显著高于其他各组（</w:t>
      </w:r>
      <w:r>
        <w:rPr>
          <w:i/>
          <w:sz w:val="24"/>
        </w:rPr>
        <w:t>P</w:t>
      </w:r>
      <w:r>
        <w:rPr>
          <w:sz w:val="24"/>
        </w:rPr>
        <w:t>&lt;0.05</w:t>
      </w:r>
      <w:r>
        <w:rPr>
          <w:sz w:val="24"/>
        </w:rPr>
        <w:t>）；肠道淀粉酶活性的变化趋势与肝胰脏类似，呈下降趋势，以</w:t>
      </w:r>
      <w:r>
        <w:rPr>
          <w:sz w:val="24"/>
        </w:rPr>
        <w:t>T1</w:t>
      </w:r>
      <w:r>
        <w:rPr>
          <w:sz w:val="24"/>
        </w:rPr>
        <w:t>组活性最高，与</w:t>
      </w:r>
      <w:r>
        <w:rPr>
          <w:sz w:val="24"/>
        </w:rPr>
        <w:t>T2</w:t>
      </w:r>
      <w:r>
        <w:rPr>
          <w:sz w:val="24"/>
        </w:rPr>
        <w:t>组差异不显著（</w:t>
      </w:r>
      <w:r>
        <w:rPr>
          <w:i/>
          <w:sz w:val="24"/>
        </w:rPr>
        <w:t>P</w:t>
      </w:r>
      <w:r>
        <w:rPr>
          <w:sz w:val="24"/>
        </w:rPr>
        <w:t>&gt;0.0</w:t>
      </w:r>
      <w:r>
        <w:rPr>
          <w:sz w:val="24"/>
        </w:rPr>
        <w:t>5</w:t>
      </w:r>
      <w:r>
        <w:rPr>
          <w:sz w:val="24"/>
        </w:rPr>
        <w:t>），</w:t>
      </w:r>
      <w:proofErr w:type="gramStart"/>
      <w:r>
        <w:rPr>
          <w:sz w:val="24"/>
        </w:rPr>
        <w:t>但显著</w:t>
      </w:r>
      <w:proofErr w:type="gramEnd"/>
      <w:r>
        <w:rPr>
          <w:sz w:val="24"/>
        </w:rPr>
        <w:t>高于其他各组（</w:t>
      </w:r>
      <w:r>
        <w:rPr>
          <w:i/>
          <w:sz w:val="24"/>
        </w:rPr>
        <w:t>P</w:t>
      </w:r>
      <w:r>
        <w:rPr>
          <w:sz w:val="24"/>
        </w:rPr>
        <w:t>&lt;0.05</w:t>
      </w:r>
      <w:r>
        <w:rPr>
          <w:sz w:val="24"/>
        </w:rPr>
        <w:t>）。</w:t>
      </w:r>
    </w:p>
    <w:p w14:paraId="142FBE89" w14:textId="77777777" w:rsidR="004F39F6" w:rsidRDefault="00731C67">
      <w:pPr>
        <w:widowControl/>
        <w:jc w:val="center"/>
      </w:pPr>
      <w:r>
        <w:rPr>
          <w:noProof/>
        </w:rPr>
        <w:drawing>
          <wp:inline distT="0" distB="0" distL="0" distR="0" wp14:anchorId="675092A0" wp14:editId="1915F2B9">
            <wp:extent cx="3734435" cy="218059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4"/>
                    <a:stretch>
                      <a:fillRect/>
                    </a:stretch>
                  </pic:blipFill>
                  <pic:spPr>
                    <a:xfrm>
                      <a:off x="0" y="0"/>
                      <a:ext cx="3745170" cy="2186938"/>
                    </a:xfrm>
                    <a:prstGeom prst="rect">
                      <a:avLst/>
                    </a:prstGeom>
                  </pic:spPr>
                </pic:pic>
              </a:graphicData>
            </a:graphic>
          </wp:inline>
        </w:drawing>
      </w:r>
    </w:p>
    <w:p w14:paraId="06AD5614" w14:textId="77777777" w:rsidR="004F39F6" w:rsidRDefault="00731C67">
      <w:pPr>
        <w:spacing w:line="360" w:lineRule="auto"/>
        <w:rPr>
          <w:sz w:val="24"/>
        </w:rPr>
      </w:pPr>
      <w:r>
        <w:rPr>
          <w:sz w:val="24"/>
        </w:rPr>
        <w:t xml:space="preserve">3  </w:t>
      </w:r>
      <w:r>
        <w:rPr>
          <w:sz w:val="24"/>
        </w:rPr>
        <w:t>讨论</w:t>
      </w:r>
    </w:p>
    <w:p w14:paraId="42CBFB9B" w14:textId="77777777" w:rsidR="004F39F6" w:rsidRDefault="00731C67">
      <w:pPr>
        <w:spacing w:line="360" w:lineRule="auto"/>
        <w:rPr>
          <w:sz w:val="24"/>
        </w:rPr>
      </w:pPr>
      <w:r>
        <w:rPr>
          <w:sz w:val="24"/>
        </w:rPr>
        <w:t xml:space="preserve">3.1  </w:t>
      </w:r>
      <w:r>
        <w:rPr>
          <w:sz w:val="24"/>
        </w:rPr>
        <w:t>饲料蛋白质含量对黄鳝生长的影响</w:t>
      </w:r>
    </w:p>
    <w:p w14:paraId="268047F2" w14:textId="77777777" w:rsidR="004F39F6" w:rsidRDefault="00731C67">
      <w:pPr>
        <w:spacing w:line="360" w:lineRule="auto"/>
        <w:ind w:firstLineChars="200" w:firstLine="480"/>
        <w:rPr>
          <w:sz w:val="24"/>
        </w:rPr>
      </w:pPr>
      <w:r>
        <w:rPr>
          <w:sz w:val="24"/>
        </w:rPr>
        <w:t>本试验用不同蛋白质含量的饲料饲喂黄鳝对黄鳝的存活率无显著影响，说明黄鳝对不同蛋白质含量的饲料耐受性较强，这和用不同蛋白质含量的饲料饲喂拉萨裸裂</w:t>
      </w:r>
      <w:proofErr w:type="gramStart"/>
      <w:r>
        <w:rPr>
          <w:sz w:val="24"/>
        </w:rPr>
        <w:t>尻</w:t>
      </w:r>
      <w:proofErr w:type="gramEnd"/>
      <w:r>
        <w:rPr>
          <w:sz w:val="24"/>
        </w:rPr>
        <w:t>鱼</w:t>
      </w:r>
      <w:r>
        <w:rPr>
          <w:sz w:val="24"/>
          <w:vertAlign w:val="superscript"/>
        </w:rPr>
        <w:t>[13]</w:t>
      </w:r>
      <w:r>
        <w:rPr>
          <w:sz w:val="24"/>
        </w:rPr>
        <w:t>、大鳞鲃幼鱼</w:t>
      </w:r>
      <w:r>
        <w:rPr>
          <w:sz w:val="24"/>
          <w:vertAlign w:val="superscript"/>
        </w:rPr>
        <w:t>[14]</w:t>
      </w:r>
      <w:r>
        <w:rPr>
          <w:sz w:val="24"/>
        </w:rPr>
        <w:t>、条纹幼</w:t>
      </w:r>
      <w:proofErr w:type="gramStart"/>
      <w:r>
        <w:rPr>
          <w:sz w:val="24"/>
        </w:rPr>
        <w:t>鲶</w:t>
      </w:r>
      <w:proofErr w:type="gramEnd"/>
      <w:r>
        <w:rPr>
          <w:sz w:val="24"/>
          <w:vertAlign w:val="superscript"/>
        </w:rPr>
        <w:t>[15]</w:t>
      </w:r>
      <w:r>
        <w:rPr>
          <w:sz w:val="24"/>
        </w:rPr>
        <w:t>、宝石鲈</w:t>
      </w:r>
      <w:r>
        <w:rPr>
          <w:sz w:val="24"/>
          <w:vertAlign w:val="superscript"/>
        </w:rPr>
        <w:t>[16]</w:t>
      </w:r>
      <w:r>
        <w:rPr>
          <w:sz w:val="24"/>
        </w:rPr>
        <w:t>等得到的结果类似。黄鳝的增重率、特定生长率随饲料蛋白质含量的升高先升高，至饲料蛋白含量</w:t>
      </w:r>
      <w:r>
        <w:rPr>
          <w:sz w:val="24"/>
        </w:rPr>
        <w:t>62.31 %</w:t>
      </w:r>
      <w:r>
        <w:rPr>
          <w:sz w:val="24"/>
        </w:rPr>
        <w:t>组增重率、特定生长率有下降趋势，</w:t>
      </w:r>
      <w:r>
        <w:rPr>
          <w:sz w:val="24"/>
        </w:rPr>
        <w:lastRenderedPageBreak/>
        <w:t>但不明显。国内外有诸多研究表明，饲料蛋白质含量的升高会对鱼类的生长速度</w:t>
      </w:r>
      <w:r>
        <w:rPr>
          <w:sz w:val="24"/>
        </w:rPr>
        <w:t>造成不同的影响，丁立云等</w:t>
      </w:r>
      <w:r>
        <w:rPr>
          <w:sz w:val="24"/>
          <w:vertAlign w:val="superscript"/>
        </w:rPr>
        <w:t>[17]</w:t>
      </w:r>
      <w:r>
        <w:rPr>
          <w:sz w:val="24"/>
        </w:rPr>
        <w:t>对星斑川</w:t>
      </w:r>
      <w:proofErr w:type="gramStart"/>
      <w:r>
        <w:rPr>
          <w:sz w:val="24"/>
        </w:rPr>
        <w:t>鲽</w:t>
      </w:r>
      <w:proofErr w:type="gramEnd"/>
      <w:r>
        <w:rPr>
          <w:sz w:val="24"/>
        </w:rPr>
        <w:t>幼鱼的研究表明，随着饲料蛋白质含量的升高，星斑川</w:t>
      </w:r>
      <w:proofErr w:type="gramStart"/>
      <w:r>
        <w:rPr>
          <w:sz w:val="24"/>
        </w:rPr>
        <w:t>鲽</w:t>
      </w:r>
      <w:proofErr w:type="gramEnd"/>
      <w:r>
        <w:rPr>
          <w:sz w:val="24"/>
        </w:rPr>
        <w:t>幼鱼的生长速度明显改善，但当蛋白质含量高到一定程度后其生长速度不再出现明显变化。王蕾</w:t>
      </w:r>
      <w:proofErr w:type="gramStart"/>
      <w:r>
        <w:rPr>
          <w:sz w:val="24"/>
        </w:rPr>
        <w:t>蕾</w:t>
      </w:r>
      <w:proofErr w:type="gramEnd"/>
      <w:r>
        <w:rPr>
          <w:sz w:val="24"/>
        </w:rPr>
        <w:t>等</w:t>
      </w:r>
      <w:r>
        <w:rPr>
          <w:sz w:val="24"/>
          <w:vertAlign w:val="superscript"/>
        </w:rPr>
        <w:t>[18]</w:t>
      </w:r>
      <w:r>
        <w:rPr>
          <w:sz w:val="24"/>
        </w:rPr>
        <w:t>对黑鲷的研究表明，随着饲料蛋白质含量的升高，黑鲷幼鱼的生长速度出现明显的先升高后下降的变化。鱼类在摄入过量的蛋白质后，蛋白质分解为氨基酸，氨基酸脱去氨基为机体提供能量，而在脱氨基的过程中会消耗一定的能量，产生氧化应激和增加氮代谢废物</w:t>
      </w:r>
      <w:r>
        <w:rPr>
          <w:sz w:val="24"/>
          <w:vertAlign w:val="superscript"/>
        </w:rPr>
        <w:t>[19,20]</w:t>
      </w:r>
      <w:r>
        <w:rPr>
          <w:sz w:val="24"/>
        </w:rPr>
        <w:t>。不同种类的鱼类利用蛋白质作能量能力不同，过量饲料蛋白质含量对生长产生不同程度</w:t>
      </w:r>
      <w:r>
        <w:rPr>
          <w:sz w:val="24"/>
        </w:rPr>
        <w:t>的负面影响</w:t>
      </w:r>
      <w:r>
        <w:rPr>
          <w:sz w:val="24"/>
          <w:vertAlign w:val="superscript"/>
        </w:rPr>
        <w:t>[21]</w:t>
      </w:r>
      <w:r>
        <w:rPr>
          <w:sz w:val="24"/>
        </w:rPr>
        <w:t>。本试验中，黄鳝的生长性能与丁立云等</w:t>
      </w:r>
      <w:r>
        <w:rPr>
          <w:sz w:val="24"/>
          <w:vertAlign w:val="superscript"/>
        </w:rPr>
        <w:t>[17]</w:t>
      </w:r>
      <w:r>
        <w:rPr>
          <w:sz w:val="24"/>
        </w:rPr>
        <w:t>对星斑川</w:t>
      </w:r>
      <w:proofErr w:type="gramStart"/>
      <w:r>
        <w:rPr>
          <w:sz w:val="24"/>
        </w:rPr>
        <w:t>鲽</w:t>
      </w:r>
      <w:proofErr w:type="gramEnd"/>
      <w:r>
        <w:rPr>
          <w:sz w:val="24"/>
        </w:rPr>
        <w:t>幼鱼的研究结果类似，先随饲料蛋白质含量的升高而升高，但高水平饲料蛋白含量对生长影响不显著，这说明黄鳝摄食首先满足蛋白质需要，当蛋白水平达到生长需求后，饲料系数和蛋白质效率趋于稳定。</w:t>
      </w:r>
    </w:p>
    <w:p w14:paraId="2254D234" w14:textId="77777777" w:rsidR="004F39F6" w:rsidRDefault="00731C67">
      <w:pPr>
        <w:spacing w:line="360" w:lineRule="auto"/>
        <w:rPr>
          <w:sz w:val="24"/>
        </w:rPr>
      </w:pPr>
      <w:r>
        <w:rPr>
          <w:sz w:val="24"/>
        </w:rPr>
        <w:t xml:space="preserve">3.2  </w:t>
      </w:r>
      <w:r>
        <w:rPr>
          <w:sz w:val="24"/>
        </w:rPr>
        <w:t>饲料蛋白质含量对黄鳝饲料利用效果的影响</w:t>
      </w:r>
      <w:r>
        <w:rPr>
          <w:sz w:val="24"/>
        </w:rPr>
        <w:t xml:space="preserve"> </w:t>
      </w:r>
    </w:p>
    <w:p w14:paraId="2B10CCB7" w14:textId="77777777" w:rsidR="004F39F6" w:rsidRDefault="00731C67">
      <w:pPr>
        <w:spacing w:line="360" w:lineRule="auto"/>
        <w:ind w:firstLineChars="200" w:firstLine="480"/>
        <w:rPr>
          <w:sz w:val="24"/>
        </w:rPr>
      </w:pPr>
      <w:r>
        <w:rPr>
          <w:sz w:val="24"/>
        </w:rPr>
        <w:t>本试验中，饲料系数随着饲料蛋白质含量的升高呈现先降低后基本不变的趋势，可以看出高蛋白组黄鳝饲料利用效果明显</w:t>
      </w:r>
      <w:proofErr w:type="gramStart"/>
      <w:r>
        <w:rPr>
          <w:sz w:val="24"/>
        </w:rPr>
        <w:t>优于低</w:t>
      </w:r>
      <w:proofErr w:type="gramEnd"/>
      <w:r>
        <w:rPr>
          <w:sz w:val="24"/>
        </w:rPr>
        <w:t>蛋白组。这与国内外诸多学者的研究结果一致，王金龙等</w:t>
      </w:r>
      <w:r>
        <w:rPr>
          <w:sz w:val="24"/>
          <w:vertAlign w:val="superscript"/>
        </w:rPr>
        <w:t>[22]</w:t>
      </w:r>
      <w:r>
        <w:rPr>
          <w:sz w:val="24"/>
        </w:rPr>
        <w:t>、张磊</w:t>
      </w:r>
      <w:r>
        <w:rPr>
          <w:sz w:val="24"/>
          <w:vertAlign w:val="superscript"/>
        </w:rPr>
        <w:t>[23]</w:t>
      </w:r>
      <w:r>
        <w:rPr>
          <w:sz w:val="24"/>
        </w:rPr>
        <w:t>、苏小凤</w:t>
      </w:r>
      <w:r>
        <w:rPr>
          <w:sz w:val="24"/>
          <w:vertAlign w:val="superscript"/>
        </w:rPr>
        <w:t>[16]</w:t>
      </w:r>
      <w:r>
        <w:rPr>
          <w:sz w:val="24"/>
        </w:rPr>
        <w:t>、丁立</w:t>
      </w:r>
      <w:r>
        <w:rPr>
          <w:sz w:val="24"/>
        </w:rPr>
        <w:t>云等</w:t>
      </w:r>
      <w:r>
        <w:rPr>
          <w:sz w:val="24"/>
          <w:vertAlign w:val="superscript"/>
        </w:rPr>
        <w:t>[17]</w:t>
      </w:r>
      <w:r>
        <w:rPr>
          <w:sz w:val="24"/>
        </w:rPr>
        <w:t>、</w:t>
      </w:r>
      <w:proofErr w:type="spellStart"/>
      <w:r>
        <w:rPr>
          <w:sz w:val="24"/>
        </w:rPr>
        <w:t>Akpιnar</w:t>
      </w:r>
      <w:proofErr w:type="spellEnd"/>
      <w:r>
        <w:rPr>
          <w:sz w:val="24"/>
        </w:rPr>
        <w:t>等</w:t>
      </w:r>
      <w:r>
        <w:rPr>
          <w:sz w:val="24"/>
          <w:vertAlign w:val="superscript"/>
        </w:rPr>
        <w:t>[24]</w:t>
      </w:r>
      <w:r>
        <w:rPr>
          <w:sz w:val="24"/>
        </w:rPr>
        <w:t>、</w:t>
      </w:r>
      <w:r>
        <w:rPr>
          <w:sz w:val="24"/>
        </w:rPr>
        <w:t>Zhang</w:t>
      </w:r>
      <w:r>
        <w:rPr>
          <w:sz w:val="24"/>
        </w:rPr>
        <w:t>等</w:t>
      </w:r>
      <w:r>
        <w:rPr>
          <w:sz w:val="24"/>
          <w:vertAlign w:val="superscript"/>
        </w:rPr>
        <w:t>[25]</w:t>
      </w:r>
      <w:r>
        <w:rPr>
          <w:sz w:val="24"/>
        </w:rPr>
        <w:t>的研究也得出了相似的结论，这可能意味着当饲料能量一定时，提高饲料中蛋白质的含量有利于提高饲料的利用率。此外，由表</w:t>
      </w:r>
      <w:r>
        <w:rPr>
          <w:sz w:val="24"/>
        </w:rPr>
        <w:t>3</w:t>
      </w:r>
      <w:r>
        <w:rPr>
          <w:sz w:val="24"/>
        </w:rPr>
        <w:t>可以看出，随着饲料蛋白质含量的升高，蛋白效率呈现先升高后基本不变的趋势，这样的研究结果与张文兵等</w:t>
      </w:r>
      <w:r>
        <w:rPr>
          <w:sz w:val="24"/>
          <w:vertAlign w:val="superscript"/>
        </w:rPr>
        <w:t>[26]</w:t>
      </w:r>
      <w:r>
        <w:rPr>
          <w:sz w:val="24"/>
        </w:rPr>
        <w:t>对南方</w:t>
      </w:r>
      <w:proofErr w:type="gramStart"/>
      <w:r>
        <w:rPr>
          <w:sz w:val="24"/>
        </w:rPr>
        <w:t>鲇</w:t>
      </w:r>
      <w:proofErr w:type="gramEnd"/>
      <w:r>
        <w:rPr>
          <w:sz w:val="24"/>
        </w:rPr>
        <w:t>的研究结果类似。而有学者的研究表明，蛋白质效率会随着饲料蛋白质含量的升高呈现下降趋势</w:t>
      </w:r>
      <w:r>
        <w:rPr>
          <w:sz w:val="24"/>
          <w:vertAlign w:val="superscript"/>
        </w:rPr>
        <w:t>[19,27]</w:t>
      </w:r>
      <w:r>
        <w:rPr>
          <w:sz w:val="24"/>
        </w:rPr>
        <w:t>，或者呈现先升高后下降的趋势</w:t>
      </w:r>
      <w:r>
        <w:rPr>
          <w:sz w:val="24"/>
          <w:vertAlign w:val="superscript"/>
        </w:rPr>
        <w:t>[19,28,29]</w:t>
      </w:r>
      <w:r>
        <w:rPr>
          <w:sz w:val="24"/>
        </w:rPr>
        <w:t>。这些研究结果的不同可能与不同鱼类对饲料中粗蛋白含量的耐受性不同有关，对饲料蛋白</w:t>
      </w:r>
      <w:r>
        <w:rPr>
          <w:sz w:val="24"/>
        </w:rPr>
        <w:t>需求高的鱼类可能在高蛋白时体内蛋白酶的活性较高，可充分利用粗蛋白来提高生长速度，而对饲料蛋白需求较低的鱼类在饲料高蛋白质含量时体内蛋白酶的活性较低不足以利用全部的蛋白质，多余的蛋白质被浪费掉，从而导致蛋白质效率较低，本试验中蛋白酶的活性变化（图</w:t>
      </w:r>
      <w:r>
        <w:rPr>
          <w:sz w:val="24"/>
        </w:rPr>
        <w:t>5</w:t>
      </w:r>
      <w:r>
        <w:rPr>
          <w:sz w:val="24"/>
        </w:rPr>
        <w:t>）可能验证了这一点。本试验中，黄鳝摄食率（干物质）随蛋白质含量的升高而逐渐下降，这可能意味着在低蛋白质含量时黄鳝为了获得足够的蛋白质而提高了摄食量，在高蛋白质含量（高于</w:t>
      </w:r>
      <w:r>
        <w:rPr>
          <w:sz w:val="24"/>
        </w:rPr>
        <w:t>52.65 %</w:t>
      </w:r>
      <w:r>
        <w:rPr>
          <w:sz w:val="24"/>
        </w:rPr>
        <w:t>组）时低摄食量就可以满足黄鳝生长对蛋白质的需求，因此饲料蛋白质含量过高时，黄鳝摄食率</w:t>
      </w:r>
      <w:r>
        <w:rPr>
          <w:sz w:val="24"/>
        </w:rPr>
        <w:t>趋于平稳。这一结果与</w:t>
      </w:r>
      <w:r>
        <w:rPr>
          <w:sz w:val="24"/>
        </w:rPr>
        <w:t>Guo</w:t>
      </w:r>
      <w:r>
        <w:rPr>
          <w:sz w:val="24"/>
        </w:rPr>
        <w:t>等</w:t>
      </w:r>
      <w:r>
        <w:rPr>
          <w:sz w:val="24"/>
          <w:vertAlign w:val="superscript"/>
        </w:rPr>
        <w:t>[30]</w:t>
      </w:r>
      <w:r>
        <w:rPr>
          <w:sz w:val="24"/>
        </w:rPr>
        <w:t>对杂交鲟的研究结果类似。本实验在饲料低蛋白质含量时，黄鳝蛋白质效率较低，可能是由于黄鳝需要增加摄食量来满足机体对蛋白质的需求，而低蛋白含量饲料中含有较高的</w:t>
      </w:r>
      <w:r>
        <w:rPr>
          <w:sz w:val="24"/>
        </w:rPr>
        <w:lastRenderedPageBreak/>
        <w:t>碳水化合物，过高的碳水化合物影响了黄鳝的正常生理功能，后述黄鳝血清的生化指标进一步证实了这一点。而张磊</w:t>
      </w:r>
      <w:r>
        <w:rPr>
          <w:sz w:val="24"/>
          <w:vertAlign w:val="superscript"/>
        </w:rPr>
        <w:t>[23]</w:t>
      </w:r>
      <w:r>
        <w:rPr>
          <w:sz w:val="24"/>
        </w:rPr>
        <w:t>的研究表明，达氏鲟的摄食</w:t>
      </w:r>
      <w:proofErr w:type="gramStart"/>
      <w:r>
        <w:rPr>
          <w:sz w:val="24"/>
        </w:rPr>
        <w:t>率随着</w:t>
      </w:r>
      <w:proofErr w:type="gramEnd"/>
      <w:r>
        <w:rPr>
          <w:sz w:val="24"/>
        </w:rPr>
        <w:t>饲料蛋白质含量的升高而升高，这种结果的差异可能与不同鱼种应对饲料不同蛋白质含量的能力有关。</w:t>
      </w:r>
    </w:p>
    <w:p w14:paraId="3E8A4852" w14:textId="77777777" w:rsidR="004F39F6" w:rsidRDefault="00731C67">
      <w:pPr>
        <w:spacing w:line="360" w:lineRule="auto"/>
        <w:rPr>
          <w:sz w:val="24"/>
        </w:rPr>
      </w:pPr>
      <w:r>
        <w:rPr>
          <w:sz w:val="24"/>
        </w:rPr>
        <w:t xml:space="preserve">3.3  </w:t>
      </w:r>
      <w:r>
        <w:rPr>
          <w:sz w:val="24"/>
        </w:rPr>
        <w:t>饲料蛋白质含量对黄鳝血清生化指标的影响</w:t>
      </w:r>
      <w:r>
        <w:rPr>
          <w:sz w:val="24"/>
        </w:rPr>
        <w:t xml:space="preserve"> </w:t>
      </w:r>
    </w:p>
    <w:p w14:paraId="5A054256" w14:textId="77777777" w:rsidR="004F39F6" w:rsidRDefault="00731C67">
      <w:pPr>
        <w:spacing w:line="360" w:lineRule="auto"/>
        <w:ind w:firstLineChars="200" w:firstLine="480"/>
        <w:rPr>
          <w:sz w:val="24"/>
        </w:rPr>
      </w:pPr>
      <w:r>
        <w:rPr>
          <w:sz w:val="24"/>
        </w:rPr>
        <w:t>血清生化指标的变化可以用来反映机体的新陈代谢和生理状况，常用来评估机体的健康状况及其对环境的适应能力</w:t>
      </w:r>
      <w:r>
        <w:rPr>
          <w:sz w:val="24"/>
          <w:vertAlign w:val="superscript"/>
        </w:rPr>
        <w:t>[31]</w:t>
      </w:r>
      <w:r>
        <w:rPr>
          <w:sz w:val="24"/>
        </w:rPr>
        <w:t>。机体自饲料中吸收的蛋白质，主要靠肝脏代谢转换才能被机体利用，在这转换过程中以谷丙转氨酶（</w:t>
      </w:r>
      <w:r>
        <w:rPr>
          <w:sz w:val="24"/>
        </w:rPr>
        <w:t>GPT</w:t>
      </w:r>
      <w:r>
        <w:rPr>
          <w:sz w:val="24"/>
        </w:rPr>
        <w:t>）及谷草转氨酶（</w:t>
      </w:r>
      <w:r>
        <w:rPr>
          <w:sz w:val="24"/>
        </w:rPr>
        <w:t>GOT</w:t>
      </w:r>
      <w:r>
        <w:rPr>
          <w:sz w:val="24"/>
        </w:rPr>
        <w:t>）最为重要。而在正常情况下</w:t>
      </w:r>
      <w:r>
        <w:rPr>
          <w:sz w:val="24"/>
        </w:rPr>
        <w:t>GPT</w:t>
      </w:r>
      <w:r>
        <w:rPr>
          <w:sz w:val="24"/>
        </w:rPr>
        <w:t>、</w:t>
      </w:r>
      <w:r>
        <w:rPr>
          <w:sz w:val="24"/>
        </w:rPr>
        <w:t>GOT</w:t>
      </w:r>
      <w:r>
        <w:rPr>
          <w:sz w:val="24"/>
        </w:rPr>
        <w:t>主要存在于肝脏中，因此当血清中这两种酶含量升高就意味着肝脏发生了病变</w:t>
      </w:r>
      <w:r>
        <w:rPr>
          <w:sz w:val="24"/>
          <w:vertAlign w:val="superscript"/>
        </w:rPr>
        <w:t>[32,33]</w:t>
      </w:r>
      <w:r>
        <w:rPr>
          <w:sz w:val="24"/>
        </w:rPr>
        <w:t>。本试验中，血清中</w:t>
      </w:r>
      <w:r>
        <w:rPr>
          <w:sz w:val="24"/>
        </w:rPr>
        <w:t>GPT</w:t>
      </w:r>
      <w:r>
        <w:rPr>
          <w:sz w:val="24"/>
        </w:rPr>
        <w:t>、</w:t>
      </w:r>
      <w:r>
        <w:rPr>
          <w:sz w:val="24"/>
        </w:rPr>
        <w:t>GOT</w:t>
      </w:r>
      <w:r>
        <w:rPr>
          <w:sz w:val="24"/>
        </w:rPr>
        <w:t>的活性均随饲料蛋白质含量的升高而降低，这与红旗东方鲀</w:t>
      </w:r>
      <w:r>
        <w:rPr>
          <w:sz w:val="24"/>
          <w:vertAlign w:val="superscript"/>
        </w:rPr>
        <w:t>[19]</w:t>
      </w:r>
      <w:r>
        <w:rPr>
          <w:sz w:val="24"/>
        </w:rPr>
        <w:t>在饲料蛋白含量较低时</w:t>
      </w:r>
      <w:r>
        <w:rPr>
          <w:sz w:val="24"/>
        </w:rPr>
        <w:t>的表现一致。这样的结果表明，黄鳝在饲料蛋白质含量较低时，可能由于营养的缺乏导致肝脏受到了损伤。本试验中，丙二醛（</w:t>
      </w:r>
      <w:r>
        <w:rPr>
          <w:sz w:val="24"/>
        </w:rPr>
        <w:t>MDA</w:t>
      </w:r>
      <w:r>
        <w:rPr>
          <w:sz w:val="24"/>
        </w:rPr>
        <w:t>）的含量随饲料蛋白水平的升高呈现先降低后升高的趋势，也表明了在一定蛋白水平区间内，饲料蛋白水平提高能减小肝脏损伤，但超过这个区间后，</w:t>
      </w:r>
      <w:proofErr w:type="spellStart"/>
      <w:r>
        <w:rPr>
          <w:sz w:val="24"/>
        </w:rPr>
        <w:t>MDA</w:t>
      </w:r>
      <w:proofErr w:type="spellEnd"/>
      <w:r>
        <w:rPr>
          <w:sz w:val="24"/>
        </w:rPr>
        <w:t>含量升高，结合尿素氮含量增加，分析主要是蛋白质做能量利用增加氧化应激，饲料蛋白水平升高反而对机体不利。血清总蛋白浓度可看出鱼体对饲料蛋白质的消化吸收情况</w:t>
      </w:r>
      <w:r>
        <w:rPr>
          <w:sz w:val="24"/>
          <w:vertAlign w:val="superscript"/>
        </w:rPr>
        <w:t>[34]</w:t>
      </w:r>
      <w:r>
        <w:rPr>
          <w:sz w:val="24"/>
        </w:rPr>
        <w:t>，当肝脏发生病变时，血清总蛋白浓度降低</w:t>
      </w:r>
      <w:r>
        <w:rPr>
          <w:sz w:val="24"/>
          <w:vertAlign w:val="superscript"/>
        </w:rPr>
        <w:t>[20]</w:t>
      </w:r>
      <w:r>
        <w:rPr>
          <w:sz w:val="24"/>
        </w:rPr>
        <w:t>。本试验中，血清总蛋白浓度随饲料蛋白质含量的升高呈</w:t>
      </w:r>
      <w:r>
        <w:rPr>
          <w:sz w:val="24"/>
        </w:rPr>
        <w:t>现先升高后不变的趋势。这可能意味着，饲料低蛋白质含量时黄鳝肝功能可能出现了问题，随着饲料蛋白质含量的升高肝功能恢复了正常，类似的结果在郭鑫伟</w:t>
      </w:r>
      <w:r>
        <w:rPr>
          <w:sz w:val="24"/>
          <w:vertAlign w:val="superscript"/>
        </w:rPr>
        <w:t>[35]</w:t>
      </w:r>
      <w:r>
        <w:rPr>
          <w:sz w:val="24"/>
        </w:rPr>
        <w:t>研究珍珠龙胆石斑鱼的试验中。但</w:t>
      </w:r>
      <w:r>
        <w:rPr>
          <w:sz w:val="24"/>
        </w:rPr>
        <w:t>Kim</w:t>
      </w:r>
      <w:r>
        <w:rPr>
          <w:sz w:val="24"/>
        </w:rPr>
        <w:t>等</w:t>
      </w:r>
      <w:r>
        <w:rPr>
          <w:sz w:val="24"/>
          <w:vertAlign w:val="superscript"/>
        </w:rPr>
        <w:t>[19]</w:t>
      </w:r>
      <w:r>
        <w:rPr>
          <w:sz w:val="24"/>
        </w:rPr>
        <w:t>指出，血清蛋白浓度并不会随饲料蛋白质含量的变化而变化，这种结果上的差异需要进一步的探究。尿素氮（</w:t>
      </w:r>
      <w:r>
        <w:rPr>
          <w:sz w:val="24"/>
        </w:rPr>
        <w:t>BUN</w:t>
      </w:r>
      <w:r>
        <w:rPr>
          <w:sz w:val="24"/>
        </w:rPr>
        <w:t>）是鱼体含氮物质代谢产物</w:t>
      </w:r>
      <w:r>
        <w:rPr>
          <w:sz w:val="24"/>
        </w:rPr>
        <w:t>,</w:t>
      </w:r>
      <w:r>
        <w:rPr>
          <w:sz w:val="24"/>
        </w:rPr>
        <w:t>饲料中的蛋白质最终被消化为游离氨基酸和小肽等存在形式</w:t>
      </w:r>
      <w:r>
        <w:rPr>
          <w:sz w:val="24"/>
        </w:rPr>
        <w:t>,</w:t>
      </w:r>
      <w:r>
        <w:rPr>
          <w:sz w:val="24"/>
        </w:rPr>
        <w:t>并在鱼体内被用于自身蛋白的合成沉积以及用于氧化供能分解代谢掉</w:t>
      </w:r>
      <w:r>
        <w:rPr>
          <w:sz w:val="24"/>
        </w:rPr>
        <w:t>,</w:t>
      </w:r>
      <w:r>
        <w:rPr>
          <w:sz w:val="24"/>
        </w:rPr>
        <w:t>代谢掉的部分主要以尿素氮的形式从尿中排出体外，一般认为血浆中尿素氮含量下降</w:t>
      </w:r>
      <w:r>
        <w:rPr>
          <w:sz w:val="24"/>
        </w:rPr>
        <w:t>意味着蛋白质分解速度的降低，蛋白质沉积加强</w:t>
      </w:r>
      <w:r>
        <w:rPr>
          <w:sz w:val="24"/>
          <w:vertAlign w:val="superscript"/>
        </w:rPr>
        <w:t>[36]</w:t>
      </w:r>
      <w:r>
        <w:rPr>
          <w:sz w:val="24"/>
        </w:rPr>
        <w:t>。</w:t>
      </w:r>
      <w:r>
        <w:rPr>
          <w:sz w:val="24"/>
        </w:rPr>
        <w:t>Wang</w:t>
      </w:r>
      <w:r>
        <w:rPr>
          <w:sz w:val="24"/>
        </w:rPr>
        <w:t>等</w:t>
      </w:r>
      <w:r>
        <w:rPr>
          <w:sz w:val="24"/>
          <w:vertAlign w:val="superscript"/>
        </w:rPr>
        <w:t>[37]</w:t>
      </w:r>
      <w:r>
        <w:rPr>
          <w:sz w:val="24"/>
        </w:rPr>
        <w:t>在</w:t>
      </w:r>
      <w:proofErr w:type="gramStart"/>
      <w:r>
        <w:rPr>
          <w:sz w:val="24"/>
        </w:rPr>
        <w:t>赤</w:t>
      </w:r>
      <w:proofErr w:type="gramEnd"/>
      <w:r>
        <w:rPr>
          <w:sz w:val="24"/>
        </w:rPr>
        <w:t>石斑鱼上的研究发现，其血清</w:t>
      </w:r>
      <w:r>
        <w:rPr>
          <w:sz w:val="24"/>
        </w:rPr>
        <w:t>BUN</w:t>
      </w:r>
      <w:r>
        <w:rPr>
          <w:sz w:val="24"/>
        </w:rPr>
        <w:t>含量随饲料蛋白质含量的升高而升高。这与本试验的结果一致，说明饲料高蛋白质含量可能会造成更多的</w:t>
      </w:r>
      <w:r>
        <w:rPr>
          <w:sz w:val="24"/>
        </w:rPr>
        <w:t>N</w:t>
      </w:r>
      <w:r>
        <w:rPr>
          <w:sz w:val="24"/>
        </w:rPr>
        <w:t>元素被代谢掉。总胆固醇（</w:t>
      </w:r>
      <w:r>
        <w:rPr>
          <w:sz w:val="24"/>
        </w:rPr>
        <w:t>TC</w:t>
      </w:r>
      <w:r>
        <w:rPr>
          <w:sz w:val="24"/>
        </w:rPr>
        <w:t>）及总甘油三酯（</w:t>
      </w:r>
      <w:r>
        <w:rPr>
          <w:sz w:val="24"/>
        </w:rPr>
        <w:t>TG</w:t>
      </w:r>
      <w:r>
        <w:rPr>
          <w:sz w:val="24"/>
        </w:rPr>
        <w:t>）是构成血脂的主要组成成分，血脂的主要来源于饲料脂肪的吸收及肝脏等组织的合成。血液中脂类的含量只占全身脂类含量的很小一部分，但血液中的脂类会转运于各组织之间，因此，血液中总胆固醇和甘三酯的含量可以反映出体内脂类代谢情况</w:t>
      </w:r>
      <w:r>
        <w:rPr>
          <w:sz w:val="24"/>
          <w:vertAlign w:val="superscript"/>
        </w:rPr>
        <w:t>[38]</w:t>
      </w:r>
      <w:r>
        <w:rPr>
          <w:sz w:val="24"/>
        </w:rPr>
        <w:t>。本试验中，</w:t>
      </w:r>
      <w:r>
        <w:rPr>
          <w:sz w:val="24"/>
        </w:rPr>
        <w:t>TC</w:t>
      </w:r>
      <w:r>
        <w:rPr>
          <w:sz w:val="24"/>
        </w:rPr>
        <w:t>及</w:t>
      </w:r>
      <w:r>
        <w:rPr>
          <w:sz w:val="24"/>
        </w:rPr>
        <w:t>TG</w:t>
      </w:r>
      <w:r>
        <w:rPr>
          <w:sz w:val="24"/>
        </w:rPr>
        <w:t>含量随饲料蛋白质</w:t>
      </w:r>
      <w:r>
        <w:rPr>
          <w:sz w:val="24"/>
        </w:rPr>
        <w:t>含量的升高而呈下降趋势，这可能是黄鳝在低蛋白质含量为了</w:t>
      </w:r>
      <w:r>
        <w:rPr>
          <w:sz w:val="24"/>
        </w:rPr>
        <w:lastRenderedPageBreak/>
        <w:t>弥补蛋白营养的不足，一是加强了脂肪的吸收，二是糖类经酵解为脂肪合成提供原料，因此血脂升高，而当饲料蛋白质含量升高后，机体为减轻负担而降低了脂类代谢从。类似的结果出现在珍珠龙胆石斑鱼</w:t>
      </w:r>
      <w:r>
        <w:rPr>
          <w:sz w:val="24"/>
          <w:vertAlign w:val="superscript"/>
        </w:rPr>
        <w:t>[35]</w:t>
      </w:r>
      <w:r>
        <w:rPr>
          <w:sz w:val="24"/>
        </w:rPr>
        <w:t>、梭鱼</w:t>
      </w:r>
      <w:r>
        <w:rPr>
          <w:sz w:val="24"/>
          <w:vertAlign w:val="superscript"/>
        </w:rPr>
        <w:t>[39]</w:t>
      </w:r>
      <w:r>
        <w:rPr>
          <w:sz w:val="24"/>
        </w:rPr>
        <w:t>的研究中。高密度脂蛋白（</w:t>
      </w:r>
      <w:r>
        <w:rPr>
          <w:sz w:val="24"/>
        </w:rPr>
        <w:t>HDL-C</w:t>
      </w:r>
      <w:r>
        <w:rPr>
          <w:sz w:val="24"/>
        </w:rPr>
        <w:t>）能把胆固醇从血液及组织转运到肝脏，而低密度脂蛋白（</w:t>
      </w:r>
      <w:r>
        <w:rPr>
          <w:sz w:val="24"/>
        </w:rPr>
        <w:t>LDL-C</w:t>
      </w:r>
      <w:r>
        <w:rPr>
          <w:sz w:val="24"/>
        </w:rPr>
        <w:t>）则是把胆固醇从肝脏转运</w:t>
      </w:r>
      <w:proofErr w:type="gramStart"/>
      <w:r>
        <w:rPr>
          <w:sz w:val="24"/>
        </w:rPr>
        <w:t>至组织</w:t>
      </w:r>
      <w:proofErr w:type="gramEnd"/>
      <w:r>
        <w:rPr>
          <w:sz w:val="24"/>
          <w:vertAlign w:val="superscript"/>
        </w:rPr>
        <w:t>[37]</w:t>
      </w:r>
      <w:r>
        <w:rPr>
          <w:sz w:val="24"/>
        </w:rPr>
        <w:t>。本试验中，随着饲料蛋白质含量的升高，</w:t>
      </w:r>
      <w:r>
        <w:rPr>
          <w:sz w:val="24"/>
        </w:rPr>
        <w:t>HDL-C</w:t>
      </w:r>
      <w:r>
        <w:rPr>
          <w:sz w:val="24"/>
        </w:rPr>
        <w:t>及</w:t>
      </w:r>
      <w:r>
        <w:rPr>
          <w:sz w:val="24"/>
        </w:rPr>
        <w:t>LDL-C</w:t>
      </w:r>
      <w:r>
        <w:rPr>
          <w:sz w:val="24"/>
        </w:rPr>
        <w:t>含量均呈下降趋势，这说明高蛋白质含量会抑制脂肪代谢强度，类似的</w:t>
      </w:r>
      <w:r>
        <w:rPr>
          <w:sz w:val="24"/>
        </w:rPr>
        <w:t>结果出现在暗纹东方鲀</w:t>
      </w:r>
      <w:r>
        <w:rPr>
          <w:sz w:val="24"/>
          <w:vertAlign w:val="superscript"/>
        </w:rPr>
        <w:t>[40]</w:t>
      </w:r>
      <w:r>
        <w:rPr>
          <w:sz w:val="24"/>
        </w:rPr>
        <w:t>的研究中。肌</w:t>
      </w:r>
      <w:proofErr w:type="gramStart"/>
      <w:r>
        <w:rPr>
          <w:sz w:val="24"/>
        </w:rPr>
        <w:t>酐</w:t>
      </w:r>
      <w:proofErr w:type="gramEnd"/>
      <w:r>
        <w:rPr>
          <w:sz w:val="24"/>
        </w:rPr>
        <w:t>（</w:t>
      </w:r>
      <w:r>
        <w:rPr>
          <w:sz w:val="24"/>
        </w:rPr>
        <w:t>CRE</w:t>
      </w:r>
      <w:r>
        <w:rPr>
          <w:sz w:val="24"/>
        </w:rPr>
        <w:t>）是肌酸和磷酸肌酸代谢的最终产物，血清中肌</w:t>
      </w:r>
      <w:proofErr w:type="gramStart"/>
      <w:r>
        <w:rPr>
          <w:sz w:val="24"/>
        </w:rPr>
        <w:t>酐</w:t>
      </w:r>
      <w:proofErr w:type="gramEnd"/>
      <w:r>
        <w:rPr>
          <w:sz w:val="24"/>
        </w:rPr>
        <w:t>含量与肌肉活动量有关，生成的肌</w:t>
      </w:r>
      <w:proofErr w:type="gramStart"/>
      <w:r>
        <w:rPr>
          <w:sz w:val="24"/>
        </w:rPr>
        <w:t>酐</w:t>
      </w:r>
      <w:proofErr w:type="gramEnd"/>
      <w:r>
        <w:rPr>
          <w:sz w:val="24"/>
        </w:rPr>
        <w:t>经由肾脏排出，当血清中的</w:t>
      </w:r>
      <w:r>
        <w:rPr>
          <w:sz w:val="24"/>
        </w:rPr>
        <w:t>CRE</w:t>
      </w:r>
      <w:r>
        <w:rPr>
          <w:sz w:val="24"/>
        </w:rPr>
        <w:t>含量升高时可能意味着肾脏发生了病变</w:t>
      </w:r>
      <w:r>
        <w:rPr>
          <w:sz w:val="24"/>
          <w:vertAlign w:val="superscript"/>
        </w:rPr>
        <w:t>[41]</w:t>
      </w:r>
      <w:r>
        <w:rPr>
          <w:sz w:val="24"/>
        </w:rPr>
        <w:t>。本试验中，血清肌</w:t>
      </w:r>
      <w:proofErr w:type="gramStart"/>
      <w:r>
        <w:rPr>
          <w:sz w:val="24"/>
        </w:rPr>
        <w:t>酐</w:t>
      </w:r>
      <w:proofErr w:type="gramEnd"/>
      <w:r>
        <w:rPr>
          <w:sz w:val="24"/>
        </w:rPr>
        <w:t>含量与饲料蛋白质含量之间无相关关系，这与徐起群</w:t>
      </w:r>
      <w:r>
        <w:rPr>
          <w:sz w:val="24"/>
          <w:vertAlign w:val="superscript"/>
        </w:rPr>
        <w:t>[42]</w:t>
      </w:r>
      <w:r>
        <w:rPr>
          <w:sz w:val="24"/>
        </w:rPr>
        <w:t>在尼罗罗非鱼上的研究一致。本试验中，血糖含量随着饲料蛋白质含量的升高而降低，这可能是因为低蛋白质含量饲料中含有大量的碳水化合物且蛋白不足，黄鳝为摄取足够的多的蛋白质而增加了摄食量，</w:t>
      </w:r>
      <w:proofErr w:type="gramStart"/>
      <w:r>
        <w:rPr>
          <w:sz w:val="24"/>
        </w:rPr>
        <w:t>间接加强</w:t>
      </w:r>
      <w:proofErr w:type="gramEnd"/>
      <w:r>
        <w:rPr>
          <w:sz w:val="24"/>
        </w:rPr>
        <w:t>了碳水化合物的摄入，随着饲料蛋白质含量的升高，饲料中</w:t>
      </w:r>
      <w:r>
        <w:rPr>
          <w:sz w:val="24"/>
        </w:rPr>
        <w:t>碳水化合物逐渐减少，从而血糖含量也降低。类似的结果出现在暗纹东方鲀</w:t>
      </w:r>
      <w:r>
        <w:rPr>
          <w:sz w:val="24"/>
          <w:vertAlign w:val="superscript"/>
        </w:rPr>
        <w:t>[40]</w:t>
      </w:r>
      <w:r>
        <w:rPr>
          <w:sz w:val="24"/>
        </w:rPr>
        <w:t>的研究中。</w:t>
      </w:r>
    </w:p>
    <w:p w14:paraId="16CEC133" w14:textId="77777777" w:rsidR="004F39F6" w:rsidRDefault="00731C67">
      <w:pPr>
        <w:spacing w:line="360" w:lineRule="auto"/>
        <w:rPr>
          <w:sz w:val="24"/>
        </w:rPr>
      </w:pPr>
      <w:r>
        <w:rPr>
          <w:sz w:val="24"/>
        </w:rPr>
        <w:t xml:space="preserve">3.4  </w:t>
      </w:r>
      <w:r>
        <w:rPr>
          <w:sz w:val="24"/>
        </w:rPr>
        <w:t>饲料蛋白质含量对黄鳝消化酶活性的影响</w:t>
      </w:r>
    </w:p>
    <w:p w14:paraId="14D680D8" w14:textId="77777777" w:rsidR="004F39F6" w:rsidRDefault="00731C67">
      <w:pPr>
        <w:spacing w:line="360" w:lineRule="auto"/>
        <w:ind w:firstLineChars="200" w:firstLine="480"/>
        <w:rPr>
          <w:sz w:val="24"/>
        </w:rPr>
      </w:pPr>
      <w:r>
        <w:rPr>
          <w:sz w:val="24"/>
        </w:rPr>
        <w:t>消化酶活力的高低决定着水产动物对营养物质的消化吸收能力，进而决定水产动物的生长速度，同时鱼类消化酶活性受食性、饲料组成等因素的影响，具有复杂性和多样性</w:t>
      </w:r>
      <w:r>
        <w:rPr>
          <w:sz w:val="24"/>
          <w:vertAlign w:val="superscript"/>
        </w:rPr>
        <w:t>[35,43]</w:t>
      </w:r>
      <w:r>
        <w:rPr>
          <w:sz w:val="24"/>
        </w:rPr>
        <w:t>。</w:t>
      </w:r>
    </w:p>
    <w:p w14:paraId="0419A49B" w14:textId="77777777" w:rsidR="004F39F6" w:rsidRDefault="00731C67">
      <w:pPr>
        <w:spacing w:line="360" w:lineRule="auto"/>
        <w:ind w:firstLineChars="200" w:firstLine="480"/>
        <w:rPr>
          <w:sz w:val="24"/>
        </w:rPr>
      </w:pPr>
      <w:r>
        <w:rPr>
          <w:sz w:val="24"/>
        </w:rPr>
        <w:t>本试验发现，黄鳝肝胰脏、胃、肠道中，肠道的蛋白酶活性较高，且随着饲料蛋白质含量的升高肠道蛋白酶活性呈现先升高后稳定的现象，这与刘勇</w:t>
      </w:r>
      <w:r>
        <w:rPr>
          <w:sz w:val="24"/>
          <w:vertAlign w:val="superscript"/>
        </w:rPr>
        <w:t>[44]</w:t>
      </w:r>
      <w:proofErr w:type="gramStart"/>
      <w:r>
        <w:rPr>
          <w:sz w:val="24"/>
        </w:rPr>
        <w:t>在建鲤上的</w:t>
      </w:r>
      <w:proofErr w:type="gramEnd"/>
      <w:r>
        <w:rPr>
          <w:sz w:val="24"/>
        </w:rPr>
        <w:t>研究结果一致，说明黄鳝对饲料蛋白质含量变化的适应性较强，在适当的范围内黄鳝肠道蛋白酶的</w:t>
      </w:r>
      <w:proofErr w:type="gramStart"/>
      <w:r>
        <w:rPr>
          <w:sz w:val="24"/>
        </w:rPr>
        <w:t>活性会</w:t>
      </w:r>
      <w:proofErr w:type="gramEnd"/>
      <w:r>
        <w:rPr>
          <w:sz w:val="24"/>
        </w:rPr>
        <w:t>随着饲料蛋白质含量的升高而升高，从而促进鱼体对蛋白营养的吸收。而有研究表明饲料蛋白质含量过高反而会造成肠道蛋白酶活性的降低</w:t>
      </w:r>
      <w:r>
        <w:rPr>
          <w:sz w:val="24"/>
          <w:vertAlign w:val="superscript"/>
        </w:rPr>
        <w:t>[45,46]</w:t>
      </w:r>
      <w:r>
        <w:rPr>
          <w:sz w:val="24"/>
        </w:rPr>
        <w:t>。饲料蛋白过高，可能对鱼体造成氮代谢负担，蛋白酶活性降低减少摄入蛋白质吸收量，这可能与鱼类能量利用机制不同有关。推测黄鳝对蛋白质作能量利</w:t>
      </w:r>
      <w:r>
        <w:rPr>
          <w:sz w:val="24"/>
        </w:rPr>
        <w:t>用能力较强。</w:t>
      </w:r>
    </w:p>
    <w:p w14:paraId="66CC8262" w14:textId="77777777" w:rsidR="004F39F6" w:rsidRDefault="00731C67">
      <w:pPr>
        <w:spacing w:line="360" w:lineRule="auto"/>
        <w:ind w:firstLineChars="200" w:firstLine="480"/>
        <w:rPr>
          <w:sz w:val="24"/>
        </w:rPr>
      </w:pPr>
      <w:r>
        <w:rPr>
          <w:sz w:val="24"/>
        </w:rPr>
        <w:t>本试验中黄鳝肝胰脏、胃、肠道中，肠道的脂肪酶活性最高，但肠道脂肪酶活性与饲料蛋白质含量无明显相关关系，各试验组之间差异不显著，这与张磊</w:t>
      </w:r>
      <w:r>
        <w:rPr>
          <w:sz w:val="24"/>
          <w:vertAlign w:val="superscript"/>
        </w:rPr>
        <w:t>[23]</w:t>
      </w:r>
      <w:r>
        <w:rPr>
          <w:sz w:val="24"/>
        </w:rPr>
        <w:t>在</w:t>
      </w:r>
      <w:proofErr w:type="gramStart"/>
      <w:r>
        <w:rPr>
          <w:sz w:val="24"/>
        </w:rPr>
        <w:t>达氏鲟上的</w:t>
      </w:r>
      <w:proofErr w:type="gramEnd"/>
      <w:r>
        <w:rPr>
          <w:sz w:val="24"/>
        </w:rPr>
        <w:t>研究结果一致。有研究认为，肠道脂肪酶是底物依赖型的</w:t>
      </w:r>
      <w:r>
        <w:rPr>
          <w:sz w:val="24"/>
          <w:vertAlign w:val="superscript"/>
        </w:rPr>
        <w:t>[44,46,47]</w:t>
      </w:r>
      <w:r>
        <w:rPr>
          <w:sz w:val="24"/>
        </w:rPr>
        <w:t>，本试验中各试验组饲料脂肪含量基本一致，而导致肠道脂肪酶活性变化不显著。此外，肝脏脂肪酶活性的变化却与肠道脂肪酶的变化不同，本试验中，随着饲料蛋白质含量的升高肝脏脂肪酶的活性呈下降趋势，这可能是鱼体在低蛋白质含量情况下为获得足够的能量而最终做出的适应性调整，最终使</w:t>
      </w:r>
      <w:r>
        <w:rPr>
          <w:sz w:val="24"/>
        </w:rPr>
        <w:lastRenderedPageBreak/>
        <w:t>机体在低蛋</w:t>
      </w:r>
      <w:r>
        <w:rPr>
          <w:sz w:val="24"/>
        </w:rPr>
        <w:t>白质含量时肝胰脏有较高的脂肪酶活性，强化脂肪的利用。</w:t>
      </w:r>
    </w:p>
    <w:p w14:paraId="4EB2CCA8" w14:textId="77777777" w:rsidR="004F39F6" w:rsidRDefault="00731C67">
      <w:pPr>
        <w:spacing w:line="360" w:lineRule="auto"/>
        <w:ind w:firstLineChars="200" w:firstLine="480"/>
        <w:rPr>
          <w:sz w:val="24"/>
        </w:rPr>
      </w:pPr>
      <w:r>
        <w:rPr>
          <w:sz w:val="24"/>
        </w:rPr>
        <w:t>本试验中黄鳝肝胰脏、胃、肠道中，肝胰脏的淀粉酶</w:t>
      </w:r>
      <w:proofErr w:type="gramStart"/>
      <w:r>
        <w:rPr>
          <w:sz w:val="24"/>
        </w:rPr>
        <w:t>活随着</w:t>
      </w:r>
      <w:proofErr w:type="gramEnd"/>
      <w:r>
        <w:rPr>
          <w:sz w:val="24"/>
        </w:rPr>
        <w:t>饲料蛋白质含量的升高肝胰脏淀粉酶活性呈现下降的趋势，肠道淀粉酶活性随饲料蛋白质含量的变化趋势与肝胰脏一致。这与建鲤</w:t>
      </w:r>
      <w:r>
        <w:rPr>
          <w:sz w:val="24"/>
          <w:vertAlign w:val="superscript"/>
        </w:rPr>
        <w:t>[44]</w:t>
      </w:r>
      <w:r>
        <w:rPr>
          <w:sz w:val="24"/>
        </w:rPr>
        <w:t>、光倒刺鲃</w:t>
      </w:r>
      <w:r>
        <w:rPr>
          <w:sz w:val="24"/>
          <w:vertAlign w:val="superscript"/>
        </w:rPr>
        <w:t>[48]</w:t>
      </w:r>
      <w:r>
        <w:rPr>
          <w:sz w:val="24"/>
        </w:rPr>
        <w:t>上的研究结果一致。这种现象可能是饲料配方所导致。在设计蛋白质含量试验时，为了满足各试验组饲料能量一致，通常在低蛋白组添加大量的碳水化合物而在高蛋白组添加较少的碳水化合物。肝胰脏、肠道淀粉酶也是底物依赖型的，从而导致在低蛋白高淀粉组有较高的淀粉酶活性。而在黄姑鱼上的研</w:t>
      </w:r>
      <w:r>
        <w:rPr>
          <w:sz w:val="24"/>
        </w:rPr>
        <w:t>究却发现肠道淀粉酶活性随饲料蛋白质含量的升高而升高</w:t>
      </w:r>
      <w:r>
        <w:rPr>
          <w:sz w:val="24"/>
          <w:vertAlign w:val="superscript"/>
        </w:rPr>
        <w:t>[49]</w:t>
      </w:r>
      <w:r>
        <w:rPr>
          <w:sz w:val="24"/>
        </w:rPr>
        <w:t>，这种结果上的差异可能是不同鱼种对淀粉利用能力不同。本试验中，胃淀粉酶活性为三组织最小，且其活性不受饲料蛋白质含量的影响，这说明黄鳝肠道是淀粉的主要消化场所，而胃不是淀粉的主要消化场所</w:t>
      </w:r>
      <w:r>
        <w:rPr>
          <w:sz w:val="24"/>
          <w:vertAlign w:val="superscript"/>
        </w:rPr>
        <w:t>[47]</w:t>
      </w:r>
      <w:r>
        <w:rPr>
          <w:sz w:val="24"/>
        </w:rPr>
        <w:t>。同时也说明黄鳝对淀粉利用能力不强，是一种典型的肉食性鱼类。</w:t>
      </w:r>
    </w:p>
    <w:p w14:paraId="3C6227D1" w14:textId="77777777" w:rsidR="004F39F6" w:rsidRDefault="00731C67">
      <w:pPr>
        <w:spacing w:line="360" w:lineRule="auto"/>
        <w:rPr>
          <w:sz w:val="24"/>
        </w:rPr>
      </w:pPr>
      <w:r>
        <w:rPr>
          <w:sz w:val="24"/>
        </w:rPr>
        <w:t xml:space="preserve">4  </w:t>
      </w:r>
      <w:r>
        <w:rPr>
          <w:sz w:val="24"/>
        </w:rPr>
        <w:t>结论</w:t>
      </w:r>
    </w:p>
    <w:p w14:paraId="1C9E4E27" w14:textId="77777777" w:rsidR="004F39F6" w:rsidRDefault="00731C67">
      <w:pPr>
        <w:spacing w:line="360" w:lineRule="auto"/>
        <w:ind w:firstLineChars="200" w:firstLine="480"/>
        <w:rPr>
          <w:sz w:val="24"/>
        </w:rPr>
      </w:pPr>
      <w:r>
        <w:rPr>
          <w:sz w:val="24"/>
        </w:rPr>
        <w:t>本试验中，当饲料蛋白质含量过低时，黄鳝会加大摄食满足蛋白质需求，但摄入过多碳水化合物会对黄鳝肝脏造成损伤。在饲料蛋白质含量过高时，氧化应激增加，不利于黄鳝的生长，降低蛋白质效率与蛋白保留率</w:t>
      </w:r>
      <w:r>
        <w:rPr>
          <w:sz w:val="24"/>
        </w:rPr>
        <w:t>，同时黄鳝通过降低摄食量减少蛋白质摄入。饲料蛋白质含量在</w:t>
      </w:r>
      <w:r>
        <w:rPr>
          <w:sz w:val="24"/>
        </w:rPr>
        <w:t>48.51 %—52.60 %</w:t>
      </w:r>
      <w:r>
        <w:rPr>
          <w:sz w:val="24"/>
        </w:rPr>
        <w:t>时，幼</w:t>
      </w:r>
      <w:proofErr w:type="gramStart"/>
      <w:r>
        <w:rPr>
          <w:sz w:val="24"/>
        </w:rPr>
        <w:t>鳝</w:t>
      </w:r>
      <w:proofErr w:type="gramEnd"/>
      <w:r>
        <w:rPr>
          <w:sz w:val="24"/>
        </w:rPr>
        <w:t>可获得较好的生产性能。</w:t>
      </w:r>
    </w:p>
    <w:p w14:paraId="0028DDC0" w14:textId="77777777" w:rsidR="004F39F6" w:rsidRDefault="00731C67">
      <w:pPr>
        <w:spacing w:line="360" w:lineRule="auto"/>
        <w:rPr>
          <w:sz w:val="24"/>
        </w:rPr>
      </w:pPr>
      <w:r>
        <w:rPr>
          <w:sz w:val="24"/>
        </w:rPr>
        <w:t>参考文献：略</w:t>
      </w:r>
    </w:p>
    <w:p w14:paraId="3ACFCF57" w14:textId="77777777" w:rsidR="004F39F6" w:rsidRDefault="00731C67">
      <w:pPr>
        <w:spacing w:line="360" w:lineRule="auto"/>
        <w:ind w:firstLineChars="1200" w:firstLine="2520"/>
        <w:jc w:val="right"/>
        <w:rPr>
          <w:szCs w:val="21"/>
        </w:rPr>
      </w:pPr>
      <w:r>
        <w:rPr>
          <w:szCs w:val="21"/>
        </w:rPr>
        <w:t>原文刊登在《水生生物学报》，网络首发时间</w:t>
      </w:r>
      <w:r>
        <w:rPr>
          <w:szCs w:val="21"/>
        </w:rPr>
        <w:t>: 2022-01-28 15:38:45</w:t>
      </w:r>
    </w:p>
    <w:p w14:paraId="5152061C" w14:textId="77777777" w:rsidR="004F39F6" w:rsidRDefault="004F39F6">
      <w:pPr>
        <w:spacing w:line="360" w:lineRule="auto"/>
        <w:ind w:firstLineChars="1200" w:firstLine="2520"/>
        <w:jc w:val="right"/>
        <w:rPr>
          <w:szCs w:val="21"/>
        </w:rPr>
      </w:pPr>
    </w:p>
    <w:sectPr w:rsidR="004F39F6">
      <w:footerReference w:type="default" r:id="rId65"/>
      <w:pgSz w:w="11906" w:h="16838"/>
      <w:pgMar w:top="1440" w:right="1247" w:bottom="1440" w:left="124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2AFF7" w14:textId="77777777" w:rsidR="00731C67" w:rsidRDefault="00731C67">
      <w:r>
        <w:separator/>
      </w:r>
    </w:p>
  </w:endnote>
  <w:endnote w:type="continuationSeparator" w:id="0">
    <w:p w14:paraId="0DEA924E" w14:textId="77777777" w:rsidR="00731C67" w:rsidRDefault="0073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TimesNewRomanPS-Italic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873286"/>
      <w:docPartObj>
        <w:docPartGallery w:val="AutoText"/>
      </w:docPartObj>
    </w:sdtPr>
    <w:sdtEndPr/>
    <w:sdtContent>
      <w:p w14:paraId="61060A73" w14:textId="77777777" w:rsidR="004F39F6" w:rsidRDefault="00731C67">
        <w:pPr>
          <w:pStyle w:val="a9"/>
          <w:jc w:val="center"/>
        </w:pPr>
        <w:r>
          <w:fldChar w:fldCharType="begin"/>
        </w:r>
        <w:r>
          <w:instrText>PAGE   \* MERGEFORMAT</w:instrText>
        </w:r>
        <w:r>
          <w:fldChar w:fldCharType="separate"/>
        </w:r>
        <w:r>
          <w:rPr>
            <w:lang w:val="zh-CN"/>
          </w:rPr>
          <w:t>2</w:t>
        </w:r>
        <w:r>
          <w:fldChar w:fldCharType="end"/>
        </w:r>
      </w:p>
    </w:sdtContent>
  </w:sdt>
  <w:p w14:paraId="3FCBD19E" w14:textId="77777777" w:rsidR="004F39F6" w:rsidRDefault="004F39F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1E1B7" w14:textId="77777777" w:rsidR="00731C67" w:rsidRDefault="00731C67">
      <w:r>
        <w:separator/>
      </w:r>
    </w:p>
  </w:footnote>
  <w:footnote w:type="continuationSeparator" w:id="0">
    <w:p w14:paraId="5F91FB92" w14:textId="77777777" w:rsidR="00731C67" w:rsidRDefault="00731C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770C4"/>
    <w:multiLevelType w:val="multilevel"/>
    <w:tmpl w:val="320770C4"/>
    <w:lvl w:ilvl="0">
      <w:start w:val="1"/>
      <w:numFmt w:val="decimalEnclosedCircle"/>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EFC1281"/>
    <w:multiLevelType w:val="multilevel"/>
    <w:tmpl w:val="3EFC1281"/>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65CD244E"/>
    <w:multiLevelType w:val="multilevel"/>
    <w:tmpl w:val="65CD244E"/>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B3"/>
    <w:rsid w:val="00002115"/>
    <w:rsid w:val="00002BFE"/>
    <w:rsid w:val="00002E4A"/>
    <w:rsid w:val="0000389A"/>
    <w:rsid w:val="00005D40"/>
    <w:rsid w:val="00006E4D"/>
    <w:rsid w:val="000078F8"/>
    <w:rsid w:val="000140DD"/>
    <w:rsid w:val="000162CE"/>
    <w:rsid w:val="0001799F"/>
    <w:rsid w:val="00022032"/>
    <w:rsid w:val="0002235E"/>
    <w:rsid w:val="00023879"/>
    <w:rsid w:val="00024430"/>
    <w:rsid w:val="00024780"/>
    <w:rsid w:val="00026CC6"/>
    <w:rsid w:val="00032EB0"/>
    <w:rsid w:val="00035281"/>
    <w:rsid w:val="00036EAA"/>
    <w:rsid w:val="00037F8A"/>
    <w:rsid w:val="00041E32"/>
    <w:rsid w:val="00043457"/>
    <w:rsid w:val="00045296"/>
    <w:rsid w:val="00046763"/>
    <w:rsid w:val="000507D7"/>
    <w:rsid w:val="00051224"/>
    <w:rsid w:val="000546FE"/>
    <w:rsid w:val="00054B42"/>
    <w:rsid w:val="00056AC4"/>
    <w:rsid w:val="00057A43"/>
    <w:rsid w:val="000601F4"/>
    <w:rsid w:val="00060368"/>
    <w:rsid w:val="00060549"/>
    <w:rsid w:val="000639F4"/>
    <w:rsid w:val="00067060"/>
    <w:rsid w:val="000674B3"/>
    <w:rsid w:val="000778A5"/>
    <w:rsid w:val="0008258D"/>
    <w:rsid w:val="00082714"/>
    <w:rsid w:val="0008527C"/>
    <w:rsid w:val="00086B20"/>
    <w:rsid w:val="00086BED"/>
    <w:rsid w:val="00087D57"/>
    <w:rsid w:val="00091B87"/>
    <w:rsid w:val="00092844"/>
    <w:rsid w:val="00097448"/>
    <w:rsid w:val="000A1544"/>
    <w:rsid w:val="000A383F"/>
    <w:rsid w:val="000A3E04"/>
    <w:rsid w:val="000A45CC"/>
    <w:rsid w:val="000A615C"/>
    <w:rsid w:val="000A75D7"/>
    <w:rsid w:val="000B362C"/>
    <w:rsid w:val="000B3A02"/>
    <w:rsid w:val="000B3B35"/>
    <w:rsid w:val="000B3DB4"/>
    <w:rsid w:val="000B4EA4"/>
    <w:rsid w:val="000B4F43"/>
    <w:rsid w:val="000B5095"/>
    <w:rsid w:val="000B7C99"/>
    <w:rsid w:val="000C000C"/>
    <w:rsid w:val="000C1E70"/>
    <w:rsid w:val="000C1F1B"/>
    <w:rsid w:val="000C2535"/>
    <w:rsid w:val="000C38D1"/>
    <w:rsid w:val="000C4DD7"/>
    <w:rsid w:val="000C51AB"/>
    <w:rsid w:val="000C5A7E"/>
    <w:rsid w:val="000C6194"/>
    <w:rsid w:val="000C6B67"/>
    <w:rsid w:val="000D0869"/>
    <w:rsid w:val="000D0B84"/>
    <w:rsid w:val="000D10F7"/>
    <w:rsid w:val="000D17DD"/>
    <w:rsid w:val="000D1B49"/>
    <w:rsid w:val="000D64CA"/>
    <w:rsid w:val="000D6ACA"/>
    <w:rsid w:val="000E2BBA"/>
    <w:rsid w:val="000E4383"/>
    <w:rsid w:val="000E6948"/>
    <w:rsid w:val="000E6DAE"/>
    <w:rsid w:val="000F0055"/>
    <w:rsid w:val="000F0FCE"/>
    <w:rsid w:val="000F2DCC"/>
    <w:rsid w:val="000F30A4"/>
    <w:rsid w:val="000F3844"/>
    <w:rsid w:val="000F425B"/>
    <w:rsid w:val="000F6254"/>
    <w:rsid w:val="000F6417"/>
    <w:rsid w:val="000F642F"/>
    <w:rsid w:val="000F6E36"/>
    <w:rsid w:val="001000FA"/>
    <w:rsid w:val="001028F0"/>
    <w:rsid w:val="00102DB7"/>
    <w:rsid w:val="0010350D"/>
    <w:rsid w:val="00104062"/>
    <w:rsid w:val="00104F42"/>
    <w:rsid w:val="00105674"/>
    <w:rsid w:val="00105C63"/>
    <w:rsid w:val="00107626"/>
    <w:rsid w:val="00107696"/>
    <w:rsid w:val="00107F13"/>
    <w:rsid w:val="00107F29"/>
    <w:rsid w:val="001109D0"/>
    <w:rsid w:val="00112132"/>
    <w:rsid w:val="00113EBF"/>
    <w:rsid w:val="001142B8"/>
    <w:rsid w:val="00114ABC"/>
    <w:rsid w:val="00114AF2"/>
    <w:rsid w:val="00114AF4"/>
    <w:rsid w:val="00115440"/>
    <w:rsid w:val="001164E0"/>
    <w:rsid w:val="001172CF"/>
    <w:rsid w:val="00121953"/>
    <w:rsid w:val="001226B3"/>
    <w:rsid w:val="0012398F"/>
    <w:rsid w:val="0012437E"/>
    <w:rsid w:val="001255FE"/>
    <w:rsid w:val="00125783"/>
    <w:rsid w:val="001261EE"/>
    <w:rsid w:val="001264F7"/>
    <w:rsid w:val="00130955"/>
    <w:rsid w:val="001323EA"/>
    <w:rsid w:val="00133D64"/>
    <w:rsid w:val="001410FA"/>
    <w:rsid w:val="00141929"/>
    <w:rsid w:val="0014286D"/>
    <w:rsid w:val="00142DB1"/>
    <w:rsid w:val="00143A57"/>
    <w:rsid w:val="00144A33"/>
    <w:rsid w:val="00144A8E"/>
    <w:rsid w:val="00144F0E"/>
    <w:rsid w:val="00146D3F"/>
    <w:rsid w:val="00147484"/>
    <w:rsid w:val="00147815"/>
    <w:rsid w:val="00147A4B"/>
    <w:rsid w:val="00147D9B"/>
    <w:rsid w:val="00147FE6"/>
    <w:rsid w:val="0015008E"/>
    <w:rsid w:val="00151DBA"/>
    <w:rsid w:val="00151DDB"/>
    <w:rsid w:val="0015316B"/>
    <w:rsid w:val="00155FA9"/>
    <w:rsid w:val="00156460"/>
    <w:rsid w:val="001571FA"/>
    <w:rsid w:val="00160661"/>
    <w:rsid w:val="00161685"/>
    <w:rsid w:val="0016314A"/>
    <w:rsid w:val="00164ECD"/>
    <w:rsid w:val="00165B8B"/>
    <w:rsid w:val="00171CD2"/>
    <w:rsid w:val="00172E0D"/>
    <w:rsid w:val="00176536"/>
    <w:rsid w:val="00177FBF"/>
    <w:rsid w:val="00181DD6"/>
    <w:rsid w:val="00183729"/>
    <w:rsid w:val="00185F05"/>
    <w:rsid w:val="00186AEA"/>
    <w:rsid w:val="001901B0"/>
    <w:rsid w:val="001918A0"/>
    <w:rsid w:val="001920E0"/>
    <w:rsid w:val="0019272A"/>
    <w:rsid w:val="00193590"/>
    <w:rsid w:val="00193B81"/>
    <w:rsid w:val="001947D3"/>
    <w:rsid w:val="00195B86"/>
    <w:rsid w:val="001A14D9"/>
    <w:rsid w:val="001B036A"/>
    <w:rsid w:val="001B1379"/>
    <w:rsid w:val="001B2750"/>
    <w:rsid w:val="001B34BE"/>
    <w:rsid w:val="001B70C5"/>
    <w:rsid w:val="001C07B8"/>
    <w:rsid w:val="001C136B"/>
    <w:rsid w:val="001C1FB2"/>
    <w:rsid w:val="001C3405"/>
    <w:rsid w:val="001C3A5B"/>
    <w:rsid w:val="001C3F5B"/>
    <w:rsid w:val="001C4E29"/>
    <w:rsid w:val="001C5FD7"/>
    <w:rsid w:val="001C7EC0"/>
    <w:rsid w:val="001D53B7"/>
    <w:rsid w:val="001D61B6"/>
    <w:rsid w:val="001E01CB"/>
    <w:rsid w:val="001E3265"/>
    <w:rsid w:val="001E60D4"/>
    <w:rsid w:val="001E6BB5"/>
    <w:rsid w:val="001E7BCF"/>
    <w:rsid w:val="001F61F5"/>
    <w:rsid w:val="001F65FA"/>
    <w:rsid w:val="001F7857"/>
    <w:rsid w:val="00200A87"/>
    <w:rsid w:val="00202D44"/>
    <w:rsid w:val="00202E7A"/>
    <w:rsid w:val="00205034"/>
    <w:rsid w:val="00205060"/>
    <w:rsid w:val="00206202"/>
    <w:rsid w:val="002079E0"/>
    <w:rsid w:val="002101F2"/>
    <w:rsid w:val="00210424"/>
    <w:rsid w:val="00210903"/>
    <w:rsid w:val="00210C08"/>
    <w:rsid w:val="00211E4F"/>
    <w:rsid w:val="002134B2"/>
    <w:rsid w:val="00213B07"/>
    <w:rsid w:val="002154D2"/>
    <w:rsid w:val="00215661"/>
    <w:rsid w:val="002156F9"/>
    <w:rsid w:val="00215CD7"/>
    <w:rsid w:val="002177A1"/>
    <w:rsid w:val="00217AD4"/>
    <w:rsid w:val="002200C7"/>
    <w:rsid w:val="00221185"/>
    <w:rsid w:val="002219EF"/>
    <w:rsid w:val="0022243A"/>
    <w:rsid w:val="00222C72"/>
    <w:rsid w:val="00224A4B"/>
    <w:rsid w:val="002252BC"/>
    <w:rsid w:val="00226309"/>
    <w:rsid w:val="00226D0A"/>
    <w:rsid w:val="00226EFE"/>
    <w:rsid w:val="002302A1"/>
    <w:rsid w:val="00230958"/>
    <w:rsid w:val="00231324"/>
    <w:rsid w:val="00231625"/>
    <w:rsid w:val="0023213D"/>
    <w:rsid w:val="00232B41"/>
    <w:rsid w:val="00233A57"/>
    <w:rsid w:val="00235A3C"/>
    <w:rsid w:val="00236078"/>
    <w:rsid w:val="00236AE3"/>
    <w:rsid w:val="00236ED9"/>
    <w:rsid w:val="00240D6D"/>
    <w:rsid w:val="0024125E"/>
    <w:rsid w:val="00242377"/>
    <w:rsid w:val="00242686"/>
    <w:rsid w:val="002428B3"/>
    <w:rsid w:val="00246ED3"/>
    <w:rsid w:val="0024777C"/>
    <w:rsid w:val="00252BD2"/>
    <w:rsid w:val="00253683"/>
    <w:rsid w:val="00253761"/>
    <w:rsid w:val="00253F7D"/>
    <w:rsid w:val="002541A3"/>
    <w:rsid w:val="002546DC"/>
    <w:rsid w:val="00257995"/>
    <w:rsid w:val="0026078F"/>
    <w:rsid w:val="002613DB"/>
    <w:rsid w:val="00261A0C"/>
    <w:rsid w:val="00263ECA"/>
    <w:rsid w:val="00263FFB"/>
    <w:rsid w:val="0027180E"/>
    <w:rsid w:val="002739B1"/>
    <w:rsid w:val="002744C2"/>
    <w:rsid w:val="002744E5"/>
    <w:rsid w:val="0027618B"/>
    <w:rsid w:val="00276648"/>
    <w:rsid w:val="00277A84"/>
    <w:rsid w:val="00280947"/>
    <w:rsid w:val="002811F2"/>
    <w:rsid w:val="002818C3"/>
    <w:rsid w:val="00282030"/>
    <w:rsid w:val="0028211E"/>
    <w:rsid w:val="002825C7"/>
    <w:rsid w:val="00283CB0"/>
    <w:rsid w:val="0028488A"/>
    <w:rsid w:val="00285D4B"/>
    <w:rsid w:val="00286DFF"/>
    <w:rsid w:val="00292870"/>
    <w:rsid w:val="00292FC4"/>
    <w:rsid w:val="00293983"/>
    <w:rsid w:val="00293A08"/>
    <w:rsid w:val="00295B4C"/>
    <w:rsid w:val="00295B85"/>
    <w:rsid w:val="002966E9"/>
    <w:rsid w:val="00296760"/>
    <w:rsid w:val="0029698D"/>
    <w:rsid w:val="0029710F"/>
    <w:rsid w:val="002A0BD2"/>
    <w:rsid w:val="002A0E86"/>
    <w:rsid w:val="002A1C62"/>
    <w:rsid w:val="002A2269"/>
    <w:rsid w:val="002A2850"/>
    <w:rsid w:val="002A451D"/>
    <w:rsid w:val="002B3AD5"/>
    <w:rsid w:val="002B4030"/>
    <w:rsid w:val="002B445F"/>
    <w:rsid w:val="002B455D"/>
    <w:rsid w:val="002B56F6"/>
    <w:rsid w:val="002B65FB"/>
    <w:rsid w:val="002B6A0A"/>
    <w:rsid w:val="002C089B"/>
    <w:rsid w:val="002C31BB"/>
    <w:rsid w:val="002C4100"/>
    <w:rsid w:val="002C6917"/>
    <w:rsid w:val="002C6BC0"/>
    <w:rsid w:val="002C70E6"/>
    <w:rsid w:val="002D06A5"/>
    <w:rsid w:val="002D1F0C"/>
    <w:rsid w:val="002D2E29"/>
    <w:rsid w:val="002D302C"/>
    <w:rsid w:val="002D5AB5"/>
    <w:rsid w:val="002D5C3F"/>
    <w:rsid w:val="002D6938"/>
    <w:rsid w:val="002E0157"/>
    <w:rsid w:val="002E104E"/>
    <w:rsid w:val="002E3AB3"/>
    <w:rsid w:val="002E492F"/>
    <w:rsid w:val="002E5994"/>
    <w:rsid w:val="002E6505"/>
    <w:rsid w:val="002E773C"/>
    <w:rsid w:val="002F19EF"/>
    <w:rsid w:val="002F3797"/>
    <w:rsid w:val="002F3D8B"/>
    <w:rsid w:val="002F4B8E"/>
    <w:rsid w:val="002F53F8"/>
    <w:rsid w:val="002F587F"/>
    <w:rsid w:val="002F642E"/>
    <w:rsid w:val="0030036F"/>
    <w:rsid w:val="00300469"/>
    <w:rsid w:val="0030176B"/>
    <w:rsid w:val="00301E3D"/>
    <w:rsid w:val="00303F9C"/>
    <w:rsid w:val="003047CB"/>
    <w:rsid w:val="003047E1"/>
    <w:rsid w:val="00304B2C"/>
    <w:rsid w:val="00305D81"/>
    <w:rsid w:val="00311521"/>
    <w:rsid w:val="0031195C"/>
    <w:rsid w:val="003121CC"/>
    <w:rsid w:val="00312355"/>
    <w:rsid w:val="003133FA"/>
    <w:rsid w:val="0031414D"/>
    <w:rsid w:val="003150E5"/>
    <w:rsid w:val="00315176"/>
    <w:rsid w:val="003151F8"/>
    <w:rsid w:val="00315E65"/>
    <w:rsid w:val="003209C6"/>
    <w:rsid w:val="003213D2"/>
    <w:rsid w:val="00321753"/>
    <w:rsid w:val="0032346B"/>
    <w:rsid w:val="00324714"/>
    <w:rsid w:val="00325FA3"/>
    <w:rsid w:val="00330A01"/>
    <w:rsid w:val="00331A39"/>
    <w:rsid w:val="0033358D"/>
    <w:rsid w:val="003340F9"/>
    <w:rsid w:val="00335A51"/>
    <w:rsid w:val="00341AB4"/>
    <w:rsid w:val="0034293A"/>
    <w:rsid w:val="003438F4"/>
    <w:rsid w:val="003461C6"/>
    <w:rsid w:val="00346521"/>
    <w:rsid w:val="0034702D"/>
    <w:rsid w:val="0034773C"/>
    <w:rsid w:val="00353FC8"/>
    <w:rsid w:val="003540E2"/>
    <w:rsid w:val="0035430E"/>
    <w:rsid w:val="003552DE"/>
    <w:rsid w:val="003556F1"/>
    <w:rsid w:val="0035671B"/>
    <w:rsid w:val="003619C5"/>
    <w:rsid w:val="00362017"/>
    <w:rsid w:val="003717E5"/>
    <w:rsid w:val="003723C4"/>
    <w:rsid w:val="003731B4"/>
    <w:rsid w:val="0037344F"/>
    <w:rsid w:val="003742F0"/>
    <w:rsid w:val="003760B7"/>
    <w:rsid w:val="0037710B"/>
    <w:rsid w:val="0037746A"/>
    <w:rsid w:val="003777A9"/>
    <w:rsid w:val="00377896"/>
    <w:rsid w:val="00382D82"/>
    <w:rsid w:val="00383085"/>
    <w:rsid w:val="00384D19"/>
    <w:rsid w:val="0039220D"/>
    <w:rsid w:val="00392211"/>
    <w:rsid w:val="003928A0"/>
    <w:rsid w:val="00395691"/>
    <w:rsid w:val="00396194"/>
    <w:rsid w:val="003967CE"/>
    <w:rsid w:val="003978E0"/>
    <w:rsid w:val="003A1756"/>
    <w:rsid w:val="003A2A90"/>
    <w:rsid w:val="003A3951"/>
    <w:rsid w:val="003A5602"/>
    <w:rsid w:val="003B2EA9"/>
    <w:rsid w:val="003B319C"/>
    <w:rsid w:val="003B4345"/>
    <w:rsid w:val="003B53A9"/>
    <w:rsid w:val="003B5CE4"/>
    <w:rsid w:val="003B7223"/>
    <w:rsid w:val="003B7EDB"/>
    <w:rsid w:val="003C20D7"/>
    <w:rsid w:val="003C28AE"/>
    <w:rsid w:val="003C3330"/>
    <w:rsid w:val="003C4573"/>
    <w:rsid w:val="003C72D8"/>
    <w:rsid w:val="003D1AFE"/>
    <w:rsid w:val="003D3AFA"/>
    <w:rsid w:val="003D3D82"/>
    <w:rsid w:val="003D6A6E"/>
    <w:rsid w:val="003D6ACB"/>
    <w:rsid w:val="003D6F23"/>
    <w:rsid w:val="003D76DA"/>
    <w:rsid w:val="003E0E5E"/>
    <w:rsid w:val="003E1429"/>
    <w:rsid w:val="003E191F"/>
    <w:rsid w:val="003E1F7F"/>
    <w:rsid w:val="003E2185"/>
    <w:rsid w:val="003E21BF"/>
    <w:rsid w:val="003E3581"/>
    <w:rsid w:val="003E470D"/>
    <w:rsid w:val="003E513B"/>
    <w:rsid w:val="003E6E28"/>
    <w:rsid w:val="003E74D0"/>
    <w:rsid w:val="003F0F3E"/>
    <w:rsid w:val="003F366D"/>
    <w:rsid w:val="003F3D62"/>
    <w:rsid w:val="003F5232"/>
    <w:rsid w:val="00400693"/>
    <w:rsid w:val="00402029"/>
    <w:rsid w:val="00402577"/>
    <w:rsid w:val="00402C8B"/>
    <w:rsid w:val="004034A8"/>
    <w:rsid w:val="00403775"/>
    <w:rsid w:val="00403AFA"/>
    <w:rsid w:val="00405824"/>
    <w:rsid w:val="00405844"/>
    <w:rsid w:val="00406215"/>
    <w:rsid w:val="00410441"/>
    <w:rsid w:val="00411276"/>
    <w:rsid w:val="00413245"/>
    <w:rsid w:val="004148FF"/>
    <w:rsid w:val="00414E6F"/>
    <w:rsid w:val="00414EF5"/>
    <w:rsid w:val="00414F24"/>
    <w:rsid w:val="004151C2"/>
    <w:rsid w:val="00415FC5"/>
    <w:rsid w:val="00416E34"/>
    <w:rsid w:val="00421268"/>
    <w:rsid w:val="00421302"/>
    <w:rsid w:val="00421EEE"/>
    <w:rsid w:val="004227EA"/>
    <w:rsid w:val="00422CC3"/>
    <w:rsid w:val="00424857"/>
    <w:rsid w:val="00424FF0"/>
    <w:rsid w:val="004259A9"/>
    <w:rsid w:val="00425C14"/>
    <w:rsid w:val="00425E59"/>
    <w:rsid w:val="00426191"/>
    <w:rsid w:val="00431953"/>
    <w:rsid w:val="0043219C"/>
    <w:rsid w:val="00432641"/>
    <w:rsid w:val="0043351C"/>
    <w:rsid w:val="0043465C"/>
    <w:rsid w:val="00435617"/>
    <w:rsid w:val="00442A99"/>
    <w:rsid w:val="00442F16"/>
    <w:rsid w:val="00443ECC"/>
    <w:rsid w:val="004514C8"/>
    <w:rsid w:val="00451E16"/>
    <w:rsid w:val="00453ED7"/>
    <w:rsid w:val="0045601B"/>
    <w:rsid w:val="00456CD5"/>
    <w:rsid w:val="004601A5"/>
    <w:rsid w:val="00460822"/>
    <w:rsid w:val="00462E48"/>
    <w:rsid w:val="00463A84"/>
    <w:rsid w:val="00464C28"/>
    <w:rsid w:val="00464CF4"/>
    <w:rsid w:val="00464F17"/>
    <w:rsid w:val="00465A03"/>
    <w:rsid w:val="0046749D"/>
    <w:rsid w:val="00470E14"/>
    <w:rsid w:val="00474BF2"/>
    <w:rsid w:val="00476D47"/>
    <w:rsid w:val="0047799E"/>
    <w:rsid w:val="00481145"/>
    <w:rsid w:val="00481513"/>
    <w:rsid w:val="00481A98"/>
    <w:rsid w:val="00481E6A"/>
    <w:rsid w:val="00484450"/>
    <w:rsid w:val="00484A62"/>
    <w:rsid w:val="00486A5F"/>
    <w:rsid w:val="00486DDD"/>
    <w:rsid w:val="00487553"/>
    <w:rsid w:val="00491B2A"/>
    <w:rsid w:val="00491CA4"/>
    <w:rsid w:val="00492AF7"/>
    <w:rsid w:val="00494E6E"/>
    <w:rsid w:val="00495F48"/>
    <w:rsid w:val="004960F0"/>
    <w:rsid w:val="004973A6"/>
    <w:rsid w:val="004A036E"/>
    <w:rsid w:val="004A155F"/>
    <w:rsid w:val="004A6092"/>
    <w:rsid w:val="004A768E"/>
    <w:rsid w:val="004A7FE3"/>
    <w:rsid w:val="004B0073"/>
    <w:rsid w:val="004B0815"/>
    <w:rsid w:val="004B169B"/>
    <w:rsid w:val="004B1ACF"/>
    <w:rsid w:val="004B2803"/>
    <w:rsid w:val="004B3D85"/>
    <w:rsid w:val="004B511D"/>
    <w:rsid w:val="004B7227"/>
    <w:rsid w:val="004C1E9A"/>
    <w:rsid w:val="004C2FD9"/>
    <w:rsid w:val="004C58A0"/>
    <w:rsid w:val="004D0AA6"/>
    <w:rsid w:val="004D21F0"/>
    <w:rsid w:val="004D2C00"/>
    <w:rsid w:val="004D3041"/>
    <w:rsid w:val="004D40C2"/>
    <w:rsid w:val="004D483C"/>
    <w:rsid w:val="004D4AF0"/>
    <w:rsid w:val="004D55AC"/>
    <w:rsid w:val="004D5A59"/>
    <w:rsid w:val="004E129B"/>
    <w:rsid w:val="004E1B39"/>
    <w:rsid w:val="004E71FA"/>
    <w:rsid w:val="004F22BC"/>
    <w:rsid w:val="004F39F6"/>
    <w:rsid w:val="004F3C8A"/>
    <w:rsid w:val="004F42D4"/>
    <w:rsid w:val="004F4727"/>
    <w:rsid w:val="0050023E"/>
    <w:rsid w:val="00500E1E"/>
    <w:rsid w:val="00501554"/>
    <w:rsid w:val="00501892"/>
    <w:rsid w:val="00501B42"/>
    <w:rsid w:val="00502B7F"/>
    <w:rsid w:val="00504503"/>
    <w:rsid w:val="00504554"/>
    <w:rsid w:val="00507077"/>
    <w:rsid w:val="00507A20"/>
    <w:rsid w:val="00507C4E"/>
    <w:rsid w:val="00513F5B"/>
    <w:rsid w:val="00514BE6"/>
    <w:rsid w:val="0051501E"/>
    <w:rsid w:val="00515776"/>
    <w:rsid w:val="0051680E"/>
    <w:rsid w:val="00517662"/>
    <w:rsid w:val="00520095"/>
    <w:rsid w:val="00520FFE"/>
    <w:rsid w:val="00521B5F"/>
    <w:rsid w:val="00523607"/>
    <w:rsid w:val="005236DE"/>
    <w:rsid w:val="00524DAC"/>
    <w:rsid w:val="00525950"/>
    <w:rsid w:val="00525EC5"/>
    <w:rsid w:val="005266BB"/>
    <w:rsid w:val="00530C26"/>
    <w:rsid w:val="00531EC3"/>
    <w:rsid w:val="0053360B"/>
    <w:rsid w:val="00533794"/>
    <w:rsid w:val="00533BA7"/>
    <w:rsid w:val="00533D55"/>
    <w:rsid w:val="00534159"/>
    <w:rsid w:val="005344A1"/>
    <w:rsid w:val="00535062"/>
    <w:rsid w:val="00540833"/>
    <w:rsid w:val="005422F4"/>
    <w:rsid w:val="00542F72"/>
    <w:rsid w:val="00546F0C"/>
    <w:rsid w:val="0054789A"/>
    <w:rsid w:val="005523E2"/>
    <w:rsid w:val="00554DE6"/>
    <w:rsid w:val="0055568F"/>
    <w:rsid w:val="005605BD"/>
    <w:rsid w:val="00562AB6"/>
    <w:rsid w:val="00564FBF"/>
    <w:rsid w:val="005653B4"/>
    <w:rsid w:val="005654B1"/>
    <w:rsid w:val="00566182"/>
    <w:rsid w:val="005664AE"/>
    <w:rsid w:val="0056688C"/>
    <w:rsid w:val="0056729B"/>
    <w:rsid w:val="005730AF"/>
    <w:rsid w:val="0057454F"/>
    <w:rsid w:val="00574CD9"/>
    <w:rsid w:val="00575903"/>
    <w:rsid w:val="00576E2D"/>
    <w:rsid w:val="00582B6B"/>
    <w:rsid w:val="0058538A"/>
    <w:rsid w:val="00585AAC"/>
    <w:rsid w:val="00585ECC"/>
    <w:rsid w:val="005864C4"/>
    <w:rsid w:val="00587DA3"/>
    <w:rsid w:val="00590C39"/>
    <w:rsid w:val="00590C6B"/>
    <w:rsid w:val="00591478"/>
    <w:rsid w:val="00591EAD"/>
    <w:rsid w:val="005927A6"/>
    <w:rsid w:val="005928C9"/>
    <w:rsid w:val="00594F65"/>
    <w:rsid w:val="00595356"/>
    <w:rsid w:val="00596379"/>
    <w:rsid w:val="005968DB"/>
    <w:rsid w:val="005A00FC"/>
    <w:rsid w:val="005A19A7"/>
    <w:rsid w:val="005A6DDC"/>
    <w:rsid w:val="005A6E64"/>
    <w:rsid w:val="005A7DCB"/>
    <w:rsid w:val="005B1798"/>
    <w:rsid w:val="005B1D33"/>
    <w:rsid w:val="005B5FA3"/>
    <w:rsid w:val="005C136B"/>
    <w:rsid w:val="005C174A"/>
    <w:rsid w:val="005C2A23"/>
    <w:rsid w:val="005C2B21"/>
    <w:rsid w:val="005C3896"/>
    <w:rsid w:val="005C3E78"/>
    <w:rsid w:val="005D1AA2"/>
    <w:rsid w:val="005D52B6"/>
    <w:rsid w:val="005E1DD2"/>
    <w:rsid w:val="005E2E18"/>
    <w:rsid w:val="005E369F"/>
    <w:rsid w:val="005E493E"/>
    <w:rsid w:val="005E5084"/>
    <w:rsid w:val="005E59BD"/>
    <w:rsid w:val="005E5D3B"/>
    <w:rsid w:val="005E7629"/>
    <w:rsid w:val="005F329B"/>
    <w:rsid w:val="005F35FF"/>
    <w:rsid w:val="005F5768"/>
    <w:rsid w:val="005F5F44"/>
    <w:rsid w:val="005F62E7"/>
    <w:rsid w:val="005F6E17"/>
    <w:rsid w:val="005F6E3C"/>
    <w:rsid w:val="00600212"/>
    <w:rsid w:val="00603115"/>
    <w:rsid w:val="00603184"/>
    <w:rsid w:val="006046B1"/>
    <w:rsid w:val="00605107"/>
    <w:rsid w:val="0060515F"/>
    <w:rsid w:val="00605878"/>
    <w:rsid w:val="00605CE0"/>
    <w:rsid w:val="00613EB0"/>
    <w:rsid w:val="006142E7"/>
    <w:rsid w:val="00614BF8"/>
    <w:rsid w:val="00620BC2"/>
    <w:rsid w:val="00621093"/>
    <w:rsid w:val="00623F8C"/>
    <w:rsid w:val="00624F4B"/>
    <w:rsid w:val="006261A1"/>
    <w:rsid w:val="0062741C"/>
    <w:rsid w:val="00627782"/>
    <w:rsid w:val="00627A37"/>
    <w:rsid w:val="00630BC3"/>
    <w:rsid w:val="00632922"/>
    <w:rsid w:val="00633E72"/>
    <w:rsid w:val="00635067"/>
    <w:rsid w:val="00635D0C"/>
    <w:rsid w:val="006364D6"/>
    <w:rsid w:val="00637FAC"/>
    <w:rsid w:val="00640463"/>
    <w:rsid w:val="00646F55"/>
    <w:rsid w:val="006474D3"/>
    <w:rsid w:val="006501A1"/>
    <w:rsid w:val="00651A2E"/>
    <w:rsid w:val="00652551"/>
    <w:rsid w:val="00653F07"/>
    <w:rsid w:val="0065478F"/>
    <w:rsid w:val="00656708"/>
    <w:rsid w:val="006568E7"/>
    <w:rsid w:val="00657449"/>
    <w:rsid w:val="00661DED"/>
    <w:rsid w:val="00662E42"/>
    <w:rsid w:val="0066326D"/>
    <w:rsid w:val="0066461A"/>
    <w:rsid w:val="006647B0"/>
    <w:rsid w:val="00666052"/>
    <w:rsid w:val="0067047B"/>
    <w:rsid w:val="006708F7"/>
    <w:rsid w:val="0067140C"/>
    <w:rsid w:val="006723E4"/>
    <w:rsid w:val="006727BA"/>
    <w:rsid w:val="0067380D"/>
    <w:rsid w:val="00673985"/>
    <w:rsid w:val="00675070"/>
    <w:rsid w:val="00675CC2"/>
    <w:rsid w:val="00677B2C"/>
    <w:rsid w:val="0068099D"/>
    <w:rsid w:val="00680B7C"/>
    <w:rsid w:val="00681408"/>
    <w:rsid w:val="006828A6"/>
    <w:rsid w:val="00683A27"/>
    <w:rsid w:val="00686A7D"/>
    <w:rsid w:val="00686A8B"/>
    <w:rsid w:val="00687670"/>
    <w:rsid w:val="0069033F"/>
    <w:rsid w:val="006912A9"/>
    <w:rsid w:val="006913D8"/>
    <w:rsid w:val="006932D4"/>
    <w:rsid w:val="00693CEC"/>
    <w:rsid w:val="00695868"/>
    <w:rsid w:val="0069658E"/>
    <w:rsid w:val="00696977"/>
    <w:rsid w:val="006975E2"/>
    <w:rsid w:val="006A1B56"/>
    <w:rsid w:val="006A24BD"/>
    <w:rsid w:val="006A2947"/>
    <w:rsid w:val="006A2B98"/>
    <w:rsid w:val="006A39A6"/>
    <w:rsid w:val="006A571F"/>
    <w:rsid w:val="006A68E7"/>
    <w:rsid w:val="006B05BA"/>
    <w:rsid w:val="006B0CD0"/>
    <w:rsid w:val="006B315A"/>
    <w:rsid w:val="006B327C"/>
    <w:rsid w:val="006B3346"/>
    <w:rsid w:val="006B3E6D"/>
    <w:rsid w:val="006C30E6"/>
    <w:rsid w:val="006C363F"/>
    <w:rsid w:val="006C465F"/>
    <w:rsid w:val="006C513F"/>
    <w:rsid w:val="006C5231"/>
    <w:rsid w:val="006C5B90"/>
    <w:rsid w:val="006D04D4"/>
    <w:rsid w:val="006D1755"/>
    <w:rsid w:val="006D2D7E"/>
    <w:rsid w:val="006D36D3"/>
    <w:rsid w:val="006D3C31"/>
    <w:rsid w:val="006D5192"/>
    <w:rsid w:val="006D6EEC"/>
    <w:rsid w:val="006E0739"/>
    <w:rsid w:val="006E1274"/>
    <w:rsid w:val="006E19F1"/>
    <w:rsid w:val="006E255F"/>
    <w:rsid w:val="006F2CE5"/>
    <w:rsid w:val="006F4D05"/>
    <w:rsid w:val="006F5B5C"/>
    <w:rsid w:val="006F5FFC"/>
    <w:rsid w:val="006F71E2"/>
    <w:rsid w:val="00700862"/>
    <w:rsid w:val="00700AF5"/>
    <w:rsid w:val="007026BB"/>
    <w:rsid w:val="007037C7"/>
    <w:rsid w:val="00703DB7"/>
    <w:rsid w:val="00705602"/>
    <w:rsid w:val="007112FC"/>
    <w:rsid w:val="007114DE"/>
    <w:rsid w:val="00712722"/>
    <w:rsid w:val="007130EC"/>
    <w:rsid w:val="00720CC2"/>
    <w:rsid w:val="00720F8E"/>
    <w:rsid w:val="00722755"/>
    <w:rsid w:val="00724454"/>
    <w:rsid w:val="007255C5"/>
    <w:rsid w:val="00726461"/>
    <w:rsid w:val="007266C2"/>
    <w:rsid w:val="00731196"/>
    <w:rsid w:val="00731392"/>
    <w:rsid w:val="00731C67"/>
    <w:rsid w:val="0073322E"/>
    <w:rsid w:val="00734F3D"/>
    <w:rsid w:val="007365CD"/>
    <w:rsid w:val="007405A4"/>
    <w:rsid w:val="00740F25"/>
    <w:rsid w:val="00743435"/>
    <w:rsid w:val="00743A11"/>
    <w:rsid w:val="0074495F"/>
    <w:rsid w:val="0074719A"/>
    <w:rsid w:val="0075165E"/>
    <w:rsid w:val="00752213"/>
    <w:rsid w:val="0075556B"/>
    <w:rsid w:val="007560EE"/>
    <w:rsid w:val="00761341"/>
    <w:rsid w:val="00761C8B"/>
    <w:rsid w:val="00764E99"/>
    <w:rsid w:val="00765FC1"/>
    <w:rsid w:val="00766D7E"/>
    <w:rsid w:val="00770C04"/>
    <w:rsid w:val="0077349D"/>
    <w:rsid w:val="00776B71"/>
    <w:rsid w:val="00776C62"/>
    <w:rsid w:val="00777626"/>
    <w:rsid w:val="00777D21"/>
    <w:rsid w:val="00777D6B"/>
    <w:rsid w:val="00781E94"/>
    <w:rsid w:val="00783E4C"/>
    <w:rsid w:val="0078586A"/>
    <w:rsid w:val="007870EE"/>
    <w:rsid w:val="007929DA"/>
    <w:rsid w:val="00797296"/>
    <w:rsid w:val="007A50FB"/>
    <w:rsid w:val="007A59FF"/>
    <w:rsid w:val="007A6730"/>
    <w:rsid w:val="007A69B3"/>
    <w:rsid w:val="007A6C37"/>
    <w:rsid w:val="007A7EF8"/>
    <w:rsid w:val="007B2014"/>
    <w:rsid w:val="007B468E"/>
    <w:rsid w:val="007B4AF0"/>
    <w:rsid w:val="007B67FE"/>
    <w:rsid w:val="007B7521"/>
    <w:rsid w:val="007B7E6E"/>
    <w:rsid w:val="007C1142"/>
    <w:rsid w:val="007C232B"/>
    <w:rsid w:val="007C3C59"/>
    <w:rsid w:val="007C3DE3"/>
    <w:rsid w:val="007C5A60"/>
    <w:rsid w:val="007D5303"/>
    <w:rsid w:val="007D5346"/>
    <w:rsid w:val="007D64DF"/>
    <w:rsid w:val="007D6E48"/>
    <w:rsid w:val="007E059B"/>
    <w:rsid w:val="007E22E9"/>
    <w:rsid w:val="007E2B7B"/>
    <w:rsid w:val="007E2F10"/>
    <w:rsid w:val="007E30A0"/>
    <w:rsid w:val="007E3B11"/>
    <w:rsid w:val="007E78F9"/>
    <w:rsid w:val="007F10C7"/>
    <w:rsid w:val="007F14BE"/>
    <w:rsid w:val="007F3C4C"/>
    <w:rsid w:val="007F4C42"/>
    <w:rsid w:val="007F5FAF"/>
    <w:rsid w:val="007F704A"/>
    <w:rsid w:val="00800DB3"/>
    <w:rsid w:val="0080112F"/>
    <w:rsid w:val="0080156E"/>
    <w:rsid w:val="00802B6E"/>
    <w:rsid w:val="00804165"/>
    <w:rsid w:val="008042A0"/>
    <w:rsid w:val="008048C0"/>
    <w:rsid w:val="0080661C"/>
    <w:rsid w:val="00807F74"/>
    <w:rsid w:val="00810344"/>
    <w:rsid w:val="00810A4D"/>
    <w:rsid w:val="00812AB0"/>
    <w:rsid w:val="00812F1D"/>
    <w:rsid w:val="008132FE"/>
    <w:rsid w:val="00814DEB"/>
    <w:rsid w:val="0081545F"/>
    <w:rsid w:val="00816544"/>
    <w:rsid w:val="00817EDC"/>
    <w:rsid w:val="00821541"/>
    <w:rsid w:val="00823280"/>
    <w:rsid w:val="00823832"/>
    <w:rsid w:val="00825494"/>
    <w:rsid w:val="00825C20"/>
    <w:rsid w:val="00826C95"/>
    <w:rsid w:val="008279AE"/>
    <w:rsid w:val="00827CAC"/>
    <w:rsid w:val="00832870"/>
    <w:rsid w:val="00833C43"/>
    <w:rsid w:val="00833ECF"/>
    <w:rsid w:val="008342F4"/>
    <w:rsid w:val="00835FB9"/>
    <w:rsid w:val="00841C73"/>
    <w:rsid w:val="00841E4F"/>
    <w:rsid w:val="00842754"/>
    <w:rsid w:val="008432A0"/>
    <w:rsid w:val="00845BDD"/>
    <w:rsid w:val="00845C52"/>
    <w:rsid w:val="00845E7B"/>
    <w:rsid w:val="008463C3"/>
    <w:rsid w:val="00847AD5"/>
    <w:rsid w:val="00853017"/>
    <w:rsid w:val="00856A85"/>
    <w:rsid w:val="008575F6"/>
    <w:rsid w:val="0086000A"/>
    <w:rsid w:val="008608A5"/>
    <w:rsid w:val="00867760"/>
    <w:rsid w:val="00870F69"/>
    <w:rsid w:val="008729CC"/>
    <w:rsid w:val="008740D0"/>
    <w:rsid w:val="008746D6"/>
    <w:rsid w:val="008759D4"/>
    <w:rsid w:val="0088115C"/>
    <w:rsid w:val="00882CB6"/>
    <w:rsid w:val="0088515D"/>
    <w:rsid w:val="00885A24"/>
    <w:rsid w:val="008873E7"/>
    <w:rsid w:val="008900C3"/>
    <w:rsid w:val="0089025B"/>
    <w:rsid w:val="008916C0"/>
    <w:rsid w:val="00891CD5"/>
    <w:rsid w:val="0089212D"/>
    <w:rsid w:val="008924A9"/>
    <w:rsid w:val="0089303E"/>
    <w:rsid w:val="00894047"/>
    <w:rsid w:val="0089504E"/>
    <w:rsid w:val="00897ADD"/>
    <w:rsid w:val="008A0F25"/>
    <w:rsid w:val="008A2C10"/>
    <w:rsid w:val="008A2FEF"/>
    <w:rsid w:val="008A3E6D"/>
    <w:rsid w:val="008A6A67"/>
    <w:rsid w:val="008A7014"/>
    <w:rsid w:val="008B051F"/>
    <w:rsid w:val="008B1FFB"/>
    <w:rsid w:val="008B20D4"/>
    <w:rsid w:val="008B35B0"/>
    <w:rsid w:val="008B4DD4"/>
    <w:rsid w:val="008B5A8C"/>
    <w:rsid w:val="008B65F0"/>
    <w:rsid w:val="008C1408"/>
    <w:rsid w:val="008C32BF"/>
    <w:rsid w:val="008C41BD"/>
    <w:rsid w:val="008C51CF"/>
    <w:rsid w:val="008C569B"/>
    <w:rsid w:val="008C6061"/>
    <w:rsid w:val="008D1852"/>
    <w:rsid w:val="008D2482"/>
    <w:rsid w:val="008D4253"/>
    <w:rsid w:val="008D641D"/>
    <w:rsid w:val="008D6B07"/>
    <w:rsid w:val="008D771D"/>
    <w:rsid w:val="008E35A1"/>
    <w:rsid w:val="008E3B44"/>
    <w:rsid w:val="008E548B"/>
    <w:rsid w:val="008E64CA"/>
    <w:rsid w:val="008E668E"/>
    <w:rsid w:val="008E698B"/>
    <w:rsid w:val="008F0A99"/>
    <w:rsid w:val="008F1DFC"/>
    <w:rsid w:val="008F2828"/>
    <w:rsid w:val="008F4A2E"/>
    <w:rsid w:val="008F7F3E"/>
    <w:rsid w:val="00901138"/>
    <w:rsid w:val="00901CB3"/>
    <w:rsid w:val="009025BE"/>
    <w:rsid w:val="00902955"/>
    <w:rsid w:val="009034AC"/>
    <w:rsid w:val="00903935"/>
    <w:rsid w:val="00903B62"/>
    <w:rsid w:val="009040B4"/>
    <w:rsid w:val="00906F2E"/>
    <w:rsid w:val="00907EBE"/>
    <w:rsid w:val="00910604"/>
    <w:rsid w:val="00912236"/>
    <w:rsid w:val="009124F3"/>
    <w:rsid w:val="0091344E"/>
    <w:rsid w:val="009153BA"/>
    <w:rsid w:val="009154BD"/>
    <w:rsid w:val="00915CEB"/>
    <w:rsid w:val="0092030A"/>
    <w:rsid w:val="0092069E"/>
    <w:rsid w:val="009214FB"/>
    <w:rsid w:val="0092357C"/>
    <w:rsid w:val="00924749"/>
    <w:rsid w:val="00924F81"/>
    <w:rsid w:val="009256A0"/>
    <w:rsid w:val="00925C53"/>
    <w:rsid w:val="00925DEE"/>
    <w:rsid w:val="00926890"/>
    <w:rsid w:val="009273AA"/>
    <w:rsid w:val="00930B80"/>
    <w:rsid w:val="0093204E"/>
    <w:rsid w:val="00932889"/>
    <w:rsid w:val="00934D7A"/>
    <w:rsid w:val="009357DD"/>
    <w:rsid w:val="00936A21"/>
    <w:rsid w:val="0093757C"/>
    <w:rsid w:val="0094144E"/>
    <w:rsid w:val="00941A03"/>
    <w:rsid w:val="00941F9D"/>
    <w:rsid w:val="0094546D"/>
    <w:rsid w:val="00951413"/>
    <w:rsid w:val="00952198"/>
    <w:rsid w:val="00953E5D"/>
    <w:rsid w:val="009562E6"/>
    <w:rsid w:val="00956304"/>
    <w:rsid w:val="00956F54"/>
    <w:rsid w:val="00957370"/>
    <w:rsid w:val="009632EF"/>
    <w:rsid w:val="00967A5B"/>
    <w:rsid w:val="0097250B"/>
    <w:rsid w:val="009734FD"/>
    <w:rsid w:val="0097385A"/>
    <w:rsid w:val="00973959"/>
    <w:rsid w:val="00973D48"/>
    <w:rsid w:val="00974083"/>
    <w:rsid w:val="009747D0"/>
    <w:rsid w:val="0097511E"/>
    <w:rsid w:val="0097638E"/>
    <w:rsid w:val="009777F2"/>
    <w:rsid w:val="00980E29"/>
    <w:rsid w:val="00984BE4"/>
    <w:rsid w:val="00984D70"/>
    <w:rsid w:val="00985168"/>
    <w:rsid w:val="00985AC7"/>
    <w:rsid w:val="00987960"/>
    <w:rsid w:val="009921DB"/>
    <w:rsid w:val="00992F39"/>
    <w:rsid w:val="00993162"/>
    <w:rsid w:val="00994451"/>
    <w:rsid w:val="00994EDD"/>
    <w:rsid w:val="00995AC8"/>
    <w:rsid w:val="009A04CD"/>
    <w:rsid w:val="009A0601"/>
    <w:rsid w:val="009A1B3D"/>
    <w:rsid w:val="009A2511"/>
    <w:rsid w:val="009A34A6"/>
    <w:rsid w:val="009A3956"/>
    <w:rsid w:val="009A4889"/>
    <w:rsid w:val="009A4B86"/>
    <w:rsid w:val="009A795D"/>
    <w:rsid w:val="009B1B86"/>
    <w:rsid w:val="009B2B39"/>
    <w:rsid w:val="009B48AF"/>
    <w:rsid w:val="009B638D"/>
    <w:rsid w:val="009B6C30"/>
    <w:rsid w:val="009B6E43"/>
    <w:rsid w:val="009B79BA"/>
    <w:rsid w:val="009B7F36"/>
    <w:rsid w:val="009C077F"/>
    <w:rsid w:val="009C120D"/>
    <w:rsid w:val="009C1437"/>
    <w:rsid w:val="009C29D8"/>
    <w:rsid w:val="009C3E71"/>
    <w:rsid w:val="009C4D24"/>
    <w:rsid w:val="009C6364"/>
    <w:rsid w:val="009C65A0"/>
    <w:rsid w:val="009D57C9"/>
    <w:rsid w:val="009D78E5"/>
    <w:rsid w:val="009D7E8A"/>
    <w:rsid w:val="009E422B"/>
    <w:rsid w:val="009E4DD5"/>
    <w:rsid w:val="009E4F03"/>
    <w:rsid w:val="009E541A"/>
    <w:rsid w:val="009E55A7"/>
    <w:rsid w:val="009E64DD"/>
    <w:rsid w:val="009E671D"/>
    <w:rsid w:val="009F023C"/>
    <w:rsid w:val="009F0909"/>
    <w:rsid w:val="009F0E94"/>
    <w:rsid w:val="009F4DE2"/>
    <w:rsid w:val="009F64D0"/>
    <w:rsid w:val="009F66A3"/>
    <w:rsid w:val="009F76CE"/>
    <w:rsid w:val="009F78EB"/>
    <w:rsid w:val="00A02EBE"/>
    <w:rsid w:val="00A04DE3"/>
    <w:rsid w:val="00A0758B"/>
    <w:rsid w:val="00A11B8F"/>
    <w:rsid w:val="00A12FB4"/>
    <w:rsid w:val="00A1434E"/>
    <w:rsid w:val="00A17C6D"/>
    <w:rsid w:val="00A2233B"/>
    <w:rsid w:val="00A23442"/>
    <w:rsid w:val="00A24B8B"/>
    <w:rsid w:val="00A26237"/>
    <w:rsid w:val="00A26335"/>
    <w:rsid w:val="00A26DB3"/>
    <w:rsid w:val="00A27A51"/>
    <w:rsid w:val="00A27EDA"/>
    <w:rsid w:val="00A30B10"/>
    <w:rsid w:val="00A31AD4"/>
    <w:rsid w:val="00A31DA6"/>
    <w:rsid w:val="00A32BE5"/>
    <w:rsid w:val="00A33DCB"/>
    <w:rsid w:val="00A343A0"/>
    <w:rsid w:val="00A343B8"/>
    <w:rsid w:val="00A36025"/>
    <w:rsid w:val="00A36D4B"/>
    <w:rsid w:val="00A43398"/>
    <w:rsid w:val="00A4510B"/>
    <w:rsid w:val="00A46A0D"/>
    <w:rsid w:val="00A47CAA"/>
    <w:rsid w:val="00A53608"/>
    <w:rsid w:val="00A54172"/>
    <w:rsid w:val="00A55041"/>
    <w:rsid w:val="00A55909"/>
    <w:rsid w:val="00A56278"/>
    <w:rsid w:val="00A57452"/>
    <w:rsid w:val="00A6126A"/>
    <w:rsid w:val="00A62BF5"/>
    <w:rsid w:val="00A66481"/>
    <w:rsid w:val="00A67C7B"/>
    <w:rsid w:val="00A70A79"/>
    <w:rsid w:val="00A70C13"/>
    <w:rsid w:val="00A70C81"/>
    <w:rsid w:val="00A710BB"/>
    <w:rsid w:val="00A7307A"/>
    <w:rsid w:val="00A74655"/>
    <w:rsid w:val="00A76221"/>
    <w:rsid w:val="00A7650F"/>
    <w:rsid w:val="00A77D36"/>
    <w:rsid w:val="00A80EC7"/>
    <w:rsid w:val="00A823AF"/>
    <w:rsid w:val="00A8282D"/>
    <w:rsid w:val="00A832C0"/>
    <w:rsid w:val="00A8371D"/>
    <w:rsid w:val="00A83FB1"/>
    <w:rsid w:val="00A849A4"/>
    <w:rsid w:val="00A87D25"/>
    <w:rsid w:val="00A903D2"/>
    <w:rsid w:val="00A9071E"/>
    <w:rsid w:val="00A909F4"/>
    <w:rsid w:val="00A90B6B"/>
    <w:rsid w:val="00A911D9"/>
    <w:rsid w:val="00A941BC"/>
    <w:rsid w:val="00A96062"/>
    <w:rsid w:val="00A962EF"/>
    <w:rsid w:val="00A967E3"/>
    <w:rsid w:val="00AA0E2A"/>
    <w:rsid w:val="00AA16B6"/>
    <w:rsid w:val="00AA1D71"/>
    <w:rsid w:val="00AA324F"/>
    <w:rsid w:val="00AA334E"/>
    <w:rsid w:val="00AA3BF6"/>
    <w:rsid w:val="00AA465C"/>
    <w:rsid w:val="00AA6AA7"/>
    <w:rsid w:val="00AB3617"/>
    <w:rsid w:val="00AB3E14"/>
    <w:rsid w:val="00AB590F"/>
    <w:rsid w:val="00AC0DBB"/>
    <w:rsid w:val="00AC1A1F"/>
    <w:rsid w:val="00AC1F6C"/>
    <w:rsid w:val="00AC2E24"/>
    <w:rsid w:val="00AC4031"/>
    <w:rsid w:val="00AC4C72"/>
    <w:rsid w:val="00AC53A7"/>
    <w:rsid w:val="00AC6489"/>
    <w:rsid w:val="00AC697B"/>
    <w:rsid w:val="00AD0E86"/>
    <w:rsid w:val="00AD1928"/>
    <w:rsid w:val="00AD2116"/>
    <w:rsid w:val="00AD44E7"/>
    <w:rsid w:val="00AD5634"/>
    <w:rsid w:val="00AD7C25"/>
    <w:rsid w:val="00AE07CA"/>
    <w:rsid w:val="00AE0C85"/>
    <w:rsid w:val="00AE2F94"/>
    <w:rsid w:val="00AE3983"/>
    <w:rsid w:val="00AE3ECF"/>
    <w:rsid w:val="00AE5DCF"/>
    <w:rsid w:val="00AE73F2"/>
    <w:rsid w:val="00AE75EB"/>
    <w:rsid w:val="00AF37E1"/>
    <w:rsid w:val="00AF3A22"/>
    <w:rsid w:val="00AF42C9"/>
    <w:rsid w:val="00AF546D"/>
    <w:rsid w:val="00AF6162"/>
    <w:rsid w:val="00B02222"/>
    <w:rsid w:val="00B0534F"/>
    <w:rsid w:val="00B06636"/>
    <w:rsid w:val="00B06C7B"/>
    <w:rsid w:val="00B06FF8"/>
    <w:rsid w:val="00B07124"/>
    <w:rsid w:val="00B07294"/>
    <w:rsid w:val="00B07C46"/>
    <w:rsid w:val="00B1141D"/>
    <w:rsid w:val="00B11968"/>
    <w:rsid w:val="00B12A59"/>
    <w:rsid w:val="00B12FA6"/>
    <w:rsid w:val="00B13AF5"/>
    <w:rsid w:val="00B17F02"/>
    <w:rsid w:val="00B22CF0"/>
    <w:rsid w:val="00B22D4C"/>
    <w:rsid w:val="00B2514D"/>
    <w:rsid w:val="00B268BF"/>
    <w:rsid w:val="00B26A3D"/>
    <w:rsid w:val="00B30650"/>
    <w:rsid w:val="00B3205C"/>
    <w:rsid w:val="00B33A2A"/>
    <w:rsid w:val="00B33ACB"/>
    <w:rsid w:val="00B35956"/>
    <w:rsid w:val="00B4014B"/>
    <w:rsid w:val="00B40734"/>
    <w:rsid w:val="00B40935"/>
    <w:rsid w:val="00B434D4"/>
    <w:rsid w:val="00B46A42"/>
    <w:rsid w:val="00B4710D"/>
    <w:rsid w:val="00B4755C"/>
    <w:rsid w:val="00B5179A"/>
    <w:rsid w:val="00B5186E"/>
    <w:rsid w:val="00B52307"/>
    <w:rsid w:val="00B53781"/>
    <w:rsid w:val="00B55346"/>
    <w:rsid w:val="00B558A3"/>
    <w:rsid w:val="00B60F9C"/>
    <w:rsid w:val="00B625A1"/>
    <w:rsid w:val="00B64088"/>
    <w:rsid w:val="00B6412B"/>
    <w:rsid w:val="00B64209"/>
    <w:rsid w:val="00B65194"/>
    <w:rsid w:val="00B662C0"/>
    <w:rsid w:val="00B71018"/>
    <w:rsid w:val="00B7311B"/>
    <w:rsid w:val="00B744CD"/>
    <w:rsid w:val="00B806DC"/>
    <w:rsid w:val="00B8200A"/>
    <w:rsid w:val="00B83DCD"/>
    <w:rsid w:val="00B85A30"/>
    <w:rsid w:val="00B85C94"/>
    <w:rsid w:val="00B861ED"/>
    <w:rsid w:val="00B867B1"/>
    <w:rsid w:val="00B86C45"/>
    <w:rsid w:val="00B87B5D"/>
    <w:rsid w:val="00B87D3E"/>
    <w:rsid w:val="00B90277"/>
    <w:rsid w:val="00B90885"/>
    <w:rsid w:val="00B908C2"/>
    <w:rsid w:val="00B93EFB"/>
    <w:rsid w:val="00BA13FD"/>
    <w:rsid w:val="00BA379F"/>
    <w:rsid w:val="00BA4025"/>
    <w:rsid w:val="00BA63E4"/>
    <w:rsid w:val="00BA6BA0"/>
    <w:rsid w:val="00BA7E3E"/>
    <w:rsid w:val="00BB02AA"/>
    <w:rsid w:val="00BB0E5C"/>
    <w:rsid w:val="00BB1B09"/>
    <w:rsid w:val="00BB2FA7"/>
    <w:rsid w:val="00BB30A1"/>
    <w:rsid w:val="00BB5576"/>
    <w:rsid w:val="00BB5B60"/>
    <w:rsid w:val="00BB6C0B"/>
    <w:rsid w:val="00BB75E4"/>
    <w:rsid w:val="00BC2BE9"/>
    <w:rsid w:val="00BC717C"/>
    <w:rsid w:val="00BC72FA"/>
    <w:rsid w:val="00BC7C31"/>
    <w:rsid w:val="00BD18E7"/>
    <w:rsid w:val="00BD4A7D"/>
    <w:rsid w:val="00BD4D7D"/>
    <w:rsid w:val="00BD4FB9"/>
    <w:rsid w:val="00BD5393"/>
    <w:rsid w:val="00BE2B0D"/>
    <w:rsid w:val="00BE58DC"/>
    <w:rsid w:val="00BF0BE8"/>
    <w:rsid w:val="00BF0D33"/>
    <w:rsid w:val="00BF1093"/>
    <w:rsid w:val="00BF1B98"/>
    <w:rsid w:val="00BF1C48"/>
    <w:rsid w:val="00BF2CA0"/>
    <w:rsid w:val="00BF5152"/>
    <w:rsid w:val="00BF590E"/>
    <w:rsid w:val="00BF5BC0"/>
    <w:rsid w:val="00BF6A3F"/>
    <w:rsid w:val="00BF6F09"/>
    <w:rsid w:val="00BF7C4D"/>
    <w:rsid w:val="00C01085"/>
    <w:rsid w:val="00C01857"/>
    <w:rsid w:val="00C01AE1"/>
    <w:rsid w:val="00C028C5"/>
    <w:rsid w:val="00C04E96"/>
    <w:rsid w:val="00C1199A"/>
    <w:rsid w:val="00C11E77"/>
    <w:rsid w:val="00C128C8"/>
    <w:rsid w:val="00C138F5"/>
    <w:rsid w:val="00C13E5D"/>
    <w:rsid w:val="00C14837"/>
    <w:rsid w:val="00C17FA4"/>
    <w:rsid w:val="00C2328E"/>
    <w:rsid w:val="00C26915"/>
    <w:rsid w:val="00C27B1A"/>
    <w:rsid w:val="00C35AC8"/>
    <w:rsid w:val="00C36D85"/>
    <w:rsid w:val="00C36DFA"/>
    <w:rsid w:val="00C3706C"/>
    <w:rsid w:val="00C37337"/>
    <w:rsid w:val="00C4068C"/>
    <w:rsid w:val="00C41020"/>
    <w:rsid w:val="00C41D05"/>
    <w:rsid w:val="00C442B2"/>
    <w:rsid w:val="00C447E6"/>
    <w:rsid w:val="00C44B58"/>
    <w:rsid w:val="00C508F6"/>
    <w:rsid w:val="00C50CFC"/>
    <w:rsid w:val="00C51F1E"/>
    <w:rsid w:val="00C5236D"/>
    <w:rsid w:val="00C536FE"/>
    <w:rsid w:val="00C5457A"/>
    <w:rsid w:val="00C5686C"/>
    <w:rsid w:val="00C56AE7"/>
    <w:rsid w:val="00C61DF5"/>
    <w:rsid w:val="00C61EF4"/>
    <w:rsid w:val="00C6425F"/>
    <w:rsid w:val="00C64619"/>
    <w:rsid w:val="00C64875"/>
    <w:rsid w:val="00C64ADD"/>
    <w:rsid w:val="00C6708C"/>
    <w:rsid w:val="00C67A7D"/>
    <w:rsid w:val="00C7160D"/>
    <w:rsid w:val="00C72C7B"/>
    <w:rsid w:val="00C73250"/>
    <w:rsid w:val="00C7357E"/>
    <w:rsid w:val="00C73CF2"/>
    <w:rsid w:val="00C73EE8"/>
    <w:rsid w:val="00C7509E"/>
    <w:rsid w:val="00C75210"/>
    <w:rsid w:val="00C75B2A"/>
    <w:rsid w:val="00C76306"/>
    <w:rsid w:val="00C77DE3"/>
    <w:rsid w:val="00C80260"/>
    <w:rsid w:val="00C82090"/>
    <w:rsid w:val="00C850BA"/>
    <w:rsid w:val="00C859B4"/>
    <w:rsid w:val="00C91208"/>
    <w:rsid w:val="00C91617"/>
    <w:rsid w:val="00C91E48"/>
    <w:rsid w:val="00C9683B"/>
    <w:rsid w:val="00C9697C"/>
    <w:rsid w:val="00CA097C"/>
    <w:rsid w:val="00CA1956"/>
    <w:rsid w:val="00CA4909"/>
    <w:rsid w:val="00CA5920"/>
    <w:rsid w:val="00CA650C"/>
    <w:rsid w:val="00CB0A34"/>
    <w:rsid w:val="00CB1936"/>
    <w:rsid w:val="00CB2E45"/>
    <w:rsid w:val="00CB2EE8"/>
    <w:rsid w:val="00CB47A3"/>
    <w:rsid w:val="00CB4B78"/>
    <w:rsid w:val="00CB57A0"/>
    <w:rsid w:val="00CC1502"/>
    <w:rsid w:val="00CC1B37"/>
    <w:rsid w:val="00CC3505"/>
    <w:rsid w:val="00CC773A"/>
    <w:rsid w:val="00CC7882"/>
    <w:rsid w:val="00CD0E86"/>
    <w:rsid w:val="00CD1A11"/>
    <w:rsid w:val="00CD2019"/>
    <w:rsid w:val="00CD2A3F"/>
    <w:rsid w:val="00CD3028"/>
    <w:rsid w:val="00CD52C5"/>
    <w:rsid w:val="00CD7CFC"/>
    <w:rsid w:val="00CE3609"/>
    <w:rsid w:val="00CE3648"/>
    <w:rsid w:val="00CE42BB"/>
    <w:rsid w:val="00CE45A8"/>
    <w:rsid w:val="00CE5E55"/>
    <w:rsid w:val="00CE5E66"/>
    <w:rsid w:val="00CE6BE1"/>
    <w:rsid w:val="00CE6D94"/>
    <w:rsid w:val="00CE6F5B"/>
    <w:rsid w:val="00CF01D6"/>
    <w:rsid w:val="00CF03B0"/>
    <w:rsid w:val="00CF044D"/>
    <w:rsid w:val="00CF15DE"/>
    <w:rsid w:val="00CF2BC2"/>
    <w:rsid w:val="00CF617C"/>
    <w:rsid w:val="00CF74E2"/>
    <w:rsid w:val="00CF7FBE"/>
    <w:rsid w:val="00D03913"/>
    <w:rsid w:val="00D04281"/>
    <w:rsid w:val="00D05E3F"/>
    <w:rsid w:val="00D0696A"/>
    <w:rsid w:val="00D073E7"/>
    <w:rsid w:val="00D126B8"/>
    <w:rsid w:val="00D134B7"/>
    <w:rsid w:val="00D13EB7"/>
    <w:rsid w:val="00D145F9"/>
    <w:rsid w:val="00D1647D"/>
    <w:rsid w:val="00D20E64"/>
    <w:rsid w:val="00D20F45"/>
    <w:rsid w:val="00D21BD9"/>
    <w:rsid w:val="00D257C3"/>
    <w:rsid w:val="00D2599C"/>
    <w:rsid w:val="00D25DAA"/>
    <w:rsid w:val="00D30579"/>
    <w:rsid w:val="00D30B08"/>
    <w:rsid w:val="00D31511"/>
    <w:rsid w:val="00D40760"/>
    <w:rsid w:val="00D41CA1"/>
    <w:rsid w:val="00D45ACD"/>
    <w:rsid w:val="00D508DA"/>
    <w:rsid w:val="00D50A94"/>
    <w:rsid w:val="00D51D39"/>
    <w:rsid w:val="00D51D61"/>
    <w:rsid w:val="00D52F1B"/>
    <w:rsid w:val="00D5379C"/>
    <w:rsid w:val="00D6198E"/>
    <w:rsid w:val="00D64BE0"/>
    <w:rsid w:val="00D64D32"/>
    <w:rsid w:val="00D650C8"/>
    <w:rsid w:val="00D660D5"/>
    <w:rsid w:val="00D71469"/>
    <w:rsid w:val="00D71E3E"/>
    <w:rsid w:val="00D76160"/>
    <w:rsid w:val="00D76E36"/>
    <w:rsid w:val="00D807C3"/>
    <w:rsid w:val="00D81A8F"/>
    <w:rsid w:val="00D81FC6"/>
    <w:rsid w:val="00D82640"/>
    <w:rsid w:val="00D84C89"/>
    <w:rsid w:val="00D856B2"/>
    <w:rsid w:val="00D85980"/>
    <w:rsid w:val="00D91BB6"/>
    <w:rsid w:val="00D92601"/>
    <w:rsid w:val="00D940CB"/>
    <w:rsid w:val="00D96669"/>
    <w:rsid w:val="00DA0C3B"/>
    <w:rsid w:val="00DA1887"/>
    <w:rsid w:val="00DA3297"/>
    <w:rsid w:val="00DA36DF"/>
    <w:rsid w:val="00DB0898"/>
    <w:rsid w:val="00DB1439"/>
    <w:rsid w:val="00DB1DB0"/>
    <w:rsid w:val="00DB24B6"/>
    <w:rsid w:val="00DB3CEB"/>
    <w:rsid w:val="00DB4044"/>
    <w:rsid w:val="00DB4E19"/>
    <w:rsid w:val="00DB4FD6"/>
    <w:rsid w:val="00DB5552"/>
    <w:rsid w:val="00DB7020"/>
    <w:rsid w:val="00DB70BF"/>
    <w:rsid w:val="00DC0C49"/>
    <w:rsid w:val="00DC261A"/>
    <w:rsid w:val="00DC3DC5"/>
    <w:rsid w:val="00DC40A7"/>
    <w:rsid w:val="00DC4328"/>
    <w:rsid w:val="00DC5893"/>
    <w:rsid w:val="00DD095E"/>
    <w:rsid w:val="00DD1C0F"/>
    <w:rsid w:val="00DD29FF"/>
    <w:rsid w:val="00DD3B3F"/>
    <w:rsid w:val="00DD5A5F"/>
    <w:rsid w:val="00DD5E8E"/>
    <w:rsid w:val="00DE0BCD"/>
    <w:rsid w:val="00DE15C2"/>
    <w:rsid w:val="00DE1D2D"/>
    <w:rsid w:val="00DE1FC2"/>
    <w:rsid w:val="00DE2DF3"/>
    <w:rsid w:val="00DE4C92"/>
    <w:rsid w:val="00DE747C"/>
    <w:rsid w:val="00DE7BE9"/>
    <w:rsid w:val="00DE7C42"/>
    <w:rsid w:val="00DF2091"/>
    <w:rsid w:val="00DF2B8B"/>
    <w:rsid w:val="00DF3CD6"/>
    <w:rsid w:val="00DF6324"/>
    <w:rsid w:val="00DF6B72"/>
    <w:rsid w:val="00E00C0D"/>
    <w:rsid w:val="00E02982"/>
    <w:rsid w:val="00E03FC5"/>
    <w:rsid w:val="00E04EF6"/>
    <w:rsid w:val="00E053E0"/>
    <w:rsid w:val="00E05AC4"/>
    <w:rsid w:val="00E05E02"/>
    <w:rsid w:val="00E06B9E"/>
    <w:rsid w:val="00E07E09"/>
    <w:rsid w:val="00E07E44"/>
    <w:rsid w:val="00E10CF2"/>
    <w:rsid w:val="00E14FE1"/>
    <w:rsid w:val="00E151E8"/>
    <w:rsid w:val="00E15BC7"/>
    <w:rsid w:val="00E163A1"/>
    <w:rsid w:val="00E1651C"/>
    <w:rsid w:val="00E2260B"/>
    <w:rsid w:val="00E232C4"/>
    <w:rsid w:val="00E243D1"/>
    <w:rsid w:val="00E24875"/>
    <w:rsid w:val="00E27942"/>
    <w:rsid w:val="00E31117"/>
    <w:rsid w:val="00E32CF1"/>
    <w:rsid w:val="00E3458E"/>
    <w:rsid w:val="00E35BB9"/>
    <w:rsid w:val="00E41211"/>
    <w:rsid w:val="00E42A75"/>
    <w:rsid w:val="00E42BD0"/>
    <w:rsid w:val="00E44122"/>
    <w:rsid w:val="00E44E2C"/>
    <w:rsid w:val="00E45837"/>
    <w:rsid w:val="00E45C3D"/>
    <w:rsid w:val="00E46738"/>
    <w:rsid w:val="00E50587"/>
    <w:rsid w:val="00E50A95"/>
    <w:rsid w:val="00E51071"/>
    <w:rsid w:val="00E510A4"/>
    <w:rsid w:val="00E53DA8"/>
    <w:rsid w:val="00E5437E"/>
    <w:rsid w:val="00E54AD2"/>
    <w:rsid w:val="00E55648"/>
    <w:rsid w:val="00E578D4"/>
    <w:rsid w:val="00E62B1D"/>
    <w:rsid w:val="00E63287"/>
    <w:rsid w:val="00E63634"/>
    <w:rsid w:val="00E64613"/>
    <w:rsid w:val="00E65330"/>
    <w:rsid w:val="00E675AD"/>
    <w:rsid w:val="00E70270"/>
    <w:rsid w:val="00E70513"/>
    <w:rsid w:val="00E70DEB"/>
    <w:rsid w:val="00E75E99"/>
    <w:rsid w:val="00E76540"/>
    <w:rsid w:val="00E77FCD"/>
    <w:rsid w:val="00E80092"/>
    <w:rsid w:val="00E8141C"/>
    <w:rsid w:val="00E85642"/>
    <w:rsid w:val="00E85A5B"/>
    <w:rsid w:val="00E86445"/>
    <w:rsid w:val="00E8691D"/>
    <w:rsid w:val="00E90B65"/>
    <w:rsid w:val="00E926E0"/>
    <w:rsid w:val="00E9384B"/>
    <w:rsid w:val="00E9447E"/>
    <w:rsid w:val="00E94B0A"/>
    <w:rsid w:val="00EA1365"/>
    <w:rsid w:val="00EA1F60"/>
    <w:rsid w:val="00EA1F94"/>
    <w:rsid w:val="00EA3529"/>
    <w:rsid w:val="00EA35D5"/>
    <w:rsid w:val="00EA4061"/>
    <w:rsid w:val="00EA44D3"/>
    <w:rsid w:val="00EA4863"/>
    <w:rsid w:val="00EA4A15"/>
    <w:rsid w:val="00EA6F5A"/>
    <w:rsid w:val="00EA7784"/>
    <w:rsid w:val="00EB0409"/>
    <w:rsid w:val="00EB430C"/>
    <w:rsid w:val="00EB4DC3"/>
    <w:rsid w:val="00EB5156"/>
    <w:rsid w:val="00EC223B"/>
    <w:rsid w:val="00EC339F"/>
    <w:rsid w:val="00EC33BF"/>
    <w:rsid w:val="00EC4E51"/>
    <w:rsid w:val="00ED5895"/>
    <w:rsid w:val="00ED5AD3"/>
    <w:rsid w:val="00EE2F5D"/>
    <w:rsid w:val="00EE4031"/>
    <w:rsid w:val="00EE4861"/>
    <w:rsid w:val="00EE6315"/>
    <w:rsid w:val="00EF31A0"/>
    <w:rsid w:val="00EF68F4"/>
    <w:rsid w:val="00F0038C"/>
    <w:rsid w:val="00F036BD"/>
    <w:rsid w:val="00F03D95"/>
    <w:rsid w:val="00F04C96"/>
    <w:rsid w:val="00F056B9"/>
    <w:rsid w:val="00F05C02"/>
    <w:rsid w:val="00F113AA"/>
    <w:rsid w:val="00F13770"/>
    <w:rsid w:val="00F15B07"/>
    <w:rsid w:val="00F1693C"/>
    <w:rsid w:val="00F17242"/>
    <w:rsid w:val="00F2179C"/>
    <w:rsid w:val="00F235A4"/>
    <w:rsid w:val="00F2528D"/>
    <w:rsid w:val="00F26716"/>
    <w:rsid w:val="00F27EE2"/>
    <w:rsid w:val="00F31475"/>
    <w:rsid w:val="00F32C98"/>
    <w:rsid w:val="00F3359D"/>
    <w:rsid w:val="00F336B2"/>
    <w:rsid w:val="00F33B4F"/>
    <w:rsid w:val="00F36556"/>
    <w:rsid w:val="00F36E22"/>
    <w:rsid w:val="00F37DF2"/>
    <w:rsid w:val="00F42B8B"/>
    <w:rsid w:val="00F44AE3"/>
    <w:rsid w:val="00F46022"/>
    <w:rsid w:val="00F47FF5"/>
    <w:rsid w:val="00F530C1"/>
    <w:rsid w:val="00F5527C"/>
    <w:rsid w:val="00F56372"/>
    <w:rsid w:val="00F57033"/>
    <w:rsid w:val="00F60E66"/>
    <w:rsid w:val="00F63AD0"/>
    <w:rsid w:val="00F659CE"/>
    <w:rsid w:val="00F70775"/>
    <w:rsid w:val="00F71588"/>
    <w:rsid w:val="00F767F5"/>
    <w:rsid w:val="00F8209F"/>
    <w:rsid w:val="00F82F41"/>
    <w:rsid w:val="00F83440"/>
    <w:rsid w:val="00F8402E"/>
    <w:rsid w:val="00F84CF0"/>
    <w:rsid w:val="00F84F89"/>
    <w:rsid w:val="00F85FD1"/>
    <w:rsid w:val="00F86718"/>
    <w:rsid w:val="00F87E22"/>
    <w:rsid w:val="00F90398"/>
    <w:rsid w:val="00F90510"/>
    <w:rsid w:val="00F90BA3"/>
    <w:rsid w:val="00F91771"/>
    <w:rsid w:val="00F91DAE"/>
    <w:rsid w:val="00F946B1"/>
    <w:rsid w:val="00F965AC"/>
    <w:rsid w:val="00F97DDC"/>
    <w:rsid w:val="00FA5427"/>
    <w:rsid w:val="00FA684C"/>
    <w:rsid w:val="00FA6BA3"/>
    <w:rsid w:val="00FB00BF"/>
    <w:rsid w:val="00FB0AD1"/>
    <w:rsid w:val="00FB2F99"/>
    <w:rsid w:val="00FB66E6"/>
    <w:rsid w:val="00FC073A"/>
    <w:rsid w:val="00FC12D7"/>
    <w:rsid w:val="00FC17A9"/>
    <w:rsid w:val="00FC1C6D"/>
    <w:rsid w:val="00FC1D1F"/>
    <w:rsid w:val="00FC5325"/>
    <w:rsid w:val="00FC5E64"/>
    <w:rsid w:val="00FC6532"/>
    <w:rsid w:val="00FD00C9"/>
    <w:rsid w:val="00FD0387"/>
    <w:rsid w:val="00FD0D42"/>
    <w:rsid w:val="00FD113C"/>
    <w:rsid w:val="00FD1153"/>
    <w:rsid w:val="00FD147B"/>
    <w:rsid w:val="00FD17A6"/>
    <w:rsid w:val="00FD3155"/>
    <w:rsid w:val="00FD3B27"/>
    <w:rsid w:val="00FD3D69"/>
    <w:rsid w:val="00FD43F8"/>
    <w:rsid w:val="00FD5EDD"/>
    <w:rsid w:val="00FD68C6"/>
    <w:rsid w:val="00FD7C60"/>
    <w:rsid w:val="00FD7DD6"/>
    <w:rsid w:val="00FE0EFA"/>
    <w:rsid w:val="00FE15C0"/>
    <w:rsid w:val="00FE3BEB"/>
    <w:rsid w:val="00FE3DBD"/>
    <w:rsid w:val="00FE6662"/>
    <w:rsid w:val="00FF08F6"/>
    <w:rsid w:val="00FF1197"/>
    <w:rsid w:val="00FF11FB"/>
    <w:rsid w:val="00FF1495"/>
    <w:rsid w:val="00FF178F"/>
    <w:rsid w:val="00FF263F"/>
    <w:rsid w:val="00FF2D2B"/>
    <w:rsid w:val="00FF3C3E"/>
    <w:rsid w:val="00FF5704"/>
    <w:rsid w:val="06C80966"/>
    <w:rsid w:val="411512B3"/>
    <w:rsid w:val="452A2CE6"/>
    <w:rsid w:val="5F68269D"/>
    <w:rsid w:val="68874E63"/>
    <w:rsid w:val="7D602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49B5BB"/>
  <w15:docId w15:val="{90AC79EE-0806-416D-B79C-281400FE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rFonts w:asciiTheme="minorHAnsi" w:eastAsiaTheme="minorEastAsia" w:hAnsiTheme="minorHAnsi" w:cstheme="minorBidi"/>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eastAsia="Times New Roman"/>
      <w:kern w:val="0"/>
      <w:sz w:val="17"/>
      <w:szCs w:val="17"/>
      <w:lang w:eastAsia="en-US" w:bidi="en-US"/>
    </w:rPr>
  </w:style>
  <w:style w:type="paragraph" w:styleId="a5">
    <w:name w:val="Date"/>
    <w:basedOn w:val="a"/>
    <w:next w:val="a"/>
    <w:link w:val="a6"/>
    <w:uiPriority w:val="99"/>
    <w:semiHidden/>
    <w:unhideWhenUsed/>
    <w:pPr>
      <w:ind w:leftChars="2500" w:left="100"/>
    </w:pPr>
  </w:style>
  <w:style w:type="paragraph" w:styleId="21">
    <w:name w:val="Body Text Indent 2"/>
    <w:basedOn w:val="a"/>
    <w:link w:val="22"/>
    <w:uiPriority w:val="99"/>
    <w:semiHidden/>
    <w:unhideWhenUsed/>
    <w:qFormat/>
    <w:pPr>
      <w:spacing w:after="120" w:line="480" w:lineRule="auto"/>
      <w:ind w:leftChars="200" w:left="420"/>
    </w:p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pPr>
      <w:tabs>
        <w:tab w:val="right" w:leader="dot" w:pos="9402"/>
      </w:tabs>
    </w:pPr>
    <w:rPr>
      <w:rFonts w:eastAsia="黑体"/>
      <w:b/>
      <w:bCs/>
    </w:rPr>
  </w:style>
  <w:style w:type="paragraph" w:styleId="TOC2">
    <w:name w:val="toc 2"/>
    <w:basedOn w:val="a"/>
    <w:next w:val="a"/>
    <w:uiPriority w:val="39"/>
    <w:unhideWhenUsed/>
    <w:pPr>
      <w:ind w:leftChars="200" w:left="42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color w:val="000000"/>
      <w:kern w:val="0"/>
      <w:sz w:val="20"/>
      <w:szCs w:val="20"/>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e">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rPr>
      <w:color w:val="800080"/>
      <w:u w:val="single"/>
    </w:rPr>
  </w:style>
  <w:style w:type="character" w:styleId="af1">
    <w:name w:val="Emphasis"/>
    <w:basedOn w:val="a0"/>
    <w:uiPriority w:val="20"/>
    <w:qFormat/>
    <w:rPr>
      <w:i/>
      <w:iCs/>
    </w:rPr>
  </w:style>
  <w:style w:type="character" w:styleId="af2">
    <w:name w:val="Hyperlink"/>
    <w:basedOn w:val="a0"/>
    <w:uiPriority w:val="99"/>
    <w:unhideWhenUsed/>
    <w:rPr>
      <w:color w:val="0000FF"/>
      <w:u w:val="single"/>
    </w:rPr>
  </w:style>
  <w:style w:type="character" w:customStyle="1" w:styleId="10">
    <w:name w:val="标题 1 字符"/>
    <w:basedOn w:val="a0"/>
    <w:link w:val="1"/>
    <w:uiPriority w:val="9"/>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pple-converted-space">
    <w:name w:val="apple-converted-space"/>
    <w:basedOn w:val="a0"/>
    <w:qFormat/>
  </w:style>
  <w:style w:type="paragraph" w:styleId="af3">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article-author">
    <w:name w:val="article-author"/>
    <w:basedOn w:val="a"/>
    <w:qFormat/>
    <w:pPr>
      <w:widowControl/>
      <w:spacing w:before="100" w:beforeAutospacing="1" w:after="100" w:afterAutospacing="1"/>
      <w:jc w:val="left"/>
    </w:pPr>
    <w:rPr>
      <w:rFonts w:ascii="宋体" w:hAnsi="宋体" w:cs="宋体"/>
      <w:kern w:val="0"/>
      <w:sz w:val="24"/>
    </w:rPr>
  </w:style>
  <w:style w:type="paragraph" w:customStyle="1" w:styleId="article-info-en">
    <w:name w:val="article-info-en"/>
    <w:basedOn w:val="a"/>
    <w:pPr>
      <w:widowControl/>
      <w:spacing w:before="100" w:beforeAutospacing="1" w:after="100" w:afterAutospacing="1"/>
      <w:jc w:val="left"/>
    </w:pPr>
    <w:rPr>
      <w:rFonts w:ascii="宋体" w:hAnsi="宋体" w:cs="宋体"/>
      <w:kern w:val="0"/>
      <w:sz w:val="24"/>
    </w:rPr>
  </w:style>
  <w:style w:type="character" w:customStyle="1" w:styleId="xref">
    <w:name w:val="xref"/>
    <w:basedOn w:val="a0"/>
    <w:qFormat/>
  </w:style>
  <w:style w:type="character" w:customStyle="1" w:styleId="sec-title">
    <w:name w:val="sec-title"/>
    <w:basedOn w:val="a0"/>
    <w:qFormat/>
  </w:style>
  <w:style w:type="character" w:customStyle="1" w:styleId="tabletext">
    <w:name w:val="tabletext"/>
    <w:basedOn w:val="a0"/>
    <w:qFormat/>
  </w:style>
  <w:style w:type="character" w:customStyle="1" w:styleId="figtext">
    <w:name w:val="figtext"/>
    <w:basedOn w:val="a0"/>
    <w:qFormat/>
  </w:style>
  <w:style w:type="paragraph" w:customStyle="1" w:styleId="imgtit">
    <w:name w:val="img_tit"/>
    <w:basedOn w:val="a"/>
    <w:qFormat/>
    <w:pPr>
      <w:widowControl/>
      <w:spacing w:before="100" w:beforeAutospacing="1" w:after="100" w:afterAutospacing="1"/>
      <w:jc w:val="left"/>
    </w:pPr>
    <w:rPr>
      <w:rFonts w:ascii="宋体" w:hAnsi="宋体" w:cs="宋体"/>
      <w:kern w:val="0"/>
      <w:sz w:val="24"/>
    </w:rPr>
  </w:style>
  <w:style w:type="paragraph" w:customStyle="1" w:styleId="imgnote">
    <w:name w:val="img_note"/>
    <w:basedOn w:val="a"/>
    <w:qFormat/>
    <w:pPr>
      <w:widowControl/>
      <w:spacing w:before="100" w:beforeAutospacing="1" w:after="100" w:afterAutospacing="1"/>
      <w:jc w:val="left"/>
    </w:pPr>
    <w:rPr>
      <w:rFonts w:ascii="宋体" w:hAnsi="宋体" w:cs="宋体"/>
      <w:kern w:val="0"/>
      <w:sz w:val="24"/>
    </w:rPr>
  </w:style>
  <w:style w:type="character" w:customStyle="1" w:styleId="richmediameta">
    <w:name w:val="rich_media_meta"/>
    <w:basedOn w:val="a0"/>
    <w:qFormat/>
  </w:style>
  <w:style w:type="character" w:customStyle="1" w:styleId="keys">
    <w:name w:val="keys"/>
    <w:basedOn w:val="a0"/>
    <w:qFormat/>
  </w:style>
  <w:style w:type="character" w:customStyle="1" w:styleId="Char">
    <w:name w:val="续段落 Char"/>
    <w:link w:val="af4"/>
    <w:qFormat/>
    <w:rPr>
      <w:rFonts w:eastAsia="仿宋_GB2312"/>
      <w:color w:val="000000"/>
      <w:sz w:val="28"/>
      <w:szCs w:val="28"/>
    </w:rPr>
  </w:style>
  <w:style w:type="paragraph" w:customStyle="1" w:styleId="af4">
    <w:name w:val="续段落"/>
    <w:basedOn w:val="a"/>
    <w:link w:val="Char"/>
    <w:qFormat/>
    <w:pPr>
      <w:spacing w:line="500" w:lineRule="exact"/>
      <w:ind w:firstLine="561"/>
    </w:pPr>
    <w:rPr>
      <w:rFonts w:asciiTheme="minorHAnsi" w:eastAsia="仿宋_GB2312" w:hAnsiTheme="minorHAnsi" w:cstheme="minorBidi"/>
      <w:color w:val="000000"/>
      <w:sz w:val="28"/>
      <w:szCs w:val="28"/>
    </w:rPr>
  </w:style>
  <w:style w:type="character" w:customStyle="1" w:styleId="keytitle">
    <w:name w:val="key_title"/>
    <w:basedOn w:val="a0"/>
  </w:style>
  <w:style w:type="character" w:customStyle="1" w:styleId="keyword">
    <w:name w:val="keyword"/>
    <w:basedOn w:val="a0"/>
    <w:qFormat/>
  </w:style>
  <w:style w:type="character" w:customStyle="1" w:styleId="paragraphtitle">
    <w:name w:val="paragraph_title"/>
    <w:basedOn w:val="a0"/>
    <w:qFormat/>
  </w:style>
  <w:style w:type="character" w:customStyle="1" w:styleId="11">
    <w:name w:val="题注1"/>
    <w:basedOn w:val="a0"/>
    <w:qFormat/>
  </w:style>
  <w:style w:type="character" w:customStyle="1" w:styleId="outlineanchor">
    <w:name w:val="outline_anchor"/>
    <w:basedOn w:val="a0"/>
  </w:style>
  <w:style w:type="character" w:customStyle="1" w:styleId="z-">
    <w:name w:val="z-窗体顶端 字符"/>
    <w:basedOn w:val="a0"/>
    <w:link w:val="z-1"/>
    <w:uiPriority w:val="99"/>
    <w:semiHidden/>
    <w:qFormat/>
    <w:rPr>
      <w:rFonts w:ascii="Arial" w:eastAsia="宋体" w:hAnsi="Arial" w:cs="Arial"/>
      <w:vanish/>
      <w:kern w:val="0"/>
      <w:sz w:val="16"/>
      <w:szCs w:val="16"/>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Char1">
    <w:name w:val="z-窗体顶端 Char1"/>
    <w:basedOn w:val="a0"/>
    <w:uiPriority w:val="99"/>
    <w:semiHidden/>
    <w:rPr>
      <w:rFonts w:ascii="Arial" w:eastAsia="宋体" w:hAnsi="Arial" w:cs="Arial"/>
      <w:vanish/>
      <w:sz w:val="16"/>
      <w:szCs w:val="16"/>
    </w:rPr>
  </w:style>
  <w:style w:type="character" w:customStyle="1" w:styleId="z-0">
    <w:name w:val="z-窗体底端 字符"/>
    <w:basedOn w:val="a0"/>
    <w:link w:val="z-10"/>
    <w:uiPriority w:val="99"/>
    <w:semiHidden/>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pPr>
      <w:widowControl/>
      <w:pBdr>
        <w:top w:val="single" w:sz="6" w:space="1" w:color="auto"/>
      </w:pBdr>
      <w:jc w:val="center"/>
    </w:pPr>
    <w:rPr>
      <w:rFonts w:ascii="Arial" w:hAnsi="Arial" w:cs="Arial"/>
      <w:vanish/>
      <w:kern w:val="0"/>
      <w:sz w:val="16"/>
      <w:szCs w:val="16"/>
    </w:rPr>
  </w:style>
  <w:style w:type="character" w:customStyle="1" w:styleId="z-Char10">
    <w:name w:val="z-窗体底端 Char1"/>
    <w:basedOn w:val="a0"/>
    <w:uiPriority w:val="99"/>
    <w:semiHidden/>
    <w:qFormat/>
    <w:rPr>
      <w:rFonts w:ascii="Arial" w:eastAsia="宋体" w:hAnsi="Arial" w:cs="Arial"/>
      <w:vanish/>
      <w:sz w:val="16"/>
      <w:szCs w:val="16"/>
    </w:rPr>
  </w:style>
  <w:style w:type="paragraph" w:customStyle="1" w:styleId="reader-word-layerreader-word-s2-16">
    <w:name w:val="reader-word-layer reader-word-s2-16"/>
    <w:basedOn w:val="a"/>
    <w:qFormat/>
    <w:pPr>
      <w:widowControl/>
      <w:spacing w:before="100" w:beforeAutospacing="1" w:after="100" w:afterAutospacing="1"/>
      <w:jc w:val="left"/>
    </w:pPr>
    <w:rPr>
      <w:rFonts w:ascii="宋体" w:hAnsi="宋体" w:cs="宋体"/>
      <w:kern w:val="0"/>
      <w:sz w:val="24"/>
    </w:rPr>
  </w:style>
  <w:style w:type="character" w:customStyle="1" w:styleId="bjh-p">
    <w:name w:val="bjh-p"/>
    <w:basedOn w:val="a0"/>
    <w:qFormat/>
  </w:style>
  <w:style w:type="character" w:customStyle="1" w:styleId="bjh-strong">
    <w:name w:val="bjh-strong"/>
    <w:basedOn w:val="a0"/>
    <w:qFormat/>
  </w:style>
  <w:style w:type="character" w:customStyle="1" w:styleId="authorcn">
    <w:name w:val="author_cn"/>
    <w:basedOn w:val="a0"/>
    <w:qFormat/>
  </w:style>
  <w:style w:type="character" w:customStyle="1" w:styleId="authoren">
    <w:name w:val="author_en"/>
    <w:basedOn w:val="a0"/>
    <w:qFormat/>
  </w:style>
  <w:style w:type="character" w:customStyle="1" w:styleId="23">
    <w:name w:val="题注2"/>
    <w:basedOn w:val="a0"/>
    <w:qFormat/>
  </w:style>
  <w:style w:type="character" w:customStyle="1" w:styleId="tabtext">
    <w:name w:val="tabtext"/>
    <w:basedOn w:val="a0"/>
    <w:qFormat/>
  </w:style>
  <w:style w:type="character" w:customStyle="1" w:styleId="mathjaxpreview">
    <w:name w:val="mathjax_preview"/>
    <w:basedOn w:val="a0"/>
    <w:qFormat/>
  </w:style>
  <w:style w:type="character" w:customStyle="1" w:styleId="mathjax">
    <w:name w:val="mathjax"/>
    <w:basedOn w:val="a0"/>
    <w:qFormat/>
  </w:style>
  <w:style w:type="character" w:customStyle="1" w:styleId="math">
    <w:name w:val="math"/>
    <w:basedOn w:val="a0"/>
    <w:qFormat/>
  </w:style>
  <w:style w:type="character" w:customStyle="1" w:styleId="mrow">
    <w:name w:val="mrow"/>
    <w:basedOn w:val="a0"/>
    <w:qFormat/>
  </w:style>
  <w:style w:type="character" w:customStyle="1" w:styleId="mtable">
    <w:name w:val="mtable"/>
    <w:basedOn w:val="a0"/>
    <w:qFormat/>
  </w:style>
  <w:style w:type="character" w:customStyle="1" w:styleId="mtd">
    <w:name w:val="mtd"/>
    <w:basedOn w:val="a0"/>
    <w:qFormat/>
  </w:style>
  <w:style w:type="character" w:customStyle="1" w:styleId="texatom">
    <w:name w:val="texatom"/>
    <w:basedOn w:val="a0"/>
    <w:qFormat/>
  </w:style>
  <w:style w:type="character" w:customStyle="1" w:styleId="mi">
    <w:name w:val="mi"/>
    <w:basedOn w:val="a0"/>
    <w:qFormat/>
  </w:style>
  <w:style w:type="character" w:customStyle="1" w:styleId="mo">
    <w:name w:val="mo"/>
    <w:basedOn w:val="a0"/>
    <w:qFormat/>
  </w:style>
  <w:style w:type="character" w:customStyle="1" w:styleId="msubsup">
    <w:name w:val="msubsup"/>
    <w:basedOn w:val="a0"/>
    <w:qFormat/>
  </w:style>
  <w:style w:type="character" w:customStyle="1" w:styleId="mn">
    <w:name w:val="mn"/>
    <w:basedOn w:val="a0"/>
    <w:qFormat/>
  </w:style>
  <w:style w:type="character" w:customStyle="1" w:styleId="mjxassistivemathml">
    <w:name w:val="mjx_assistive_mathml"/>
    <w:basedOn w:val="a0"/>
    <w:qFormat/>
  </w:style>
  <w:style w:type="character" w:customStyle="1" w:styleId="a6">
    <w:name w:val="日期 字符"/>
    <w:basedOn w:val="a0"/>
    <w:link w:val="a5"/>
    <w:uiPriority w:val="99"/>
    <w:semiHidden/>
    <w:qFormat/>
    <w:rPr>
      <w:rFonts w:ascii="Times New Roman" w:eastAsia="宋体" w:hAnsi="Times New Roman" w:cs="Times New Roman"/>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customunionstyle">
    <w:name w:val="custom_unionstyle"/>
    <w:basedOn w:val="a"/>
    <w:qFormat/>
    <w:pPr>
      <w:widowControl/>
      <w:spacing w:before="100" w:beforeAutospacing="1" w:after="100" w:afterAutospacing="1"/>
      <w:jc w:val="left"/>
    </w:pPr>
    <w:rPr>
      <w:rFonts w:ascii="宋体" w:hAnsi="宋体" w:cs="宋体"/>
      <w:kern w:val="0"/>
      <w:sz w:val="24"/>
    </w:rPr>
  </w:style>
  <w:style w:type="paragraph" w:customStyle="1" w:styleId="li-pdf">
    <w:name w:val="li-pdf"/>
    <w:basedOn w:val="a"/>
    <w:qFormat/>
    <w:pPr>
      <w:widowControl/>
      <w:spacing w:before="100" w:beforeAutospacing="1" w:after="100" w:afterAutospacing="1"/>
      <w:jc w:val="left"/>
    </w:pPr>
    <w:rPr>
      <w:rFonts w:ascii="宋体" w:hAnsi="宋体" w:cs="宋体"/>
      <w:kern w:val="0"/>
      <w:sz w:val="24"/>
    </w:rPr>
  </w:style>
  <w:style w:type="paragraph" w:customStyle="1" w:styleId="li-excel">
    <w:name w:val="li-excel"/>
    <w:basedOn w:val="a"/>
    <w:qFormat/>
    <w:pPr>
      <w:widowControl/>
      <w:spacing w:before="100" w:beforeAutospacing="1" w:after="100" w:afterAutospacing="1"/>
      <w:jc w:val="left"/>
    </w:pPr>
    <w:rPr>
      <w:rFonts w:ascii="宋体" w:hAnsi="宋体" w:cs="宋体"/>
      <w:kern w:val="0"/>
      <w:sz w:val="24"/>
    </w:rPr>
  </w:style>
  <w:style w:type="paragraph" w:customStyle="1" w:styleId="li-xml">
    <w:name w:val="li-xml"/>
    <w:basedOn w:val="a"/>
    <w:qFormat/>
    <w:pPr>
      <w:widowControl/>
      <w:spacing w:before="100" w:beforeAutospacing="1" w:after="100" w:afterAutospacing="1"/>
      <w:jc w:val="left"/>
    </w:pPr>
    <w:rPr>
      <w:rFonts w:ascii="宋体" w:hAnsi="宋体" w:cs="宋体"/>
      <w:kern w:val="0"/>
      <w:sz w:val="24"/>
    </w:rPr>
  </w:style>
  <w:style w:type="character" w:customStyle="1" w:styleId="maincolor">
    <w:name w:val="maincolor"/>
    <w:basedOn w:val="a0"/>
    <w:qFormat/>
  </w:style>
  <w:style w:type="paragraph" w:customStyle="1" w:styleId="articleceiltitle">
    <w:name w:val="article_ceil_title"/>
    <w:basedOn w:val="a"/>
    <w:qFormat/>
    <w:pPr>
      <w:widowControl/>
      <w:spacing w:before="100" w:beforeAutospacing="1" w:after="100" w:afterAutospacing="1"/>
      <w:jc w:val="left"/>
    </w:pPr>
    <w:rPr>
      <w:rFonts w:ascii="宋体" w:hAnsi="宋体" w:cs="宋体"/>
      <w:kern w:val="0"/>
      <w:sz w:val="24"/>
    </w:rPr>
  </w:style>
  <w:style w:type="paragraph" w:customStyle="1" w:styleId="articleceilauthor">
    <w:name w:val="article_ceil_author"/>
    <w:basedOn w:val="a"/>
    <w:qFormat/>
    <w:pPr>
      <w:widowControl/>
      <w:spacing w:before="100" w:beforeAutospacing="1" w:after="100" w:afterAutospacing="1"/>
      <w:jc w:val="left"/>
    </w:pPr>
    <w:rPr>
      <w:rFonts w:ascii="宋体" w:hAnsi="宋体" w:cs="宋体"/>
      <w:kern w:val="0"/>
      <w:sz w:val="24"/>
    </w:rPr>
  </w:style>
  <w:style w:type="paragraph" w:customStyle="1" w:styleId="articletoolli1">
    <w:name w:val="articletool_li1"/>
    <w:basedOn w:val="a"/>
    <w:qFormat/>
    <w:pPr>
      <w:widowControl/>
      <w:spacing w:before="100" w:beforeAutospacing="1" w:after="100" w:afterAutospacing="1"/>
      <w:jc w:val="left"/>
    </w:pPr>
    <w:rPr>
      <w:rFonts w:ascii="宋体" w:hAnsi="宋体" w:cs="宋体"/>
      <w:kern w:val="0"/>
      <w:sz w:val="24"/>
    </w:rPr>
  </w:style>
  <w:style w:type="paragraph" w:customStyle="1" w:styleId="articletoolli2">
    <w:name w:val="articletool_li2"/>
    <w:basedOn w:val="a"/>
    <w:qFormat/>
    <w:pPr>
      <w:widowControl/>
      <w:spacing w:before="100" w:beforeAutospacing="1" w:after="100" w:afterAutospacing="1"/>
      <w:jc w:val="left"/>
    </w:pPr>
    <w:rPr>
      <w:rFonts w:ascii="宋体" w:hAnsi="宋体" w:cs="宋体"/>
      <w:kern w:val="0"/>
      <w:sz w:val="24"/>
    </w:rPr>
  </w:style>
  <w:style w:type="paragraph" w:customStyle="1" w:styleId="articletoolli3">
    <w:name w:val="articletool_li3"/>
    <w:basedOn w:val="a"/>
    <w:qFormat/>
    <w:pPr>
      <w:widowControl/>
      <w:spacing w:before="100" w:beforeAutospacing="1" w:after="100" w:afterAutospacing="1"/>
      <w:jc w:val="left"/>
    </w:pPr>
    <w:rPr>
      <w:rFonts w:ascii="宋体" w:hAnsi="宋体" w:cs="宋体"/>
      <w:kern w:val="0"/>
      <w:sz w:val="24"/>
    </w:rPr>
  </w:style>
  <w:style w:type="paragraph" w:customStyle="1" w:styleId="figtabspan">
    <w:name w:val="figtabspan"/>
    <w:basedOn w:val="a"/>
    <w:pPr>
      <w:widowControl/>
      <w:spacing w:before="100" w:beforeAutospacing="1" w:after="100" w:afterAutospacing="1"/>
      <w:jc w:val="left"/>
    </w:pPr>
    <w:rPr>
      <w:rFonts w:ascii="宋体" w:hAnsi="宋体" w:cs="宋体"/>
      <w:kern w:val="0"/>
      <w:sz w:val="24"/>
    </w:rPr>
  </w:style>
  <w:style w:type="character" w:customStyle="1" w:styleId="info">
    <w:name w:val="info"/>
    <w:basedOn w:val="a0"/>
  </w:style>
  <w:style w:type="character" w:customStyle="1" w:styleId="infoen">
    <w:name w:val="infoen"/>
    <w:basedOn w:val="a0"/>
  </w:style>
  <w:style w:type="character" w:customStyle="1" w:styleId="richmediametalink">
    <w:name w:val="rich_media_meta_link"/>
    <w:basedOn w:val="a0"/>
  </w:style>
  <w:style w:type="character" w:customStyle="1" w:styleId="source">
    <w:name w:val="source"/>
    <w:basedOn w:val="a0"/>
  </w:style>
  <w:style w:type="paragraph" w:customStyle="1" w:styleId="one-p">
    <w:name w:val="one-p"/>
    <w:basedOn w:val="a"/>
    <w:pPr>
      <w:widowControl/>
      <w:spacing w:before="100" w:beforeAutospacing="1" w:after="100" w:afterAutospacing="1"/>
      <w:jc w:val="left"/>
    </w:pPr>
    <w:rPr>
      <w:rFonts w:ascii="宋体" w:hAnsi="宋体" w:cs="宋体"/>
      <w:kern w:val="0"/>
      <w:sz w:val="24"/>
    </w:rPr>
  </w:style>
  <w:style w:type="character" w:customStyle="1" w:styleId="vm">
    <w:name w:val="vm"/>
    <w:basedOn w:val="a0"/>
  </w:style>
  <w:style w:type="character" w:customStyle="1" w:styleId="articletitle3">
    <w:name w:val="article_title3"/>
    <w:basedOn w:val="a0"/>
  </w:style>
  <w:style w:type="character" w:customStyle="1" w:styleId="a4">
    <w:name w:val="正文文本 字符"/>
    <w:basedOn w:val="a0"/>
    <w:link w:val="a3"/>
    <w:uiPriority w:val="1"/>
    <w:rPr>
      <w:rFonts w:ascii="Times New Roman" w:eastAsia="Times New Roman" w:hAnsi="Times New Roman" w:cs="Times New Roman"/>
      <w:kern w:val="0"/>
      <w:sz w:val="17"/>
      <w:szCs w:val="17"/>
      <w:lang w:eastAsia="en-US" w:bidi="en-US"/>
    </w:rPr>
  </w:style>
  <w:style w:type="paragraph" w:customStyle="1" w:styleId="TableParagraph">
    <w:name w:val="Table Paragraph"/>
    <w:basedOn w:val="a"/>
    <w:uiPriority w:val="1"/>
    <w:qFormat/>
    <w:pPr>
      <w:autoSpaceDE w:val="0"/>
      <w:autoSpaceDN w:val="0"/>
      <w:spacing w:before="46"/>
      <w:jc w:val="center"/>
    </w:pPr>
    <w:rPr>
      <w:rFonts w:eastAsia="Times New Roman"/>
      <w:kern w:val="0"/>
      <w:sz w:val="22"/>
      <w:szCs w:val="22"/>
      <w:lang w:eastAsia="en-US" w:bidi="en-US"/>
    </w:rPr>
  </w:style>
  <w:style w:type="paragraph" w:customStyle="1" w:styleId="piccenter">
    <w:name w:val="pic_center"/>
    <w:basedOn w:val="a"/>
    <w:pPr>
      <w:widowControl/>
      <w:spacing w:before="100" w:beforeAutospacing="1" w:after="100" w:afterAutospacing="1"/>
      <w:jc w:val="left"/>
    </w:pPr>
    <w:rPr>
      <w:rFonts w:ascii="宋体" w:hAnsi="宋体" w:cs="宋体"/>
      <w:kern w:val="0"/>
      <w:sz w:val="24"/>
    </w:rPr>
  </w:style>
  <w:style w:type="character" w:customStyle="1" w:styleId="anchor-a">
    <w:name w:val="anchor-a"/>
    <w:basedOn w:val="a0"/>
  </w:style>
  <w:style w:type="character" w:customStyle="1" w:styleId="12">
    <w:name w:val="未处理的提及1"/>
    <w:basedOn w:val="a0"/>
    <w:uiPriority w:val="99"/>
    <w:semiHidden/>
    <w:unhideWhenUsed/>
    <w:rPr>
      <w:color w:val="605E5C"/>
      <w:shd w:val="clear" w:color="auto" w:fill="E1DFDD"/>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s1">
    <w:name w:val="s1"/>
    <w:basedOn w:val="a"/>
    <w:pPr>
      <w:widowControl/>
      <w:spacing w:before="100" w:beforeAutospacing="1" w:after="100" w:afterAutospacing="1"/>
      <w:jc w:val="left"/>
    </w:pPr>
    <w:rPr>
      <w:rFonts w:ascii="宋体" w:hAnsi="宋体" w:cs="宋体"/>
      <w:kern w:val="0"/>
      <w:sz w:val="24"/>
    </w:rPr>
  </w:style>
  <w:style w:type="character" w:customStyle="1" w:styleId="s2">
    <w:name w:val="s2"/>
    <w:basedOn w:val="a0"/>
  </w:style>
  <w:style w:type="character" w:customStyle="1" w:styleId="s3">
    <w:name w:val="s3"/>
    <w:basedOn w:val="a0"/>
  </w:style>
  <w:style w:type="paragraph" w:customStyle="1" w:styleId="s4">
    <w:name w:val="s4"/>
    <w:basedOn w:val="a"/>
    <w:pPr>
      <w:widowControl/>
      <w:spacing w:before="100" w:beforeAutospacing="1" w:after="100" w:afterAutospacing="1"/>
      <w:jc w:val="left"/>
    </w:pPr>
    <w:rPr>
      <w:rFonts w:ascii="宋体" w:hAnsi="宋体" w:cs="宋体"/>
      <w:kern w:val="0"/>
      <w:sz w:val="24"/>
    </w:rPr>
  </w:style>
  <w:style w:type="character" w:customStyle="1" w:styleId="s5">
    <w:name w:val="s5"/>
    <w:basedOn w:val="a0"/>
  </w:style>
  <w:style w:type="character" w:customStyle="1" w:styleId="s6">
    <w:name w:val="s6"/>
    <w:basedOn w:val="a0"/>
  </w:style>
  <w:style w:type="character" w:customStyle="1" w:styleId="p">
    <w:name w:val="p"/>
    <w:basedOn w:val="a0"/>
  </w:style>
  <w:style w:type="paragraph" w:customStyle="1" w:styleId="s7">
    <w:name w:val="s7"/>
    <w:basedOn w:val="a"/>
    <w:pPr>
      <w:widowControl/>
      <w:spacing w:before="100" w:beforeAutospacing="1" w:after="100" w:afterAutospacing="1"/>
      <w:jc w:val="left"/>
    </w:pPr>
    <w:rPr>
      <w:rFonts w:ascii="宋体" w:hAnsi="宋体" w:cs="宋体"/>
      <w:kern w:val="0"/>
      <w:sz w:val="24"/>
    </w:rPr>
  </w:style>
  <w:style w:type="character" w:customStyle="1" w:styleId="s41">
    <w:name w:val="s41"/>
    <w:basedOn w:val="a0"/>
  </w:style>
  <w:style w:type="character" w:customStyle="1" w:styleId="h2">
    <w:name w:val="h2"/>
    <w:basedOn w:val="a0"/>
  </w:style>
  <w:style w:type="paragraph" w:customStyle="1" w:styleId="s10">
    <w:name w:val="s10"/>
    <w:basedOn w:val="a"/>
    <w:pPr>
      <w:widowControl/>
      <w:spacing w:before="100" w:beforeAutospacing="1" w:after="100" w:afterAutospacing="1"/>
      <w:jc w:val="left"/>
    </w:pPr>
    <w:rPr>
      <w:rFonts w:ascii="宋体" w:hAnsi="宋体" w:cs="宋体"/>
      <w:kern w:val="0"/>
      <w:sz w:val="24"/>
    </w:rPr>
  </w:style>
  <w:style w:type="paragraph" w:customStyle="1" w:styleId="s9">
    <w:name w:val="s9"/>
    <w:basedOn w:val="a"/>
    <w:pPr>
      <w:widowControl/>
      <w:spacing w:before="100" w:beforeAutospacing="1" w:after="100" w:afterAutospacing="1"/>
      <w:jc w:val="left"/>
    </w:pPr>
    <w:rPr>
      <w:rFonts w:ascii="宋体" w:hAnsi="宋体" w:cs="宋体"/>
      <w:kern w:val="0"/>
      <w:sz w:val="24"/>
    </w:rPr>
  </w:style>
  <w:style w:type="character" w:customStyle="1" w:styleId="s11">
    <w:name w:val="s11"/>
    <w:basedOn w:val="a0"/>
  </w:style>
  <w:style w:type="paragraph" w:customStyle="1" w:styleId="s14">
    <w:name w:val="s14"/>
    <w:basedOn w:val="a"/>
    <w:pPr>
      <w:widowControl/>
      <w:spacing w:before="100" w:beforeAutospacing="1" w:after="100" w:afterAutospacing="1"/>
      <w:jc w:val="left"/>
    </w:pPr>
    <w:rPr>
      <w:rFonts w:ascii="宋体" w:hAnsi="宋体" w:cs="宋体"/>
      <w:kern w:val="0"/>
      <w:sz w:val="24"/>
    </w:rPr>
  </w:style>
  <w:style w:type="character" w:customStyle="1" w:styleId="s12">
    <w:name w:val="s12"/>
    <w:basedOn w:val="a0"/>
  </w:style>
  <w:style w:type="character" w:customStyle="1" w:styleId="s13">
    <w:name w:val="s13"/>
    <w:basedOn w:val="a0"/>
  </w:style>
  <w:style w:type="paragraph" w:customStyle="1" w:styleId="s131">
    <w:name w:val="s131"/>
    <w:basedOn w:val="a"/>
    <w:pPr>
      <w:widowControl/>
      <w:spacing w:before="100" w:beforeAutospacing="1" w:after="100" w:afterAutospacing="1"/>
      <w:jc w:val="left"/>
    </w:pPr>
    <w:rPr>
      <w:rFonts w:ascii="宋体" w:hAnsi="宋体" w:cs="宋体"/>
      <w:kern w:val="0"/>
      <w:sz w:val="24"/>
    </w:rPr>
  </w:style>
  <w:style w:type="character" w:customStyle="1" w:styleId="h4">
    <w:name w:val="h4"/>
    <w:basedOn w:val="a0"/>
  </w:style>
  <w:style w:type="character" w:customStyle="1" w:styleId="s141">
    <w:name w:val="s141"/>
    <w:basedOn w:val="a0"/>
  </w:style>
  <w:style w:type="paragraph" w:customStyle="1" w:styleId="s121">
    <w:name w:val="s121"/>
    <w:basedOn w:val="a"/>
    <w:pPr>
      <w:widowControl/>
      <w:spacing w:before="100" w:beforeAutospacing="1" w:after="100" w:afterAutospacing="1"/>
      <w:jc w:val="left"/>
    </w:pPr>
    <w:rPr>
      <w:rFonts w:ascii="宋体" w:hAnsi="宋体" w:cs="宋体"/>
      <w:kern w:val="0"/>
      <w:sz w:val="24"/>
    </w:rPr>
  </w:style>
  <w:style w:type="paragraph" w:customStyle="1" w:styleId="s16">
    <w:name w:val="s16"/>
    <w:basedOn w:val="a"/>
    <w:pPr>
      <w:widowControl/>
      <w:spacing w:before="100" w:beforeAutospacing="1" w:after="100" w:afterAutospacing="1"/>
      <w:jc w:val="left"/>
    </w:pPr>
    <w:rPr>
      <w:rFonts w:ascii="宋体" w:hAnsi="宋体" w:cs="宋体"/>
      <w:kern w:val="0"/>
      <w:sz w:val="24"/>
    </w:rPr>
  </w:style>
  <w:style w:type="character" w:customStyle="1" w:styleId="s17">
    <w:name w:val="s17"/>
    <w:basedOn w:val="a0"/>
  </w:style>
  <w:style w:type="character" w:customStyle="1" w:styleId="s18">
    <w:name w:val="s18"/>
    <w:basedOn w:val="a0"/>
  </w:style>
  <w:style w:type="character" w:customStyle="1" w:styleId="s19">
    <w:name w:val="s19"/>
    <w:basedOn w:val="a0"/>
    <w:qFormat/>
  </w:style>
  <w:style w:type="character" w:customStyle="1" w:styleId="s20">
    <w:name w:val="s20"/>
    <w:basedOn w:val="a0"/>
  </w:style>
  <w:style w:type="character" w:customStyle="1" w:styleId="s21">
    <w:name w:val="s21"/>
    <w:basedOn w:val="a0"/>
  </w:style>
  <w:style w:type="paragraph" w:customStyle="1" w:styleId="s22">
    <w:name w:val="s22"/>
    <w:basedOn w:val="a"/>
    <w:pPr>
      <w:widowControl/>
      <w:spacing w:before="100" w:beforeAutospacing="1" w:after="100" w:afterAutospacing="1"/>
      <w:jc w:val="left"/>
    </w:pPr>
    <w:rPr>
      <w:rFonts w:ascii="宋体" w:hAnsi="宋体" w:cs="宋体"/>
      <w:kern w:val="0"/>
      <w:sz w:val="24"/>
    </w:rPr>
  </w:style>
  <w:style w:type="character" w:customStyle="1" w:styleId="s23">
    <w:name w:val="s23"/>
    <w:basedOn w:val="a0"/>
  </w:style>
  <w:style w:type="character" w:customStyle="1" w:styleId="s24">
    <w:name w:val="s24"/>
    <w:basedOn w:val="a0"/>
  </w:style>
  <w:style w:type="paragraph" w:customStyle="1" w:styleId="s25">
    <w:name w:val="s25"/>
    <w:basedOn w:val="a"/>
    <w:pPr>
      <w:widowControl/>
      <w:spacing w:before="100" w:beforeAutospacing="1" w:after="100" w:afterAutospacing="1"/>
      <w:jc w:val="left"/>
    </w:pPr>
    <w:rPr>
      <w:rFonts w:ascii="宋体" w:hAnsi="宋体" w:cs="宋体"/>
      <w:kern w:val="0"/>
      <w:sz w:val="24"/>
    </w:rPr>
  </w:style>
  <w:style w:type="character" w:customStyle="1" w:styleId="s221">
    <w:name w:val="s221"/>
    <w:basedOn w:val="a0"/>
  </w:style>
  <w:style w:type="paragraph" w:customStyle="1" w:styleId="s27">
    <w:name w:val="s27"/>
    <w:basedOn w:val="a"/>
    <w:pPr>
      <w:widowControl/>
      <w:spacing w:before="100" w:beforeAutospacing="1" w:after="100" w:afterAutospacing="1"/>
      <w:jc w:val="left"/>
    </w:pPr>
    <w:rPr>
      <w:rFonts w:ascii="宋体" w:hAnsi="宋体" w:cs="宋体"/>
      <w:kern w:val="0"/>
      <w:sz w:val="24"/>
    </w:rPr>
  </w:style>
  <w:style w:type="paragraph" w:customStyle="1" w:styleId="s28">
    <w:name w:val="s28"/>
    <w:basedOn w:val="a"/>
    <w:pPr>
      <w:widowControl/>
      <w:spacing w:before="100" w:beforeAutospacing="1" w:after="100" w:afterAutospacing="1"/>
      <w:jc w:val="left"/>
    </w:pPr>
    <w:rPr>
      <w:rFonts w:ascii="宋体" w:hAnsi="宋体" w:cs="宋体"/>
      <w:kern w:val="0"/>
      <w:sz w:val="24"/>
    </w:rPr>
  </w:style>
  <w:style w:type="character" w:customStyle="1" w:styleId="s30">
    <w:name w:val="s30"/>
    <w:basedOn w:val="a0"/>
  </w:style>
  <w:style w:type="paragraph" w:customStyle="1" w:styleId="s171">
    <w:name w:val="s171"/>
    <w:basedOn w:val="a"/>
    <w:pPr>
      <w:widowControl/>
      <w:spacing w:before="100" w:beforeAutospacing="1" w:after="100" w:afterAutospacing="1"/>
      <w:jc w:val="left"/>
    </w:pPr>
    <w:rPr>
      <w:rFonts w:ascii="宋体" w:hAnsi="宋体" w:cs="宋体"/>
      <w:kern w:val="0"/>
      <w:sz w:val="24"/>
    </w:rPr>
  </w:style>
  <w:style w:type="character" w:customStyle="1" w:styleId="s161">
    <w:name w:val="s161"/>
    <w:basedOn w:val="a0"/>
  </w:style>
  <w:style w:type="paragraph" w:customStyle="1" w:styleId="s31">
    <w:name w:val="s31"/>
    <w:basedOn w:val="a"/>
    <w:pPr>
      <w:widowControl/>
      <w:spacing w:before="100" w:beforeAutospacing="1" w:after="100" w:afterAutospacing="1"/>
      <w:jc w:val="left"/>
    </w:pPr>
    <w:rPr>
      <w:rFonts w:ascii="宋体" w:hAnsi="宋体" w:cs="宋体"/>
      <w:kern w:val="0"/>
      <w:sz w:val="24"/>
    </w:rPr>
  </w:style>
  <w:style w:type="character" w:customStyle="1" w:styleId="s32">
    <w:name w:val="s32"/>
    <w:basedOn w:val="a0"/>
  </w:style>
  <w:style w:type="paragraph" w:customStyle="1" w:styleId="s33">
    <w:name w:val="s33"/>
    <w:basedOn w:val="a"/>
    <w:pPr>
      <w:widowControl/>
      <w:spacing w:before="100" w:beforeAutospacing="1" w:after="100" w:afterAutospacing="1"/>
      <w:jc w:val="left"/>
    </w:pPr>
    <w:rPr>
      <w:rFonts w:ascii="宋体" w:hAnsi="宋体" w:cs="宋体"/>
      <w:kern w:val="0"/>
      <w:sz w:val="24"/>
    </w:rPr>
  </w:style>
  <w:style w:type="paragraph" w:customStyle="1" w:styleId="s34">
    <w:name w:val="s34"/>
    <w:basedOn w:val="a"/>
    <w:pPr>
      <w:widowControl/>
      <w:spacing w:before="100" w:beforeAutospacing="1" w:after="100" w:afterAutospacing="1"/>
      <w:jc w:val="left"/>
    </w:pPr>
    <w:rPr>
      <w:rFonts w:ascii="宋体" w:hAnsi="宋体" w:cs="宋体"/>
      <w:kern w:val="0"/>
      <w:sz w:val="24"/>
    </w:rPr>
  </w:style>
  <w:style w:type="character" w:customStyle="1" w:styleId="s331">
    <w:name w:val="s331"/>
    <w:basedOn w:val="a0"/>
  </w:style>
  <w:style w:type="character" w:customStyle="1" w:styleId="s35">
    <w:name w:val="s35"/>
    <w:basedOn w:val="a0"/>
  </w:style>
  <w:style w:type="character" w:customStyle="1" w:styleId="s36">
    <w:name w:val="s36"/>
    <w:basedOn w:val="a0"/>
  </w:style>
  <w:style w:type="character" w:customStyle="1" w:styleId="s37">
    <w:name w:val="s37"/>
    <w:basedOn w:val="a0"/>
  </w:style>
  <w:style w:type="character" w:customStyle="1" w:styleId="s38">
    <w:name w:val="s38"/>
    <w:basedOn w:val="a0"/>
  </w:style>
  <w:style w:type="character" w:customStyle="1" w:styleId="s39">
    <w:name w:val="s39"/>
    <w:basedOn w:val="a0"/>
  </w:style>
  <w:style w:type="character" w:customStyle="1" w:styleId="s40">
    <w:name w:val="s40"/>
    <w:basedOn w:val="a0"/>
  </w:style>
  <w:style w:type="paragraph" w:customStyle="1" w:styleId="s42">
    <w:name w:val="s42"/>
    <w:basedOn w:val="a"/>
    <w:pPr>
      <w:widowControl/>
      <w:spacing w:before="100" w:beforeAutospacing="1" w:after="100" w:afterAutospacing="1"/>
      <w:jc w:val="left"/>
    </w:pPr>
    <w:rPr>
      <w:rFonts w:ascii="宋体" w:hAnsi="宋体" w:cs="宋体"/>
      <w:kern w:val="0"/>
      <w:sz w:val="24"/>
    </w:rPr>
  </w:style>
  <w:style w:type="character" w:customStyle="1" w:styleId="s43">
    <w:name w:val="s43"/>
    <w:basedOn w:val="a0"/>
  </w:style>
  <w:style w:type="character" w:customStyle="1" w:styleId="s341">
    <w:name w:val="s341"/>
    <w:basedOn w:val="a0"/>
  </w:style>
  <w:style w:type="paragraph" w:customStyle="1" w:styleId="s44">
    <w:name w:val="s44"/>
    <w:basedOn w:val="a"/>
    <w:pPr>
      <w:widowControl/>
      <w:spacing w:before="100" w:beforeAutospacing="1" w:after="100" w:afterAutospacing="1"/>
      <w:jc w:val="left"/>
    </w:pPr>
    <w:rPr>
      <w:rFonts w:ascii="宋体" w:hAnsi="宋体" w:cs="宋体"/>
      <w:kern w:val="0"/>
      <w:sz w:val="24"/>
    </w:rPr>
  </w:style>
  <w:style w:type="character" w:customStyle="1" w:styleId="s45">
    <w:name w:val="s45"/>
    <w:basedOn w:val="a0"/>
  </w:style>
  <w:style w:type="character" w:customStyle="1" w:styleId="s46">
    <w:name w:val="s46"/>
    <w:basedOn w:val="a0"/>
  </w:style>
  <w:style w:type="character" w:customStyle="1" w:styleId="s47">
    <w:name w:val="s47"/>
    <w:basedOn w:val="a0"/>
  </w:style>
  <w:style w:type="character" w:customStyle="1" w:styleId="s48">
    <w:name w:val="s48"/>
    <w:basedOn w:val="a0"/>
  </w:style>
  <w:style w:type="character" w:customStyle="1" w:styleId="s29">
    <w:name w:val="s29"/>
    <w:basedOn w:val="a0"/>
  </w:style>
  <w:style w:type="character" w:customStyle="1" w:styleId="s50">
    <w:name w:val="s50"/>
    <w:basedOn w:val="a0"/>
  </w:style>
  <w:style w:type="paragraph" w:customStyle="1" w:styleId="s241">
    <w:name w:val="s241"/>
    <w:basedOn w:val="a"/>
    <w:pPr>
      <w:widowControl/>
      <w:spacing w:before="100" w:beforeAutospacing="1" w:after="100" w:afterAutospacing="1"/>
      <w:jc w:val="left"/>
    </w:pPr>
    <w:rPr>
      <w:rFonts w:ascii="宋体" w:hAnsi="宋体" w:cs="宋体"/>
      <w:kern w:val="0"/>
      <w:sz w:val="24"/>
    </w:rPr>
  </w:style>
  <w:style w:type="character" w:customStyle="1" w:styleId="s51">
    <w:name w:val="s51"/>
    <w:basedOn w:val="a0"/>
  </w:style>
  <w:style w:type="paragraph" w:customStyle="1" w:styleId="s511">
    <w:name w:val="s511"/>
    <w:basedOn w:val="a"/>
    <w:pPr>
      <w:widowControl/>
      <w:spacing w:before="100" w:beforeAutospacing="1" w:after="100" w:afterAutospacing="1"/>
      <w:jc w:val="left"/>
    </w:pPr>
    <w:rPr>
      <w:rFonts w:ascii="宋体" w:hAnsi="宋体" w:cs="宋体"/>
      <w:kern w:val="0"/>
      <w:sz w:val="24"/>
    </w:rPr>
  </w:style>
  <w:style w:type="paragraph" w:customStyle="1" w:styleId="s52">
    <w:name w:val="s52"/>
    <w:basedOn w:val="a"/>
    <w:pPr>
      <w:widowControl/>
      <w:spacing w:before="100" w:beforeAutospacing="1" w:after="100" w:afterAutospacing="1"/>
      <w:jc w:val="left"/>
    </w:pPr>
    <w:rPr>
      <w:rFonts w:ascii="宋体" w:hAnsi="宋体" w:cs="宋体"/>
      <w:kern w:val="0"/>
      <w:sz w:val="24"/>
    </w:rPr>
  </w:style>
  <w:style w:type="character" w:customStyle="1" w:styleId="s53">
    <w:name w:val="s53"/>
    <w:basedOn w:val="a0"/>
  </w:style>
  <w:style w:type="paragraph" w:customStyle="1" w:styleId="s531">
    <w:name w:val="s531"/>
    <w:basedOn w:val="a"/>
    <w:pPr>
      <w:widowControl/>
      <w:spacing w:before="100" w:beforeAutospacing="1" w:after="100" w:afterAutospacing="1"/>
      <w:jc w:val="left"/>
    </w:pPr>
    <w:rPr>
      <w:rFonts w:ascii="宋体" w:hAnsi="宋体" w:cs="宋体"/>
      <w:kern w:val="0"/>
      <w:sz w:val="24"/>
    </w:rPr>
  </w:style>
  <w:style w:type="character" w:customStyle="1" w:styleId="s521">
    <w:name w:val="s521"/>
    <w:basedOn w:val="a0"/>
  </w:style>
  <w:style w:type="paragraph" w:customStyle="1" w:styleId="s501">
    <w:name w:val="s501"/>
    <w:basedOn w:val="a"/>
    <w:pPr>
      <w:widowControl/>
      <w:spacing w:before="100" w:beforeAutospacing="1" w:after="100" w:afterAutospacing="1"/>
      <w:jc w:val="left"/>
    </w:pPr>
    <w:rPr>
      <w:rFonts w:ascii="宋体" w:hAnsi="宋体" w:cs="宋体"/>
      <w:kern w:val="0"/>
      <w:sz w:val="24"/>
    </w:rPr>
  </w:style>
  <w:style w:type="paragraph" w:customStyle="1" w:styleId="s8">
    <w:name w:val="s8"/>
    <w:basedOn w:val="a"/>
    <w:pPr>
      <w:widowControl/>
      <w:spacing w:before="100" w:beforeAutospacing="1" w:after="100" w:afterAutospacing="1"/>
      <w:jc w:val="left"/>
    </w:pPr>
    <w:rPr>
      <w:rFonts w:ascii="宋体" w:hAnsi="宋体" w:cs="宋体"/>
      <w:kern w:val="0"/>
      <w:sz w:val="24"/>
    </w:rPr>
  </w:style>
  <w:style w:type="paragraph" w:customStyle="1" w:styleId="s15">
    <w:name w:val="s15"/>
    <w:basedOn w:val="a"/>
    <w:pPr>
      <w:widowControl/>
      <w:spacing w:before="100" w:beforeAutospacing="1" w:after="100" w:afterAutospacing="1"/>
      <w:jc w:val="left"/>
    </w:pPr>
    <w:rPr>
      <w:rFonts w:ascii="宋体" w:hAnsi="宋体" w:cs="宋体"/>
      <w:kern w:val="0"/>
      <w:sz w:val="24"/>
    </w:rPr>
  </w:style>
  <w:style w:type="character" w:customStyle="1" w:styleId="h3">
    <w:name w:val="h3"/>
    <w:basedOn w:val="a0"/>
  </w:style>
  <w:style w:type="paragraph" w:customStyle="1" w:styleId="s61">
    <w:name w:val="s61"/>
    <w:basedOn w:val="a"/>
    <w:pPr>
      <w:widowControl/>
      <w:spacing w:before="100" w:beforeAutospacing="1" w:after="100" w:afterAutospacing="1"/>
      <w:jc w:val="left"/>
    </w:pPr>
    <w:rPr>
      <w:rFonts w:ascii="宋体" w:hAnsi="宋体" w:cs="宋体"/>
      <w:kern w:val="0"/>
      <w:sz w:val="24"/>
    </w:rPr>
  </w:style>
  <w:style w:type="character" w:customStyle="1" w:styleId="s26">
    <w:name w:val="s26"/>
    <w:basedOn w:val="a0"/>
  </w:style>
  <w:style w:type="paragraph" w:customStyle="1" w:styleId="s261">
    <w:name w:val="s261"/>
    <w:basedOn w:val="a"/>
    <w:pPr>
      <w:widowControl/>
      <w:spacing w:before="100" w:beforeAutospacing="1" w:after="100" w:afterAutospacing="1"/>
      <w:jc w:val="left"/>
    </w:pPr>
    <w:rPr>
      <w:rFonts w:ascii="宋体" w:hAnsi="宋体" w:cs="宋体"/>
      <w:kern w:val="0"/>
      <w:sz w:val="24"/>
    </w:rPr>
  </w:style>
  <w:style w:type="paragraph" w:customStyle="1" w:styleId="s291">
    <w:name w:val="s291"/>
    <w:basedOn w:val="a"/>
    <w:pPr>
      <w:widowControl/>
      <w:spacing w:before="100" w:beforeAutospacing="1" w:after="100" w:afterAutospacing="1"/>
      <w:jc w:val="left"/>
    </w:pPr>
    <w:rPr>
      <w:rFonts w:ascii="宋体" w:hAnsi="宋体" w:cs="宋体"/>
      <w:kern w:val="0"/>
      <w:sz w:val="24"/>
    </w:rPr>
  </w:style>
  <w:style w:type="character" w:customStyle="1" w:styleId="s281">
    <w:name w:val="s281"/>
    <w:basedOn w:val="a0"/>
  </w:style>
  <w:style w:type="paragraph" w:customStyle="1" w:styleId="s211">
    <w:name w:val="s211"/>
    <w:basedOn w:val="a"/>
    <w:pPr>
      <w:widowControl/>
      <w:spacing w:before="100" w:beforeAutospacing="1" w:after="100" w:afterAutospacing="1"/>
      <w:jc w:val="left"/>
    </w:pPr>
    <w:rPr>
      <w:rFonts w:ascii="宋体" w:hAnsi="宋体" w:cs="宋体"/>
      <w:kern w:val="0"/>
      <w:sz w:val="24"/>
    </w:rPr>
  </w:style>
  <w:style w:type="paragraph" w:customStyle="1" w:styleId="s201">
    <w:name w:val="s201"/>
    <w:basedOn w:val="a"/>
    <w:pPr>
      <w:widowControl/>
      <w:spacing w:before="100" w:beforeAutospacing="1" w:after="100" w:afterAutospacing="1"/>
      <w:jc w:val="left"/>
    </w:pPr>
    <w:rPr>
      <w:rFonts w:ascii="宋体" w:hAnsi="宋体" w:cs="宋体"/>
      <w:kern w:val="0"/>
      <w:sz w:val="24"/>
    </w:rPr>
  </w:style>
  <w:style w:type="character" w:customStyle="1" w:styleId="s231">
    <w:name w:val="s231"/>
    <w:basedOn w:val="a0"/>
  </w:style>
  <w:style w:type="character" w:customStyle="1" w:styleId="s271">
    <w:name w:val="s271"/>
    <w:basedOn w:val="a0"/>
  </w:style>
  <w:style w:type="character" w:customStyle="1" w:styleId="s301">
    <w:name w:val="s301"/>
    <w:basedOn w:val="a0"/>
  </w:style>
  <w:style w:type="character" w:customStyle="1" w:styleId="s351">
    <w:name w:val="s351"/>
    <w:basedOn w:val="a0"/>
  </w:style>
  <w:style w:type="character" w:customStyle="1" w:styleId="fontstyle01">
    <w:name w:val="fontstyle01"/>
    <w:basedOn w:val="a0"/>
    <w:rPr>
      <w:rFonts w:ascii="宋体" w:eastAsia="宋体" w:hAnsi="宋体" w:hint="eastAsia"/>
      <w:color w:val="000000"/>
      <w:sz w:val="22"/>
      <w:szCs w:val="22"/>
    </w:rPr>
  </w:style>
  <w:style w:type="character" w:customStyle="1" w:styleId="fontstyle21">
    <w:name w:val="fontstyle21"/>
    <w:basedOn w:val="a0"/>
    <w:rPr>
      <w:rFonts w:ascii="TimesNewRomanPSMT" w:hAnsi="TimesNewRomanPSMT" w:hint="default"/>
      <w:color w:val="0000FF"/>
      <w:sz w:val="22"/>
      <w:szCs w:val="22"/>
    </w:rPr>
  </w:style>
  <w:style w:type="character" w:customStyle="1" w:styleId="fontstyle31">
    <w:name w:val="fontstyle31"/>
    <w:basedOn w:val="a0"/>
    <w:rPr>
      <w:rFonts w:ascii="TimesNewRomanPS-ItalicMT" w:hAnsi="TimesNewRomanPS-ItalicMT" w:hint="default"/>
      <w:i/>
      <w:iCs/>
      <w:color w:val="000000"/>
      <w:sz w:val="22"/>
      <w:szCs w:val="22"/>
    </w:rPr>
  </w:style>
  <w:style w:type="character" w:customStyle="1" w:styleId="fontstyle11">
    <w:name w:val="fontstyle11"/>
    <w:basedOn w:val="a0"/>
    <w:rPr>
      <w:rFonts w:ascii="TimesNewRomanPSMT" w:hAnsi="TimesNewRomanPSMT" w:hint="default"/>
      <w:color w:val="000000"/>
      <w:sz w:val="22"/>
      <w:szCs w:val="22"/>
    </w:rPr>
  </w:style>
  <w:style w:type="character" w:customStyle="1" w:styleId="fontstyle41">
    <w:name w:val="fontstyle41"/>
    <w:basedOn w:val="a0"/>
    <w:rPr>
      <w:rFonts w:ascii="TimesNewRomanPSMT" w:hAnsi="TimesNewRomanPSMT" w:hint="default"/>
      <w:color w:val="000000"/>
      <w:sz w:val="20"/>
      <w:szCs w:val="20"/>
    </w:rPr>
  </w:style>
  <w:style w:type="paragraph" w:customStyle="1" w:styleId="cur">
    <w:name w:val="cur"/>
    <w:basedOn w:val="a"/>
    <w:pPr>
      <w:widowControl/>
      <w:spacing w:before="100" w:beforeAutospacing="1" w:after="100" w:afterAutospacing="1"/>
      <w:jc w:val="left"/>
    </w:pPr>
    <w:rPr>
      <w:rFonts w:ascii="宋体" w:hAnsi="宋体" w:cs="宋体"/>
      <w:kern w:val="0"/>
      <w:sz w:val="24"/>
    </w:rPr>
  </w:style>
  <w:style w:type="character" w:customStyle="1" w:styleId="shareboard">
    <w:name w:val="shareboard"/>
    <w:basedOn w:val="a0"/>
  </w:style>
  <w:style w:type="character" w:customStyle="1" w:styleId="msqrt">
    <w:name w:val="msqrt"/>
    <w:basedOn w:val="a0"/>
  </w:style>
  <w:style w:type="paragraph" w:customStyle="1" w:styleId="ql-align-justify">
    <w:name w:val="ql-align-justify"/>
    <w:basedOn w:val="a"/>
    <w:pPr>
      <w:widowControl/>
      <w:spacing w:before="100" w:beforeAutospacing="1" w:after="100" w:afterAutospacing="1"/>
      <w:jc w:val="left"/>
    </w:pPr>
    <w:rPr>
      <w:rFonts w:ascii="宋体" w:hAnsi="宋体" w:cs="宋体"/>
      <w:kern w:val="0"/>
      <w:sz w:val="24"/>
    </w:rPr>
  </w:style>
  <w:style w:type="paragraph" w:customStyle="1" w:styleId="ql-align-center">
    <w:name w:val="ql-align-center"/>
    <w:basedOn w:val="a"/>
    <w:pPr>
      <w:widowControl/>
      <w:spacing w:before="100" w:beforeAutospacing="1" w:after="100" w:afterAutospacing="1"/>
      <w:jc w:val="left"/>
    </w:pPr>
    <w:rPr>
      <w:rFonts w:ascii="宋体" w:hAnsi="宋体" w:cs="宋体"/>
      <w:kern w:val="0"/>
      <w:sz w:val="24"/>
    </w:rPr>
  </w:style>
  <w:style w:type="character" w:customStyle="1" w:styleId="mtext">
    <w:name w:val="mtext"/>
    <w:basedOn w:val="a0"/>
  </w:style>
  <w:style w:type="character" w:customStyle="1" w:styleId="22">
    <w:name w:val="正文文本缩进 2 字符"/>
    <w:basedOn w:val="a0"/>
    <w:link w:val="21"/>
    <w:uiPriority w:val="99"/>
    <w:semiHidden/>
    <w:rPr>
      <w:rFonts w:ascii="Times New Roman" w:eastAsia="宋体" w:hAnsi="Times New Roman" w:cs="Times New Roman"/>
      <w:szCs w:val="24"/>
    </w:rPr>
  </w:style>
  <w:style w:type="character" w:customStyle="1" w:styleId="HTML0">
    <w:name w:val="HTML 预设格式 字符"/>
    <w:basedOn w:val="a0"/>
    <w:link w:val="HTML"/>
    <w:rPr>
      <w:rFonts w:ascii="黑体" w:eastAsia="黑体" w:hAnsi="Courier New" w:cs="Courier New"/>
      <w:color w:val="000000"/>
      <w:kern w:val="0"/>
      <w:sz w:val="20"/>
      <w:szCs w:val="20"/>
    </w:rPr>
  </w:style>
  <w:style w:type="character" w:customStyle="1" w:styleId="rowtit">
    <w:name w:val="rowtit"/>
    <w:basedOn w:val="a0"/>
  </w:style>
  <w:style w:type="character" w:customStyle="1" w:styleId="abstract-text">
    <w:name w:val="abstract-text"/>
    <w:basedOn w:val="a0"/>
  </w:style>
  <w:style w:type="paragraph" w:customStyle="1" w:styleId="keywords">
    <w:name w:val="keywords"/>
    <w:basedOn w:val="a"/>
    <w:pPr>
      <w:widowControl/>
      <w:spacing w:before="100" w:beforeAutospacing="1" w:after="100" w:afterAutospacing="1"/>
      <w:jc w:val="left"/>
    </w:pPr>
    <w:rPr>
      <w:rFonts w:ascii="宋体" w:hAnsi="宋体" w:cs="宋体"/>
      <w:kern w:val="0"/>
      <w:sz w:val="24"/>
    </w:rPr>
  </w:style>
  <w:style w:type="paragraph" w:customStyle="1" w:styleId="code-formula">
    <w:name w:val="code-formula"/>
    <w:basedOn w:val="a"/>
    <w:pPr>
      <w:widowControl/>
      <w:spacing w:before="100" w:beforeAutospacing="1" w:after="100" w:afterAutospacing="1"/>
      <w:jc w:val="left"/>
    </w:pPr>
    <w:rPr>
      <w:rFonts w:ascii="宋体" w:hAnsi="宋体" w:cs="宋体"/>
      <w:kern w:val="0"/>
      <w:sz w:val="24"/>
    </w:rPr>
  </w:style>
  <w:style w:type="character" w:customStyle="1" w:styleId="24">
    <w:name w:val="未处理的提及2"/>
    <w:basedOn w:val="a0"/>
    <w:uiPriority w:val="99"/>
    <w:semiHidden/>
    <w:unhideWhenUsed/>
    <w:rPr>
      <w:color w:val="605E5C"/>
      <w:shd w:val="clear" w:color="auto" w:fill="E1DFDD"/>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8ED040-8232-4A83-84F9-0FDC5A4A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81</Pages>
  <Words>12535</Words>
  <Characters>71451</Characters>
  <Application>Microsoft Office Word</Application>
  <DocSecurity>0</DocSecurity>
  <Lines>595</Lines>
  <Paragraphs>167</Paragraphs>
  <ScaleCrop>false</ScaleCrop>
  <Company>Win10NeT.COM</Company>
  <LinksUpToDate>false</LinksUpToDate>
  <CharactersWithSpaces>83819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清 欢共</cp:lastModifiedBy>
  <cp:revision>346</cp:revision>
  <cp:lastPrinted>2020-12-15T10:48:00Z</cp:lastPrinted>
  <dcterms:created xsi:type="dcterms:W3CDTF">2021-01-25T14:14:00Z</dcterms:created>
  <dcterms:modified xsi:type="dcterms:W3CDTF">2022-02-13T14:02:00Z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A9EFEE0AABDE4543A83B7E950CB2A6FA</vt:lpwstr>
  </property>
</Properties>
</file>