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E5D22" w14:textId="77777777" w:rsidR="006D73E5" w:rsidRDefault="00000000">
      <w:pPr>
        <w:spacing w:line="360" w:lineRule="auto"/>
        <w:ind w:leftChars="-45" w:left="-94" w:rightChars="-159" w:right="-334"/>
        <w:jc w:val="center"/>
        <w:rPr>
          <w:b/>
          <w:bCs/>
          <w:sz w:val="32"/>
          <w:szCs w:val="32"/>
        </w:rPr>
      </w:pPr>
      <w:bookmarkStart w:id="0" w:name="_Hlk21261980"/>
      <w:bookmarkEnd w:id="0"/>
      <w:r>
        <w:rPr>
          <w:noProof/>
        </w:rPr>
        <w:drawing>
          <wp:inline distT="0" distB="0" distL="0" distR="0" wp14:anchorId="21548C8A" wp14:editId="43A04BFF">
            <wp:extent cx="5976620" cy="1799590"/>
            <wp:effectExtent l="0" t="0" r="5080"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icPr>
                  <pic:blipFill>
                    <a:blip r:embed="rId9"/>
                    <a:stretch>
                      <a:fillRect/>
                    </a:stretch>
                  </pic:blipFill>
                  <pic:spPr>
                    <a:xfrm>
                      <a:off x="0" y="0"/>
                      <a:ext cx="5976620" cy="1799590"/>
                    </a:xfrm>
                    <a:prstGeom prst="rect">
                      <a:avLst/>
                    </a:prstGeom>
                  </pic:spPr>
                </pic:pic>
              </a:graphicData>
            </a:graphic>
          </wp:inline>
        </w:drawing>
      </w:r>
    </w:p>
    <w:sdt>
      <w:sdtPr>
        <w:rPr>
          <w:rFonts w:ascii="Times New Roman" w:eastAsia="宋体" w:hAnsi="Times New Roman" w:cs="Times New Roman"/>
          <w:color w:val="auto"/>
          <w:kern w:val="2"/>
          <w:sz w:val="21"/>
          <w:szCs w:val="24"/>
          <w:lang w:val="zh-CN"/>
        </w:rPr>
        <w:id w:val="-1761738430"/>
        <w:docPartObj>
          <w:docPartGallery w:val="Table of Contents"/>
          <w:docPartUnique/>
        </w:docPartObj>
      </w:sdtPr>
      <w:sdtEndPr>
        <w:rPr>
          <w:b/>
          <w:bCs/>
        </w:rPr>
      </w:sdtEndPr>
      <w:sdtContent>
        <w:p w14:paraId="730797D2" w14:textId="77777777" w:rsidR="006D73E5" w:rsidRDefault="00000000">
          <w:pPr>
            <w:pStyle w:val="TOC10"/>
            <w:jc w:val="center"/>
            <w:rPr>
              <w:rFonts w:ascii="黑体" w:eastAsia="黑体" w:hAnsi="黑体"/>
              <w:b/>
              <w:bCs/>
              <w:color w:val="000000" w:themeColor="text1"/>
            </w:rPr>
          </w:pPr>
          <w:r>
            <w:rPr>
              <w:rFonts w:ascii="黑体" w:eastAsia="黑体" w:hAnsi="黑体"/>
              <w:b/>
              <w:bCs/>
              <w:color w:val="000000" w:themeColor="text1"/>
              <w:lang w:val="zh-CN"/>
            </w:rPr>
            <w:t>目录</w:t>
          </w:r>
        </w:p>
        <w:p w14:paraId="01A2FA99" w14:textId="6C9BCEDB" w:rsidR="00643E59" w:rsidRPr="003A3ACA" w:rsidRDefault="00000000">
          <w:pPr>
            <w:pStyle w:val="TOC1"/>
            <w:rPr>
              <w:rFonts w:eastAsiaTheme="minorEastAsia"/>
              <w:b w:val="0"/>
              <w:bCs w:val="0"/>
              <w:noProof/>
              <w:szCs w:val="22"/>
            </w:rPr>
          </w:pPr>
          <w:r w:rsidRPr="003A3ACA">
            <w:fldChar w:fldCharType="begin"/>
          </w:r>
          <w:r w:rsidRPr="003A3ACA">
            <w:instrText xml:space="preserve"> TOC \o "1-3" \h \z \u </w:instrText>
          </w:r>
          <w:r w:rsidRPr="003A3ACA">
            <w:fldChar w:fldCharType="separate"/>
          </w:r>
          <w:hyperlink w:anchor="_Toc114077801" w:history="1">
            <w:r w:rsidR="00643E59" w:rsidRPr="003A3ACA">
              <w:rPr>
                <w:rStyle w:val="af2"/>
                <w:noProof/>
              </w:rPr>
              <w:t>重要资讯</w:t>
            </w:r>
            <w:r w:rsidR="00643E59" w:rsidRPr="003A3ACA">
              <w:rPr>
                <w:noProof/>
                <w:webHidden/>
              </w:rPr>
              <w:tab/>
            </w:r>
            <w:r w:rsidR="00643E59" w:rsidRPr="003A3ACA">
              <w:rPr>
                <w:noProof/>
                <w:webHidden/>
              </w:rPr>
              <w:fldChar w:fldCharType="begin"/>
            </w:r>
            <w:r w:rsidR="00643E59" w:rsidRPr="003A3ACA">
              <w:rPr>
                <w:noProof/>
                <w:webHidden/>
              </w:rPr>
              <w:instrText xml:space="preserve"> PAGEREF _Toc114077801 \h </w:instrText>
            </w:r>
            <w:r w:rsidR="00643E59" w:rsidRPr="003A3ACA">
              <w:rPr>
                <w:noProof/>
                <w:webHidden/>
              </w:rPr>
            </w:r>
            <w:r w:rsidR="00643E59" w:rsidRPr="003A3ACA">
              <w:rPr>
                <w:noProof/>
                <w:webHidden/>
              </w:rPr>
              <w:fldChar w:fldCharType="separate"/>
            </w:r>
            <w:r w:rsidR="00CB3BE1">
              <w:rPr>
                <w:noProof/>
                <w:webHidden/>
              </w:rPr>
              <w:t>1</w:t>
            </w:r>
            <w:r w:rsidR="00643E59" w:rsidRPr="003A3ACA">
              <w:rPr>
                <w:noProof/>
                <w:webHidden/>
              </w:rPr>
              <w:fldChar w:fldCharType="end"/>
            </w:r>
          </w:hyperlink>
        </w:p>
        <w:p w14:paraId="6474662B" w14:textId="59C65395" w:rsidR="00643E59" w:rsidRPr="003A3ACA" w:rsidRDefault="00643E59">
          <w:pPr>
            <w:pStyle w:val="TOC2"/>
            <w:rPr>
              <w:rFonts w:ascii="Times New Roman" w:eastAsiaTheme="minorEastAsia" w:hAnsi="Times New Roman"/>
              <w:noProof/>
              <w:szCs w:val="22"/>
            </w:rPr>
          </w:pPr>
          <w:hyperlink w:anchor="_Toc114077802" w:history="1">
            <w:r w:rsidRPr="003A3ACA">
              <w:rPr>
                <w:rStyle w:val="af2"/>
                <w:rFonts w:ascii="Times New Roman" w:hAnsi="Times New Roman"/>
                <w:noProof/>
              </w:rPr>
              <w:t>农业农村部印发《农业现代化示范区数字化建设指南》</w:t>
            </w:r>
            <w:r w:rsidRPr="003A3ACA">
              <w:rPr>
                <w:rFonts w:ascii="Times New Roman" w:hAnsi="Times New Roman"/>
                <w:noProof/>
                <w:webHidden/>
              </w:rPr>
              <w:tab/>
            </w:r>
            <w:r w:rsidRPr="003A3ACA">
              <w:rPr>
                <w:rFonts w:ascii="Times New Roman" w:hAnsi="Times New Roman"/>
                <w:noProof/>
                <w:webHidden/>
              </w:rPr>
              <w:fldChar w:fldCharType="begin"/>
            </w:r>
            <w:r w:rsidRPr="003A3ACA">
              <w:rPr>
                <w:rFonts w:ascii="Times New Roman" w:hAnsi="Times New Roman"/>
                <w:noProof/>
                <w:webHidden/>
              </w:rPr>
              <w:instrText xml:space="preserve"> PAGEREF _Toc114077802 \h </w:instrText>
            </w:r>
            <w:r w:rsidRPr="003A3ACA">
              <w:rPr>
                <w:rFonts w:ascii="Times New Roman" w:hAnsi="Times New Roman"/>
                <w:noProof/>
                <w:webHidden/>
              </w:rPr>
            </w:r>
            <w:r w:rsidRPr="003A3ACA">
              <w:rPr>
                <w:rFonts w:ascii="Times New Roman" w:hAnsi="Times New Roman"/>
                <w:noProof/>
                <w:webHidden/>
              </w:rPr>
              <w:fldChar w:fldCharType="separate"/>
            </w:r>
            <w:r w:rsidR="00CB3BE1">
              <w:rPr>
                <w:rFonts w:ascii="Times New Roman" w:hAnsi="Times New Roman"/>
                <w:noProof/>
                <w:webHidden/>
              </w:rPr>
              <w:t>1</w:t>
            </w:r>
            <w:r w:rsidRPr="003A3ACA">
              <w:rPr>
                <w:rFonts w:ascii="Times New Roman" w:hAnsi="Times New Roman"/>
                <w:noProof/>
                <w:webHidden/>
              </w:rPr>
              <w:fldChar w:fldCharType="end"/>
            </w:r>
          </w:hyperlink>
        </w:p>
        <w:p w14:paraId="60806E5D" w14:textId="044983E8" w:rsidR="00643E59" w:rsidRPr="003A3ACA" w:rsidRDefault="00643E59">
          <w:pPr>
            <w:pStyle w:val="TOC2"/>
            <w:rPr>
              <w:rFonts w:ascii="Times New Roman" w:eastAsiaTheme="minorEastAsia" w:hAnsi="Times New Roman"/>
              <w:noProof/>
              <w:szCs w:val="22"/>
            </w:rPr>
          </w:pPr>
          <w:hyperlink w:anchor="_Toc114077803" w:history="1">
            <w:r w:rsidRPr="003A3ACA">
              <w:rPr>
                <w:rStyle w:val="af2"/>
                <w:rFonts w:ascii="Times New Roman" w:hAnsi="Times New Roman"/>
                <w:noProof/>
              </w:rPr>
              <w:t>农业农村部开展渔业安全生产</w:t>
            </w:r>
            <w:r w:rsidRPr="003A3ACA">
              <w:rPr>
                <w:rStyle w:val="af2"/>
                <w:rFonts w:ascii="Times New Roman" w:hAnsi="Times New Roman"/>
                <w:noProof/>
              </w:rPr>
              <w:t xml:space="preserve"> “</w:t>
            </w:r>
            <w:r w:rsidRPr="003A3ACA">
              <w:rPr>
                <w:rStyle w:val="af2"/>
                <w:rFonts w:ascii="Times New Roman" w:hAnsi="Times New Roman"/>
                <w:noProof/>
              </w:rPr>
              <w:t>百日攻坚</w:t>
            </w:r>
            <w:r w:rsidRPr="003A3ACA">
              <w:rPr>
                <w:rStyle w:val="af2"/>
                <w:rFonts w:ascii="Times New Roman" w:hAnsi="Times New Roman"/>
                <w:noProof/>
              </w:rPr>
              <w:t>”</w:t>
            </w:r>
            <w:r w:rsidRPr="003A3ACA">
              <w:rPr>
                <w:rStyle w:val="af2"/>
                <w:rFonts w:ascii="Times New Roman" w:hAnsi="Times New Roman"/>
                <w:noProof/>
              </w:rPr>
              <w:t>行动</w:t>
            </w:r>
            <w:r w:rsidRPr="003A3ACA">
              <w:rPr>
                <w:rFonts w:ascii="Times New Roman" w:hAnsi="Times New Roman"/>
                <w:noProof/>
                <w:webHidden/>
              </w:rPr>
              <w:tab/>
            </w:r>
            <w:r w:rsidRPr="003A3ACA">
              <w:rPr>
                <w:rFonts w:ascii="Times New Roman" w:hAnsi="Times New Roman"/>
                <w:noProof/>
                <w:webHidden/>
              </w:rPr>
              <w:fldChar w:fldCharType="begin"/>
            </w:r>
            <w:r w:rsidRPr="003A3ACA">
              <w:rPr>
                <w:rFonts w:ascii="Times New Roman" w:hAnsi="Times New Roman"/>
                <w:noProof/>
                <w:webHidden/>
              </w:rPr>
              <w:instrText xml:space="preserve"> PAGEREF _Toc114077803 \h </w:instrText>
            </w:r>
            <w:r w:rsidRPr="003A3ACA">
              <w:rPr>
                <w:rFonts w:ascii="Times New Roman" w:hAnsi="Times New Roman"/>
                <w:noProof/>
                <w:webHidden/>
              </w:rPr>
            </w:r>
            <w:r w:rsidRPr="003A3ACA">
              <w:rPr>
                <w:rFonts w:ascii="Times New Roman" w:hAnsi="Times New Roman"/>
                <w:noProof/>
                <w:webHidden/>
              </w:rPr>
              <w:fldChar w:fldCharType="separate"/>
            </w:r>
            <w:r w:rsidR="00CB3BE1">
              <w:rPr>
                <w:rFonts w:ascii="Times New Roman" w:hAnsi="Times New Roman"/>
                <w:noProof/>
                <w:webHidden/>
              </w:rPr>
              <w:t>5</w:t>
            </w:r>
            <w:r w:rsidRPr="003A3ACA">
              <w:rPr>
                <w:rFonts w:ascii="Times New Roman" w:hAnsi="Times New Roman"/>
                <w:noProof/>
                <w:webHidden/>
              </w:rPr>
              <w:fldChar w:fldCharType="end"/>
            </w:r>
          </w:hyperlink>
        </w:p>
        <w:p w14:paraId="3A16DCEC" w14:textId="69F39DF4" w:rsidR="00643E59" w:rsidRPr="003A3ACA" w:rsidRDefault="00643E59">
          <w:pPr>
            <w:pStyle w:val="TOC2"/>
            <w:rPr>
              <w:rFonts w:ascii="Times New Roman" w:eastAsiaTheme="minorEastAsia" w:hAnsi="Times New Roman"/>
              <w:noProof/>
              <w:szCs w:val="22"/>
            </w:rPr>
          </w:pPr>
          <w:hyperlink w:anchor="_Toc114077804" w:history="1">
            <w:r w:rsidRPr="003A3ACA">
              <w:rPr>
                <w:rStyle w:val="af2"/>
                <w:rFonts w:ascii="Times New Roman" w:hAnsi="Times New Roman"/>
                <w:noProof/>
              </w:rPr>
              <w:t>农业农村部</w:t>
            </w:r>
            <w:r w:rsidRPr="003A3ACA">
              <w:rPr>
                <w:rStyle w:val="af2"/>
                <w:rFonts w:ascii="Times New Roman" w:hAnsi="Times New Roman"/>
                <w:noProof/>
              </w:rPr>
              <w:t>“</w:t>
            </w:r>
            <w:r w:rsidRPr="003A3ACA">
              <w:rPr>
                <w:rStyle w:val="af2"/>
                <w:rFonts w:ascii="Times New Roman" w:hAnsi="Times New Roman"/>
                <w:noProof/>
              </w:rPr>
              <w:t>十四五</w:t>
            </w:r>
            <w:r w:rsidRPr="003A3ACA">
              <w:rPr>
                <w:rStyle w:val="af2"/>
                <w:rFonts w:ascii="Times New Roman" w:hAnsi="Times New Roman"/>
                <w:noProof/>
              </w:rPr>
              <w:t>”</w:t>
            </w:r>
            <w:r w:rsidRPr="003A3ACA">
              <w:rPr>
                <w:rStyle w:val="af2"/>
                <w:rFonts w:ascii="Times New Roman" w:hAnsi="Times New Roman"/>
                <w:noProof/>
              </w:rPr>
              <w:t>渔业高质量发展推进会在宁德召开</w:t>
            </w:r>
            <w:r w:rsidRPr="003A3ACA">
              <w:rPr>
                <w:rFonts w:ascii="Times New Roman" w:hAnsi="Times New Roman"/>
                <w:noProof/>
                <w:webHidden/>
              </w:rPr>
              <w:tab/>
            </w:r>
            <w:r w:rsidRPr="003A3ACA">
              <w:rPr>
                <w:rFonts w:ascii="Times New Roman" w:hAnsi="Times New Roman"/>
                <w:noProof/>
                <w:webHidden/>
              </w:rPr>
              <w:fldChar w:fldCharType="begin"/>
            </w:r>
            <w:r w:rsidRPr="003A3ACA">
              <w:rPr>
                <w:rFonts w:ascii="Times New Roman" w:hAnsi="Times New Roman"/>
                <w:noProof/>
                <w:webHidden/>
              </w:rPr>
              <w:instrText xml:space="preserve"> PAGEREF _Toc114077804 \h </w:instrText>
            </w:r>
            <w:r w:rsidRPr="003A3ACA">
              <w:rPr>
                <w:rFonts w:ascii="Times New Roman" w:hAnsi="Times New Roman"/>
                <w:noProof/>
                <w:webHidden/>
              </w:rPr>
            </w:r>
            <w:r w:rsidRPr="003A3ACA">
              <w:rPr>
                <w:rFonts w:ascii="Times New Roman" w:hAnsi="Times New Roman"/>
                <w:noProof/>
                <w:webHidden/>
              </w:rPr>
              <w:fldChar w:fldCharType="separate"/>
            </w:r>
            <w:r w:rsidR="00CB3BE1">
              <w:rPr>
                <w:rFonts w:ascii="Times New Roman" w:hAnsi="Times New Roman"/>
                <w:noProof/>
                <w:webHidden/>
              </w:rPr>
              <w:t>6</w:t>
            </w:r>
            <w:r w:rsidRPr="003A3ACA">
              <w:rPr>
                <w:rFonts w:ascii="Times New Roman" w:hAnsi="Times New Roman"/>
                <w:noProof/>
                <w:webHidden/>
              </w:rPr>
              <w:fldChar w:fldCharType="end"/>
            </w:r>
          </w:hyperlink>
        </w:p>
        <w:p w14:paraId="1A261C3C" w14:textId="03456199" w:rsidR="00643E59" w:rsidRPr="003A3ACA" w:rsidRDefault="00643E59">
          <w:pPr>
            <w:pStyle w:val="TOC1"/>
            <w:rPr>
              <w:rFonts w:eastAsiaTheme="minorEastAsia"/>
              <w:b w:val="0"/>
              <w:bCs w:val="0"/>
              <w:noProof/>
              <w:szCs w:val="22"/>
            </w:rPr>
          </w:pPr>
          <w:hyperlink w:anchor="_Toc114077805" w:history="1">
            <w:r w:rsidRPr="003A3ACA">
              <w:rPr>
                <w:rStyle w:val="af2"/>
                <w:noProof/>
              </w:rPr>
              <w:t>行业资讯</w:t>
            </w:r>
            <w:r w:rsidRPr="003A3ACA">
              <w:rPr>
                <w:noProof/>
                <w:webHidden/>
              </w:rPr>
              <w:tab/>
            </w:r>
            <w:r w:rsidRPr="003A3ACA">
              <w:rPr>
                <w:noProof/>
                <w:webHidden/>
              </w:rPr>
              <w:fldChar w:fldCharType="begin"/>
            </w:r>
            <w:r w:rsidRPr="003A3ACA">
              <w:rPr>
                <w:noProof/>
                <w:webHidden/>
              </w:rPr>
              <w:instrText xml:space="preserve"> PAGEREF _Toc114077805 \h </w:instrText>
            </w:r>
            <w:r w:rsidRPr="003A3ACA">
              <w:rPr>
                <w:noProof/>
                <w:webHidden/>
              </w:rPr>
            </w:r>
            <w:r w:rsidRPr="003A3ACA">
              <w:rPr>
                <w:noProof/>
                <w:webHidden/>
              </w:rPr>
              <w:fldChar w:fldCharType="separate"/>
            </w:r>
            <w:r w:rsidR="00CB3BE1">
              <w:rPr>
                <w:noProof/>
                <w:webHidden/>
              </w:rPr>
              <w:t>8</w:t>
            </w:r>
            <w:r w:rsidRPr="003A3ACA">
              <w:rPr>
                <w:noProof/>
                <w:webHidden/>
              </w:rPr>
              <w:fldChar w:fldCharType="end"/>
            </w:r>
          </w:hyperlink>
        </w:p>
        <w:p w14:paraId="4315DCC0" w14:textId="67CF1036" w:rsidR="00643E59" w:rsidRPr="003A3ACA" w:rsidRDefault="00643E59">
          <w:pPr>
            <w:pStyle w:val="TOC2"/>
            <w:rPr>
              <w:rFonts w:ascii="Times New Roman" w:eastAsiaTheme="minorEastAsia" w:hAnsi="Times New Roman"/>
              <w:noProof/>
              <w:szCs w:val="22"/>
            </w:rPr>
          </w:pPr>
          <w:hyperlink w:anchor="_Toc114077806" w:history="1">
            <w:r w:rsidRPr="003A3ACA">
              <w:rPr>
                <w:rStyle w:val="af2"/>
                <w:rFonts w:ascii="Times New Roman" w:hAnsi="Times New Roman"/>
                <w:noProof/>
              </w:rPr>
              <w:t>福建省海洋与渔业局党组书记、局长林锡能一行莅临天马科技集团考察调研</w:t>
            </w:r>
            <w:r w:rsidRPr="003A3ACA">
              <w:rPr>
                <w:rFonts w:ascii="Times New Roman" w:hAnsi="Times New Roman"/>
                <w:noProof/>
                <w:webHidden/>
              </w:rPr>
              <w:tab/>
            </w:r>
            <w:r w:rsidRPr="003A3ACA">
              <w:rPr>
                <w:rFonts w:ascii="Times New Roman" w:hAnsi="Times New Roman"/>
                <w:noProof/>
                <w:webHidden/>
              </w:rPr>
              <w:fldChar w:fldCharType="begin"/>
            </w:r>
            <w:r w:rsidRPr="003A3ACA">
              <w:rPr>
                <w:rFonts w:ascii="Times New Roman" w:hAnsi="Times New Roman"/>
                <w:noProof/>
                <w:webHidden/>
              </w:rPr>
              <w:instrText xml:space="preserve"> PAGEREF _Toc114077806 \h </w:instrText>
            </w:r>
            <w:r w:rsidRPr="003A3ACA">
              <w:rPr>
                <w:rFonts w:ascii="Times New Roman" w:hAnsi="Times New Roman"/>
                <w:noProof/>
                <w:webHidden/>
              </w:rPr>
            </w:r>
            <w:r w:rsidRPr="003A3ACA">
              <w:rPr>
                <w:rFonts w:ascii="Times New Roman" w:hAnsi="Times New Roman"/>
                <w:noProof/>
                <w:webHidden/>
              </w:rPr>
              <w:fldChar w:fldCharType="separate"/>
            </w:r>
            <w:r w:rsidR="00CB3BE1">
              <w:rPr>
                <w:rFonts w:ascii="Times New Roman" w:hAnsi="Times New Roman"/>
                <w:noProof/>
                <w:webHidden/>
              </w:rPr>
              <w:t>8</w:t>
            </w:r>
            <w:r w:rsidRPr="003A3ACA">
              <w:rPr>
                <w:rFonts w:ascii="Times New Roman" w:hAnsi="Times New Roman"/>
                <w:noProof/>
                <w:webHidden/>
              </w:rPr>
              <w:fldChar w:fldCharType="end"/>
            </w:r>
          </w:hyperlink>
        </w:p>
        <w:p w14:paraId="38C27902" w14:textId="6058FADA" w:rsidR="00643E59" w:rsidRPr="003A3ACA" w:rsidRDefault="00643E59">
          <w:pPr>
            <w:pStyle w:val="TOC2"/>
            <w:rPr>
              <w:rFonts w:ascii="Times New Roman" w:eastAsiaTheme="minorEastAsia" w:hAnsi="Times New Roman"/>
              <w:noProof/>
              <w:szCs w:val="22"/>
            </w:rPr>
          </w:pPr>
          <w:hyperlink w:anchor="_Toc114077807" w:history="1">
            <w:r w:rsidRPr="003A3ACA">
              <w:rPr>
                <w:rStyle w:val="af2"/>
                <w:rFonts w:ascii="Times New Roman" w:hAnsi="Times New Roman"/>
                <w:noProof/>
              </w:rPr>
              <w:t>福建召开渔业安全生产和疫情防控工作视频会议</w:t>
            </w:r>
            <w:r w:rsidRPr="003A3ACA">
              <w:rPr>
                <w:rFonts w:ascii="Times New Roman" w:hAnsi="Times New Roman"/>
                <w:noProof/>
                <w:webHidden/>
              </w:rPr>
              <w:tab/>
            </w:r>
            <w:r w:rsidRPr="003A3ACA">
              <w:rPr>
                <w:rFonts w:ascii="Times New Roman" w:hAnsi="Times New Roman"/>
                <w:noProof/>
                <w:webHidden/>
              </w:rPr>
              <w:fldChar w:fldCharType="begin"/>
            </w:r>
            <w:r w:rsidRPr="003A3ACA">
              <w:rPr>
                <w:rFonts w:ascii="Times New Roman" w:hAnsi="Times New Roman"/>
                <w:noProof/>
                <w:webHidden/>
              </w:rPr>
              <w:instrText xml:space="preserve"> PAGEREF _Toc114077807 \h </w:instrText>
            </w:r>
            <w:r w:rsidRPr="003A3ACA">
              <w:rPr>
                <w:rFonts w:ascii="Times New Roman" w:hAnsi="Times New Roman"/>
                <w:noProof/>
                <w:webHidden/>
              </w:rPr>
            </w:r>
            <w:r w:rsidRPr="003A3ACA">
              <w:rPr>
                <w:rFonts w:ascii="Times New Roman" w:hAnsi="Times New Roman"/>
                <w:noProof/>
                <w:webHidden/>
              </w:rPr>
              <w:fldChar w:fldCharType="separate"/>
            </w:r>
            <w:r w:rsidR="00CB3BE1">
              <w:rPr>
                <w:rFonts w:ascii="Times New Roman" w:hAnsi="Times New Roman"/>
                <w:noProof/>
                <w:webHidden/>
              </w:rPr>
              <w:t>9</w:t>
            </w:r>
            <w:r w:rsidRPr="003A3ACA">
              <w:rPr>
                <w:rFonts w:ascii="Times New Roman" w:hAnsi="Times New Roman"/>
                <w:noProof/>
                <w:webHidden/>
              </w:rPr>
              <w:fldChar w:fldCharType="end"/>
            </w:r>
          </w:hyperlink>
        </w:p>
        <w:p w14:paraId="17A9119A" w14:textId="1B6D074B" w:rsidR="00643E59" w:rsidRPr="003A3ACA" w:rsidRDefault="00643E59">
          <w:pPr>
            <w:pStyle w:val="TOC2"/>
            <w:rPr>
              <w:rFonts w:ascii="Times New Roman" w:eastAsiaTheme="minorEastAsia" w:hAnsi="Times New Roman"/>
              <w:noProof/>
              <w:szCs w:val="22"/>
            </w:rPr>
          </w:pPr>
          <w:hyperlink w:anchor="_Toc114077808" w:history="1">
            <w:r w:rsidRPr="003A3ACA">
              <w:rPr>
                <w:rStyle w:val="af2"/>
                <w:rFonts w:ascii="Times New Roman" w:hAnsi="Times New Roman"/>
                <w:noProof/>
              </w:rPr>
              <w:t>《农业农村产业发展重大技术需求》发布</w:t>
            </w:r>
            <w:r w:rsidRPr="003A3ACA">
              <w:rPr>
                <w:rFonts w:ascii="Times New Roman" w:hAnsi="Times New Roman"/>
                <w:noProof/>
                <w:webHidden/>
              </w:rPr>
              <w:tab/>
            </w:r>
            <w:r w:rsidRPr="003A3ACA">
              <w:rPr>
                <w:rFonts w:ascii="Times New Roman" w:hAnsi="Times New Roman"/>
                <w:noProof/>
                <w:webHidden/>
              </w:rPr>
              <w:fldChar w:fldCharType="begin"/>
            </w:r>
            <w:r w:rsidRPr="003A3ACA">
              <w:rPr>
                <w:rFonts w:ascii="Times New Roman" w:hAnsi="Times New Roman"/>
                <w:noProof/>
                <w:webHidden/>
              </w:rPr>
              <w:instrText xml:space="preserve"> PAGEREF _Toc114077808 \h </w:instrText>
            </w:r>
            <w:r w:rsidRPr="003A3ACA">
              <w:rPr>
                <w:rFonts w:ascii="Times New Roman" w:hAnsi="Times New Roman"/>
                <w:noProof/>
                <w:webHidden/>
              </w:rPr>
            </w:r>
            <w:r w:rsidRPr="003A3ACA">
              <w:rPr>
                <w:rFonts w:ascii="Times New Roman" w:hAnsi="Times New Roman"/>
                <w:noProof/>
                <w:webHidden/>
              </w:rPr>
              <w:fldChar w:fldCharType="separate"/>
            </w:r>
            <w:r w:rsidR="00CB3BE1">
              <w:rPr>
                <w:rFonts w:ascii="Times New Roman" w:hAnsi="Times New Roman"/>
                <w:noProof/>
                <w:webHidden/>
              </w:rPr>
              <w:t>10</w:t>
            </w:r>
            <w:r w:rsidRPr="003A3ACA">
              <w:rPr>
                <w:rFonts w:ascii="Times New Roman" w:hAnsi="Times New Roman"/>
                <w:noProof/>
                <w:webHidden/>
              </w:rPr>
              <w:fldChar w:fldCharType="end"/>
            </w:r>
          </w:hyperlink>
        </w:p>
        <w:p w14:paraId="4C150C8C" w14:textId="434B36D5" w:rsidR="00643E59" w:rsidRPr="003A3ACA" w:rsidRDefault="00643E59">
          <w:pPr>
            <w:pStyle w:val="TOC2"/>
            <w:rPr>
              <w:rFonts w:ascii="Times New Roman" w:eastAsiaTheme="minorEastAsia" w:hAnsi="Times New Roman"/>
              <w:noProof/>
              <w:szCs w:val="22"/>
            </w:rPr>
          </w:pPr>
          <w:hyperlink w:anchor="_Toc114077809" w:history="1">
            <w:r w:rsidRPr="003A3ACA">
              <w:rPr>
                <w:rStyle w:val="af2"/>
                <w:rFonts w:ascii="Times New Roman" w:hAnsi="Times New Roman"/>
                <w:noProof/>
              </w:rPr>
              <w:t>广东首宗大规模养殖用海海域使用权挂牌出让</w:t>
            </w:r>
            <w:r w:rsidRPr="003A3ACA">
              <w:rPr>
                <w:rFonts w:ascii="Times New Roman" w:hAnsi="Times New Roman"/>
                <w:noProof/>
                <w:webHidden/>
              </w:rPr>
              <w:tab/>
            </w:r>
            <w:r w:rsidRPr="003A3ACA">
              <w:rPr>
                <w:rFonts w:ascii="Times New Roman" w:hAnsi="Times New Roman"/>
                <w:noProof/>
                <w:webHidden/>
              </w:rPr>
              <w:fldChar w:fldCharType="begin"/>
            </w:r>
            <w:r w:rsidRPr="003A3ACA">
              <w:rPr>
                <w:rFonts w:ascii="Times New Roman" w:hAnsi="Times New Roman"/>
                <w:noProof/>
                <w:webHidden/>
              </w:rPr>
              <w:instrText xml:space="preserve"> PAGEREF _Toc114077809 \h </w:instrText>
            </w:r>
            <w:r w:rsidRPr="003A3ACA">
              <w:rPr>
                <w:rFonts w:ascii="Times New Roman" w:hAnsi="Times New Roman"/>
                <w:noProof/>
                <w:webHidden/>
              </w:rPr>
            </w:r>
            <w:r w:rsidRPr="003A3ACA">
              <w:rPr>
                <w:rFonts w:ascii="Times New Roman" w:hAnsi="Times New Roman"/>
                <w:noProof/>
                <w:webHidden/>
              </w:rPr>
              <w:fldChar w:fldCharType="separate"/>
            </w:r>
            <w:r w:rsidR="00CB3BE1">
              <w:rPr>
                <w:rFonts w:ascii="Times New Roman" w:hAnsi="Times New Roman"/>
                <w:noProof/>
                <w:webHidden/>
              </w:rPr>
              <w:t>10</w:t>
            </w:r>
            <w:r w:rsidRPr="003A3ACA">
              <w:rPr>
                <w:rFonts w:ascii="Times New Roman" w:hAnsi="Times New Roman"/>
                <w:noProof/>
                <w:webHidden/>
              </w:rPr>
              <w:fldChar w:fldCharType="end"/>
            </w:r>
          </w:hyperlink>
        </w:p>
        <w:p w14:paraId="5E8F3B43" w14:textId="45CD152A" w:rsidR="00643E59" w:rsidRPr="003A3ACA" w:rsidRDefault="00643E59">
          <w:pPr>
            <w:pStyle w:val="TOC2"/>
            <w:rPr>
              <w:rFonts w:ascii="Times New Roman" w:eastAsiaTheme="minorEastAsia" w:hAnsi="Times New Roman"/>
              <w:noProof/>
              <w:szCs w:val="22"/>
            </w:rPr>
          </w:pPr>
          <w:hyperlink w:anchor="_Toc114077810" w:history="1">
            <w:r w:rsidRPr="003A3ACA">
              <w:rPr>
                <w:rStyle w:val="af2"/>
                <w:rFonts w:ascii="Times New Roman" w:hAnsi="Times New Roman"/>
                <w:noProof/>
              </w:rPr>
              <w:t>大食物观引领林牧渔业多元化变革</w:t>
            </w:r>
            <w:r w:rsidRPr="003A3ACA">
              <w:rPr>
                <w:rFonts w:ascii="Times New Roman" w:hAnsi="Times New Roman"/>
                <w:noProof/>
                <w:webHidden/>
              </w:rPr>
              <w:tab/>
            </w:r>
            <w:r w:rsidRPr="003A3ACA">
              <w:rPr>
                <w:rFonts w:ascii="Times New Roman" w:hAnsi="Times New Roman"/>
                <w:noProof/>
                <w:webHidden/>
              </w:rPr>
              <w:fldChar w:fldCharType="begin"/>
            </w:r>
            <w:r w:rsidRPr="003A3ACA">
              <w:rPr>
                <w:rFonts w:ascii="Times New Roman" w:hAnsi="Times New Roman"/>
                <w:noProof/>
                <w:webHidden/>
              </w:rPr>
              <w:instrText xml:space="preserve"> PAGEREF _Toc114077810 \h </w:instrText>
            </w:r>
            <w:r w:rsidRPr="003A3ACA">
              <w:rPr>
                <w:rFonts w:ascii="Times New Roman" w:hAnsi="Times New Roman"/>
                <w:noProof/>
                <w:webHidden/>
              </w:rPr>
            </w:r>
            <w:r w:rsidRPr="003A3ACA">
              <w:rPr>
                <w:rFonts w:ascii="Times New Roman" w:hAnsi="Times New Roman"/>
                <w:noProof/>
                <w:webHidden/>
              </w:rPr>
              <w:fldChar w:fldCharType="separate"/>
            </w:r>
            <w:r w:rsidR="00CB3BE1">
              <w:rPr>
                <w:rFonts w:ascii="Times New Roman" w:hAnsi="Times New Roman"/>
                <w:noProof/>
                <w:webHidden/>
              </w:rPr>
              <w:t>16</w:t>
            </w:r>
            <w:r w:rsidRPr="003A3ACA">
              <w:rPr>
                <w:rFonts w:ascii="Times New Roman" w:hAnsi="Times New Roman"/>
                <w:noProof/>
                <w:webHidden/>
              </w:rPr>
              <w:fldChar w:fldCharType="end"/>
            </w:r>
          </w:hyperlink>
        </w:p>
        <w:p w14:paraId="37E16277" w14:textId="28A22EEC" w:rsidR="00643E59" w:rsidRPr="003A3ACA" w:rsidRDefault="00643E59">
          <w:pPr>
            <w:pStyle w:val="TOC2"/>
            <w:rPr>
              <w:rFonts w:ascii="Times New Roman" w:eastAsiaTheme="minorEastAsia" w:hAnsi="Times New Roman"/>
              <w:noProof/>
              <w:szCs w:val="22"/>
            </w:rPr>
          </w:pPr>
          <w:hyperlink w:anchor="_Toc114077811" w:history="1">
            <w:r w:rsidRPr="003A3ACA">
              <w:rPr>
                <w:rStyle w:val="af2"/>
                <w:rFonts w:ascii="Times New Roman" w:hAnsi="Times New Roman"/>
                <w:noProof/>
              </w:rPr>
              <w:t>全球首艘</w:t>
            </w:r>
            <w:r w:rsidRPr="003A3ACA">
              <w:rPr>
                <w:rStyle w:val="af2"/>
                <w:rFonts w:ascii="Times New Roman" w:hAnsi="Times New Roman"/>
                <w:noProof/>
              </w:rPr>
              <w:t>10</w:t>
            </w:r>
            <w:r w:rsidRPr="003A3ACA">
              <w:rPr>
                <w:rStyle w:val="af2"/>
                <w:rFonts w:ascii="Times New Roman" w:hAnsi="Times New Roman"/>
                <w:noProof/>
              </w:rPr>
              <w:t>万吨级智慧渔业大型养殖工船</w:t>
            </w:r>
            <w:r w:rsidRPr="003A3ACA">
              <w:rPr>
                <w:rStyle w:val="af2"/>
                <w:rFonts w:ascii="Times New Roman" w:hAnsi="Times New Roman"/>
                <w:noProof/>
              </w:rPr>
              <w:t>“</w:t>
            </w:r>
            <w:r w:rsidRPr="003A3ACA">
              <w:rPr>
                <w:rStyle w:val="af2"/>
                <w:rFonts w:ascii="Times New Roman" w:hAnsi="Times New Roman"/>
                <w:noProof/>
              </w:rPr>
              <w:t>国信</w:t>
            </w:r>
            <w:r w:rsidRPr="003A3ACA">
              <w:rPr>
                <w:rStyle w:val="af2"/>
                <w:rFonts w:ascii="Times New Roman" w:hAnsi="Times New Roman"/>
                <w:noProof/>
              </w:rPr>
              <w:t>1</w:t>
            </w:r>
            <w:r w:rsidRPr="003A3ACA">
              <w:rPr>
                <w:rStyle w:val="af2"/>
                <w:rFonts w:ascii="Times New Roman" w:hAnsi="Times New Roman"/>
                <w:noProof/>
              </w:rPr>
              <w:t>号</w:t>
            </w:r>
            <w:r w:rsidRPr="003A3ACA">
              <w:rPr>
                <w:rStyle w:val="af2"/>
                <w:rFonts w:ascii="Times New Roman" w:hAnsi="Times New Roman"/>
                <w:noProof/>
              </w:rPr>
              <w:t>”</w:t>
            </w:r>
            <w:r w:rsidRPr="003A3ACA">
              <w:rPr>
                <w:rStyle w:val="af2"/>
                <w:rFonts w:ascii="Times New Roman" w:hAnsi="Times New Roman"/>
                <w:noProof/>
              </w:rPr>
              <w:t>起捕首批产品</w:t>
            </w:r>
            <w:r w:rsidRPr="003A3ACA">
              <w:rPr>
                <w:rFonts w:ascii="Times New Roman" w:hAnsi="Times New Roman"/>
                <w:noProof/>
                <w:webHidden/>
              </w:rPr>
              <w:tab/>
            </w:r>
            <w:r w:rsidRPr="003A3ACA">
              <w:rPr>
                <w:rFonts w:ascii="Times New Roman" w:hAnsi="Times New Roman"/>
                <w:noProof/>
                <w:webHidden/>
              </w:rPr>
              <w:fldChar w:fldCharType="begin"/>
            </w:r>
            <w:r w:rsidRPr="003A3ACA">
              <w:rPr>
                <w:rFonts w:ascii="Times New Roman" w:hAnsi="Times New Roman"/>
                <w:noProof/>
                <w:webHidden/>
              </w:rPr>
              <w:instrText xml:space="preserve"> PAGEREF _Toc114077811 \h </w:instrText>
            </w:r>
            <w:r w:rsidRPr="003A3ACA">
              <w:rPr>
                <w:rFonts w:ascii="Times New Roman" w:hAnsi="Times New Roman"/>
                <w:noProof/>
                <w:webHidden/>
              </w:rPr>
            </w:r>
            <w:r w:rsidRPr="003A3ACA">
              <w:rPr>
                <w:rFonts w:ascii="Times New Roman" w:hAnsi="Times New Roman"/>
                <w:noProof/>
                <w:webHidden/>
              </w:rPr>
              <w:fldChar w:fldCharType="separate"/>
            </w:r>
            <w:r w:rsidR="00CB3BE1">
              <w:rPr>
                <w:rFonts w:ascii="Times New Roman" w:hAnsi="Times New Roman"/>
                <w:noProof/>
                <w:webHidden/>
              </w:rPr>
              <w:t>19</w:t>
            </w:r>
            <w:r w:rsidRPr="003A3ACA">
              <w:rPr>
                <w:rFonts w:ascii="Times New Roman" w:hAnsi="Times New Roman"/>
                <w:noProof/>
                <w:webHidden/>
              </w:rPr>
              <w:fldChar w:fldCharType="end"/>
            </w:r>
          </w:hyperlink>
        </w:p>
        <w:p w14:paraId="5C8B4300" w14:textId="15C178BF" w:rsidR="00643E59" w:rsidRPr="003A3ACA" w:rsidRDefault="00643E59">
          <w:pPr>
            <w:pStyle w:val="TOC2"/>
            <w:rPr>
              <w:rFonts w:ascii="Times New Roman" w:eastAsiaTheme="minorEastAsia" w:hAnsi="Times New Roman"/>
              <w:noProof/>
              <w:szCs w:val="22"/>
            </w:rPr>
          </w:pPr>
          <w:hyperlink w:anchor="_Toc114077812" w:history="1">
            <w:r w:rsidRPr="003A3ACA">
              <w:rPr>
                <w:rStyle w:val="af2"/>
                <w:rFonts w:ascii="Times New Roman" w:hAnsi="Times New Roman"/>
                <w:noProof/>
              </w:rPr>
              <w:t>国联水产</w:t>
            </w:r>
            <w:r w:rsidRPr="003A3ACA">
              <w:rPr>
                <w:rStyle w:val="af2"/>
                <w:rFonts w:ascii="Times New Roman" w:hAnsi="Times New Roman"/>
                <w:noProof/>
              </w:rPr>
              <w:t>&amp;</w:t>
            </w:r>
            <w:r w:rsidRPr="003A3ACA">
              <w:rPr>
                <w:rStyle w:val="af2"/>
                <w:rFonts w:ascii="Times New Roman" w:hAnsi="Times New Roman"/>
                <w:noProof/>
              </w:rPr>
              <w:t>粤海饲料达成战略合作，强强联手助力产业振兴</w:t>
            </w:r>
            <w:r w:rsidRPr="003A3ACA">
              <w:rPr>
                <w:rFonts w:ascii="Times New Roman" w:hAnsi="Times New Roman"/>
                <w:noProof/>
                <w:webHidden/>
              </w:rPr>
              <w:tab/>
            </w:r>
            <w:r w:rsidRPr="003A3ACA">
              <w:rPr>
                <w:rFonts w:ascii="Times New Roman" w:hAnsi="Times New Roman"/>
                <w:noProof/>
                <w:webHidden/>
              </w:rPr>
              <w:fldChar w:fldCharType="begin"/>
            </w:r>
            <w:r w:rsidRPr="003A3ACA">
              <w:rPr>
                <w:rFonts w:ascii="Times New Roman" w:hAnsi="Times New Roman"/>
                <w:noProof/>
                <w:webHidden/>
              </w:rPr>
              <w:instrText xml:space="preserve"> PAGEREF _Toc114077812 \h </w:instrText>
            </w:r>
            <w:r w:rsidRPr="003A3ACA">
              <w:rPr>
                <w:rFonts w:ascii="Times New Roman" w:hAnsi="Times New Roman"/>
                <w:noProof/>
                <w:webHidden/>
              </w:rPr>
            </w:r>
            <w:r w:rsidRPr="003A3ACA">
              <w:rPr>
                <w:rFonts w:ascii="Times New Roman" w:hAnsi="Times New Roman"/>
                <w:noProof/>
                <w:webHidden/>
              </w:rPr>
              <w:fldChar w:fldCharType="separate"/>
            </w:r>
            <w:r w:rsidR="00CB3BE1">
              <w:rPr>
                <w:rFonts w:ascii="Times New Roman" w:hAnsi="Times New Roman"/>
                <w:noProof/>
                <w:webHidden/>
              </w:rPr>
              <w:t>20</w:t>
            </w:r>
            <w:r w:rsidRPr="003A3ACA">
              <w:rPr>
                <w:rFonts w:ascii="Times New Roman" w:hAnsi="Times New Roman"/>
                <w:noProof/>
                <w:webHidden/>
              </w:rPr>
              <w:fldChar w:fldCharType="end"/>
            </w:r>
          </w:hyperlink>
        </w:p>
        <w:p w14:paraId="659633AF" w14:textId="0E7CEAB8" w:rsidR="00643E59" w:rsidRPr="003A3ACA" w:rsidRDefault="00643E59">
          <w:pPr>
            <w:pStyle w:val="TOC1"/>
            <w:rPr>
              <w:rFonts w:eastAsiaTheme="minorEastAsia"/>
              <w:b w:val="0"/>
              <w:bCs w:val="0"/>
              <w:noProof/>
              <w:szCs w:val="22"/>
            </w:rPr>
          </w:pPr>
          <w:hyperlink w:anchor="_Toc114077813" w:history="1">
            <w:r w:rsidRPr="003A3ACA">
              <w:rPr>
                <w:rStyle w:val="af2"/>
                <w:noProof/>
              </w:rPr>
              <w:t>会议传递</w:t>
            </w:r>
            <w:r w:rsidRPr="003A3ACA">
              <w:rPr>
                <w:noProof/>
                <w:webHidden/>
              </w:rPr>
              <w:tab/>
            </w:r>
            <w:r w:rsidRPr="003A3ACA">
              <w:rPr>
                <w:noProof/>
                <w:webHidden/>
              </w:rPr>
              <w:fldChar w:fldCharType="begin"/>
            </w:r>
            <w:r w:rsidRPr="003A3ACA">
              <w:rPr>
                <w:noProof/>
                <w:webHidden/>
              </w:rPr>
              <w:instrText xml:space="preserve"> PAGEREF _Toc114077813 \h </w:instrText>
            </w:r>
            <w:r w:rsidRPr="003A3ACA">
              <w:rPr>
                <w:noProof/>
                <w:webHidden/>
              </w:rPr>
            </w:r>
            <w:r w:rsidRPr="003A3ACA">
              <w:rPr>
                <w:noProof/>
                <w:webHidden/>
              </w:rPr>
              <w:fldChar w:fldCharType="separate"/>
            </w:r>
            <w:r w:rsidR="00CB3BE1">
              <w:rPr>
                <w:noProof/>
                <w:webHidden/>
              </w:rPr>
              <w:t>21</w:t>
            </w:r>
            <w:r w:rsidRPr="003A3ACA">
              <w:rPr>
                <w:noProof/>
                <w:webHidden/>
              </w:rPr>
              <w:fldChar w:fldCharType="end"/>
            </w:r>
          </w:hyperlink>
        </w:p>
        <w:p w14:paraId="4E49B4DD" w14:textId="21CC0546" w:rsidR="00643E59" w:rsidRPr="003A3ACA" w:rsidRDefault="00643E59">
          <w:pPr>
            <w:pStyle w:val="TOC2"/>
            <w:rPr>
              <w:rFonts w:ascii="Times New Roman" w:eastAsiaTheme="minorEastAsia" w:hAnsi="Times New Roman"/>
              <w:noProof/>
              <w:szCs w:val="22"/>
            </w:rPr>
          </w:pPr>
          <w:hyperlink w:anchor="_Toc114077814" w:history="1">
            <w:r w:rsidRPr="003A3ACA">
              <w:rPr>
                <w:rStyle w:val="af2"/>
                <w:rFonts w:ascii="Times New Roman" w:hAnsi="Times New Roman"/>
                <w:noProof/>
              </w:rPr>
              <w:t>2022</w:t>
            </w:r>
            <w:r w:rsidRPr="003A3ACA">
              <w:rPr>
                <w:rStyle w:val="af2"/>
                <w:rFonts w:ascii="Times New Roman" w:hAnsi="Times New Roman"/>
                <w:noProof/>
              </w:rPr>
              <w:t>渔药科技创新与产业发展大会将在湖北省武汉市召开召开</w:t>
            </w:r>
            <w:r w:rsidRPr="003A3ACA">
              <w:rPr>
                <w:rFonts w:ascii="Times New Roman" w:hAnsi="Times New Roman"/>
                <w:noProof/>
                <w:webHidden/>
              </w:rPr>
              <w:tab/>
            </w:r>
            <w:r w:rsidRPr="003A3ACA">
              <w:rPr>
                <w:rFonts w:ascii="Times New Roman" w:hAnsi="Times New Roman"/>
                <w:noProof/>
                <w:webHidden/>
              </w:rPr>
              <w:fldChar w:fldCharType="begin"/>
            </w:r>
            <w:r w:rsidRPr="003A3ACA">
              <w:rPr>
                <w:rFonts w:ascii="Times New Roman" w:hAnsi="Times New Roman"/>
                <w:noProof/>
                <w:webHidden/>
              </w:rPr>
              <w:instrText xml:space="preserve"> PAGEREF _Toc114077814 \h </w:instrText>
            </w:r>
            <w:r w:rsidRPr="003A3ACA">
              <w:rPr>
                <w:rFonts w:ascii="Times New Roman" w:hAnsi="Times New Roman"/>
                <w:noProof/>
                <w:webHidden/>
              </w:rPr>
            </w:r>
            <w:r w:rsidRPr="003A3ACA">
              <w:rPr>
                <w:rFonts w:ascii="Times New Roman" w:hAnsi="Times New Roman"/>
                <w:noProof/>
                <w:webHidden/>
              </w:rPr>
              <w:fldChar w:fldCharType="separate"/>
            </w:r>
            <w:r w:rsidR="00CB3BE1">
              <w:rPr>
                <w:rFonts w:ascii="Times New Roman" w:hAnsi="Times New Roman"/>
                <w:noProof/>
                <w:webHidden/>
              </w:rPr>
              <w:t>21</w:t>
            </w:r>
            <w:r w:rsidRPr="003A3ACA">
              <w:rPr>
                <w:rFonts w:ascii="Times New Roman" w:hAnsi="Times New Roman"/>
                <w:noProof/>
                <w:webHidden/>
              </w:rPr>
              <w:fldChar w:fldCharType="end"/>
            </w:r>
          </w:hyperlink>
        </w:p>
        <w:p w14:paraId="7CAC5886" w14:textId="4A71525D" w:rsidR="00643E59" w:rsidRPr="003A3ACA" w:rsidRDefault="00643E59">
          <w:pPr>
            <w:pStyle w:val="TOC1"/>
            <w:rPr>
              <w:rFonts w:eastAsiaTheme="minorEastAsia"/>
              <w:b w:val="0"/>
              <w:bCs w:val="0"/>
              <w:noProof/>
              <w:szCs w:val="22"/>
            </w:rPr>
          </w:pPr>
          <w:hyperlink w:anchor="_Toc114077815" w:history="1">
            <w:r w:rsidRPr="003A3ACA">
              <w:rPr>
                <w:rStyle w:val="af2"/>
                <w:noProof/>
              </w:rPr>
              <w:t>经营管理</w:t>
            </w:r>
            <w:r w:rsidRPr="003A3ACA">
              <w:rPr>
                <w:noProof/>
                <w:webHidden/>
              </w:rPr>
              <w:tab/>
            </w:r>
            <w:r w:rsidRPr="003A3ACA">
              <w:rPr>
                <w:noProof/>
                <w:webHidden/>
              </w:rPr>
              <w:fldChar w:fldCharType="begin"/>
            </w:r>
            <w:r w:rsidRPr="003A3ACA">
              <w:rPr>
                <w:noProof/>
                <w:webHidden/>
              </w:rPr>
              <w:instrText xml:space="preserve"> PAGEREF _Toc114077815 \h </w:instrText>
            </w:r>
            <w:r w:rsidRPr="003A3ACA">
              <w:rPr>
                <w:noProof/>
                <w:webHidden/>
              </w:rPr>
            </w:r>
            <w:r w:rsidRPr="003A3ACA">
              <w:rPr>
                <w:noProof/>
                <w:webHidden/>
              </w:rPr>
              <w:fldChar w:fldCharType="separate"/>
            </w:r>
            <w:r w:rsidR="00CB3BE1">
              <w:rPr>
                <w:noProof/>
                <w:webHidden/>
              </w:rPr>
              <w:t>23</w:t>
            </w:r>
            <w:r w:rsidRPr="003A3ACA">
              <w:rPr>
                <w:noProof/>
                <w:webHidden/>
              </w:rPr>
              <w:fldChar w:fldCharType="end"/>
            </w:r>
          </w:hyperlink>
        </w:p>
        <w:p w14:paraId="7ACD0F80" w14:textId="37C0783B" w:rsidR="00643E59" w:rsidRPr="003A3ACA" w:rsidRDefault="00643E59">
          <w:pPr>
            <w:pStyle w:val="TOC2"/>
            <w:rPr>
              <w:rFonts w:ascii="Times New Roman" w:eastAsiaTheme="minorEastAsia" w:hAnsi="Times New Roman"/>
              <w:noProof/>
              <w:szCs w:val="22"/>
            </w:rPr>
          </w:pPr>
          <w:hyperlink w:anchor="_Toc114077816" w:history="1">
            <w:r w:rsidRPr="003A3ACA">
              <w:rPr>
                <w:rStyle w:val="af2"/>
                <w:rFonts w:ascii="Times New Roman" w:hAnsi="Times New Roman"/>
                <w:noProof/>
              </w:rPr>
              <w:t>管理者应该内部培养还是外部空降？</w:t>
            </w:r>
            <w:r w:rsidRPr="003A3ACA">
              <w:rPr>
                <w:rFonts w:ascii="Times New Roman" w:hAnsi="Times New Roman"/>
                <w:noProof/>
                <w:webHidden/>
              </w:rPr>
              <w:tab/>
            </w:r>
            <w:r w:rsidRPr="003A3ACA">
              <w:rPr>
                <w:rFonts w:ascii="Times New Roman" w:hAnsi="Times New Roman"/>
                <w:noProof/>
                <w:webHidden/>
              </w:rPr>
              <w:fldChar w:fldCharType="begin"/>
            </w:r>
            <w:r w:rsidRPr="003A3ACA">
              <w:rPr>
                <w:rFonts w:ascii="Times New Roman" w:hAnsi="Times New Roman"/>
                <w:noProof/>
                <w:webHidden/>
              </w:rPr>
              <w:instrText xml:space="preserve"> PAGEREF _Toc114077816 \h </w:instrText>
            </w:r>
            <w:r w:rsidRPr="003A3ACA">
              <w:rPr>
                <w:rFonts w:ascii="Times New Roman" w:hAnsi="Times New Roman"/>
                <w:noProof/>
                <w:webHidden/>
              </w:rPr>
            </w:r>
            <w:r w:rsidRPr="003A3ACA">
              <w:rPr>
                <w:rFonts w:ascii="Times New Roman" w:hAnsi="Times New Roman"/>
                <w:noProof/>
                <w:webHidden/>
              </w:rPr>
              <w:fldChar w:fldCharType="separate"/>
            </w:r>
            <w:r w:rsidR="00CB3BE1">
              <w:rPr>
                <w:rFonts w:ascii="Times New Roman" w:hAnsi="Times New Roman"/>
                <w:noProof/>
                <w:webHidden/>
              </w:rPr>
              <w:t>23</w:t>
            </w:r>
            <w:r w:rsidRPr="003A3ACA">
              <w:rPr>
                <w:rFonts w:ascii="Times New Roman" w:hAnsi="Times New Roman"/>
                <w:noProof/>
                <w:webHidden/>
              </w:rPr>
              <w:fldChar w:fldCharType="end"/>
            </w:r>
          </w:hyperlink>
        </w:p>
        <w:p w14:paraId="27D8A766" w14:textId="0E14F536" w:rsidR="00643E59" w:rsidRPr="003A3ACA" w:rsidRDefault="00643E59">
          <w:pPr>
            <w:pStyle w:val="TOC1"/>
            <w:rPr>
              <w:rFonts w:eastAsiaTheme="minorEastAsia"/>
              <w:b w:val="0"/>
              <w:bCs w:val="0"/>
              <w:noProof/>
              <w:szCs w:val="22"/>
            </w:rPr>
          </w:pPr>
          <w:hyperlink w:anchor="_Toc114077817" w:history="1">
            <w:r w:rsidRPr="003A3ACA">
              <w:rPr>
                <w:rStyle w:val="af2"/>
                <w:noProof/>
              </w:rPr>
              <w:t>研究进展</w:t>
            </w:r>
            <w:r w:rsidRPr="003A3ACA">
              <w:rPr>
                <w:noProof/>
                <w:webHidden/>
              </w:rPr>
              <w:tab/>
            </w:r>
            <w:r w:rsidRPr="003A3ACA">
              <w:rPr>
                <w:noProof/>
                <w:webHidden/>
              </w:rPr>
              <w:fldChar w:fldCharType="begin"/>
            </w:r>
            <w:r w:rsidRPr="003A3ACA">
              <w:rPr>
                <w:noProof/>
                <w:webHidden/>
              </w:rPr>
              <w:instrText xml:space="preserve"> PAGEREF _Toc114077817 \h </w:instrText>
            </w:r>
            <w:r w:rsidRPr="003A3ACA">
              <w:rPr>
                <w:noProof/>
                <w:webHidden/>
              </w:rPr>
            </w:r>
            <w:r w:rsidRPr="003A3ACA">
              <w:rPr>
                <w:noProof/>
                <w:webHidden/>
              </w:rPr>
              <w:fldChar w:fldCharType="separate"/>
            </w:r>
            <w:r w:rsidR="00CB3BE1">
              <w:rPr>
                <w:noProof/>
                <w:webHidden/>
              </w:rPr>
              <w:t>25</w:t>
            </w:r>
            <w:r w:rsidRPr="003A3ACA">
              <w:rPr>
                <w:noProof/>
                <w:webHidden/>
              </w:rPr>
              <w:fldChar w:fldCharType="end"/>
            </w:r>
          </w:hyperlink>
        </w:p>
        <w:p w14:paraId="3D9ABE4F" w14:textId="5CE9E5CD" w:rsidR="00643E59" w:rsidRPr="003A3ACA" w:rsidRDefault="00643E59">
          <w:pPr>
            <w:pStyle w:val="TOC2"/>
            <w:rPr>
              <w:rFonts w:ascii="Times New Roman" w:eastAsiaTheme="minorEastAsia" w:hAnsi="Times New Roman"/>
              <w:noProof/>
              <w:szCs w:val="22"/>
            </w:rPr>
          </w:pPr>
          <w:hyperlink w:anchor="_Toc114077818" w:history="1">
            <w:r w:rsidRPr="003A3ACA">
              <w:rPr>
                <w:rStyle w:val="af2"/>
                <w:rFonts w:ascii="Times New Roman" w:hAnsi="Times New Roman"/>
                <w:noProof/>
              </w:rPr>
              <w:t>大菱鲆和红鳍东方鲀脂肪酸转运蛋白的组织分布及营养调控</w:t>
            </w:r>
            <w:r w:rsidRPr="003A3ACA">
              <w:rPr>
                <w:rFonts w:ascii="Times New Roman" w:hAnsi="Times New Roman"/>
                <w:noProof/>
                <w:webHidden/>
              </w:rPr>
              <w:tab/>
            </w:r>
            <w:r w:rsidRPr="003A3ACA">
              <w:rPr>
                <w:rFonts w:ascii="Times New Roman" w:hAnsi="Times New Roman"/>
                <w:noProof/>
                <w:webHidden/>
              </w:rPr>
              <w:fldChar w:fldCharType="begin"/>
            </w:r>
            <w:r w:rsidRPr="003A3ACA">
              <w:rPr>
                <w:rFonts w:ascii="Times New Roman" w:hAnsi="Times New Roman"/>
                <w:noProof/>
                <w:webHidden/>
              </w:rPr>
              <w:instrText xml:space="preserve"> PAGEREF _Toc114077818 \h </w:instrText>
            </w:r>
            <w:r w:rsidRPr="003A3ACA">
              <w:rPr>
                <w:rFonts w:ascii="Times New Roman" w:hAnsi="Times New Roman"/>
                <w:noProof/>
                <w:webHidden/>
              </w:rPr>
            </w:r>
            <w:r w:rsidRPr="003A3ACA">
              <w:rPr>
                <w:rFonts w:ascii="Times New Roman" w:hAnsi="Times New Roman"/>
                <w:noProof/>
                <w:webHidden/>
              </w:rPr>
              <w:fldChar w:fldCharType="separate"/>
            </w:r>
            <w:r w:rsidR="00CB3BE1">
              <w:rPr>
                <w:rFonts w:ascii="Times New Roman" w:hAnsi="Times New Roman"/>
                <w:noProof/>
                <w:webHidden/>
              </w:rPr>
              <w:t>25</w:t>
            </w:r>
            <w:r w:rsidRPr="003A3ACA">
              <w:rPr>
                <w:rFonts w:ascii="Times New Roman" w:hAnsi="Times New Roman"/>
                <w:noProof/>
                <w:webHidden/>
              </w:rPr>
              <w:fldChar w:fldCharType="end"/>
            </w:r>
          </w:hyperlink>
        </w:p>
        <w:p w14:paraId="7483B6C3" w14:textId="6DD5EB2A" w:rsidR="00643E59" w:rsidRPr="003A3ACA" w:rsidRDefault="00643E59">
          <w:pPr>
            <w:pStyle w:val="TOC1"/>
            <w:rPr>
              <w:rFonts w:eastAsiaTheme="minorEastAsia"/>
              <w:b w:val="0"/>
              <w:bCs w:val="0"/>
              <w:noProof/>
              <w:szCs w:val="22"/>
            </w:rPr>
          </w:pPr>
          <w:hyperlink w:anchor="_Toc114077819" w:history="1">
            <w:r w:rsidRPr="003A3ACA">
              <w:rPr>
                <w:rStyle w:val="af2"/>
                <w:noProof/>
              </w:rPr>
              <w:t>科学研究</w:t>
            </w:r>
            <w:r w:rsidRPr="003A3ACA">
              <w:rPr>
                <w:noProof/>
                <w:webHidden/>
              </w:rPr>
              <w:tab/>
            </w:r>
            <w:r w:rsidRPr="003A3ACA">
              <w:rPr>
                <w:noProof/>
                <w:webHidden/>
              </w:rPr>
              <w:fldChar w:fldCharType="begin"/>
            </w:r>
            <w:r w:rsidRPr="003A3ACA">
              <w:rPr>
                <w:noProof/>
                <w:webHidden/>
              </w:rPr>
              <w:instrText xml:space="preserve"> PAGEREF _Toc114077819 \h </w:instrText>
            </w:r>
            <w:r w:rsidRPr="003A3ACA">
              <w:rPr>
                <w:noProof/>
                <w:webHidden/>
              </w:rPr>
            </w:r>
            <w:r w:rsidRPr="003A3ACA">
              <w:rPr>
                <w:noProof/>
                <w:webHidden/>
              </w:rPr>
              <w:fldChar w:fldCharType="separate"/>
            </w:r>
            <w:r w:rsidR="00CB3BE1">
              <w:rPr>
                <w:noProof/>
                <w:webHidden/>
              </w:rPr>
              <w:t>38</w:t>
            </w:r>
            <w:r w:rsidRPr="003A3ACA">
              <w:rPr>
                <w:noProof/>
                <w:webHidden/>
              </w:rPr>
              <w:fldChar w:fldCharType="end"/>
            </w:r>
          </w:hyperlink>
        </w:p>
        <w:p w14:paraId="7C073D6A" w14:textId="4BD763B9" w:rsidR="00643E59" w:rsidRPr="003A3ACA" w:rsidRDefault="00643E59">
          <w:pPr>
            <w:pStyle w:val="TOC2"/>
            <w:rPr>
              <w:rFonts w:ascii="Times New Roman" w:eastAsiaTheme="minorEastAsia" w:hAnsi="Times New Roman"/>
              <w:noProof/>
              <w:szCs w:val="22"/>
            </w:rPr>
          </w:pPr>
          <w:hyperlink w:anchor="_Toc114077820" w:history="1">
            <w:r w:rsidRPr="003A3ACA">
              <w:rPr>
                <w:rStyle w:val="af2"/>
                <w:rFonts w:ascii="Times New Roman" w:hAnsi="Times New Roman"/>
                <w:noProof/>
              </w:rPr>
              <w:t>胍基乙酸对斑点叉尾鮰生长、肝脏抗氧化和肌肉能量代谢的影响</w:t>
            </w:r>
            <w:r w:rsidRPr="003A3ACA">
              <w:rPr>
                <w:rFonts w:ascii="Times New Roman" w:hAnsi="Times New Roman"/>
                <w:noProof/>
                <w:webHidden/>
              </w:rPr>
              <w:tab/>
            </w:r>
            <w:r w:rsidRPr="003A3ACA">
              <w:rPr>
                <w:rFonts w:ascii="Times New Roman" w:hAnsi="Times New Roman"/>
                <w:noProof/>
                <w:webHidden/>
              </w:rPr>
              <w:fldChar w:fldCharType="begin"/>
            </w:r>
            <w:r w:rsidRPr="003A3ACA">
              <w:rPr>
                <w:rFonts w:ascii="Times New Roman" w:hAnsi="Times New Roman"/>
                <w:noProof/>
                <w:webHidden/>
              </w:rPr>
              <w:instrText xml:space="preserve"> PAGEREF _Toc114077820 \h </w:instrText>
            </w:r>
            <w:r w:rsidRPr="003A3ACA">
              <w:rPr>
                <w:rFonts w:ascii="Times New Roman" w:hAnsi="Times New Roman"/>
                <w:noProof/>
                <w:webHidden/>
              </w:rPr>
            </w:r>
            <w:r w:rsidRPr="003A3ACA">
              <w:rPr>
                <w:rFonts w:ascii="Times New Roman" w:hAnsi="Times New Roman"/>
                <w:noProof/>
                <w:webHidden/>
              </w:rPr>
              <w:fldChar w:fldCharType="separate"/>
            </w:r>
            <w:r w:rsidR="00CB3BE1">
              <w:rPr>
                <w:rFonts w:ascii="Times New Roman" w:hAnsi="Times New Roman"/>
                <w:noProof/>
                <w:webHidden/>
              </w:rPr>
              <w:t>38</w:t>
            </w:r>
            <w:r w:rsidRPr="003A3ACA">
              <w:rPr>
                <w:rFonts w:ascii="Times New Roman" w:hAnsi="Times New Roman"/>
                <w:noProof/>
                <w:webHidden/>
              </w:rPr>
              <w:fldChar w:fldCharType="end"/>
            </w:r>
          </w:hyperlink>
        </w:p>
        <w:p w14:paraId="3CCBFEF9" w14:textId="69EBF5E3" w:rsidR="00643E59" w:rsidRPr="003A3ACA" w:rsidRDefault="00643E59">
          <w:pPr>
            <w:pStyle w:val="TOC2"/>
            <w:rPr>
              <w:rFonts w:ascii="Times New Roman" w:eastAsiaTheme="minorEastAsia" w:hAnsi="Times New Roman"/>
              <w:noProof/>
              <w:szCs w:val="22"/>
            </w:rPr>
          </w:pPr>
          <w:hyperlink w:anchor="_Toc114077821" w:history="1">
            <w:r w:rsidRPr="003A3ACA">
              <w:rPr>
                <w:rStyle w:val="af2"/>
                <w:rFonts w:ascii="Times New Roman" w:hAnsi="Times New Roman"/>
                <w:noProof/>
              </w:rPr>
              <w:t>发酵豆粕、肉骨粉及其混合物替代鱼粉对大口黑鲈生长、血清生化指标和肠道组织学的影响</w:t>
            </w:r>
            <w:r w:rsidRPr="003A3ACA">
              <w:rPr>
                <w:rFonts w:ascii="Times New Roman" w:hAnsi="Times New Roman"/>
                <w:noProof/>
                <w:webHidden/>
              </w:rPr>
              <w:tab/>
            </w:r>
            <w:r w:rsidRPr="003A3ACA">
              <w:rPr>
                <w:rFonts w:ascii="Times New Roman" w:hAnsi="Times New Roman"/>
                <w:noProof/>
                <w:webHidden/>
              </w:rPr>
              <w:fldChar w:fldCharType="begin"/>
            </w:r>
            <w:r w:rsidRPr="003A3ACA">
              <w:rPr>
                <w:rFonts w:ascii="Times New Roman" w:hAnsi="Times New Roman"/>
                <w:noProof/>
                <w:webHidden/>
              </w:rPr>
              <w:instrText xml:space="preserve"> PAGEREF _Toc114077821 \h </w:instrText>
            </w:r>
            <w:r w:rsidRPr="003A3ACA">
              <w:rPr>
                <w:rFonts w:ascii="Times New Roman" w:hAnsi="Times New Roman"/>
                <w:noProof/>
                <w:webHidden/>
              </w:rPr>
            </w:r>
            <w:r w:rsidRPr="003A3ACA">
              <w:rPr>
                <w:rFonts w:ascii="Times New Roman" w:hAnsi="Times New Roman"/>
                <w:noProof/>
                <w:webHidden/>
              </w:rPr>
              <w:fldChar w:fldCharType="separate"/>
            </w:r>
            <w:r w:rsidR="00CB3BE1">
              <w:rPr>
                <w:rFonts w:ascii="Times New Roman" w:hAnsi="Times New Roman"/>
                <w:noProof/>
                <w:webHidden/>
              </w:rPr>
              <w:t>48</w:t>
            </w:r>
            <w:r w:rsidRPr="003A3ACA">
              <w:rPr>
                <w:rFonts w:ascii="Times New Roman" w:hAnsi="Times New Roman"/>
                <w:noProof/>
                <w:webHidden/>
              </w:rPr>
              <w:fldChar w:fldCharType="end"/>
            </w:r>
          </w:hyperlink>
        </w:p>
        <w:p w14:paraId="79016CD9" w14:textId="1A095B92" w:rsidR="00643E59" w:rsidRPr="003A3ACA" w:rsidRDefault="00643E59">
          <w:pPr>
            <w:pStyle w:val="TOC2"/>
            <w:rPr>
              <w:rFonts w:ascii="Times New Roman" w:eastAsiaTheme="minorEastAsia" w:hAnsi="Times New Roman"/>
              <w:noProof/>
              <w:szCs w:val="22"/>
            </w:rPr>
          </w:pPr>
          <w:hyperlink w:anchor="_Toc114077822" w:history="1">
            <w:r w:rsidRPr="003A3ACA">
              <w:rPr>
                <w:rStyle w:val="af2"/>
                <w:rFonts w:ascii="Times New Roman" w:hAnsi="Times New Roman"/>
                <w:noProof/>
              </w:rPr>
              <w:t>凝结芽孢杆菌对白虾生长性能、血清抗氧化及非特异性免疫指标的影响</w:t>
            </w:r>
            <w:r w:rsidRPr="003A3ACA">
              <w:rPr>
                <w:rFonts w:ascii="Times New Roman" w:hAnsi="Times New Roman"/>
                <w:noProof/>
                <w:webHidden/>
              </w:rPr>
              <w:tab/>
            </w:r>
            <w:r w:rsidRPr="003A3ACA">
              <w:rPr>
                <w:rFonts w:ascii="Times New Roman" w:hAnsi="Times New Roman"/>
                <w:noProof/>
                <w:webHidden/>
              </w:rPr>
              <w:fldChar w:fldCharType="begin"/>
            </w:r>
            <w:r w:rsidRPr="003A3ACA">
              <w:rPr>
                <w:rFonts w:ascii="Times New Roman" w:hAnsi="Times New Roman"/>
                <w:noProof/>
                <w:webHidden/>
              </w:rPr>
              <w:instrText xml:space="preserve"> PAGEREF _Toc114077822 \h </w:instrText>
            </w:r>
            <w:r w:rsidRPr="003A3ACA">
              <w:rPr>
                <w:rFonts w:ascii="Times New Roman" w:hAnsi="Times New Roman"/>
                <w:noProof/>
                <w:webHidden/>
              </w:rPr>
            </w:r>
            <w:r w:rsidRPr="003A3ACA">
              <w:rPr>
                <w:rFonts w:ascii="Times New Roman" w:hAnsi="Times New Roman"/>
                <w:noProof/>
                <w:webHidden/>
              </w:rPr>
              <w:fldChar w:fldCharType="separate"/>
            </w:r>
            <w:r w:rsidR="00CB3BE1">
              <w:rPr>
                <w:rFonts w:ascii="Times New Roman" w:hAnsi="Times New Roman"/>
                <w:noProof/>
                <w:webHidden/>
              </w:rPr>
              <w:t>58</w:t>
            </w:r>
            <w:r w:rsidRPr="003A3ACA">
              <w:rPr>
                <w:rFonts w:ascii="Times New Roman" w:hAnsi="Times New Roman"/>
                <w:noProof/>
                <w:webHidden/>
              </w:rPr>
              <w:fldChar w:fldCharType="end"/>
            </w:r>
          </w:hyperlink>
        </w:p>
        <w:p w14:paraId="46B9AB3B" w14:textId="580766ED" w:rsidR="00643E59" w:rsidRPr="003A3ACA" w:rsidRDefault="00643E59">
          <w:pPr>
            <w:pStyle w:val="TOC1"/>
            <w:rPr>
              <w:rFonts w:eastAsiaTheme="minorEastAsia"/>
              <w:b w:val="0"/>
              <w:bCs w:val="0"/>
              <w:noProof/>
              <w:szCs w:val="22"/>
            </w:rPr>
          </w:pPr>
          <w:hyperlink w:anchor="_Toc114077823" w:history="1">
            <w:r w:rsidRPr="003A3ACA">
              <w:rPr>
                <w:rStyle w:val="af2"/>
                <w:noProof/>
              </w:rPr>
              <w:t>饲料研发</w:t>
            </w:r>
            <w:r w:rsidRPr="003A3ACA">
              <w:rPr>
                <w:noProof/>
                <w:webHidden/>
              </w:rPr>
              <w:tab/>
            </w:r>
            <w:r w:rsidRPr="003A3ACA">
              <w:rPr>
                <w:noProof/>
                <w:webHidden/>
              </w:rPr>
              <w:fldChar w:fldCharType="begin"/>
            </w:r>
            <w:r w:rsidRPr="003A3ACA">
              <w:rPr>
                <w:noProof/>
                <w:webHidden/>
              </w:rPr>
              <w:instrText xml:space="preserve"> PAGEREF _Toc114077823 \h </w:instrText>
            </w:r>
            <w:r w:rsidRPr="003A3ACA">
              <w:rPr>
                <w:noProof/>
                <w:webHidden/>
              </w:rPr>
            </w:r>
            <w:r w:rsidRPr="003A3ACA">
              <w:rPr>
                <w:noProof/>
                <w:webHidden/>
              </w:rPr>
              <w:fldChar w:fldCharType="separate"/>
            </w:r>
            <w:r w:rsidR="00CB3BE1">
              <w:rPr>
                <w:noProof/>
                <w:webHidden/>
              </w:rPr>
              <w:t>63</w:t>
            </w:r>
            <w:r w:rsidRPr="003A3ACA">
              <w:rPr>
                <w:noProof/>
                <w:webHidden/>
              </w:rPr>
              <w:fldChar w:fldCharType="end"/>
            </w:r>
          </w:hyperlink>
        </w:p>
        <w:p w14:paraId="5BEACD93" w14:textId="574BEC41" w:rsidR="00643E59" w:rsidRPr="003A3ACA" w:rsidRDefault="00643E59">
          <w:pPr>
            <w:pStyle w:val="TOC2"/>
            <w:rPr>
              <w:rFonts w:ascii="Times New Roman" w:eastAsiaTheme="minorEastAsia" w:hAnsi="Times New Roman"/>
              <w:noProof/>
              <w:szCs w:val="22"/>
            </w:rPr>
          </w:pPr>
          <w:hyperlink w:anchor="_Toc114077824" w:history="1">
            <w:r w:rsidRPr="003A3ACA">
              <w:rPr>
                <w:rStyle w:val="af2"/>
                <w:rFonts w:ascii="Times New Roman" w:hAnsi="Times New Roman"/>
                <w:noProof/>
              </w:rPr>
              <w:t>无鱼粉饵料中补充限制性氨基酸对鲤含肉率、肌肉营养成分及质构特性的影响</w:t>
            </w:r>
            <w:r w:rsidRPr="003A3ACA">
              <w:rPr>
                <w:rFonts w:ascii="Times New Roman" w:hAnsi="Times New Roman"/>
                <w:noProof/>
                <w:webHidden/>
              </w:rPr>
              <w:tab/>
            </w:r>
            <w:r w:rsidRPr="003A3ACA">
              <w:rPr>
                <w:rFonts w:ascii="Times New Roman" w:hAnsi="Times New Roman"/>
                <w:noProof/>
                <w:webHidden/>
              </w:rPr>
              <w:fldChar w:fldCharType="begin"/>
            </w:r>
            <w:r w:rsidRPr="003A3ACA">
              <w:rPr>
                <w:rFonts w:ascii="Times New Roman" w:hAnsi="Times New Roman"/>
                <w:noProof/>
                <w:webHidden/>
              </w:rPr>
              <w:instrText xml:space="preserve"> PAGEREF _Toc114077824 \h </w:instrText>
            </w:r>
            <w:r w:rsidRPr="003A3ACA">
              <w:rPr>
                <w:rFonts w:ascii="Times New Roman" w:hAnsi="Times New Roman"/>
                <w:noProof/>
                <w:webHidden/>
              </w:rPr>
            </w:r>
            <w:r w:rsidRPr="003A3ACA">
              <w:rPr>
                <w:rFonts w:ascii="Times New Roman" w:hAnsi="Times New Roman"/>
                <w:noProof/>
                <w:webHidden/>
              </w:rPr>
              <w:fldChar w:fldCharType="separate"/>
            </w:r>
            <w:r w:rsidR="00CB3BE1">
              <w:rPr>
                <w:rFonts w:ascii="Times New Roman" w:hAnsi="Times New Roman"/>
                <w:noProof/>
                <w:webHidden/>
              </w:rPr>
              <w:t>63</w:t>
            </w:r>
            <w:r w:rsidRPr="003A3ACA">
              <w:rPr>
                <w:rFonts w:ascii="Times New Roman" w:hAnsi="Times New Roman"/>
                <w:noProof/>
                <w:webHidden/>
              </w:rPr>
              <w:fldChar w:fldCharType="end"/>
            </w:r>
          </w:hyperlink>
        </w:p>
        <w:p w14:paraId="59DD63C2" w14:textId="7C443064" w:rsidR="00643E59" w:rsidRPr="003A3ACA" w:rsidRDefault="00643E59">
          <w:pPr>
            <w:pStyle w:val="TOC2"/>
            <w:rPr>
              <w:rFonts w:ascii="Times New Roman" w:eastAsiaTheme="minorEastAsia" w:hAnsi="Times New Roman"/>
              <w:noProof/>
              <w:szCs w:val="22"/>
            </w:rPr>
          </w:pPr>
          <w:hyperlink w:anchor="_Toc114077825" w:history="1">
            <w:r w:rsidRPr="003A3ACA">
              <w:rPr>
                <w:rStyle w:val="af2"/>
                <w:rFonts w:ascii="Times New Roman" w:hAnsi="Times New Roman"/>
                <w:noProof/>
              </w:rPr>
              <w:t>饲料添加</w:t>
            </w:r>
            <w:r w:rsidRPr="003A3ACA">
              <w:rPr>
                <w:rStyle w:val="af2"/>
                <w:rFonts w:ascii="Times New Roman" w:hAnsi="Times New Roman"/>
                <w:noProof/>
              </w:rPr>
              <w:t xml:space="preserve"> L-</w:t>
            </w:r>
            <w:r w:rsidRPr="003A3ACA">
              <w:rPr>
                <w:rStyle w:val="af2"/>
                <w:rFonts w:ascii="Times New Roman" w:hAnsi="Times New Roman"/>
                <w:noProof/>
              </w:rPr>
              <w:t>精氨酸或</w:t>
            </w:r>
            <w:r w:rsidRPr="003A3ACA">
              <w:rPr>
                <w:rStyle w:val="af2"/>
                <w:rFonts w:ascii="Times New Roman" w:hAnsi="Times New Roman"/>
                <w:noProof/>
              </w:rPr>
              <w:t>N-</w:t>
            </w:r>
            <w:r w:rsidRPr="003A3ACA">
              <w:rPr>
                <w:rStyle w:val="af2"/>
                <w:rFonts w:ascii="Times New Roman" w:hAnsi="Times New Roman"/>
                <w:noProof/>
              </w:rPr>
              <w:t>氨甲酰谷氨酸对杂交鳢肠道黏膜形态和肠道菌群的影响</w:t>
            </w:r>
            <w:r w:rsidRPr="003A3ACA">
              <w:rPr>
                <w:rFonts w:ascii="Times New Roman" w:hAnsi="Times New Roman"/>
                <w:noProof/>
                <w:webHidden/>
              </w:rPr>
              <w:tab/>
            </w:r>
            <w:r w:rsidRPr="003A3ACA">
              <w:rPr>
                <w:rFonts w:ascii="Times New Roman" w:hAnsi="Times New Roman"/>
                <w:noProof/>
                <w:webHidden/>
              </w:rPr>
              <w:fldChar w:fldCharType="begin"/>
            </w:r>
            <w:r w:rsidRPr="003A3ACA">
              <w:rPr>
                <w:rFonts w:ascii="Times New Roman" w:hAnsi="Times New Roman"/>
                <w:noProof/>
                <w:webHidden/>
              </w:rPr>
              <w:instrText xml:space="preserve"> PAGEREF _Toc114077825 \h </w:instrText>
            </w:r>
            <w:r w:rsidRPr="003A3ACA">
              <w:rPr>
                <w:rFonts w:ascii="Times New Roman" w:hAnsi="Times New Roman"/>
                <w:noProof/>
                <w:webHidden/>
              </w:rPr>
            </w:r>
            <w:r w:rsidRPr="003A3ACA">
              <w:rPr>
                <w:rFonts w:ascii="Times New Roman" w:hAnsi="Times New Roman"/>
                <w:noProof/>
                <w:webHidden/>
              </w:rPr>
              <w:fldChar w:fldCharType="separate"/>
            </w:r>
            <w:r w:rsidR="00CB3BE1">
              <w:rPr>
                <w:rFonts w:ascii="Times New Roman" w:hAnsi="Times New Roman"/>
                <w:noProof/>
                <w:webHidden/>
              </w:rPr>
              <w:t>73</w:t>
            </w:r>
            <w:r w:rsidRPr="003A3ACA">
              <w:rPr>
                <w:rFonts w:ascii="Times New Roman" w:hAnsi="Times New Roman"/>
                <w:noProof/>
                <w:webHidden/>
              </w:rPr>
              <w:fldChar w:fldCharType="end"/>
            </w:r>
          </w:hyperlink>
        </w:p>
        <w:p w14:paraId="1F97C8BB" w14:textId="1D48DDC6" w:rsidR="006D73E5" w:rsidRDefault="00000000">
          <w:pPr>
            <w:spacing w:line="410" w:lineRule="exact"/>
          </w:pPr>
          <w:r w:rsidRPr="003A3ACA">
            <w:rPr>
              <w:rFonts w:eastAsia="黑体"/>
              <w:lang w:val="zh-CN"/>
            </w:rPr>
            <w:fldChar w:fldCharType="end"/>
          </w:r>
        </w:p>
      </w:sdtContent>
    </w:sdt>
    <w:p w14:paraId="1CFC67A1" w14:textId="77777777" w:rsidR="006D73E5" w:rsidRDefault="00000000">
      <w:pPr>
        <w:spacing w:line="360" w:lineRule="auto"/>
        <w:ind w:leftChars="-45" w:left="-94" w:rightChars="-159" w:right="-334"/>
        <w:jc w:val="left"/>
        <w:rPr>
          <w:b/>
          <w:bCs/>
          <w:sz w:val="32"/>
          <w:szCs w:val="32"/>
        </w:rPr>
      </w:pPr>
      <w:r>
        <w:rPr>
          <w:b/>
          <w:bCs/>
          <w:noProof/>
          <w:sz w:val="32"/>
          <w:szCs w:val="32"/>
        </w:rPr>
        <w:lastRenderedPageBreak/>
        <mc:AlternateContent>
          <mc:Choice Requires="wps">
            <w:drawing>
              <wp:anchor distT="0" distB="0" distL="114300" distR="114300" simplePos="0" relativeHeight="251662336" behindDoc="0" locked="0" layoutInCell="1" allowOverlap="1" wp14:anchorId="77904283" wp14:editId="7454835D">
                <wp:simplePos x="0" y="0"/>
                <wp:positionH relativeFrom="column">
                  <wp:posOffset>-114935</wp:posOffset>
                </wp:positionH>
                <wp:positionV relativeFrom="paragraph">
                  <wp:posOffset>1879600</wp:posOffset>
                </wp:positionV>
                <wp:extent cx="6122035" cy="0"/>
                <wp:effectExtent l="0" t="19050" r="50800" b="38100"/>
                <wp:wrapNone/>
                <wp:docPr id="24" name="直线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1908" cy="0"/>
                        </a:xfrm>
                        <a:prstGeom prst="line">
                          <a:avLst/>
                        </a:prstGeom>
                        <a:noFill/>
                        <a:ln w="57150" cmpd="thickThin">
                          <a:solidFill>
                            <a:srgbClr val="000000"/>
                          </a:solidFill>
                          <a:round/>
                        </a:ln>
                      </wps:spPr>
                      <wps:bodyPr/>
                    </wps:wsp>
                  </a:graphicData>
                </a:graphic>
              </wp:anchor>
            </w:drawing>
          </mc:Choice>
          <mc:Fallback xmlns:wpsCustomData="http://www.wps.cn/officeDocument/2013/wpsCustomData">
            <w:pict>
              <v:line id="直线 5" o:spid="_x0000_s1026" o:spt="20" style="position:absolute;left:0pt;margin-left:-9.05pt;margin-top:148pt;height:0pt;width:482.05pt;z-index:251662336;mso-width-relative:page;mso-height-relative:page;" filled="f" stroked="t" coordsize="21600,21600" o:gfxdata="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JCb287VAAAACwEAAA8AAAAAAAAAAQAgAAAAIgAAAGRycy9kb3du&#10;cmV2LnhtbFBLAQIUABQAAAAIAIdO4kCQj53JyQEAAGYDAAAOAAAAAAAAAAEAIAAAACQBAABkcnMv&#10;ZTJvRG9jLnhtbFBLBQYAAAAABgAGAFkBAABfBQAAAAA=&#10;">
                <v:fill on="f" focussize="0,0"/>
                <v:stroke weight="4.5pt" color="#000000" linestyle="thickThin" joinstyle="round"/>
                <v:imagedata o:title=""/>
                <o:lock v:ext="edit" aspectratio="f"/>
              </v:line>
            </w:pict>
          </mc:Fallback>
        </mc:AlternateContent>
      </w:r>
      <w:r>
        <w:rPr>
          <w:b/>
          <w:bCs/>
          <w:noProof/>
          <w:sz w:val="32"/>
          <w:szCs w:val="32"/>
        </w:rPr>
        <w:drawing>
          <wp:anchor distT="0" distB="0" distL="114300" distR="114300" simplePos="0" relativeHeight="251659264" behindDoc="0" locked="0" layoutInCell="1" allowOverlap="1" wp14:anchorId="694076A7" wp14:editId="6914C5D9">
            <wp:simplePos x="0" y="0"/>
            <wp:positionH relativeFrom="column">
              <wp:posOffset>0</wp:posOffset>
            </wp:positionH>
            <wp:positionV relativeFrom="paragraph">
              <wp:posOffset>99060</wp:posOffset>
            </wp:positionV>
            <wp:extent cx="1257300" cy="1257300"/>
            <wp:effectExtent l="0" t="0" r="0" b="0"/>
            <wp:wrapTopAndBottom/>
            <wp:docPr id="2" name="图片 2" descr="徽标（白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徽标（白边）"/>
                    <pic:cNvPicPr>
                      <a:picLocks noChangeAspect="1" noChangeArrowheads="1"/>
                    </pic:cNvPicPr>
                  </pic:nvPicPr>
                  <pic:blipFill>
                    <a:blip r:embed="rId10" cstate="print"/>
                    <a:srcRect/>
                    <a:stretch>
                      <a:fillRect/>
                    </a:stretch>
                  </pic:blipFill>
                  <pic:spPr>
                    <a:xfrm>
                      <a:off x="0" y="0"/>
                      <a:ext cx="1257300" cy="1257300"/>
                    </a:xfrm>
                    <a:prstGeom prst="rect">
                      <a:avLst/>
                    </a:prstGeom>
                    <a:noFill/>
                    <a:ln w="9525">
                      <a:noFill/>
                      <a:miter lim="800000"/>
                      <a:headEnd/>
                      <a:tailEnd/>
                    </a:ln>
                  </pic:spPr>
                </pic:pic>
              </a:graphicData>
            </a:graphic>
          </wp:anchor>
        </w:drawing>
      </w:r>
      <w:r>
        <w:rPr>
          <w:b/>
          <w:bCs/>
          <w:noProof/>
          <w:sz w:val="32"/>
          <w:szCs w:val="32"/>
        </w:rPr>
        <w:drawing>
          <wp:anchor distT="0" distB="0" distL="114300" distR="114300" simplePos="0" relativeHeight="251660288" behindDoc="0" locked="0" layoutInCell="1" allowOverlap="1" wp14:anchorId="5CF70639" wp14:editId="0BB6A43C">
            <wp:simplePos x="0" y="0"/>
            <wp:positionH relativeFrom="column">
              <wp:posOffset>1714500</wp:posOffset>
            </wp:positionH>
            <wp:positionV relativeFrom="paragraph">
              <wp:posOffset>693420</wp:posOffset>
            </wp:positionV>
            <wp:extent cx="3200400" cy="805180"/>
            <wp:effectExtent l="0" t="0" r="0" b="0"/>
            <wp:wrapTopAndBottom/>
            <wp:docPr id="3" name="图片 3" descr="信息简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信息简报"/>
                    <pic:cNvPicPr>
                      <a:picLocks noChangeAspect="1" noChangeArrowheads="1"/>
                    </pic:cNvPicPr>
                  </pic:nvPicPr>
                  <pic:blipFill>
                    <a:blip r:embed="rId11" cstate="print"/>
                    <a:srcRect l="11453" t="15935" r="17537" b="12360"/>
                    <a:stretch>
                      <a:fillRect/>
                    </a:stretch>
                  </pic:blipFill>
                  <pic:spPr>
                    <a:xfrm>
                      <a:off x="0" y="0"/>
                      <a:ext cx="3200400" cy="805180"/>
                    </a:xfrm>
                    <a:prstGeom prst="rect">
                      <a:avLst/>
                    </a:prstGeom>
                    <a:noFill/>
                    <a:ln w="9525">
                      <a:noFill/>
                      <a:miter lim="800000"/>
                      <a:headEnd/>
                      <a:tailEnd/>
                    </a:ln>
                  </pic:spPr>
                </pic:pic>
              </a:graphicData>
            </a:graphic>
          </wp:anchor>
        </w:drawing>
      </w:r>
      <w:r>
        <w:rPr>
          <w:b/>
          <w:bCs/>
          <w:noProof/>
          <w:sz w:val="32"/>
          <w:szCs w:val="32"/>
        </w:rPr>
        <w:drawing>
          <wp:anchor distT="0" distB="0" distL="114300" distR="114300" simplePos="0" relativeHeight="251661312" behindDoc="0" locked="0" layoutInCell="1" allowOverlap="1" wp14:anchorId="78C73802" wp14:editId="0DBC96FF">
            <wp:simplePos x="0" y="0"/>
            <wp:positionH relativeFrom="column">
              <wp:posOffset>914400</wp:posOffset>
            </wp:positionH>
            <wp:positionV relativeFrom="paragraph">
              <wp:posOffset>0</wp:posOffset>
            </wp:positionV>
            <wp:extent cx="5029200" cy="783590"/>
            <wp:effectExtent l="0" t="0" r="0" b="0"/>
            <wp:wrapNone/>
            <wp:docPr id="4" name="图片 4" descr="福建省水产饲料研究会 - 刘中一题—红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福建省水产饲料研究会 - 刘中一题—红色"/>
                    <pic:cNvPicPr>
                      <a:picLocks noChangeAspect="1" noChangeArrowheads="1"/>
                    </pic:cNvPicPr>
                  </pic:nvPicPr>
                  <pic:blipFill>
                    <a:blip r:embed="rId12" cstate="print"/>
                    <a:srcRect/>
                    <a:stretch>
                      <a:fillRect/>
                    </a:stretch>
                  </pic:blipFill>
                  <pic:spPr>
                    <a:xfrm>
                      <a:off x="0" y="0"/>
                      <a:ext cx="5029200" cy="783590"/>
                    </a:xfrm>
                    <a:prstGeom prst="rect">
                      <a:avLst/>
                    </a:prstGeom>
                    <a:noFill/>
                    <a:ln w="9525">
                      <a:noFill/>
                      <a:miter lim="800000"/>
                      <a:headEnd/>
                      <a:tailEnd/>
                    </a:ln>
                  </pic:spPr>
                </pic:pic>
              </a:graphicData>
            </a:graphic>
          </wp:anchor>
        </w:drawing>
      </w:r>
      <w:r>
        <w:rPr>
          <w:b/>
          <w:bCs/>
          <w:sz w:val="32"/>
          <w:szCs w:val="32"/>
        </w:rPr>
        <w:t xml:space="preserve">B-2088184-5       </w:t>
      </w:r>
      <w:r>
        <w:rPr>
          <w:b/>
          <w:bCs/>
          <w:sz w:val="32"/>
          <w:szCs w:val="32"/>
        </w:rPr>
        <w:t>第</w:t>
      </w:r>
      <w:r>
        <w:rPr>
          <w:b/>
          <w:bCs/>
          <w:sz w:val="32"/>
          <w:szCs w:val="32"/>
        </w:rPr>
        <w:t>17</w:t>
      </w:r>
      <w:r>
        <w:rPr>
          <w:b/>
          <w:bCs/>
          <w:sz w:val="32"/>
          <w:szCs w:val="32"/>
        </w:rPr>
        <w:t>期</w:t>
      </w:r>
      <w:r>
        <w:rPr>
          <w:b/>
          <w:bCs/>
          <w:sz w:val="32"/>
          <w:szCs w:val="32"/>
        </w:rPr>
        <w:t xml:space="preserve">   (</w:t>
      </w:r>
      <w:r>
        <w:rPr>
          <w:b/>
          <w:bCs/>
          <w:sz w:val="32"/>
          <w:szCs w:val="32"/>
        </w:rPr>
        <w:t>总第</w:t>
      </w:r>
      <w:r>
        <w:rPr>
          <w:b/>
          <w:bCs/>
          <w:sz w:val="32"/>
          <w:szCs w:val="32"/>
        </w:rPr>
        <w:t>367</w:t>
      </w:r>
      <w:r>
        <w:rPr>
          <w:b/>
          <w:bCs/>
          <w:sz w:val="32"/>
          <w:szCs w:val="32"/>
        </w:rPr>
        <w:t>期</w:t>
      </w:r>
      <w:r>
        <w:rPr>
          <w:b/>
          <w:bCs/>
          <w:sz w:val="32"/>
          <w:szCs w:val="32"/>
        </w:rPr>
        <w:t>)     2022</w:t>
      </w:r>
      <w:r>
        <w:rPr>
          <w:b/>
          <w:bCs/>
          <w:sz w:val="32"/>
          <w:szCs w:val="32"/>
        </w:rPr>
        <w:t>年</w:t>
      </w:r>
      <w:r>
        <w:rPr>
          <w:b/>
          <w:bCs/>
          <w:sz w:val="32"/>
          <w:szCs w:val="32"/>
        </w:rPr>
        <w:t>9</w:t>
      </w:r>
      <w:r>
        <w:rPr>
          <w:b/>
          <w:bCs/>
          <w:sz w:val="32"/>
          <w:szCs w:val="32"/>
        </w:rPr>
        <w:t>月</w:t>
      </w:r>
      <w:r>
        <w:rPr>
          <w:b/>
          <w:bCs/>
          <w:sz w:val="32"/>
          <w:szCs w:val="32"/>
        </w:rPr>
        <w:t>15</w:t>
      </w:r>
      <w:r>
        <w:rPr>
          <w:b/>
          <w:bCs/>
          <w:sz w:val="32"/>
          <w:szCs w:val="32"/>
        </w:rPr>
        <w:t>日</w:t>
      </w:r>
    </w:p>
    <w:p w14:paraId="1A206016" w14:textId="77777777" w:rsidR="006D73E5" w:rsidRDefault="00000000">
      <w:pPr>
        <w:spacing w:line="276" w:lineRule="auto"/>
        <w:jc w:val="left"/>
        <w:outlineLvl w:val="0"/>
        <w:rPr>
          <w:rStyle w:val="vm"/>
          <w:rFonts w:eastAsia="黑体"/>
          <w:b/>
          <w:bCs/>
          <w:sz w:val="32"/>
          <w:szCs w:val="32"/>
          <w:bdr w:val="single" w:sz="4" w:space="0" w:color="auto"/>
        </w:rPr>
      </w:pPr>
      <w:bookmarkStart w:id="1" w:name="OLE_LINK1"/>
      <w:bookmarkStart w:id="2" w:name="_Toc114077801"/>
      <w:r>
        <w:rPr>
          <w:rStyle w:val="vm"/>
          <w:rFonts w:eastAsia="黑体" w:hint="eastAsia"/>
          <w:b/>
          <w:bCs/>
          <w:sz w:val="32"/>
          <w:szCs w:val="32"/>
          <w:bdr w:val="single" w:sz="4" w:space="0" w:color="auto"/>
        </w:rPr>
        <w:t>重要资讯</w:t>
      </w:r>
      <w:bookmarkEnd w:id="2"/>
    </w:p>
    <w:p w14:paraId="6712E23D" w14:textId="77777777" w:rsidR="006D73E5" w:rsidRDefault="00000000">
      <w:pPr>
        <w:jc w:val="center"/>
        <w:outlineLvl w:val="1"/>
        <w:rPr>
          <w:rFonts w:eastAsia="黑体"/>
          <w:b/>
          <w:bCs/>
          <w:sz w:val="32"/>
          <w:szCs w:val="32"/>
        </w:rPr>
      </w:pPr>
      <w:bookmarkStart w:id="3" w:name="_Hlk95645129"/>
      <w:bookmarkStart w:id="4" w:name="_Toc114077802"/>
      <w:bookmarkEnd w:id="1"/>
      <w:r>
        <w:rPr>
          <w:rFonts w:eastAsia="黑体" w:hint="eastAsia"/>
          <w:b/>
          <w:bCs/>
          <w:sz w:val="32"/>
          <w:szCs w:val="32"/>
        </w:rPr>
        <w:t>农业农村部印发《农业现代化示范区数字化建设指南》</w:t>
      </w:r>
      <w:bookmarkEnd w:id="4"/>
    </w:p>
    <w:p w14:paraId="5A7E2B7B" w14:textId="77777777" w:rsidR="006D73E5" w:rsidRDefault="00000000">
      <w:pPr>
        <w:spacing w:line="360" w:lineRule="auto"/>
        <w:ind w:firstLine="426"/>
        <w:rPr>
          <w:rFonts w:eastAsiaTheme="minorEastAsia"/>
          <w:sz w:val="24"/>
        </w:rPr>
      </w:pPr>
      <w:r>
        <w:rPr>
          <w:rFonts w:eastAsiaTheme="minorEastAsia" w:hint="eastAsia"/>
          <w:sz w:val="24"/>
        </w:rPr>
        <w:t>为深入贯彻党中央、国务院关于建设网络强国、数字中国的战略部署，落实《“十四五”推进农业农村现代化规划》《“十四五”数字经济发展规划》等要求，推动农业现代化示范区（以下简称“示范区”）在数字技术与现代农业深度融合上先行突破，用数字化引领驱动农业现代化，农业农村部制定了《农业现代化示范区数字化建设指南》（以下简称“《指南》”），明确了农业现代化示范区数字化建设的总体要求和保障措施，并对重点任务作出具体部署。</w:t>
      </w:r>
    </w:p>
    <w:p w14:paraId="3556E80C" w14:textId="77777777" w:rsidR="006D73E5" w:rsidRDefault="00000000">
      <w:pPr>
        <w:spacing w:line="360" w:lineRule="auto"/>
        <w:ind w:firstLine="426"/>
        <w:rPr>
          <w:rFonts w:eastAsiaTheme="minorEastAsia"/>
          <w:sz w:val="24"/>
        </w:rPr>
      </w:pPr>
      <w:r>
        <w:rPr>
          <w:rFonts w:eastAsiaTheme="minorEastAsia" w:hint="eastAsia"/>
          <w:sz w:val="24"/>
        </w:rPr>
        <w:t>针对渔业，《指南》提出，要加快推进农业全产业链数字化升级，水产养殖中，集成应用水质在线监测、智能增氧、精准投喂、循环水和尾水处理、网箱升降控制、水下机器人、病害监测等数字化技术装备。建设一批智慧农（牧、渔）场，探索智慧农业发展模式。</w:t>
      </w:r>
    </w:p>
    <w:p w14:paraId="6210F072" w14:textId="77777777" w:rsidR="006D73E5" w:rsidRDefault="00000000">
      <w:pPr>
        <w:spacing w:line="360" w:lineRule="auto"/>
        <w:ind w:firstLine="426"/>
        <w:rPr>
          <w:rFonts w:eastAsiaTheme="minorEastAsia"/>
          <w:sz w:val="24"/>
        </w:rPr>
      </w:pPr>
      <w:r>
        <w:rPr>
          <w:rFonts w:eastAsiaTheme="minorEastAsia" w:hint="eastAsia"/>
          <w:sz w:val="24"/>
        </w:rPr>
        <w:t>《指南》全文如下。</w:t>
      </w:r>
    </w:p>
    <w:p w14:paraId="3EE52852" w14:textId="77777777" w:rsidR="006D73E5" w:rsidRDefault="00000000">
      <w:pPr>
        <w:spacing w:line="360" w:lineRule="auto"/>
        <w:ind w:firstLine="426"/>
        <w:rPr>
          <w:rFonts w:eastAsiaTheme="minorEastAsia"/>
          <w:sz w:val="24"/>
        </w:rPr>
      </w:pPr>
      <w:r>
        <w:rPr>
          <w:rFonts w:eastAsiaTheme="minorEastAsia" w:hint="eastAsia"/>
          <w:sz w:val="24"/>
        </w:rPr>
        <w:t>加快数字化发展是建设社会主义现代化强国的基础性先导性工作。为推动农业现代化示范区（以下简称“示范区”）在数字技术与现代农业深度融合上先行突破，用数字化引领驱动农业现代化，特制定本指南。</w:t>
      </w:r>
    </w:p>
    <w:p w14:paraId="7848A2A2" w14:textId="77777777" w:rsidR="006D73E5" w:rsidRDefault="00000000">
      <w:pPr>
        <w:spacing w:line="360" w:lineRule="auto"/>
        <w:ind w:firstLine="426"/>
        <w:rPr>
          <w:rFonts w:eastAsiaTheme="minorEastAsia"/>
          <w:sz w:val="24"/>
        </w:rPr>
      </w:pPr>
      <w:r>
        <w:rPr>
          <w:rFonts w:eastAsiaTheme="minorEastAsia" w:hint="eastAsia"/>
          <w:sz w:val="24"/>
        </w:rPr>
        <w:t>一、总体要求</w:t>
      </w:r>
    </w:p>
    <w:p w14:paraId="159420AF" w14:textId="77777777" w:rsidR="006D73E5" w:rsidRDefault="00000000">
      <w:pPr>
        <w:spacing w:line="360" w:lineRule="auto"/>
        <w:ind w:firstLine="426"/>
        <w:rPr>
          <w:rFonts w:eastAsiaTheme="minorEastAsia"/>
          <w:sz w:val="24"/>
        </w:rPr>
      </w:pPr>
      <w:r>
        <w:rPr>
          <w:rFonts w:eastAsiaTheme="minorEastAsia" w:hint="eastAsia"/>
          <w:sz w:val="24"/>
        </w:rPr>
        <w:t>（一）基本思路。以习近平新时代中国特色社会主义思想为指导，全面贯彻党的十九大和十九届历次全会精神，立足新发展阶段、贯彻新发展理念、构建新发展格局、推动高质量发展，坚持稳中求进工作总基调，统筹发展和安全，以产业数字化、数字产业化为主线，以数据为关键要素，以发展智慧农业为重点，聚集资源要素，创新工作机制，加快推动现代信息技术与示范区农业生产经营深度融合，实现数据资源互联共享、农业全产业链赋能增效，为全面推进乡村振兴、加快农业农村现代化注入新动能。</w:t>
      </w:r>
    </w:p>
    <w:p w14:paraId="6EB6888D" w14:textId="77777777" w:rsidR="006D73E5" w:rsidRDefault="00000000">
      <w:pPr>
        <w:spacing w:line="360" w:lineRule="auto"/>
        <w:ind w:firstLine="426"/>
        <w:rPr>
          <w:rFonts w:eastAsiaTheme="minorEastAsia"/>
          <w:sz w:val="24"/>
        </w:rPr>
      </w:pPr>
      <w:r>
        <w:rPr>
          <w:rFonts w:eastAsiaTheme="minorEastAsia" w:hint="eastAsia"/>
          <w:sz w:val="24"/>
        </w:rPr>
        <w:lastRenderedPageBreak/>
        <w:t>（二）工作原则。</w:t>
      </w:r>
    </w:p>
    <w:p w14:paraId="6BA18527" w14:textId="77777777" w:rsidR="006D73E5" w:rsidRDefault="00000000">
      <w:pPr>
        <w:spacing w:line="360" w:lineRule="auto"/>
        <w:ind w:firstLine="426"/>
        <w:rPr>
          <w:rFonts w:eastAsiaTheme="minorEastAsia"/>
          <w:sz w:val="24"/>
        </w:rPr>
      </w:pPr>
      <w:r>
        <w:rPr>
          <w:rFonts w:eastAsiaTheme="minorEastAsia" w:hint="eastAsia"/>
          <w:sz w:val="24"/>
        </w:rPr>
        <w:t>坚持需求导向、前瞻布局。面向当地现代农业发展需求，顺应信息技术和数字经济发展趋势，量力而行、适度超前、科学设计，精准补短板强弱项，夯实农业数字化发展基础。</w:t>
      </w:r>
    </w:p>
    <w:p w14:paraId="2E7E13CB" w14:textId="77777777" w:rsidR="006D73E5" w:rsidRDefault="00000000">
      <w:pPr>
        <w:spacing w:line="360" w:lineRule="auto"/>
        <w:ind w:firstLine="426"/>
        <w:rPr>
          <w:rFonts w:eastAsiaTheme="minorEastAsia"/>
          <w:sz w:val="24"/>
        </w:rPr>
      </w:pPr>
      <w:r>
        <w:rPr>
          <w:rFonts w:eastAsiaTheme="minorEastAsia" w:hint="eastAsia"/>
          <w:sz w:val="24"/>
        </w:rPr>
        <w:t>坚持政府统筹、各方参与。以政府部门数字化转型引领、带动和服务农业农村产业数字化转型升级。充分发挥政府部门在资源统筹、政策引导、项目支持、管理服务等方面作用，调动科研机构、企业、新型农业经营主体、小农户积极性，共同参与数字化建设。</w:t>
      </w:r>
    </w:p>
    <w:p w14:paraId="35CA1881" w14:textId="77777777" w:rsidR="006D73E5" w:rsidRDefault="00000000">
      <w:pPr>
        <w:spacing w:line="360" w:lineRule="auto"/>
        <w:ind w:firstLine="426"/>
        <w:rPr>
          <w:rFonts w:eastAsiaTheme="minorEastAsia"/>
          <w:sz w:val="24"/>
        </w:rPr>
      </w:pPr>
      <w:r>
        <w:rPr>
          <w:rFonts w:eastAsiaTheme="minorEastAsia" w:hint="eastAsia"/>
          <w:sz w:val="24"/>
        </w:rPr>
        <w:t>坚持产技融合、协同发展。推动数字平台企业和农业生产及社会化服务主体融合，促进数字技术与农业产业融合，协同应用数字产品和服务，使数据资源加快融入产业链。</w:t>
      </w:r>
    </w:p>
    <w:p w14:paraId="251AEAD3" w14:textId="77777777" w:rsidR="006D73E5" w:rsidRDefault="00000000">
      <w:pPr>
        <w:spacing w:line="360" w:lineRule="auto"/>
        <w:ind w:firstLine="426"/>
        <w:rPr>
          <w:rFonts w:eastAsiaTheme="minorEastAsia"/>
          <w:sz w:val="24"/>
        </w:rPr>
      </w:pPr>
      <w:r>
        <w:rPr>
          <w:rFonts w:eastAsiaTheme="minorEastAsia" w:hint="eastAsia"/>
          <w:sz w:val="24"/>
        </w:rPr>
        <w:t>坚持创新驱动、注重效益。以生产更便利、管理更高效为导向，加快农业数字化技术创新、产品创新、服务创新、模式创新，探索多元化数字应用场景，释放数据红利，防止形象工程、杜绝资源浪费。</w:t>
      </w:r>
    </w:p>
    <w:p w14:paraId="14AF71F4" w14:textId="77777777" w:rsidR="006D73E5" w:rsidRDefault="00000000">
      <w:pPr>
        <w:spacing w:line="360" w:lineRule="auto"/>
        <w:ind w:firstLine="426"/>
        <w:rPr>
          <w:rFonts w:eastAsiaTheme="minorEastAsia"/>
          <w:sz w:val="24"/>
        </w:rPr>
      </w:pPr>
      <w:r>
        <w:rPr>
          <w:rFonts w:eastAsiaTheme="minorEastAsia" w:hint="eastAsia"/>
          <w:sz w:val="24"/>
        </w:rPr>
        <w:t>坚持规范发展、安全可控。建立健全适应农业数字化高效发展的制度规则，构建全方位、多层次、立体化农业农村数据监管体系，保障公共信息系统自主可控和关键敏感数据安全，实现促进发展和监管规范两手抓、两手都要硬。</w:t>
      </w:r>
    </w:p>
    <w:p w14:paraId="29B35431" w14:textId="77777777" w:rsidR="006D73E5" w:rsidRDefault="00000000">
      <w:pPr>
        <w:spacing w:line="360" w:lineRule="auto"/>
        <w:ind w:firstLine="426"/>
        <w:rPr>
          <w:rFonts w:eastAsiaTheme="minorEastAsia"/>
          <w:sz w:val="24"/>
        </w:rPr>
      </w:pPr>
      <w:r>
        <w:rPr>
          <w:rFonts w:eastAsiaTheme="minorEastAsia" w:hint="eastAsia"/>
          <w:sz w:val="24"/>
        </w:rPr>
        <w:t>（三）发展目标。力争用</w:t>
      </w:r>
      <w:r>
        <w:rPr>
          <w:rFonts w:eastAsiaTheme="minorEastAsia" w:hint="eastAsia"/>
          <w:sz w:val="24"/>
        </w:rPr>
        <w:t>3</w:t>
      </w:r>
      <w:r>
        <w:rPr>
          <w:rFonts w:eastAsiaTheme="minorEastAsia" w:hint="eastAsia"/>
          <w:sz w:val="24"/>
        </w:rPr>
        <w:t>到</w:t>
      </w:r>
      <w:r>
        <w:rPr>
          <w:rFonts w:eastAsiaTheme="minorEastAsia" w:hint="eastAsia"/>
          <w:sz w:val="24"/>
        </w:rPr>
        <w:t>5</w:t>
      </w:r>
      <w:r>
        <w:rPr>
          <w:rFonts w:eastAsiaTheme="minorEastAsia" w:hint="eastAsia"/>
          <w:sz w:val="24"/>
        </w:rPr>
        <w:t>年，示范区数字化发展取得显著成效，大数据应用场景丰富拓展，建成一批智慧农业先行样板。农业生产智能化水平明显提高，示范区农牧渔、种养加各行业与数字技术加快融合，农业生产信息化率普遍高于全国平均水平。农业经营网络化水平明显提高，农村电子商务在示范区普及深化，农产品网络零售额占农业交易总额比重在所处区域领先。农业管理高效化水平明显提高，示范区普遍应用农业农村大数据，实现以图管地、以图管产、以图决策。农业服务便捷化水平明显提高，示范区农村信息体系不断健全，获取生产经营、技术服务、供需形势、政策法规等信息更加便捷高效。</w:t>
      </w:r>
    </w:p>
    <w:p w14:paraId="5FB19844" w14:textId="77777777" w:rsidR="006D73E5" w:rsidRDefault="00000000">
      <w:pPr>
        <w:spacing w:line="360" w:lineRule="auto"/>
        <w:ind w:firstLine="426"/>
        <w:rPr>
          <w:rFonts w:eastAsiaTheme="minorEastAsia"/>
          <w:sz w:val="24"/>
        </w:rPr>
      </w:pPr>
      <w:r>
        <w:rPr>
          <w:rFonts w:eastAsiaTheme="minorEastAsia" w:hint="eastAsia"/>
          <w:sz w:val="24"/>
        </w:rPr>
        <w:t>二、重点任务</w:t>
      </w:r>
    </w:p>
    <w:p w14:paraId="3B2B58F2" w14:textId="77777777" w:rsidR="006D73E5" w:rsidRDefault="00000000">
      <w:pPr>
        <w:spacing w:line="360" w:lineRule="auto"/>
        <w:ind w:firstLine="426"/>
        <w:rPr>
          <w:rFonts w:eastAsiaTheme="minorEastAsia"/>
          <w:sz w:val="24"/>
        </w:rPr>
      </w:pPr>
      <w:r>
        <w:rPr>
          <w:rFonts w:eastAsiaTheme="minorEastAsia" w:hint="eastAsia"/>
          <w:sz w:val="24"/>
        </w:rPr>
        <w:t>各地应在充分把握示范区数字化建设总体要求的基础上，综合考虑本地发展实际，重点选取符合本地资源禀赋条件、数字化发展基础和产业发展水平的建设内容，因地制宜推进示范区数字化建设。</w:t>
      </w:r>
    </w:p>
    <w:p w14:paraId="09001981" w14:textId="77777777" w:rsidR="006D73E5" w:rsidRDefault="00000000">
      <w:pPr>
        <w:spacing w:line="360" w:lineRule="auto"/>
        <w:ind w:firstLine="426"/>
        <w:rPr>
          <w:rFonts w:eastAsiaTheme="minorEastAsia"/>
          <w:sz w:val="24"/>
        </w:rPr>
      </w:pPr>
      <w:r>
        <w:rPr>
          <w:rFonts w:eastAsiaTheme="minorEastAsia" w:hint="eastAsia"/>
          <w:sz w:val="24"/>
        </w:rPr>
        <w:t>（一）推进信息基础设施建设</w:t>
      </w:r>
    </w:p>
    <w:p w14:paraId="63DF1851" w14:textId="77777777" w:rsidR="006D73E5" w:rsidRDefault="00000000">
      <w:pPr>
        <w:spacing w:line="360" w:lineRule="auto"/>
        <w:ind w:firstLine="426"/>
        <w:rPr>
          <w:rFonts w:eastAsiaTheme="minorEastAsia"/>
          <w:sz w:val="24"/>
        </w:rPr>
      </w:pPr>
      <w:r>
        <w:rPr>
          <w:rFonts w:eastAsiaTheme="minorEastAsia" w:hint="eastAsia"/>
          <w:sz w:val="24"/>
        </w:rPr>
        <w:t>加强网络基础设施建设。巩固提升</w:t>
      </w:r>
      <w:r>
        <w:rPr>
          <w:rFonts w:eastAsiaTheme="minorEastAsia" w:hint="eastAsia"/>
          <w:sz w:val="24"/>
        </w:rPr>
        <w:t>4G</w:t>
      </w:r>
      <w:r>
        <w:rPr>
          <w:rFonts w:eastAsiaTheme="minorEastAsia" w:hint="eastAsia"/>
          <w:sz w:val="24"/>
        </w:rPr>
        <w:t>网络服务功能，推进高速宽带网络往村覆盖、往户延伸，实现农业主体信号全覆盖。对有条件的行政村适时推进</w:t>
      </w:r>
      <w:r>
        <w:rPr>
          <w:rFonts w:eastAsiaTheme="minorEastAsia" w:hint="eastAsia"/>
          <w:sz w:val="24"/>
        </w:rPr>
        <w:t>5G</w:t>
      </w:r>
      <w:r>
        <w:rPr>
          <w:rFonts w:eastAsiaTheme="minorEastAsia" w:hint="eastAsia"/>
          <w:sz w:val="24"/>
        </w:rPr>
        <w:t>网络建设、千兆光纤接入，有序推动基于</w:t>
      </w:r>
      <w:r>
        <w:rPr>
          <w:rFonts w:eastAsiaTheme="minorEastAsia" w:hint="eastAsia"/>
          <w:sz w:val="24"/>
        </w:rPr>
        <w:t>IPv6</w:t>
      </w:r>
      <w:r>
        <w:rPr>
          <w:rFonts w:eastAsiaTheme="minorEastAsia" w:hint="eastAsia"/>
          <w:sz w:val="24"/>
        </w:rPr>
        <w:t>的下一代互联网规模部署和应用，加快乡村网络基础设施升级换代。</w:t>
      </w:r>
      <w:r>
        <w:rPr>
          <w:rFonts w:eastAsiaTheme="minorEastAsia" w:hint="eastAsia"/>
          <w:sz w:val="24"/>
        </w:rPr>
        <w:lastRenderedPageBreak/>
        <w:t>鼓励北斗地面配套设施建设，加快推广北斗卫星导航系统在农业生产领域中的应用。</w:t>
      </w:r>
    </w:p>
    <w:p w14:paraId="00B4CCF2" w14:textId="77777777" w:rsidR="006D73E5" w:rsidRDefault="00000000">
      <w:pPr>
        <w:spacing w:line="360" w:lineRule="auto"/>
        <w:ind w:firstLine="426"/>
        <w:rPr>
          <w:rFonts w:eastAsiaTheme="minorEastAsia"/>
          <w:sz w:val="24"/>
        </w:rPr>
      </w:pPr>
      <w:r>
        <w:rPr>
          <w:rFonts w:eastAsiaTheme="minorEastAsia" w:hint="eastAsia"/>
          <w:sz w:val="24"/>
        </w:rPr>
        <w:t>完善信息服务终端设施。鼓励企业开发一批信息终端、技术产品、移动端应用软件（</w:t>
      </w:r>
      <w:r>
        <w:rPr>
          <w:rFonts w:eastAsiaTheme="minorEastAsia" w:hint="eastAsia"/>
          <w:sz w:val="24"/>
        </w:rPr>
        <w:t>APP</w:t>
      </w:r>
      <w:r>
        <w:rPr>
          <w:rFonts w:eastAsiaTheme="minorEastAsia" w:hint="eastAsia"/>
          <w:sz w:val="24"/>
        </w:rPr>
        <w:t>）等，服务农业生产经营、产品销售流通、农技知识获取和涉农政策咨询。深入推进农村电子商务公共服务中心建设，优化服务站点布局，完善软硬件配套设施。充分应用益农信息社、村级综合服务中心等场所，有序推进农村信息服务站点整合共享。</w:t>
      </w:r>
    </w:p>
    <w:p w14:paraId="33271A82" w14:textId="77777777" w:rsidR="006D73E5" w:rsidRDefault="00000000">
      <w:pPr>
        <w:spacing w:line="360" w:lineRule="auto"/>
        <w:ind w:firstLine="426"/>
        <w:rPr>
          <w:rFonts w:eastAsiaTheme="minorEastAsia"/>
          <w:sz w:val="24"/>
        </w:rPr>
      </w:pPr>
      <w:r>
        <w:rPr>
          <w:rFonts w:eastAsiaTheme="minorEastAsia" w:hint="eastAsia"/>
          <w:sz w:val="24"/>
        </w:rPr>
        <w:t>（二）推进数据资源汇聚共享</w:t>
      </w:r>
    </w:p>
    <w:p w14:paraId="7E30C8B6" w14:textId="77777777" w:rsidR="006D73E5" w:rsidRDefault="00000000">
      <w:pPr>
        <w:spacing w:line="360" w:lineRule="auto"/>
        <w:ind w:firstLine="426"/>
        <w:rPr>
          <w:rFonts w:eastAsiaTheme="minorEastAsia"/>
          <w:sz w:val="24"/>
        </w:rPr>
      </w:pPr>
      <w:r>
        <w:rPr>
          <w:rFonts w:eastAsiaTheme="minorEastAsia" w:hint="eastAsia"/>
          <w:sz w:val="24"/>
        </w:rPr>
        <w:t>加强农业数据资源建设。采用全国统一的数据资源目录、分类编码体系、数据标准接口，采集归集农业自然资源和重要种质资源、新型农业经营主体、农产品及农业投入品等数据，打造标准化、高质量的数据仓，形成资源全面立体、主体画像精准、产品全程可溯的动态数据资源体系。</w:t>
      </w:r>
    </w:p>
    <w:p w14:paraId="3090F181" w14:textId="77777777" w:rsidR="006D73E5" w:rsidRDefault="00000000">
      <w:pPr>
        <w:spacing w:line="360" w:lineRule="auto"/>
        <w:ind w:firstLine="426"/>
        <w:rPr>
          <w:rFonts w:eastAsiaTheme="minorEastAsia"/>
          <w:sz w:val="24"/>
        </w:rPr>
      </w:pPr>
      <w:r>
        <w:rPr>
          <w:rFonts w:eastAsiaTheme="minorEastAsia" w:hint="eastAsia"/>
          <w:sz w:val="24"/>
        </w:rPr>
        <w:t>推动县域公共数据整合共享。依托国家农业农村大数据平台基座，加快打造县级涉农大数据应用系统，打通农业生产、分配、流通、消费各环节，形成县域农业农村大数据“一张图”。推动县域农业农村数据资源与气象、水利、市场监管、自然资源、生态环境、交通运输等数据整合对接，形成涉农数据协同应用生态。</w:t>
      </w:r>
    </w:p>
    <w:p w14:paraId="438DBC01" w14:textId="77777777" w:rsidR="006D73E5" w:rsidRDefault="00000000">
      <w:pPr>
        <w:spacing w:line="360" w:lineRule="auto"/>
        <w:ind w:firstLine="426"/>
        <w:rPr>
          <w:rFonts w:eastAsiaTheme="minorEastAsia"/>
          <w:sz w:val="24"/>
        </w:rPr>
      </w:pPr>
      <w:r>
        <w:rPr>
          <w:rFonts w:eastAsiaTheme="minorEastAsia" w:hint="eastAsia"/>
          <w:sz w:val="24"/>
        </w:rPr>
        <w:t>（三）推进农业全产业链数字化升级</w:t>
      </w:r>
    </w:p>
    <w:p w14:paraId="2F72398C" w14:textId="77777777" w:rsidR="006D73E5" w:rsidRDefault="00000000">
      <w:pPr>
        <w:spacing w:line="360" w:lineRule="auto"/>
        <w:ind w:firstLine="426"/>
        <w:rPr>
          <w:rFonts w:eastAsiaTheme="minorEastAsia"/>
          <w:sz w:val="24"/>
        </w:rPr>
      </w:pPr>
      <w:r>
        <w:rPr>
          <w:rFonts w:eastAsiaTheme="minorEastAsia" w:hint="eastAsia"/>
          <w:sz w:val="24"/>
        </w:rPr>
        <w:t>加快农业生产智慧转型。加快物联网、大数据、人工智能、区块链、</w:t>
      </w:r>
      <w:r>
        <w:rPr>
          <w:rFonts w:eastAsiaTheme="minorEastAsia" w:hint="eastAsia"/>
          <w:sz w:val="24"/>
        </w:rPr>
        <w:t>5G</w:t>
      </w:r>
      <w:r>
        <w:rPr>
          <w:rFonts w:eastAsiaTheme="minorEastAsia" w:hint="eastAsia"/>
          <w:sz w:val="24"/>
        </w:rPr>
        <w:t>等现代信息技术在农业生产领域深度应用。大田种植中，实施农田信息化管理，配套遥感应用系统、物联网测控系统、田间综合监测站点等设施设备，对生长环境和生物本体进行实时监测，对墒情、苗情、虫情、灾情等“四情”和气象进行预测预报，精准指导生产决策。推进智能农机应用，升级改造农机装备，按需加装北斗导航、远程运维、无人驾驶系统、高精度自动作业、作业过程自动测量等设备，配套无人机、智能催芽育秧、水肥一体化等智能装备，实现耕整地、播种、施肥、施药、收获等过程精准作业。设施园艺中，推进智能化育苗、生长环境和生物本体监测、环境远程调控、水肥药精准管理、智能植保、自动作业、采后处理全程自动化等智能化应用。畜禽养殖中，加快畜禽舍环境监控及自动化控制、动物发情智能监测、精准饲喂、疫病防控、粪污处理等智能化改造。水产养殖中，集成应用水质在线监测、智能增氧、精准投喂、循环水和尾水处理、网箱升降控制、水下机器人、病害监测等数字化技术装备。建设一批智慧农（牧、渔）场，探索智慧农业发展模式。</w:t>
      </w:r>
    </w:p>
    <w:p w14:paraId="4C1678C4" w14:textId="77777777" w:rsidR="006D73E5" w:rsidRDefault="00000000">
      <w:pPr>
        <w:spacing w:line="360" w:lineRule="auto"/>
        <w:ind w:firstLine="426"/>
        <w:rPr>
          <w:rFonts w:eastAsiaTheme="minorEastAsia"/>
          <w:sz w:val="24"/>
        </w:rPr>
      </w:pPr>
      <w:r>
        <w:rPr>
          <w:rFonts w:eastAsiaTheme="minorEastAsia" w:hint="eastAsia"/>
          <w:sz w:val="24"/>
        </w:rPr>
        <w:t>促进农产品加工智能转型。推广应用智能流水线、专用机器人等自动化设备，开展智能分拣、自动清洁、无损检测、自动包装等作业。推进农产品精深加工生产线、生产工艺数字</w:t>
      </w:r>
      <w:r>
        <w:rPr>
          <w:rFonts w:eastAsiaTheme="minorEastAsia" w:hint="eastAsia"/>
          <w:sz w:val="24"/>
        </w:rPr>
        <w:lastRenderedPageBreak/>
        <w:t>化，搭建感、联、知、控物联网平台，系统收集加工工时、加工品类、加工量、损耗、质量等关键数据，推动农产品加工企业“上云”。建设农产品智能加工车间，集成应用现代信息技术和成套智能加工设施装备，提高农产品加工效率和质量。</w:t>
      </w:r>
    </w:p>
    <w:p w14:paraId="1523C6EE" w14:textId="77777777" w:rsidR="006D73E5" w:rsidRDefault="00000000">
      <w:pPr>
        <w:spacing w:line="360" w:lineRule="auto"/>
        <w:ind w:firstLine="426"/>
        <w:rPr>
          <w:rFonts w:eastAsiaTheme="minorEastAsia"/>
          <w:sz w:val="24"/>
        </w:rPr>
      </w:pPr>
      <w:r>
        <w:rPr>
          <w:rFonts w:eastAsiaTheme="minorEastAsia" w:hint="eastAsia"/>
          <w:sz w:val="24"/>
        </w:rPr>
        <w:t>引导农产品流通数字转型。推动农产品产地市场开展数字化改造，强化进出库、运输、交易全程数字化管理，提升物流运营效率和供需匹配水平。加快建设产地云仓，完善集物流管理系统、自动化技术、运营标准于一体的智能仓储体系，推进农产品网店、仓储、分装、运输、配送等各环节数字化管理。深入推进“互联网</w:t>
      </w:r>
      <w:r>
        <w:rPr>
          <w:rFonts w:eastAsiaTheme="minorEastAsia" w:hint="eastAsia"/>
          <w:sz w:val="24"/>
        </w:rPr>
        <w:t>+</w:t>
      </w:r>
      <w:r>
        <w:rPr>
          <w:rFonts w:eastAsiaTheme="minorEastAsia" w:hint="eastAsia"/>
          <w:sz w:val="24"/>
        </w:rPr>
        <w:t>”农产品出村进城工程，促进农产品网络销售。</w:t>
      </w:r>
    </w:p>
    <w:p w14:paraId="18935621" w14:textId="77777777" w:rsidR="006D73E5" w:rsidRDefault="00000000">
      <w:pPr>
        <w:spacing w:line="360" w:lineRule="auto"/>
        <w:ind w:firstLine="426"/>
        <w:rPr>
          <w:rFonts w:eastAsiaTheme="minorEastAsia"/>
          <w:sz w:val="24"/>
        </w:rPr>
      </w:pPr>
      <w:r>
        <w:rPr>
          <w:rFonts w:eastAsiaTheme="minorEastAsia" w:hint="eastAsia"/>
          <w:sz w:val="24"/>
        </w:rPr>
        <w:t>（四）拓展数字支撑应用场景</w:t>
      </w:r>
    </w:p>
    <w:p w14:paraId="675BF645" w14:textId="77777777" w:rsidR="006D73E5" w:rsidRDefault="00000000">
      <w:pPr>
        <w:spacing w:line="360" w:lineRule="auto"/>
        <w:ind w:firstLine="426"/>
        <w:rPr>
          <w:rFonts w:eastAsiaTheme="minorEastAsia"/>
          <w:sz w:val="24"/>
        </w:rPr>
      </w:pPr>
      <w:r>
        <w:rPr>
          <w:rFonts w:eastAsiaTheme="minorEastAsia" w:hint="eastAsia"/>
          <w:sz w:val="24"/>
        </w:rPr>
        <w:t>探索建立耕地种植用途管控“一张图”。充分利用承包地确权等基础数据，关联集成农户农业补贴、项目扶持等信息，借助遥感、物联网、区块链等现代信息技术，健全县乡村组四级耕地用途管控网格化管理机制，形成种植户申报、大数据精准监测分析追踪、基层网格员在线核实的天空地网人一体化管控体系，实现耕地种植利用情况一地一档上图入库、到田到户精准监管和补贴政策精准落地。</w:t>
      </w:r>
    </w:p>
    <w:p w14:paraId="4E039D71" w14:textId="77777777" w:rsidR="006D73E5" w:rsidRDefault="00000000">
      <w:pPr>
        <w:spacing w:line="360" w:lineRule="auto"/>
        <w:ind w:firstLine="426"/>
        <w:rPr>
          <w:rFonts w:eastAsiaTheme="minorEastAsia"/>
          <w:sz w:val="24"/>
        </w:rPr>
      </w:pPr>
      <w:r>
        <w:rPr>
          <w:rFonts w:eastAsiaTheme="minorEastAsia" w:hint="eastAsia"/>
          <w:sz w:val="24"/>
        </w:rPr>
        <w:t>探索建立农业社会化服务“一张网”。加强农业社会化服务综合管理，重点汇聚农机装备、作业需求、服务主体等数据，促进供需有效对接。引导各类新型经营主体依托服务平台，开展市场信息、农资供应、农产品初加工、农业气象“私人定制”等服务，促进公益性服务和经营性服务便民化。</w:t>
      </w:r>
    </w:p>
    <w:p w14:paraId="7BBBD2DC" w14:textId="77777777" w:rsidR="006D73E5" w:rsidRDefault="00000000">
      <w:pPr>
        <w:spacing w:line="360" w:lineRule="auto"/>
        <w:ind w:firstLine="426"/>
        <w:rPr>
          <w:rFonts w:eastAsiaTheme="minorEastAsia"/>
          <w:sz w:val="24"/>
        </w:rPr>
      </w:pPr>
      <w:r>
        <w:rPr>
          <w:rFonts w:eastAsiaTheme="minorEastAsia" w:hint="eastAsia"/>
          <w:sz w:val="24"/>
        </w:rPr>
        <w:t>探索建立农业科技信息服务“一朵云”。依托全国农业综合信息服务平台、全国农业科教云平台，运用“云问诊”“云课堂”等方式，组织新型农业经营主体开展远程学习和在线农技问答。加快益农信息社标准化规范化建设，完善服务功能，推动涉农服务事项一窗口办理、一站式服务。</w:t>
      </w:r>
    </w:p>
    <w:p w14:paraId="6F9547D1" w14:textId="77777777" w:rsidR="006D73E5" w:rsidRDefault="00000000">
      <w:pPr>
        <w:spacing w:line="360" w:lineRule="auto"/>
        <w:ind w:firstLine="426"/>
        <w:rPr>
          <w:rFonts w:eastAsiaTheme="minorEastAsia"/>
          <w:sz w:val="24"/>
        </w:rPr>
      </w:pPr>
      <w:r>
        <w:rPr>
          <w:rFonts w:eastAsiaTheme="minorEastAsia" w:hint="eastAsia"/>
          <w:sz w:val="24"/>
        </w:rPr>
        <w:t>探索建立农产品质量安全追溯“一个码”。建立农产品生产者经营者主体名录，推广使用农安信用电子诚信档案，开展信用动态测评，实行分等分级管理。依托国家和省级农产品质量安全追溯平台，应用区块链、大数据等现代信息技术，健全农业投入品购销使用、生产过程管控、产品端销售等信息，提升农产品质量安全智慧监管水平。</w:t>
      </w:r>
    </w:p>
    <w:p w14:paraId="4CF10D8B" w14:textId="77777777" w:rsidR="006D73E5" w:rsidRDefault="00000000">
      <w:pPr>
        <w:spacing w:line="360" w:lineRule="auto"/>
        <w:ind w:firstLine="426"/>
        <w:rPr>
          <w:rFonts w:eastAsiaTheme="minorEastAsia"/>
          <w:sz w:val="24"/>
        </w:rPr>
      </w:pPr>
      <w:r>
        <w:rPr>
          <w:rFonts w:eastAsiaTheme="minorEastAsia" w:hint="eastAsia"/>
          <w:sz w:val="24"/>
        </w:rPr>
        <w:t>三、保障措施</w:t>
      </w:r>
    </w:p>
    <w:p w14:paraId="56A167A2" w14:textId="77777777" w:rsidR="006D73E5" w:rsidRDefault="00000000">
      <w:pPr>
        <w:spacing w:line="360" w:lineRule="auto"/>
        <w:ind w:firstLine="426"/>
        <w:rPr>
          <w:rFonts w:eastAsiaTheme="minorEastAsia"/>
          <w:sz w:val="24"/>
        </w:rPr>
      </w:pPr>
      <w:r>
        <w:rPr>
          <w:rFonts w:eastAsiaTheme="minorEastAsia" w:hint="eastAsia"/>
          <w:sz w:val="24"/>
        </w:rPr>
        <w:t>（一）建立协同推进机制。农业农村部加强工作指导，协调解决示范区数字化发展中的重大问题。省级农业农村部门负责细化任务、摸清需求，梳理形成示范区数字化发展任务</w:t>
      </w:r>
      <w:r>
        <w:rPr>
          <w:rFonts w:eastAsiaTheme="minorEastAsia" w:hint="eastAsia"/>
          <w:sz w:val="24"/>
        </w:rPr>
        <w:lastRenderedPageBreak/>
        <w:t>清单，推动科研院所、农业企业等与示范区建立合作关系。承担示范区创建任务的县（市、区）加强与各类主体对接，在生产管理、市场营销、金融保险、信息咨询等方面创新数字化应用场景。发挥示范区专家指导组作用，加强专家队伍建设，积极服务示范区数字化发展，形成上下联动、政企协作、多方参与的工作格局。</w:t>
      </w:r>
    </w:p>
    <w:p w14:paraId="09119F67" w14:textId="77777777" w:rsidR="006D73E5" w:rsidRDefault="00000000">
      <w:pPr>
        <w:spacing w:line="360" w:lineRule="auto"/>
        <w:ind w:firstLine="426"/>
        <w:rPr>
          <w:rFonts w:eastAsiaTheme="minorEastAsia"/>
          <w:sz w:val="24"/>
        </w:rPr>
      </w:pPr>
      <w:r>
        <w:rPr>
          <w:rFonts w:eastAsiaTheme="minorEastAsia" w:hint="eastAsia"/>
          <w:sz w:val="24"/>
        </w:rPr>
        <w:t>（二）建立要素集聚机制。实施好数字农业建设项目，优先在示范区建设一批数字种植业、数字设施农业、数字畜牧业、数字渔业、数字种业创新应用基地。鼓励地方统筹利用现有涉农政策和资金渠道，集中支持示范区智慧农业重点项目建设。国家数字农业农村创新中心、分中心要与示范区建立合作关系，提供公益性技术服务和数据支持，加快数字技术成果集成转化应用。</w:t>
      </w:r>
    </w:p>
    <w:p w14:paraId="041CD4F7" w14:textId="77777777" w:rsidR="006D73E5" w:rsidRDefault="00000000">
      <w:pPr>
        <w:spacing w:line="360" w:lineRule="auto"/>
        <w:ind w:firstLine="426"/>
        <w:rPr>
          <w:rFonts w:eastAsiaTheme="minorEastAsia"/>
          <w:sz w:val="24"/>
        </w:rPr>
      </w:pPr>
      <w:r>
        <w:rPr>
          <w:rFonts w:eastAsiaTheme="minorEastAsia" w:hint="eastAsia"/>
          <w:sz w:val="24"/>
        </w:rPr>
        <w:t>（三）建立监测评价机制。创新农业数字化评价指标，将农业生产信息化率等指标纳入示范区年度监测重点内容，加大评价权重，强化评估结果应用。对数字化发展工作有力、成效明显的示范区给予表扬激励，对工作不力的进行通报。</w:t>
      </w:r>
    </w:p>
    <w:p w14:paraId="6122B117" w14:textId="77777777" w:rsidR="006D73E5" w:rsidRDefault="00000000">
      <w:pPr>
        <w:spacing w:line="360" w:lineRule="auto"/>
        <w:ind w:firstLine="426"/>
        <w:rPr>
          <w:rFonts w:eastAsiaTheme="minorEastAsia"/>
          <w:sz w:val="24"/>
        </w:rPr>
      </w:pPr>
      <w:r>
        <w:rPr>
          <w:rFonts w:eastAsiaTheme="minorEastAsia" w:hint="eastAsia"/>
          <w:sz w:val="24"/>
        </w:rPr>
        <w:t>（四）建立宣传培训机制。开展示范区农业数字化专题培训，提升政府部门负责同志、企业负责人、新型农业经营主体带头人数字技术应用能力，提高农民数字素养与技能。总结各地典型经验和创新做法，运用主流媒体和重点新闻网站，加大宣传推广力度，营造数字驱动引领示范区发展良好氛围。</w:t>
      </w:r>
    </w:p>
    <w:p w14:paraId="0AF0A363" w14:textId="77777777" w:rsidR="006D73E5" w:rsidRDefault="00000000">
      <w:pPr>
        <w:spacing w:line="360" w:lineRule="auto"/>
        <w:ind w:firstLine="420"/>
        <w:jc w:val="right"/>
        <w:rPr>
          <w:rStyle w:val="vm"/>
          <w:rFonts w:eastAsiaTheme="minorEastAsia"/>
          <w:szCs w:val="21"/>
        </w:rPr>
      </w:pPr>
      <w:r>
        <w:rPr>
          <w:rStyle w:val="vm"/>
          <w:rFonts w:eastAsiaTheme="minorEastAsia" w:hint="eastAsia"/>
          <w:szCs w:val="21"/>
        </w:rPr>
        <w:t>转摘自农业农村部网站</w:t>
      </w:r>
    </w:p>
    <w:p w14:paraId="4CB8D33F" w14:textId="77777777" w:rsidR="006D73E5" w:rsidRDefault="00000000">
      <w:pPr>
        <w:jc w:val="center"/>
        <w:outlineLvl w:val="1"/>
        <w:rPr>
          <w:rFonts w:eastAsia="黑体"/>
          <w:b/>
          <w:bCs/>
          <w:sz w:val="32"/>
          <w:szCs w:val="32"/>
        </w:rPr>
      </w:pPr>
      <w:bookmarkStart w:id="5" w:name="_Toc114077803"/>
      <w:r>
        <w:rPr>
          <w:rFonts w:eastAsia="黑体" w:hint="eastAsia"/>
          <w:b/>
          <w:bCs/>
          <w:sz w:val="32"/>
          <w:szCs w:val="32"/>
        </w:rPr>
        <w:t>农业农村部开展渔业安全生产</w:t>
      </w:r>
      <w:r>
        <w:rPr>
          <w:rFonts w:eastAsia="黑体" w:hint="eastAsia"/>
          <w:b/>
          <w:bCs/>
          <w:sz w:val="32"/>
          <w:szCs w:val="32"/>
        </w:rPr>
        <w:t xml:space="preserve"> </w:t>
      </w:r>
      <w:r>
        <w:rPr>
          <w:rFonts w:eastAsia="黑体" w:hint="eastAsia"/>
          <w:b/>
          <w:bCs/>
          <w:sz w:val="32"/>
          <w:szCs w:val="32"/>
        </w:rPr>
        <w:t>“百日攻坚”行动</w:t>
      </w:r>
      <w:bookmarkEnd w:id="5"/>
    </w:p>
    <w:p w14:paraId="698D0042" w14:textId="77777777" w:rsidR="006D73E5" w:rsidRDefault="00000000">
      <w:pPr>
        <w:spacing w:line="360" w:lineRule="auto"/>
        <w:ind w:firstLine="426"/>
        <w:rPr>
          <w:rFonts w:eastAsiaTheme="minorEastAsia"/>
          <w:sz w:val="24"/>
        </w:rPr>
      </w:pPr>
      <w:r>
        <w:rPr>
          <w:rFonts w:eastAsiaTheme="minorEastAsia" w:hint="eastAsia"/>
          <w:sz w:val="24"/>
        </w:rPr>
        <w:t>为深入贯彻落实习近平总书记关于安全生产的重要指示批示精神和全国安全生产电视电话会议精神，牢固树立安全发展理念，有效防范重特大事故发生，切实维护稳定的渔业安全生产形势，农业农村部决定自</w:t>
      </w:r>
      <w:r>
        <w:rPr>
          <w:rFonts w:eastAsiaTheme="minorEastAsia" w:hint="eastAsia"/>
          <w:sz w:val="24"/>
        </w:rPr>
        <w:t>2022</w:t>
      </w:r>
      <w:r>
        <w:rPr>
          <w:rFonts w:eastAsiaTheme="minorEastAsia" w:hint="eastAsia"/>
          <w:sz w:val="24"/>
        </w:rPr>
        <w:t>年</w:t>
      </w:r>
      <w:r>
        <w:rPr>
          <w:rFonts w:eastAsiaTheme="minorEastAsia" w:hint="eastAsia"/>
          <w:sz w:val="24"/>
        </w:rPr>
        <w:t>9</w:t>
      </w:r>
      <w:r>
        <w:rPr>
          <w:rFonts w:eastAsiaTheme="minorEastAsia" w:hint="eastAsia"/>
          <w:sz w:val="24"/>
        </w:rPr>
        <w:t>月</w:t>
      </w:r>
      <w:r>
        <w:rPr>
          <w:rFonts w:eastAsiaTheme="minorEastAsia" w:hint="eastAsia"/>
          <w:sz w:val="24"/>
        </w:rPr>
        <w:t>1</w:t>
      </w:r>
      <w:r>
        <w:rPr>
          <w:rFonts w:eastAsiaTheme="minorEastAsia" w:hint="eastAsia"/>
          <w:sz w:val="24"/>
        </w:rPr>
        <w:t>日起开展渔业安全生产“百日攻坚”行动（以下简称“百日攻坚行动”）。</w:t>
      </w:r>
    </w:p>
    <w:p w14:paraId="614FE527" w14:textId="77777777" w:rsidR="006D73E5" w:rsidRDefault="00000000">
      <w:pPr>
        <w:spacing w:line="360" w:lineRule="auto"/>
        <w:ind w:firstLine="426"/>
        <w:rPr>
          <w:rFonts w:eastAsiaTheme="minorEastAsia"/>
          <w:sz w:val="24"/>
        </w:rPr>
      </w:pPr>
      <w:r>
        <w:rPr>
          <w:rFonts w:eastAsiaTheme="minorEastAsia" w:hint="eastAsia"/>
          <w:sz w:val="24"/>
        </w:rPr>
        <w:t>《通知》指出，本次百日攻坚行动以习近平新时代中国特色社会主义思想为指导，贯彻落实党中央、国务院有关决策部署，坚持人民至上、生命至上，坚持统筹发展和安全，紧紧围绕“防风险、保安全、迎二十大”这条主线，聚焦渔业安全生产薄弱环节和突出问题，强化整治攻坚，压实各方责任，消除安全风险隐患，坚决遏制重特大事故发生，维护渔业安全生产形势持续稳定，以实际行动迎接党的二十大胜利召开。</w:t>
      </w:r>
    </w:p>
    <w:p w14:paraId="5116E8B3" w14:textId="77777777" w:rsidR="006D73E5" w:rsidRDefault="00000000">
      <w:pPr>
        <w:spacing w:line="360" w:lineRule="auto"/>
        <w:ind w:firstLine="426"/>
        <w:rPr>
          <w:rFonts w:eastAsiaTheme="minorEastAsia"/>
          <w:sz w:val="24"/>
        </w:rPr>
      </w:pPr>
      <w:r>
        <w:rPr>
          <w:rFonts w:eastAsiaTheme="minorEastAsia" w:hint="eastAsia"/>
          <w:sz w:val="24"/>
        </w:rPr>
        <w:t>《通知》强调，百日攻坚行动以“大宣传、大走访、大检查”为载体，统筹推进渔业安全生产专项整治三年行动、渔业安全生产专项大检查、“商渔共治</w:t>
      </w:r>
      <w:r>
        <w:rPr>
          <w:rFonts w:eastAsiaTheme="minorEastAsia" w:hint="eastAsia"/>
          <w:sz w:val="24"/>
        </w:rPr>
        <w:t>2022</w:t>
      </w:r>
      <w:r>
        <w:rPr>
          <w:rFonts w:eastAsiaTheme="minorEastAsia" w:hint="eastAsia"/>
          <w:sz w:val="24"/>
        </w:rPr>
        <w:t>”专项行动等相关</w:t>
      </w:r>
      <w:r>
        <w:rPr>
          <w:rFonts w:eastAsiaTheme="minorEastAsia" w:hint="eastAsia"/>
          <w:sz w:val="24"/>
        </w:rPr>
        <w:lastRenderedPageBreak/>
        <w:t>工作。通过百日攻坚行动，推动地方党委政府领导责任、部门监管责任和船东船长主体责任落实更加扎实，渔民群众安全生产意识和规范作业能力显著提升，渔船安全隐患大幅减少，渔业安全形势保持平稳，坚决防范遏制重特大事故发生。</w:t>
      </w:r>
    </w:p>
    <w:p w14:paraId="76EA0B91" w14:textId="77777777" w:rsidR="006D73E5" w:rsidRDefault="00000000">
      <w:pPr>
        <w:spacing w:line="360" w:lineRule="auto"/>
        <w:ind w:firstLine="426"/>
        <w:rPr>
          <w:rFonts w:eastAsiaTheme="minorEastAsia"/>
          <w:sz w:val="24"/>
        </w:rPr>
      </w:pPr>
      <w:r>
        <w:rPr>
          <w:rFonts w:eastAsiaTheme="minorEastAsia" w:hint="eastAsia"/>
          <w:sz w:val="24"/>
        </w:rPr>
        <w:t>《通知》明确，本次行动时间为</w:t>
      </w:r>
      <w:r>
        <w:rPr>
          <w:rFonts w:eastAsiaTheme="minorEastAsia" w:hint="eastAsia"/>
          <w:sz w:val="24"/>
        </w:rPr>
        <w:t>9</w:t>
      </w:r>
      <w:r>
        <w:rPr>
          <w:rFonts w:eastAsiaTheme="minorEastAsia" w:hint="eastAsia"/>
          <w:sz w:val="24"/>
        </w:rPr>
        <w:t>月</w:t>
      </w:r>
      <w:r>
        <w:rPr>
          <w:rFonts w:eastAsiaTheme="minorEastAsia" w:hint="eastAsia"/>
          <w:sz w:val="24"/>
        </w:rPr>
        <w:t>1</w:t>
      </w:r>
      <w:r>
        <w:rPr>
          <w:rFonts w:eastAsiaTheme="minorEastAsia" w:hint="eastAsia"/>
          <w:sz w:val="24"/>
        </w:rPr>
        <w:t>日</w:t>
      </w:r>
      <w:r>
        <w:rPr>
          <w:rFonts w:eastAsiaTheme="minorEastAsia" w:hint="eastAsia"/>
          <w:sz w:val="24"/>
        </w:rPr>
        <w:t>~12</w:t>
      </w:r>
      <w:r>
        <w:rPr>
          <w:rFonts w:eastAsiaTheme="minorEastAsia" w:hint="eastAsia"/>
          <w:sz w:val="24"/>
        </w:rPr>
        <w:t>月</w:t>
      </w:r>
      <w:r>
        <w:rPr>
          <w:rFonts w:eastAsiaTheme="minorEastAsia" w:hint="eastAsia"/>
          <w:sz w:val="24"/>
        </w:rPr>
        <w:t>10</w:t>
      </w:r>
      <w:r>
        <w:rPr>
          <w:rFonts w:eastAsiaTheme="minorEastAsia" w:hint="eastAsia"/>
          <w:sz w:val="24"/>
        </w:rPr>
        <w:t>日，分为</w:t>
      </w:r>
      <w:r>
        <w:rPr>
          <w:rFonts w:eastAsiaTheme="minorEastAsia" w:hint="eastAsia"/>
          <w:sz w:val="24"/>
        </w:rPr>
        <w:t>4</w:t>
      </w:r>
      <w:r>
        <w:rPr>
          <w:rFonts w:eastAsiaTheme="minorEastAsia" w:hint="eastAsia"/>
          <w:sz w:val="24"/>
        </w:rPr>
        <w:t>个阶段进行。其中，</w:t>
      </w:r>
      <w:r>
        <w:rPr>
          <w:rFonts w:eastAsiaTheme="minorEastAsia" w:hint="eastAsia"/>
          <w:sz w:val="24"/>
        </w:rPr>
        <w:t>9</w:t>
      </w:r>
      <w:r>
        <w:rPr>
          <w:rFonts w:eastAsiaTheme="minorEastAsia" w:hint="eastAsia"/>
          <w:sz w:val="24"/>
        </w:rPr>
        <w:t>月</w:t>
      </w:r>
      <w:r>
        <w:rPr>
          <w:rFonts w:eastAsiaTheme="minorEastAsia" w:hint="eastAsia"/>
          <w:sz w:val="24"/>
        </w:rPr>
        <w:t>1</w:t>
      </w:r>
      <w:r>
        <w:rPr>
          <w:rFonts w:eastAsiaTheme="minorEastAsia" w:hint="eastAsia"/>
          <w:sz w:val="24"/>
        </w:rPr>
        <w:t>日</w:t>
      </w:r>
      <w:r>
        <w:rPr>
          <w:rFonts w:eastAsiaTheme="minorEastAsia" w:hint="eastAsia"/>
          <w:sz w:val="24"/>
        </w:rPr>
        <w:t>~15</w:t>
      </w:r>
      <w:r>
        <w:rPr>
          <w:rFonts w:eastAsiaTheme="minorEastAsia" w:hint="eastAsia"/>
          <w:sz w:val="24"/>
        </w:rPr>
        <w:t>日，以法律法规制度、实用知识技能与重大隐患后果为重点，组织开展“大宣传”，提升意识，消除隐患；</w:t>
      </w:r>
      <w:r>
        <w:rPr>
          <w:rFonts w:eastAsiaTheme="minorEastAsia" w:hint="eastAsia"/>
          <w:sz w:val="24"/>
        </w:rPr>
        <w:t>9</w:t>
      </w:r>
      <w:r>
        <w:rPr>
          <w:rFonts w:eastAsiaTheme="minorEastAsia" w:hint="eastAsia"/>
          <w:sz w:val="24"/>
        </w:rPr>
        <w:t>月</w:t>
      </w:r>
      <w:r>
        <w:rPr>
          <w:rFonts w:eastAsiaTheme="minorEastAsia" w:hint="eastAsia"/>
          <w:sz w:val="24"/>
        </w:rPr>
        <w:t>16</w:t>
      </w:r>
      <w:r>
        <w:rPr>
          <w:rFonts w:eastAsiaTheme="minorEastAsia" w:hint="eastAsia"/>
          <w:sz w:val="24"/>
        </w:rPr>
        <w:t>日</w:t>
      </w:r>
      <w:r>
        <w:rPr>
          <w:rFonts w:eastAsiaTheme="minorEastAsia" w:hint="eastAsia"/>
          <w:sz w:val="24"/>
        </w:rPr>
        <w:t>~30</w:t>
      </w:r>
      <w:r>
        <w:rPr>
          <w:rFonts w:eastAsiaTheme="minorEastAsia" w:hint="eastAsia"/>
          <w:sz w:val="24"/>
        </w:rPr>
        <w:t>日，深入基层组织开展“大走访”，全面了解渔民群众在安全生产方面的现实困难并积极协调解决，继续摸排渔业安全生产风险隐患，了解问题整改进展，督促指导帮助渔民消除风险隐患；</w:t>
      </w:r>
      <w:r>
        <w:rPr>
          <w:rFonts w:eastAsiaTheme="minorEastAsia" w:hint="eastAsia"/>
          <w:sz w:val="24"/>
        </w:rPr>
        <w:t>10</w:t>
      </w:r>
      <w:r>
        <w:rPr>
          <w:rFonts w:eastAsiaTheme="minorEastAsia" w:hint="eastAsia"/>
          <w:sz w:val="24"/>
        </w:rPr>
        <w:t>月</w:t>
      </w:r>
      <w:r>
        <w:rPr>
          <w:rFonts w:eastAsiaTheme="minorEastAsia" w:hint="eastAsia"/>
          <w:sz w:val="24"/>
        </w:rPr>
        <w:t>1</w:t>
      </w:r>
      <w:r>
        <w:rPr>
          <w:rFonts w:eastAsiaTheme="minorEastAsia" w:hint="eastAsia"/>
          <w:sz w:val="24"/>
        </w:rPr>
        <w:t>日</w:t>
      </w:r>
      <w:r>
        <w:rPr>
          <w:rFonts w:eastAsiaTheme="minorEastAsia" w:hint="eastAsia"/>
          <w:sz w:val="24"/>
        </w:rPr>
        <w:t>~11</w:t>
      </w:r>
      <w:r>
        <w:rPr>
          <w:rFonts w:eastAsiaTheme="minorEastAsia" w:hint="eastAsia"/>
          <w:sz w:val="24"/>
        </w:rPr>
        <w:t>月</w:t>
      </w:r>
      <w:r>
        <w:rPr>
          <w:rFonts w:eastAsiaTheme="minorEastAsia" w:hint="eastAsia"/>
          <w:sz w:val="24"/>
        </w:rPr>
        <w:t>30</w:t>
      </w:r>
      <w:r>
        <w:rPr>
          <w:rFonts w:eastAsiaTheme="minorEastAsia" w:hint="eastAsia"/>
          <w:sz w:val="24"/>
        </w:rPr>
        <w:t>日，组织开展“大检查”，会同海警、海事、公安等相关部门加大执法检查力度，依法依规从严从重查处违法违规行为，对检查发现的问题紧盯不放，督促全面整改。</w:t>
      </w:r>
      <w:r>
        <w:rPr>
          <w:rFonts w:eastAsiaTheme="minorEastAsia" w:hint="eastAsia"/>
          <w:sz w:val="24"/>
        </w:rPr>
        <w:t>12</w:t>
      </w:r>
      <w:r>
        <w:rPr>
          <w:rFonts w:eastAsiaTheme="minorEastAsia" w:hint="eastAsia"/>
          <w:sz w:val="24"/>
        </w:rPr>
        <w:t>月</w:t>
      </w:r>
      <w:r>
        <w:rPr>
          <w:rFonts w:eastAsiaTheme="minorEastAsia" w:hint="eastAsia"/>
          <w:sz w:val="24"/>
        </w:rPr>
        <w:t>1</w:t>
      </w:r>
      <w:r>
        <w:rPr>
          <w:rFonts w:eastAsiaTheme="minorEastAsia" w:hint="eastAsia"/>
          <w:sz w:val="24"/>
        </w:rPr>
        <w:t>日</w:t>
      </w:r>
      <w:r>
        <w:rPr>
          <w:rFonts w:eastAsiaTheme="minorEastAsia" w:hint="eastAsia"/>
          <w:sz w:val="24"/>
        </w:rPr>
        <w:t>~10</w:t>
      </w:r>
      <w:r>
        <w:rPr>
          <w:rFonts w:eastAsiaTheme="minorEastAsia" w:hint="eastAsia"/>
          <w:sz w:val="24"/>
        </w:rPr>
        <w:t>日组织开展全面总结。</w:t>
      </w:r>
    </w:p>
    <w:p w14:paraId="0BCAB323" w14:textId="77777777" w:rsidR="006D73E5" w:rsidRDefault="00000000">
      <w:pPr>
        <w:spacing w:line="360" w:lineRule="auto"/>
        <w:ind w:firstLine="426"/>
        <w:rPr>
          <w:rFonts w:eastAsiaTheme="minorEastAsia"/>
          <w:sz w:val="24"/>
        </w:rPr>
      </w:pPr>
      <w:r>
        <w:rPr>
          <w:rFonts w:eastAsiaTheme="minorEastAsia" w:hint="eastAsia"/>
          <w:sz w:val="24"/>
        </w:rPr>
        <w:t>《通知》要求，各省级渔业渔政部门要认真抓好落实，确保取得实效。一是强化组织领导。各省级渔业渔政部门要切实提高政治站位，把百日攻坚行动作为下半年渔业安全生产的大事要事来抓，成立工作领导小组，由单位分管负责同志任组长，相关处室负责人任联络员。加强统筹协调，制定工作方案，明确责任分工，确保百日攻坚行动顺利开展。二是强化部门协作。各级渔业渔政部门要加强与同级安委办、应急管理、海事、海警、公安等相关部门的协作配合，强化陆上海上执法检查，严厉打击各类渔业安全生产违法违规行为。要健全群众监督机制，完善有奖举报制度，提升监管效果。三是强化工作指导。各省级渔业渔政部门要加强对百日攻坚行动实施情况指导，农业农村部将组织农业农村部渔政保障中心等单位开展跟踪督促，对工作成绩突出的单位和个人以适当方式予以表扬，推动基层抓好工作落实，确保百日攻坚行动取得实效。</w:t>
      </w:r>
    </w:p>
    <w:p w14:paraId="7A470A1F" w14:textId="77777777" w:rsidR="006D73E5" w:rsidRDefault="00000000">
      <w:pPr>
        <w:spacing w:line="360" w:lineRule="auto"/>
        <w:ind w:firstLine="426"/>
        <w:jc w:val="right"/>
        <w:rPr>
          <w:rStyle w:val="vm"/>
          <w:rFonts w:eastAsiaTheme="minorEastAsia"/>
          <w:szCs w:val="21"/>
        </w:rPr>
      </w:pPr>
      <w:r>
        <w:rPr>
          <w:rStyle w:val="vm"/>
          <w:rFonts w:eastAsiaTheme="minorEastAsia" w:hint="eastAsia"/>
          <w:szCs w:val="21"/>
        </w:rPr>
        <w:t>转摘自中国水产微信公众号</w:t>
      </w:r>
    </w:p>
    <w:p w14:paraId="125C4140" w14:textId="77777777" w:rsidR="006D73E5" w:rsidRDefault="006D73E5">
      <w:pPr>
        <w:spacing w:line="360" w:lineRule="auto"/>
        <w:ind w:firstLine="426"/>
        <w:jc w:val="right"/>
        <w:rPr>
          <w:rFonts w:eastAsiaTheme="minorEastAsia"/>
          <w:sz w:val="24"/>
        </w:rPr>
      </w:pPr>
    </w:p>
    <w:p w14:paraId="783FDCA2" w14:textId="77777777" w:rsidR="006D73E5" w:rsidRDefault="00000000">
      <w:pPr>
        <w:jc w:val="center"/>
        <w:outlineLvl w:val="1"/>
        <w:rPr>
          <w:rFonts w:eastAsia="黑体"/>
          <w:b/>
          <w:bCs/>
          <w:sz w:val="32"/>
          <w:szCs w:val="32"/>
        </w:rPr>
      </w:pPr>
      <w:bookmarkStart w:id="6" w:name="_Toc113995127"/>
      <w:bookmarkStart w:id="7" w:name="_Toc114077804"/>
      <w:bookmarkEnd w:id="3"/>
      <w:r>
        <w:rPr>
          <w:rFonts w:eastAsia="黑体" w:hint="eastAsia"/>
          <w:b/>
          <w:bCs/>
          <w:sz w:val="32"/>
          <w:szCs w:val="32"/>
        </w:rPr>
        <w:t>农业农村部“十四五”渔业高质量发展推进会在宁德召开</w:t>
      </w:r>
      <w:bookmarkEnd w:id="6"/>
      <w:bookmarkEnd w:id="7"/>
    </w:p>
    <w:p w14:paraId="45002F62" w14:textId="77777777" w:rsidR="006D73E5" w:rsidRDefault="00000000">
      <w:pPr>
        <w:spacing w:line="360" w:lineRule="auto"/>
        <w:ind w:firstLine="426"/>
        <w:rPr>
          <w:rFonts w:eastAsiaTheme="minorEastAsia"/>
          <w:sz w:val="24"/>
        </w:rPr>
      </w:pPr>
      <w:r>
        <w:rPr>
          <w:rFonts w:eastAsiaTheme="minorEastAsia"/>
          <w:sz w:val="24"/>
        </w:rPr>
        <w:t>8</w:t>
      </w:r>
      <w:r>
        <w:rPr>
          <w:rFonts w:eastAsiaTheme="minorEastAsia" w:hint="eastAsia"/>
          <w:sz w:val="24"/>
        </w:rPr>
        <w:t>月</w:t>
      </w:r>
      <w:r>
        <w:rPr>
          <w:rFonts w:eastAsiaTheme="minorEastAsia" w:hint="eastAsia"/>
          <w:sz w:val="24"/>
        </w:rPr>
        <w:t>24</w:t>
      </w:r>
      <w:r>
        <w:rPr>
          <w:rFonts w:eastAsiaTheme="minorEastAsia" w:hint="eastAsia"/>
          <w:sz w:val="24"/>
        </w:rPr>
        <w:t>日上午，农业农村部“十四五”渔业高质量发展推进会在宁德召开。农业农村部副部长马有祥、副省长李建成出席会议并讲话。</w:t>
      </w:r>
    </w:p>
    <w:p w14:paraId="3326983F" w14:textId="77777777" w:rsidR="006D73E5" w:rsidRDefault="00000000">
      <w:pPr>
        <w:spacing w:line="360" w:lineRule="auto"/>
        <w:jc w:val="center"/>
        <w:rPr>
          <w:rFonts w:eastAsiaTheme="minorEastAsia"/>
          <w:sz w:val="24"/>
        </w:rPr>
      </w:pPr>
      <w:r>
        <w:rPr>
          <w:noProof/>
        </w:rPr>
        <w:lastRenderedPageBreak/>
        <w:drawing>
          <wp:inline distT="0" distB="0" distL="0" distR="0" wp14:anchorId="16F96844" wp14:editId="7921B1F2">
            <wp:extent cx="3916045" cy="2609215"/>
            <wp:effectExtent l="0" t="0" r="8255" b="635"/>
            <wp:docPr id="11" name="图片 11" descr="https://mmbiz.qpic.cn/mmbiz_jpg/yH0osbg8CIMEravWvwGfFiaU4ibibd3icVE40QEqxANcxsmcbVONbvcmLQEFhEq4hSA1Fn0gsyUdagRfNYWlzMedhg/640?wx_fmt=jpeg&amp;wxfrom=5&amp;wx_lazy=1&amp;wx_c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https://mmbiz.qpic.cn/mmbiz_jpg/yH0osbg8CIMEravWvwGfFiaU4ibibd3icVE40QEqxANcxsmcbVONbvcmLQEFhEq4hSA1Fn0gsyUdagRfNYWlzMedhg/640?wx_fmt=jpeg&amp;wxfrom=5&amp;wx_lazy=1&amp;wx_co=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3923931" cy="2614824"/>
                    </a:xfrm>
                    <a:prstGeom prst="rect">
                      <a:avLst/>
                    </a:prstGeom>
                    <a:noFill/>
                    <a:ln>
                      <a:noFill/>
                    </a:ln>
                  </pic:spPr>
                </pic:pic>
              </a:graphicData>
            </a:graphic>
          </wp:inline>
        </w:drawing>
      </w:r>
    </w:p>
    <w:p w14:paraId="6AAB73F6" w14:textId="77777777" w:rsidR="006D73E5" w:rsidRDefault="00000000">
      <w:pPr>
        <w:spacing w:line="360" w:lineRule="auto"/>
        <w:ind w:firstLine="426"/>
        <w:rPr>
          <w:rFonts w:eastAsiaTheme="minorEastAsia"/>
          <w:sz w:val="24"/>
        </w:rPr>
      </w:pPr>
      <w:r>
        <w:rPr>
          <w:rFonts w:eastAsiaTheme="minorEastAsia" w:hint="eastAsia"/>
          <w:sz w:val="24"/>
        </w:rPr>
        <w:t>马有祥指出，“十四五”渔业渔政工作，要以习近平新时代中国特色社会主义思想为指导，牢固树立大食物观，以深化渔业供给侧结构性改革为主线，要稳步提升现有生产能力，夯实水产品供给基础；要积极发展大水面渔业，向江河湖海要食物；要扎实推进以长江为重点的水生生物保护，促进渔业资源可持续利用；要强化改革创新，提升渔业治理水平；要加强执法监管，守住渔业发展底线；要促进合作共赢，推动渔业“走出去”。</w:t>
      </w:r>
    </w:p>
    <w:p w14:paraId="4E8CA4B8" w14:textId="77777777" w:rsidR="006D73E5" w:rsidRDefault="00000000">
      <w:pPr>
        <w:spacing w:line="360" w:lineRule="auto"/>
        <w:jc w:val="center"/>
        <w:rPr>
          <w:rFonts w:eastAsiaTheme="minorEastAsia"/>
          <w:sz w:val="24"/>
        </w:rPr>
      </w:pPr>
      <w:r>
        <w:rPr>
          <w:noProof/>
        </w:rPr>
        <w:drawing>
          <wp:inline distT="0" distB="0" distL="0" distR="0" wp14:anchorId="1CB4886D" wp14:editId="54E28CA5">
            <wp:extent cx="3942080" cy="2626995"/>
            <wp:effectExtent l="0" t="0" r="1270" b="1905"/>
            <wp:docPr id="15" name="图片 15" descr="https://mmbiz.qpic.cn/mmbiz_jpg/yH0osbg8CIMEravWvwGfFiaU4ibibd3icVE4qSm131mvibo0MfLpQKXJNMGIPf6mUarZoWFic0pRLHP4G2NjFbicic13bg/640?wx_fmt=jpeg&amp;wxfrom=5&amp;wx_lazy=1&amp;wx_c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https://mmbiz.qpic.cn/mmbiz_jpg/yH0osbg8CIMEravWvwGfFiaU4ibibd3icVE4qSm131mvibo0MfLpQKXJNMGIPf6mUarZoWFic0pRLHP4G2NjFbicic13bg/640?wx_fmt=jpeg&amp;wxfrom=5&amp;wx_lazy=1&amp;wx_co=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3957803" cy="2637395"/>
                    </a:xfrm>
                    <a:prstGeom prst="rect">
                      <a:avLst/>
                    </a:prstGeom>
                    <a:noFill/>
                    <a:ln>
                      <a:noFill/>
                    </a:ln>
                  </pic:spPr>
                </pic:pic>
              </a:graphicData>
            </a:graphic>
          </wp:inline>
        </w:drawing>
      </w:r>
    </w:p>
    <w:p w14:paraId="04980675" w14:textId="77777777" w:rsidR="006D73E5" w:rsidRDefault="00000000">
      <w:pPr>
        <w:spacing w:line="360" w:lineRule="auto"/>
        <w:ind w:firstLine="426"/>
        <w:rPr>
          <w:rFonts w:eastAsiaTheme="minorEastAsia"/>
          <w:sz w:val="24"/>
        </w:rPr>
      </w:pPr>
      <w:r>
        <w:rPr>
          <w:rFonts w:eastAsiaTheme="minorEastAsia" w:hint="eastAsia"/>
          <w:sz w:val="24"/>
        </w:rPr>
        <w:t>李建成在致辞中表示，近年来，我省深入学习贯彻习近平总书记关于建设海洋强国的重要论述，持续加快渔业产业转型升级步伐，推进现代渔业建设取得了扎实成效。借助此次会议契机，我省将进一步深入贯彻习近平总书记重要讲话重要指示批示精神，全面落实党中央国务院决策部署，按照本次会议精神，认真学习借鉴兄弟省份的有力经验，进一步明晰渔业发展思路，以更大的力度更实的作风，狠抓各项工作落实，不断开创渔业高质量发展新局面。</w:t>
      </w:r>
    </w:p>
    <w:p w14:paraId="573C6149" w14:textId="77777777" w:rsidR="006D73E5" w:rsidRDefault="00000000">
      <w:pPr>
        <w:spacing w:line="360" w:lineRule="auto"/>
        <w:ind w:firstLine="426"/>
        <w:rPr>
          <w:rFonts w:eastAsiaTheme="minorEastAsia"/>
          <w:sz w:val="24"/>
        </w:rPr>
      </w:pPr>
      <w:r>
        <w:rPr>
          <w:rFonts w:eastAsiaTheme="minorEastAsia" w:hint="eastAsia"/>
          <w:sz w:val="24"/>
        </w:rPr>
        <w:lastRenderedPageBreak/>
        <w:t>会上，浙江、福建、山东、湖北、广东、广西、四川</w:t>
      </w:r>
      <w:r>
        <w:rPr>
          <w:rFonts w:eastAsiaTheme="minorEastAsia" w:hint="eastAsia"/>
          <w:sz w:val="24"/>
        </w:rPr>
        <w:t>7</w:t>
      </w:r>
      <w:r>
        <w:rPr>
          <w:rFonts w:eastAsiaTheme="minorEastAsia" w:hint="eastAsia"/>
          <w:sz w:val="24"/>
        </w:rPr>
        <w:t>省作典型交流发言，福建省海洋与渔业局局长林锡能代表福建进行发言。</w:t>
      </w:r>
    </w:p>
    <w:p w14:paraId="426D22DB" w14:textId="77777777" w:rsidR="006D73E5" w:rsidRDefault="00000000">
      <w:pPr>
        <w:jc w:val="right"/>
        <w:rPr>
          <w:rStyle w:val="vm"/>
          <w:rFonts w:eastAsiaTheme="minorEastAsia"/>
          <w:szCs w:val="21"/>
        </w:rPr>
      </w:pPr>
      <w:r>
        <w:rPr>
          <w:rStyle w:val="vm"/>
          <w:rFonts w:eastAsiaTheme="minorEastAsia" w:hint="eastAsia"/>
          <w:szCs w:val="21"/>
        </w:rPr>
        <w:t>转摘海上福建微信公众号</w:t>
      </w:r>
    </w:p>
    <w:p w14:paraId="6FDF16A1" w14:textId="77777777" w:rsidR="006D73E5" w:rsidRDefault="00000000">
      <w:pPr>
        <w:spacing w:line="276" w:lineRule="auto"/>
        <w:jc w:val="left"/>
        <w:outlineLvl w:val="0"/>
        <w:rPr>
          <w:rStyle w:val="vm"/>
          <w:rFonts w:eastAsia="黑体"/>
          <w:b/>
          <w:bCs/>
          <w:sz w:val="32"/>
          <w:szCs w:val="32"/>
          <w:bdr w:val="single" w:sz="4" w:space="0" w:color="auto"/>
        </w:rPr>
      </w:pPr>
      <w:bookmarkStart w:id="8" w:name="_Toc114077805"/>
      <w:r>
        <w:rPr>
          <w:rStyle w:val="vm"/>
          <w:rFonts w:eastAsia="黑体" w:hint="eastAsia"/>
          <w:b/>
          <w:bCs/>
          <w:sz w:val="32"/>
          <w:szCs w:val="32"/>
          <w:bdr w:val="single" w:sz="4" w:space="0" w:color="auto"/>
        </w:rPr>
        <w:t>行业资讯</w:t>
      </w:r>
      <w:bookmarkEnd w:id="8"/>
    </w:p>
    <w:p w14:paraId="5C740DFB" w14:textId="77777777" w:rsidR="006D73E5" w:rsidRDefault="00000000">
      <w:pPr>
        <w:spacing w:line="360" w:lineRule="auto"/>
        <w:jc w:val="center"/>
        <w:outlineLvl w:val="1"/>
        <w:rPr>
          <w:rFonts w:eastAsia="黑体"/>
          <w:b/>
          <w:bCs/>
          <w:sz w:val="32"/>
          <w:szCs w:val="32"/>
        </w:rPr>
      </w:pPr>
      <w:bookmarkStart w:id="9" w:name="_Toc113995132"/>
      <w:bookmarkStart w:id="10" w:name="_Toc114077806"/>
      <w:r>
        <w:rPr>
          <w:rFonts w:eastAsia="黑体" w:hint="eastAsia"/>
          <w:b/>
          <w:bCs/>
          <w:sz w:val="32"/>
          <w:szCs w:val="32"/>
        </w:rPr>
        <w:t>福建省海洋与渔业局党组书记、局长林锡能一行莅临天马科技集团考察调研</w:t>
      </w:r>
      <w:bookmarkEnd w:id="9"/>
      <w:bookmarkEnd w:id="10"/>
    </w:p>
    <w:p w14:paraId="6B493ACF" w14:textId="77777777" w:rsidR="006D73E5" w:rsidRDefault="00000000">
      <w:pPr>
        <w:spacing w:line="360" w:lineRule="auto"/>
        <w:ind w:firstLine="420"/>
        <w:rPr>
          <w:rFonts w:eastAsiaTheme="minorEastAsia"/>
          <w:sz w:val="24"/>
        </w:rPr>
      </w:pPr>
      <w:r>
        <w:rPr>
          <w:rFonts w:eastAsiaTheme="minorEastAsia" w:hint="eastAsia"/>
          <w:sz w:val="24"/>
        </w:rPr>
        <w:t>林锡能书记一行实地考察了集团国家级现代农业（鳗鱼）高新技术产业园区。在园区现场，林锡能书记详细了解产业园区投产进度、产业规划及乡村振兴等落实情况，鼓励集团坚定信心，瞄准目标，在规划上谋长远，在发展上求特色，在竞争上树品牌，发展渔旅结合新业态。</w:t>
      </w:r>
    </w:p>
    <w:p w14:paraId="7362153A" w14:textId="77777777" w:rsidR="006D73E5" w:rsidRDefault="00000000">
      <w:pPr>
        <w:spacing w:line="360" w:lineRule="auto"/>
        <w:jc w:val="center"/>
        <w:rPr>
          <w:rFonts w:eastAsiaTheme="minorEastAsia"/>
          <w:sz w:val="24"/>
        </w:rPr>
      </w:pPr>
      <w:r>
        <w:rPr>
          <w:noProof/>
        </w:rPr>
        <w:drawing>
          <wp:inline distT="0" distB="0" distL="0" distR="0" wp14:anchorId="123A87FC" wp14:editId="6A7F938E">
            <wp:extent cx="3321050" cy="2212975"/>
            <wp:effectExtent l="0" t="0" r="12700" b="15875"/>
            <wp:docPr id="35" name="图片 35" descr="https://mmbiz.qpic.cn/mmbiz_jpg/nE4srJblKbCoDLxuahsCTDjZvvRxahtib8edib9BQ7icC9LzHX9P35WktSKol3UAYt3GlOlO7ibSLhjCclU5RFpZHg/640?wx_fmt=jpeg&amp;wxfrom=5&amp;wx_lazy=1&amp;wx_c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https://mmbiz.qpic.cn/mmbiz_jpg/nE4srJblKbCoDLxuahsCTDjZvvRxahtib8edib9BQ7icC9LzHX9P35WktSKol3UAYt3GlOlO7ibSLhjCclU5RFpZHg/640?wx_fmt=jpeg&amp;wxfrom=5&amp;wx_lazy=1&amp;wx_co=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3347195" cy="2230499"/>
                    </a:xfrm>
                    <a:prstGeom prst="rect">
                      <a:avLst/>
                    </a:prstGeom>
                    <a:noFill/>
                    <a:ln>
                      <a:noFill/>
                    </a:ln>
                  </pic:spPr>
                </pic:pic>
              </a:graphicData>
            </a:graphic>
          </wp:inline>
        </w:drawing>
      </w:r>
    </w:p>
    <w:p w14:paraId="14D53FFE" w14:textId="77777777" w:rsidR="006D73E5" w:rsidRDefault="00000000">
      <w:pPr>
        <w:spacing w:line="360" w:lineRule="auto"/>
        <w:ind w:firstLine="420"/>
        <w:rPr>
          <w:rFonts w:eastAsiaTheme="minorEastAsia"/>
          <w:sz w:val="24"/>
        </w:rPr>
      </w:pPr>
      <w:r>
        <w:rPr>
          <w:rFonts w:eastAsiaTheme="minorEastAsia" w:hint="eastAsia"/>
          <w:sz w:val="24"/>
        </w:rPr>
        <w:t>在座谈中，董事长陈庆堂先生代表天马科技集团，对林锡能书记一行的到来表示热烈欢迎。董事长陈庆堂先生为林锡能书记深入介绍了天马科技集团智慧渔牧全产业链集群项目建设以及国家级现代农业（鳗鱼）高新技术产业园区规划布局和建设进度。</w:t>
      </w:r>
    </w:p>
    <w:p w14:paraId="5404B8BB" w14:textId="77777777" w:rsidR="006D73E5" w:rsidRDefault="00000000">
      <w:pPr>
        <w:spacing w:line="360" w:lineRule="auto"/>
        <w:ind w:firstLine="420"/>
        <w:rPr>
          <w:rFonts w:eastAsiaTheme="minorEastAsia"/>
          <w:sz w:val="24"/>
        </w:rPr>
      </w:pPr>
      <w:r>
        <w:rPr>
          <w:rFonts w:eastAsiaTheme="minorEastAsia" w:hint="eastAsia"/>
          <w:sz w:val="24"/>
        </w:rPr>
        <w:t>目前园区汇集“中国鳗鲡产业研究所、国家企业技术中心、国家技术创新示范企业、博士后科研工作站、生物科技研发中心、特种水产良种基地”等科研平台，建设智慧渔业</w:t>
      </w:r>
      <w:r>
        <w:rPr>
          <w:rFonts w:eastAsiaTheme="minorEastAsia" w:hint="eastAsia"/>
          <w:sz w:val="24"/>
        </w:rPr>
        <w:t>(</w:t>
      </w:r>
      <w:r>
        <w:rPr>
          <w:rFonts w:eastAsiaTheme="minorEastAsia" w:hint="eastAsia"/>
          <w:sz w:val="24"/>
        </w:rPr>
        <w:t>数据</w:t>
      </w:r>
      <w:r>
        <w:rPr>
          <w:rFonts w:eastAsiaTheme="minorEastAsia" w:hint="eastAsia"/>
          <w:sz w:val="24"/>
        </w:rPr>
        <w:t>)</w:t>
      </w:r>
      <w:r>
        <w:rPr>
          <w:rFonts w:eastAsiaTheme="minorEastAsia" w:hint="eastAsia"/>
          <w:sz w:val="24"/>
        </w:rPr>
        <w:t>中心、鳗鱼文旅中心、休闲中心、美食中心，打造“中国鳗谷”。当前，白鸽山万亩产业基地全面投入生产，鳗苗已全面顺利入池，白鸽山万亩产业基地步入良性使用“快车道”！集团的稳健、高效运营印证了“天马速度，产业标杆”，全力向打造世界级全产业链食品供应链平台稳步迈进，为中国海洋经济高质量发展树立典范，构建特色鲜明的优势现代农业产业集群。</w:t>
      </w:r>
    </w:p>
    <w:p w14:paraId="542FC662" w14:textId="77777777" w:rsidR="006D73E5" w:rsidRDefault="00000000">
      <w:pPr>
        <w:spacing w:line="360" w:lineRule="auto"/>
        <w:ind w:firstLine="420"/>
        <w:rPr>
          <w:rFonts w:eastAsiaTheme="minorEastAsia"/>
          <w:sz w:val="24"/>
        </w:rPr>
      </w:pPr>
      <w:r>
        <w:rPr>
          <w:rFonts w:eastAsiaTheme="minorEastAsia" w:hint="eastAsia"/>
          <w:sz w:val="24"/>
        </w:rPr>
        <w:t>天马科技集团着眼于发展循环农业和节能环保产业，通过国家级现代农业（鳗鱼）高新</w:t>
      </w:r>
      <w:r>
        <w:rPr>
          <w:rFonts w:eastAsiaTheme="minorEastAsia" w:hint="eastAsia"/>
          <w:sz w:val="24"/>
        </w:rPr>
        <w:lastRenderedPageBreak/>
        <w:t>技术产业园区建设，打通“三产融合”路径，大力发展鳗鲡特色农业产业，并带动生态农业、海洋文旅等产业发展；聚焦“双碳”目标，坚持技术创新，研发创造“种养一体”生态智慧养殖模式和“渔光互补”模式，通过绿色清洁能源</w:t>
      </w:r>
      <w:r>
        <w:rPr>
          <w:rFonts w:eastAsiaTheme="minorEastAsia" w:hint="eastAsia"/>
          <w:sz w:val="24"/>
        </w:rPr>
        <w:t>+</w:t>
      </w:r>
      <w:r>
        <w:rPr>
          <w:rFonts w:eastAsiaTheme="minorEastAsia" w:hint="eastAsia"/>
          <w:sz w:val="24"/>
        </w:rPr>
        <w:t>绿色健康水产的“双绿色”模式，打造发展优势，不断释放“绿色”动能，推动“绿水青山”变成实实在在的“金山银山”，依靠技术进步提升乡村产业的经济效益和生态效能。</w:t>
      </w:r>
    </w:p>
    <w:p w14:paraId="47DA7F62" w14:textId="77777777" w:rsidR="006D73E5" w:rsidRDefault="00000000">
      <w:pPr>
        <w:spacing w:line="360" w:lineRule="auto"/>
        <w:ind w:firstLine="420"/>
        <w:rPr>
          <w:rFonts w:eastAsiaTheme="minorEastAsia"/>
          <w:sz w:val="24"/>
        </w:rPr>
      </w:pPr>
      <w:r>
        <w:rPr>
          <w:rFonts w:eastAsiaTheme="minorEastAsia" w:hint="eastAsia"/>
          <w:sz w:val="24"/>
        </w:rPr>
        <w:t>林锡能书记仔细听取董事长陈庆堂先生的汇报，充分肯定了天马科技集团在强化渔业科技创新，全面推进产业转型升级，大力发展智慧渔业，推动渔业绿色发展，促进乡村振兴和农民增收等方面所取得的成效。他指出，省海洋与渔业局高度重视产业园区建设发展情况，对天马科技在鳗鱼全产业链建设和助推海洋经济发展寄予厚望，希望天马科技继续加大产业园区建设力度，进一步发挥龙头企业示范带动作用，提升产业链供应链稳定性和竞争力，在推动数字经济、绿色经济、海洋经济、文旅经济高质量发展方面形成引领示范。</w:t>
      </w:r>
    </w:p>
    <w:p w14:paraId="2455AE04" w14:textId="77777777" w:rsidR="006D73E5" w:rsidRDefault="00000000">
      <w:pPr>
        <w:spacing w:line="360" w:lineRule="auto"/>
        <w:ind w:firstLine="420"/>
        <w:rPr>
          <w:rFonts w:eastAsiaTheme="minorEastAsia"/>
          <w:sz w:val="24"/>
        </w:rPr>
      </w:pPr>
      <w:r>
        <w:rPr>
          <w:rFonts w:eastAsiaTheme="minorEastAsia" w:hint="eastAsia"/>
          <w:sz w:val="24"/>
        </w:rPr>
        <w:t>林锡能书记强调，抓好重点项目建设是推动全省经济社会发展的重要载体和有力支撑，省海洋与渔业局坚持任务项目化、项目清单化、清单具体化，强化政企联动，形成合力，全力做好服务保障工作，加大力度培育海洋经济新增长点，推动天马科技以特色园区带动产业振兴，以产业振兴助力乡村振兴的实效，推动国家级现代农业（鳗鱼）高新技术产业园区高效建设。</w:t>
      </w:r>
    </w:p>
    <w:p w14:paraId="06019A03" w14:textId="77777777" w:rsidR="006D73E5" w:rsidRDefault="00000000">
      <w:pPr>
        <w:spacing w:line="360" w:lineRule="auto"/>
        <w:ind w:firstLine="420"/>
        <w:jc w:val="right"/>
        <w:rPr>
          <w:rStyle w:val="vm"/>
          <w:rFonts w:eastAsiaTheme="minorEastAsia"/>
          <w:szCs w:val="21"/>
        </w:rPr>
      </w:pPr>
      <w:r>
        <w:rPr>
          <w:rStyle w:val="vm"/>
          <w:rFonts w:eastAsiaTheme="minorEastAsia" w:hint="eastAsia"/>
          <w:szCs w:val="21"/>
        </w:rPr>
        <w:t>转摘自天马科技集团微信公众号</w:t>
      </w:r>
    </w:p>
    <w:p w14:paraId="067E0E4E" w14:textId="77777777" w:rsidR="006D73E5" w:rsidRDefault="00000000">
      <w:pPr>
        <w:spacing w:line="360" w:lineRule="auto"/>
        <w:jc w:val="center"/>
        <w:outlineLvl w:val="1"/>
        <w:rPr>
          <w:rFonts w:eastAsia="黑体"/>
          <w:b/>
          <w:bCs/>
          <w:sz w:val="32"/>
          <w:szCs w:val="32"/>
        </w:rPr>
      </w:pPr>
      <w:bookmarkStart w:id="11" w:name="_Toc113995130"/>
      <w:bookmarkStart w:id="12" w:name="_Toc114077807"/>
      <w:r>
        <w:rPr>
          <w:rFonts w:eastAsia="黑体" w:hint="eastAsia"/>
          <w:b/>
          <w:bCs/>
          <w:sz w:val="32"/>
          <w:szCs w:val="32"/>
        </w:rPr>
        <w:t>福建召开渔业安全生产和疫情防控工作视频会议</w:t>
      </w:r>
      <w:bookmarkEnd w:id="11"/>
      <w:bookmarkEnd w:id="12"/>
    </w:p>
    <w:p w14:paraId="2CF77611" w14:textId="77777777" w:rsidR="006D73E5" w:rsidRDefault="00000000">
      <w:pPr>
        <w:spacing w:line="360" w:lineRule="auto"/>
        <w:ind w:firstLine="420"/>
        <w:rPr>
          <w:rFonts w:eastAsiaTheme="minorEastAsia"/>
          <w:sz w:val="24"/>
        </w:rPr>
      </w:pPr>
      <w:r>
        <w:rPr>
          <w:rFonts w:eastAsiaTheme="minorEastAsia" w:hint="eastAsia"/>
          <w:sz w:val="24"/>
        </w:rPr>
        <w:t>8</w:t>
      </w:r>
      <w:r>
        <w:rPr>
          <w:rFonts w:eastAsiaTheme="minorEastAsia" w:hint="eastAsia"/>
          <w:sz w:val="24"/>
        </w:rPr>
        <w:t>月</w:t>
      </w:r>
      <w:r>
        <w:rPr>
          <w:rFonts w:eastAsiaTheme="minorEastAsia" w:hint="eastAsia"/>
          <w:sz w:val="24"/>
        </w:rPr>
        <w:t>26</w:t>
      </w:r>
      <w:r>
        <w:rPr>
          <w:rFonts w:eastAsiaTheme="minorEastAsia" w:hint="eastAsia"/>
          <w:sz w:val="24"/>
        </w:rPr>
        <w:t>日，福建省渔业安全生产和疫情防控工作视频会议在福州召开，福建省副省长李建成出席并讲话。</w:t>
      </w:r>
    </w:p>
    <w:p w14:paraId="2C7938B4" w14:textId="77777777" w:rsidR="006D73E5" w:rsidRDefault="00000000">
      <w:pPr>
        <w:spacing w:line="360" w:lineRule="auto"/>
        <w:ind w:firstLine="420"/>
        <w:rPr>
          <w:rFonts w:eastAsiaTheme="minorEastAsia"/>
          <w:sz w:val="24"/>
        </w:rPr>
      </w:pPr>
      <w:r>
        <w:rPr>
          <w:rFonts w:eastAsiaTheme="minorEastAsia" w:hint="eastAsia"/>
          <w:sz w:val="24"/>
        </w:rPr>
        <w:t>会议要求，各地各相关部门要深入学习贯彻习近平总书记关于安全生产和疫情防控工作的重要指示精神，按照福建省委、省政府部署要求，切实提高政治站位，科学细致做好海上疫情防控和安全生产各项工作。要严格落实渔船进出港“三报备”“三核实”“两必检、两必清”等管理制度，压实“四方责任”，切实盯住港、管住船、看住人，筑牢海上疫情防线，严防境外疫情通过渔船渔港输入。要扎实开展渔业安全生产隐患大排查大整治，推进渔业安全整治、商渔共治、渔业船员整治等专项行动，切实消除安全隐患，坚决防范遏制重特大事故发生。要落实渔业防台风等安全防范措施，加强监测预警预报，强化值班值守，完善相关预案，开展实战演练，提高应急处置能力。要深入排查整治内陆渔业设施、场所存在的安全隐患，特别是针对当前高温天气，严防溺水、火灾、触电等事故发生。要落</w:t>
      </w:r>
      <w:r>
        <w:rPr>
          <w:rFonts w:eastAsiaTheme="minorEastAsia" w:hint="eastAsia"/>
          <w:sz w:val="24"/>
        </w:rPr>
        <w:lastRenderedPageBreak/>
        <w:t>实属地责任，依法严厉打击参与非法捕捞交易、走私、偷私渡等违法行为的各类船舶，规范管理乡镇船舶。要加强渔船民教育管理，广泛宣传相关政策和要求，不断提高渔船民法律意识和自律意识。</w:t>
      </w:r>
    </w:p>
    <w:p w14:paraId="418112A7" w14:textId="77777777" w:rsidR="006D73E5" w:rsidRDefault="00000000">
      <w:pPr>
        <w:spacing w:line="360" w:lineRule="auto"/>
        <w:ind w:firstLine="420"/>
        <w:jc w:val="right"/>
        <w:rPr>
          <w:rStyle w:val="vm"/>
          <w:rFonts w:eastAsiaTheme="minorEastAsia"/>
          <w:szCs w:val="21"/>
        </w:rPr>
      </w:pPr>
      <w:r>
        <w:rPr>
          <w:rStyle w:val="vm"/>
          <w:rFonts w:eastAsiaTheme="minorEastAsia" w:hint="eastAsia"/>
          <w:szCs w:val="21"/>
        </w:rPr>
        <w:t>转摘自福建日报</w:t>
      </w:r>
    </w:p>
    <w:p w14:paraId="0FB57287" w14:textId="77777777" w:rsidR="006D73E5" w:rsidRDefault="00000000">
      <w:pPr>
        <w:spacing w:line="360" w:lineRule="auto"/>
        <w:jc w:val="center"/>
        <w:outlineLvl w:val="1"/>
        <w:rPr>
          <w:rFonts w:eastAsia="黑体"/>
          <w:b/>
          <w:bCs/>
          <w:sz w:val="32"/>
          <w:szCs w:val="32"/>
        </w:rPr>
      </w:pPr>
      <w:bookmarkStart w:id="13" w:name="_Toc114077808"/>
      <w:r>
        <w:rPr>
          <w:rFonts w:eastAsia="黑体" w:hint="eastAsia"/>
          <w:b/>
          <w:bCs/>
          <w:sz w:val="32"/>
          <w:szCs w:val="32"/>
        </w:rPr>
        <w:t>《农业农村产业发展重大技术需求》发布</w:t>
      </w:r>
      <w:bookmarkEnd w:id="13"/>
    </w:p>
    <w:p w14:paraId="3EF76110" w14:textId="77777777" w:rsidR="006D73E5" w:rsidRDefault="00000000">
      <w:pPr>
        <w:spacing w:line="360" w:lineRule="auto"/>
        <w:ind w:firstLine="420"/>
        <w:rPr>
          <w:rFonts w:eastAsiaTheme="minorEastAsia"/>
          <w:sz w:val="24"/>
        </w:rPr>
      </w:pPr>
      <w:r>
        <w:rPr>
          <w:rFonts w:eastAsiaTheme="minorEastAsia" w:hint="eastAsia"/>
          <w:sz w:val="24"/>
        </w:rPr>
        <w:t>8</w:t>
      </w:r>
      <w:r>
        <w:rPr>
          <w:rFonts w:eastAsiaTheme="minorEastAsia" w:hint="eastAsia"/>
          <w:sz w:val="24"/>
        </w:rPr>
        <w:t>月</w:t>
      </w:r>
      <w:r>
        <w:rPr>
          <w:rFonts w:eastAsiaTheme="minorEastAsia" w:hint="eastAsia"/>
          <w:sz w:val="24"/>
        </w:rPr>
        <w:t>25</w:t>
      </w:r>
      <w:r>
        <w:rPr>
          <w:rFonts w:eastAsiaTheme="minorEastAsia" w:hint="eastAsia"/>
          <w:sz w:val="24"/>
        </w:rPr>
        <w:t>日，在江苏省南京市举行的“</w:t>
      </w:r>
      <w:r>
        <w:rPr>
          <w:rFonts w:eastAsiaTheme="minorEastAsia" w:hint="eastAsia"/>
          <w:sz w:val="24"/>
        </w:rPr>
        <w:t>2022</w:t>
      </w:r>
      <w:r>
        <w:rPr>
          <w:rFonts w:eastAsiaTheme="minorEastAsia" w:hint="eastAsia"/>
          <w:sz w:val="24"/>
        </w:rPr>
        <w:t>全国农业高新技术成果交易活动”上，农业农村部科技发展中心主任杨礼胜发布了《</w:t>
      </w:r>
      <w:r>
        <w:rPr>
          <w:rFonts w:eastAsiaTheme="minorEastAsia" w:hint="eastAsia"/>
          <w:sz w:val="24"/>
        </w:rPr>
        <w:t>2022</w:t>
      </w:r>
      <w:r>
        <w:rPr>
          <w:rFonts w:eastAsiaTheme="minorEastAsia" w:hint="eastAsia"/>
          <w:sz w:val="24"/>
        </w:rPr>
        <w:t>农业农村产业发展重大技术需求》（以下简称“《需求》”），为农业农村科技如何围绕国家目标破瓶颈，立足产业问题做创新指明方向。</w:t>
      </w:r>
    </w:p>
    <w:p w14:paraId="3353693F" w14:textId="77777777" w:rsidR="006D73E5" w:rsidRDefault="00000000">
      <w:pPr>
        <w:spacing w:line="360" w:lineRule="auto"/>
        <w:ind w:firstLine="420"/>
        <w:rPr>
          <w:rFonts w:eastAsiaTheme="minorEastAsia"/>
          <w:sz w:val="24"/>
        </w:rPr>
      </w:pPr>
      <w:r>
        <w:rPr>
          <w:rFonts w:eastAsiaTheme="minorEastAsia" w:hint="eastAsia"/>
          <w:sz w:val="24"/>
        </w:rPr>
        <w:t>《需求》聚焦现代农业、智能装备、绿色低碳“三大领域”，面向农业农村部属技术推广单位、各省农业农村主管部门、国家农业科技创新联盟和农业产业化重点龙头企业，找准产业技术问题、凝练行业重大需求、梳理企业科技“卡点”，对</w:t>
      </w:r>
      <w:r>
        <w:rPr>
          <w:rFonts w:eastAsiaTheme="minorEastAsia" w:hint="eastAsia"/>
          <w:sz w:val="24"/>
        </w:rPr>
        <w:t>951</w:t>
      </w:r>
      <w:r>
        <w:rPr>
          <w:rFonts w:eastAsiaTheme="minorEastAsia" w:hint="eastAsia"/>
          <w:sz w:val="24"/>
        </w:rPr>
        <w:t>条需求信息归纳分析、凝练遴选、咨询论证，共提出三大清单、</w:t>
      </w:r>
      <w:r>
        <w:rPr>
          <w:rFonts w:eastAsiaTheme="minorEastAsia" w:hint="eastAsia"/>
          <w:sz w:val="24"/>
        </w:rPr>
        <w:t>38</w:t>
      </w:r>
      <w:r>
        <w:rPr>
          <w:rFonts w:eastAsiaTheme="minorEastAsia" w:hint="eastAsia"/>
          <w:sz w:val="24"/>
        </w:rPr>
        <w:t>项需求。其中，围绕“保障粮食安全、端牢中国饭碗”需求清单共</w:t>
      </w:r>
      <w:r>
        <w:rPr>
          <w:rFonts w:eastAsiaTheme="minorEastAsia" w:hint="eastAsia"/>
          <w:sz w:val="24"/>
        </w:rPr>
        <w:t>15</w:t>
      </w:r>
      <w:r>
        <w:rPr>
          <w:rFonts w:eastAsiaTheme="minorEastAsia" w:hint="eastAsia"/>
          <w:sz w:val="24"/>
        </w:rPr>
        <w:t>项，一项涉渔为深远海养殖鱼类新品种；围绕“加快机器换人、促进数字应用”需求清单共</w:t>
      </w:r>
      <w:r>
        <w:rPr>
          <w:rFonts w:eastAsiaTheme="minorEastAsia" w:hint="eastAsia"/>
          <w:sz w:val="24"/>
        </w:rPr>
        <w:t>13</w:t>
      </w:r>
      <w:r>
        <w:rPr>
          <w:rFonts w:eastAsiaTheme="minorEastAsia" w:hint="eastAsia"/>
          <w:sz w:val="24"/>
        </w:rPr>
        <w:t>项，一项涉渔为深远海养殖智能化设施装备；围绕“支撑生态文明，引领美好生活”需求清单共</w:t>
      </w:r>
      <w:r>
        <w:rPr>
          <w:rFonts w:eastAsiaTheme="minorEastAsia" w:hint="eastAsia"/>
          <w:sz w:val="24"/>
        </w:rPr>
        <w:t>10</w:t>
      </w:r>
      <w:r>
        <w:rPr>
          <w:rFonts w:eastAsiaTheme="minorEastAsia" w:hint="eastAsia"/>
          <w:sz w:val="24"/>
        </w:rPr>
        <w:t>项。</w:t>
      </w:r>
    </w:p>
    <w:p w14:paraId="21F965D6" w14:textId="77777777" w:rsidR="006D73E5" w:rsidRDefault="00000000">
      <w:pPr>
        <w:spacing w:line="360" w:lineRule="auto"/>
        <w:ind w:firstLine="420"/>
        <w:rPr>
          <w:rFonts w:eastAsiaTheme="minorEastAsia"/>
          <w:sz w:val="24"/>
        </w:rPr>
      </w:pPr>
      <w:r>
        <w:rPr>
          <w:rFonts w:eastAsiaTheme="minorEastAsia" w:hint="eastAsia"/>
          <w:sz w:val="24"/>
        </w:rPr>
        <w:t>杨礼胜表示，这些重大技术需求主要紧盯我国种源“卡脖子”攻关、粮田“命根子”夯实，技术绿色化供给、发展数字化转型的技术前沿热点、生产一线痛点，通过向全社会发布，期待各级党委政府高度重视，财政、科技部门大力支持，金融投资平台广泛介入、高校院所企业深度联动，科技工作者聚焦深耕，共同探索产业科技问题联合解决机制，推动形成行业科技创新强大合力。</w:t>
      </w:r>
    </w:p>
    <w:p w14:paraId="77C4954F" w14:textId="77777777" w:rsidR="006D73E5" w:rsidRDefault="00000000">
      <w:pPr>
        <w:spacing w:line="360" w:lineRule="auto"/>
        <w:ind w:firstLine="420"/>
        <w:rPr>
          <w:rFonts w:eastAsiaTheme="minorEastAsia"/>
          <w:sz w:val="24"/>
        </w:rPr>
      </w:pPr>
      <w:r>
        <w:rPr>
          <w:rFonts w:eastAsiaTheme="minorEastAsia" w:hint="eastAsia"/>
          <w:sz w:val="24"/>
        </w:rPr>
        <w:t>“本次发布工作是农业农村部科技发展中心促进农业与科技融合发展的初步尝试，探索引导全国科技力量、企业、金融等多方资源，融入产业发展的新路径、新机制和新举措，期待构建‘国家目标、产业问题’的联合解题答题新机制，科技自强与场景应用协同进化新生态。”</w:t>
      </w:r>
      <w:r>
        <w:rPr>
          <w:rFonts w:eastAsiaTheme="minorEastAsia" w:hint="eastAsia"/>
          <w:sz w:val="24"/>
        </w:rPr>
        <w:t xml:space="preserve"> </w:t>
      </w:r>
      <w:r>
        <w:rPr>
          <w:rFonts w:eastAsiaTheme="minorEastAsia" w:hint="eastAsia"/>
          <w:sz w:val="24"/>
        </w:rPr>
        <w:t>杨礼胜说。</w:t>
      </w:r>
    </w:p>
    <w:p w14:paraId="4BA0FE58" w14:textId="77777777" w:rsidR="006D73E5" w:rsidRDefault="00000000">
      <w:pPr>
        <w:spacing w:line="360" w:lineRule="auto"/>
        <w:ind w:firstLine="420"/>
        <w:jc w:val="right"/>
        <w:rPr>
          <w:rStyle w:val="vm"/>
          <w:rFonts w:eastAsiaTheme="minorEastAsia"/>
          <w:szCs w:val="21"/>
        </w:rPr>
      </w:pPr>
      <w:r>
        <w:rPr>
          <w:rStyle w:val="vm"/>
          <w:rFonts w:eastAsiaTheme="minorEastAsia" w:hint="eastAsia"/>
          <w:szCs w:val="21"/>
        </w:rPr>
        <w:t>转摘自《农民日报》</w:t>
      </w:r>
    </w:p>
    <w:p w14:paraId="7A4A5F8A" w14:textId="77777777" w:rsidR="006D73E5" w:rsidRDefault="00000000">
      <w:pPr>
        <w:spacing w:line="360" w:lineRule="auto"/>
        <w:jc w:val="center"/>
        <w:outlineLvl w:val="1"/>
        <w:rPr>
          <w:rFonts w:eastAsia="黑体"/>
          <w:b/>
          <w:bCs/>
          <w:sz w:val="32"/>
          <w:szCs w:val="32"/>
        </w:rPr>
      </w:pPr>
      <w:bookmarkStart w:id="14" w:name="_Toc113995131"/>
      <w:bookmarkStart w:id="15" w:name="_Toc114077809"/>
      <w:r>
        <w:rPr>
          <w:rFonts w:eastAsia="黑体" w:hint="eastAsia"/>
          <w:b/>
          <w:bCs/>
          <w:sz w:val="32"/>
          <w:szCs w:val="32"/>
        </w:rPr>
        <w:t>广东首宗大规模养殖用海海域使用权挂牌出让</w:t>
      </w:r>
      <w:bookmarkEnd w:id="14"/>
      <w:bookmarkEnd w:id="15"/>
    </w:p>
    <w:p w14:paraId="12402EB7" w14:textId="77777777" w:rsidR="006D73E5" w:rsidRDefault="00000000">
      <w:pPr>
        <w:spacing w:line="360" w:lineRule="auto"/>
        <w:ind w:firstLine="420"/>
        <w:rPr>
          <w:rFonts w:eastAsiaTheme="minorEastAsia"/>
          <w:sz w:val="24"/>
        </w:rPr>
      </w:pPr>
      <w:r>
        <w:rPr>
          <w:rFonts w:eastAsiaTheme="minorEastAsia" w:hint="eastAsia"/>
          <w:sz w:val="24"/>
        </w:rPr>
        <w:t>8</w:t>
      </w:r>
      <w:r>
        <w:rPr>
          <w:rFonts w:eastAsiaTheme="minorEastAsia" w:hint="eastAsia"/>
          <w:sz w:val="24"/>
        </w:rPr>
        <w:t>月</w:t>
      </w:r>
      <w:r>
        <w:rPr>
          <w:rFonts w:eastAsiaTheme="minorEastAsia" w:hint="eastAsia"/>
          <w:sz w:val="24"/>
        </w:rPr>
        <w:t>29</w:t>
      </w:r>
      <w:r>
        <w:rPr>
          <w:rFonts w:eastAsiaTheme="minorEastAsia" w:hint="eastAsia"/>
          <w:sz w:val="24"/>
        </w:rPr>
        <w:t>日，从广东省自然资源厅获悉，近日，广东省江门市发布首宗大规模养殖用海海域使用权挂牌出让公告，位于台山上川岛北侧一片面积为</w:t>
      </w:r>
      <w:r>
        <w:rPr>
          <w:rFonts w:eastAsiaTheme="minorEastAsia" w:hint="eastAsia"/>
          <w:sz w:val="24"/>
        </w:rPr>
        <w:t>600</w:t>
      </w:r>
      <w:r>
        <w:rPr>
          <w:rFonts w:eastAsiaTheme="minorEastAsia" w:hint="eastAsia"/>
          <w:sz w:val="24"/>
        </w:rPr>
        <w:t>公顷的海域即将挂牌出让，</w:t>
      </w:r>
      <w:r>
        <w:rPr>
          <w:rFonts w:eastAsiaTheme="minorEastAsia" w:hint="eastAsia"/>
          <w:sz w:val="24"/>
        </w:rPr>
        <w:lastRenderedPageBreak/>
        <w:t>用途为贝类底播养殖。</w:t>
      </w:r>
    </w:p>
    <w:p w14:paraId="434CE671" w14:textId="77777777" w:rsidR="006D73E5" w:rsidRDefault="00000000">
      <w:pPr>
        <w:spacing w:line="360" w:lineRule="auto"/>
        <w:ind w:firstLine="420"/>
        <w:rPr>
          <w:rFonts w:eastAsiaTheme="minorEastAsia"/>
          <w:sz w:val="24"/>
        </w:rPr>
      </w:pPr>
      <w:r>
        <w:rPr>
          <w:rFonts w:eastAsiaTheme="minorEastAsia" w:hint="eastAsia"/>
          <w:sz w:val="24"/>
        </w:rPr>
        <w:t>据悉，这是广东省自然资源厅部署开展养殖用海海域使用权市场化出让试点工作以来，面积最大的一宗出让项目。</w:t>
      </w:r>
    </w:p>
    <w:p w14:paraId="78314D39" w14:textId="77777777" w:rsidR="006D73E5" w:rsidRDefault="00000000">
      <w:pPr>
        <w:spacing w:line="360" w:lineRule="auto"/>
        <w:ind w:firstLine="420"/>
        <w:rPr>
          <w:rFonts w:eastAsiaTheme="minorEastAsia"/>
          <w:sz w:val="24"/>
        </w:rPr>
      </w:pPr>
      <w:r>
        <w:rPr>
          <w:rFonts w:eastAsiaTheme="minorEastAsia" w:hint="eastAsia"/>
          <w:sz w:val="24"/>
        </w:rPr>
        <w:t>本宗出让项目海域位于江门上川岛大洲村委会北侧海域约</w:t>
      </w:r>
      <w:r>
        <w:rPr>
          <w:rFonts w:eastAsiaTheme="minorEastAsia" w:hint="eastAsia"/>
          <w:sz w:val="24"/>
        </w:rPr>
        <w:t>2km</w:t>
      </w:r>
      <w:r>
        <w:rPr>
          <w:rFonts w:eastAsiaTheme="minorEastAsia" w:hint="eastAsia"/>
          <w:sz w:val="24"/>
        </w:rPr>
        <w:t>处，现状为自然海域，没有附属用海设施和海上构筑物，水深</w:t>
      </w:r>
      <w:r>
        <w:rPr>
          <w:rFonts w:eastAsiaTheme="minorEastAsia" w:hint="eastAsia"/>
          <w:sz w:val="24"/>
        </w:rPr>
        <w:t>5m~7m</w:t>
      </w:r>
      <w:r>
        <w:rPr>
          <w:rFonts w:eastAsiaTheme="minorEastAsia" w:hint="eastAsia"/>
          <w:sz w:val="24"/>
        </w:rPr>
        <w:t>，用海类型为渔业用海，用海方式为开放式用海，出让年限为</w:t>
      </w:r>
      <w:r>
        <w:rPr>
          <w:rFonts w:eastAsiaTheme="minorEastAsia" w:hint="eastAsia"/>
          <w:sz w:val="24"/>
        </w:rPr>
        <w:t>6</w:t>
      </w:r>
      <w:r>
        <w:rPr>
          <w:rFonts w:eastAsiaTheme="minorEastAsia" w:hint="eastAsia"/>
          <w:sz w:val="24"/>
        </w:rPr>
        <w:t>年。项目的挂牌起始价为</w:t>
      </w:r>
      <w:r>
        <w:rPr>
          <w:rFonts w:eastAsiaTheme="minorEastAsia" w:hint="eastAsia"/>
          <w:sz w:val="24"/>
        </w:rPr>
        <w:t>1124.8</w:t>
      </w:r>
      <w:r>
        <w:rPr>
          <w:rFonts w:eastAsiaTheme="minorEastAsia" w:hint="eastAsia"/>
          <w:sz w:val="24"/>
        </w:rPr>
        <w:t>万元，挂牌公告时间为</w:t>
      </w:r>
      <w:r>
        <w:rPr>
          <w:rFonts w:eastAsiaTheme="minorEastAsia" w:hint="eastAsia"/>
          <w:sz w:val="24"/>
        </w:rPr>
        <w:t>8</w:t>
      </w:r>
      <w:r>
        <w:rPr>
          <w:rFonts w:eastAsiaTheme="minorEastAsia" w:hint="eastAsia"/>
          <w:sz w:val="24"/>
        </w:rPr>
        <w:t>月</w:t>
      </w:r>
      <w:r>
        <w:rPr>
          <w:rFonts w:eastAsiaTheme="minorEastAsia" w:hint="eastAsia"/>
          <w:sz w:val="24"/>
        </w:rPr>
        <w:t>16</w:t>
      </w:r>
      <w:r>
        <w:rPr>
          <w:rFonts w:eastAsiaTheme="minorEastAsia" w:hint="eastAsia"/>
          <w:sz w:val="24"/>
        </w:rPr>
        <w:t>日</w:t>
      </w:r>
      <w:r>
        <w:rPr>
          <w:rFonts w:eastAsiaTheme="minorEastAsia" w:hint="eastAsia"/>
          <w:sz w:val="24"/>
        </w:rPr>
        <w:t>~9</w:t>
      </w:r>
      <w:r>
        <w:rPr>
          <w:rFonts w:eastAsiaTheme="minorEastAsia" w:hint="eastAsia"/>
          <w:sz w:val="24"/>
        </w:rPr>
        <w:t>月</w:t>
      </w:r>
      <w:r>
        <w:rPr>
          <w:rFonts w:eastAsiaTheme="minorEastAsia" w:hint="eastAsia"/>
          <w:sz w:val="24"/>
        </w:rPr>
        <w:t>4</w:t>
      </w:r>
      <w:r>
        <w:rPr>
          <w:rFonts w:eastAsiaTheme="minorEastAsia" w:hint="eastAsia"/>
          <w:sz w:val="24"/>
        </w:rPr>
        <w:t>日。</w:t>
      </w:r>
    </w:p>
    <w:p w14:paraId="166C6B30" w14:textId="77777777" w:rsidR="006D73E5" w:rsidRDefault="00000000">
      <w:pPr>
        <w:spacing w:line="360" w:lineRule="auto"/>
        <w:ind w:firstLine="420"/>
        <w:rPr>
          <w:rFonts w:eastAsiaTheme="minorEastAsia"/>
          <w:sz w:val="24"/>
        </w:rPr>
      </w:pPr>
      <w:r>
        <w:rPr>
          <w:rFonts w:eastAsiaTheme="minorEastAsia" w:hint="eastAsia"/>
          <w:sz w:val="24"/>
        </w:rPr>
        <w:t>据了解，上述海域的洋流和水温较为稳定、坡度平缓、淤泥丰富，适宜养殖底播生物，同时有着良好的生态环境，丰富的饵料及资源本底适合贝类生长。另外，该片海域毗邻沙堤渔港、广海渔港，在捕捞作业和贸易运输方面有较好的基础条件，优势突出。</w:t>
      </w:r>
    </w:p>
    <w:p w14:paraId="5858BE11" w14:textId="77777777" w:rsidR="006D73E5" w:rsidRDefault="00000000">
      <w:pPr>
        <w:spacing w:line="360" w:lineRule="auto"/>
        <w:ind w:firstLine="420"/>
        <w:rPr>
          <w:rFonts w:eastAsiaTheme="minorEastAsia"/>
          <w:sz w:val="24"/>
        </w:rPr>
      </w:pPr>
      <w:r>
        <w:rPr>
          <w:rFonts w:eastAsiaTheme="minorEastAsia" w:hint="eastAsia"/>
          <w:sz w:val="24"/>
        </w:rPr>
        <w:t>目前，该项目的海域使用论证报告表和海域价格评估报告均已通过专家评审，环境影响报告表已获得江门市生态环境局的批复，海域使用权出让方案已获得江门市人民政府批准。</w:t>
      </w:r>
    </w:p>
    <w:p w14:paraId="5F8083C4" w14:textId="77777777" w:rsidR="006D73E5" w:rsidRDefault="00000000">
      <w:pPr>
        <w:spacing w:line="360" w:lineRule="auto"/>
        <w:ind w:firstLine="420"/>
        <w:rPr>
          <w:rFonts w:eastAsiaTheme="minorEastAsia"/>
          <w:sz w:val="24"/>
        </w:rPr>
      </w:pPr>
      <w:r>
        <w:rPr>
          <w:rFonts w:eastAsiaTheme="minorEastAsia" w:hint="eastAsia"/>
          <w:sz w:val="24"/>
        </w:rPr>
        <w:t>“区别于传统的养殖用海审批，推进养殖用海海域使用权市场化出让改革试点，有利于推动海洋资源的高效利用，一方面缩短业主进场经营的审批流程和时间，从挂牌到竞得办证仅需一个多月的时间，另一方面有利于引入更多优质企业，促进近海养殖业的提档升级。”江门市自然资源局负责人表示，该试点项目作为江门市首宗大规模养殖用海海域使用权挂牌出让项目，将对推动江门市海域使用权通过产权交易市场出让工作具有重要作用，并将进一步规范养殖用海秩序，优化海洋资源配置，实现海洋资源保护与开发的效益最大化。</w:t>
      </w:r>
    </w:p>
    <w:p w14:paraId="604BDE21" w14:textId="77777777" w:rsidR="006D73E5" w:rsidRDefault="00000000">
      <w:pPr>
        <w:spacing w:line="360" w:lineRule="auto"/>
        <w:ind w:firstLine="420"/>
        <w:rPr>
          <w:rFonts w:eastAsiaTheme="minorEastAsia"/>
          <w:sz w:val="24"/>
        </w:rPr>
      </w:pPr>
      <w:r>
        <w:rPr>
          <w:rFonts w:eastAsiaTheme="minorEastAsia" w:hint="eastAsia"/>
          <w:sz w:val="24"/>
        </w:rPr>
        <w:t>据介绍，由于传统的近海养殖业存在着小、散、乱的发展痛点，首宗出让</w:t>
      </w:r>
      <w:r>
        <w:rPr>
          <w:rFonts w:eastAsiaTheme="minorEastAsia" w:hint="eastAsia"/>
          <w:sz w:val="24"/>
        </w:rPr>
        <w:t>600</w:t>
      </w:r>
      <w:r>
        <w:rPr>
          <w:rFonts w:eastAsiaTheme="minorEastAsia" w:hint="eastAsia"/>
          <w:sz w:val="24"/>
        </w:rPr>
        <w:t>公顷养殖用海海域使用权，有望引进一家实力较强的大型养殖企业，发展连片、大规模的养殖项目，打破发展瓶颈，引导近海养殖业实现规模化、品牌化发展，着力打造粤港澳大湾区的“蓝色粮仓”。</w:t>
      </w:r>
    </w:p>
    <w:p w14:paraId="59956F5A" w14:textId="77777777" w:rsidR="006D73E5" w:rsidRDefault="00000000">
      <w:pPr>
        <w:spacing w:line="360" w:lineRule="auto"/>
        <w:ind w:firstLine="420"/>
        <w:rPr>
          <w:rFonts w:eastAsiaTheme="minorEastAsia"/>
          <w:sz w:val="24"/>
        </w:rPr>
      </w:pPr>
      <w:r>
        <w:rPr>
          <w:rFonts w:eastAsiaTheme="minorEastAsia" w:hint="eastAsia"/>
          <w:sz w:val="24"/>
        </w:rPr>
        <w:t>下一步，江门台山还将结合创建国家级海洋牧场示范区的工作要求，积极推动网箱养殖等用途的养殖用海进行市场化出让，力促以点带面，逐步在江门市海域范围内铺开养殖用海市场化出让模式。</w:t>
      </w:r>
    </w:p>
    <w:p w14:paraId="54DDC7F4" w14:textId="77777777" w:rsidR="006D73E5" w:rsidRDefault="00000000">
      <w:pPr>
        <w:spacing w:line="360" w:lineRule="auto"/>
        <w:ind w:firstLine="420"/>
        <w:jc w:val="right"/>
        <w:rPr>
          <w:rStyle w:val="vm"/>
          <w:rFonts w:eastAsiaTheme="minorEastAsia"/>
          <w:szCs w:val="21"/>
        </w:rPr>
      </w:pPr>
      <w:r>
        <w:rPr>
          <w:rStyle w:val="vm"/>
          <w:rFonts w:eastAsiaTheme="minorEastAsia" w:hint="eastAsia"/>
          <w:szCs w:val="21"/>
        </w:rPr>
        <w:t>转摘自中新网</w:t>
      </w:r>
    </w:p>
    <w:p w14:paraId="5B4CC9EF" w14:textId="77777777" w:rsidR="006D73E5" w:rsidRDefault="006D73E5">
      <w:pPr>
        <w:spacing w:line="360" w:lineRule="auto"/>
        <w:ind w:firstLine="420"/>
        <w:jc w:val="right"/>
        <w:rPr>
          <w:rStyle w:val="vm"/>
          <w:rFonts w:eastAsiaTheme="minorEastAsia"/>
          <w:szCs w:val="21"/>
        </w:rPr>
      </w:pPr>
    </w:p>
    <w:p w14:paraId="2BEBBE0D" w14:textId="77777777" w:rsidR="006D73E5" w:rsidRDefault="00000000">
      <w:pPr>
        <w:spacing w:line="360" w:lineRule="auto"/>
        <w:ind w:firstLine="420"/>
        <w:jc w:val="center"/>
        <w:rPr>
          <w:rFonts w:eastAsia="黑体"/>
          <w:b/>
          <w:bCs/>
          <w:kern w:val="0"/>
          <w:sz w:val="32"/>
          <w:szCs w:val="32"/>
          <w:lang w:bidi="ar"/>
        </w:rPr>
      </w:pPr>
      <w:r>
        <w:rPr>
          <w:rFonts w:eastAsia="黑体"/>
          <w:b/>
          <w:bCs/>
          <w:kern w:val="0"/>
          <w:sz w:val="32"/>
          <w:szCs w:val="32"/>
          <w:lang w:bidi="ar"/>
        </w:rPr>
        <w:t>看大国渔业崛起后的转型升级</w:t>
      </w:r>
    </w:p>
    <w:p w14:paraId="0DE6C59A" w14:textId="77777777" w:rsidR="006D73E5" w:rsidRDefault="00000000">
      <w:pPr>
        <w:spacing w:line="360" w:lineRule="auto"/>
        <w:ind w:firstLineChars="200" w:firstLine="480"/>
        <w:rPr>
          <w:rFonts w:eastAsiaTheme="majorEastAsia"/>
          <w:kern w:val="0"/>
          <w:sz w:val="24"/>
          <w:lang w:bidi="ar"/>
        </w:rPr>
      </w:pPr>
      <w:r>
        <w:rPr>
          <w:rFonts w:eastAsiaTheme="majorEastAsia"/>
          <w:kern w:val="0"/>
          <w:sz w:val="24"/>
          <w:lang w:bidi="ar"/>
        </w:rPr>
        <w:t>渔业是一个古老而又新兴的产业，无论是先民结网捕鱼，还是春秋战国出现水产养殖，</w:t>
      </w:r>
      <w:r>
        <w:rPr>
          <w:rFonts w:eastAsiaTheme="majorEastAsia"/>
          <w:kern w:val="0"/>
          <w:sz w:val="24"/>
          <w:lang w:bidi="ar"/>
        </w:rPr>
        <w:lastRenderedPageBreak/>
        <w:t>先有渔猎后有农耕，水产品是人类最古老的食物来源之一。</w:t>
      </w:r>
    </w:p>
    <w:p w14:paraId="6937665B" w14:textId="77777777" w:rsidR="006D73E5" w:rsidRDefault="00000000">
      <w:pPr>
        <w:pStyle w:val="ad"/>
        <w:spacing w:before="0" w:beforeAutospacing="0" w:after="0" w:afterAutospacing="0" w:line="360" w:lineRule="auto"/>
        <w:ind w:right="240" w:firstLineChars="200" w:firstLine="480"/>
        <w:rPr>
          <w:rFonts w:ascii="Times New Roman" w:eastAsiaTheme="majorEastAsia" w:hAnsi="Times New Roman" w:cs="Times New Roman"/>
          <w:lang w:bidi="ar"/>
        </w:rPr>
      </w:pPr>
      <w:r>
        <w:rPr>
          <w:rFonts w:ascii="Times New Roman" w:eastAsiaTheme="majorEastAsia" w:hAnsi="Times New Roman" w:cs="Times New Roman"/>
          <w:lang w:bidi="ar"/>
        </w:rPr>
        <w:t>中国渔业从小到大、从弱到强，从</w:t>
      </w:r>
      <w:r>
        <w:rPr>
          <w:rFonts w:ascii="Times New Roman" w:eastAsiaTheme="majorEastAsia" w:hAnsi="Times New Roman" w:cs="Times New Roman"/>
          <w:lang w:bidi="ar"/>
        </w:rPr>
        <w:t>“</w:t>
      </w:r>
      <w:r>
        <w:rPr>
          <w:rFonts w:ascii="Times New Roman" w:eastAsiaTheme="majorEastAsia" w:hAnsi="Times New Roman" w:cs="Times New Roman"/>
          <w:lang w:bidi="ar"/>
        </w:rPr>
        <w:t>可有可无</w:t>
      </w:r>
      <w:r>
        <w:rPr>
          <w:rFonts w:ascii="Times New Roman" w:eastAsiaTheme="majorEastAsia" w:hAnsi="Times New Roman" w:cs="Times New Roman"/>
          <w:lang w:bidi="ar"/>
        </w:rPr>
        <w:t>”</w:t>
      </w:r>
      <w:r>
        <w:rPr>
          <w:rFonts w:ascii="Times New Roman" w:eastAsiaTheme="majorEastAsia" w:hAnsi="Times New Roman" w:cs="Times New Roman"/>
          <w:lang w:bidi="ar"/>
        </w:rPr>
        <w:t>的副业，发展成为农业农村的支柱产业。在大食物观的指引下，我国渔业探索出一条产业发展与生态环保相结合、绿色可持续的高质量发展之路，取得了历史性变革和举世瞩目的巨大成就。在保障农产品供给和国家食物安全、增加农民收入和农村就业、维护国家海洋权益、加强生态文明建设等方面发挥了重要作用。</w:t>
      </w:r>
    </w:p>
    <w:p w14:paraId="0D5EA0DB" w14:textId="77777777" w:rsidR="006D73E5" w:rsidRDefault="00000000">
      <w:pPr>
        <w:pStyle w:val="ad"/>
        <w:spacing w:before="0" w:beforeAutospacing="0" w:after="0" w:afterAutospacing="0" w:line="360" w:lineRule="auto"/>
        <w:rPr>
          <w:rFonts w:ascii="Times New Roman" w:eastAsiaTheme="majorEastAsia" w:hAnsi="Times New Roman" w:cs="Times New Roman"/>
          <w:b/>
          <w:bCs/>
          <w:lang w:bidi="ar"/>
        </w:rPr>
      </w:pPr>
      <w:r>
        <w:rPr>
          <w:rFonts w:ascii="Times New Roman" w:eastAsiaTheme="majorEastAsia" w:hAnsi="Times New Roman" w:cs="Times New Roman"/>
          <w:b/>
          <w:bCs/>
          <w:lang w:bidi="ar"/>
        </w:rPr>
        <w:t>养捕结合以养为主，水产供给能力和渔民收入稳步提升</w:t>
      </w:r>
    </w:p>
    <w:p w14:paraId="024DA557"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新中国渔业从增加渔民收入、解决群众</w:t>
      </w:r>
      <w:r>
        <w:rPr>
          <w:rFonts w:ascii="Times New Roman" w:eastAsiaTheme="majorEastAsia" w:hAnsi="Times New Roman" w:cs="Times New Roman"/>
          <w:lang w:bidi="ar"/>
        </w:rPr>
        <w:t>“</w:t>
      </w:r>
      <w:r>
        <w:rPr>
          <w:rFonts w:ascii="Times New Roman" w:eastAsiaTheme="majorEastAsia" w:hAnsi="Times New Roman" w:cs="Times New Roman"/>
          <w:lang w:bidi="ar"/>
        </w:rPr>
        <w:t>吃鱼难</w:t>
      </w:r>
      <w:r>
        <w:rPr>
          <w:rFonts w:ascii="Times New Roman" w:eastAsiaTheme="majorEastAsia" w:hAnsi="Times New Roman" w:cs="Times New Roman"/>
          <w:lang w:bidi="ar"/>
        </w:rPr>
        <w:t>”</w:t>
      </w:r>
      <w:r>
        <w:rPr>
          <w:rFonts w:ascii="Times New Roman" w:eastAsiaTheme="majorEastAsia" w:hAnsi="Times New Roman" w:cs="Times New Roman"/>
          <w:lang w:bidi="ar"/>
        </w:rPr>
        <w:t>、丰富城乡居民</w:t>
      </w:r>
      <w:r>
        <w:rPr>
          <w:rFonts w:ascii="Times New Roman" w:eastAsiaTheme="majorEastAsia" w:hAnsi="Times New Roman" w:cs="Times New Roman"/>
          <w:lang w:bidi="ar"/>
        </w:rPr>
        <w:t>“</w:t>
      </w:r>
      <w:r>
        <w:rPr>
          <w:rFonts w:ascii="Times New Roman" w:eastAsiaTheme="majorEastAsia" w:hAnsi="Times New Roman" w:cs="Times New Roman"/>
          <w:lang w:bidi="ar"/>
        </w:rPr>
        <w:t>菜篮子</w:t>
      </w:r>
      <w:r>
        <w:rPr>
          <w:rFonts w:ascii="Times New Roman" w:eastAsiaTheme="majorEastAsia" w:hAnsi="Times New Roman" w:cs="Times New Roman"/>
          <w:lang w:bidi="ar"/>
        </w:rPr>
        <w:t>”</w:t>
      </w:r>
      <w:r>
        <w:rPr>
          <w:rFonts w:ascii="Times New Roman" w:eastAsiaTheme="majorEastAsia" w:hAnsi="Times New Roman" w:cs="Times New Roman"/>
          <w:lang w:bidi="ar"/>
        </w:rPr>
        <w:t>的需求出发，经历了几十年的高速增长，并逐渐发展壮大形成完整产业体系。自</w:t>
      </w:r>
      <w:r>
        <w:rPr>
          <w:rFonts w:ascii="Times New Roman" w:eastAsiaTheme="majorEastAsia" w:hAnsi="Times New Roman" w:cs="Times New Roman"/>
          <w:lang w:bidi="ar"/>
        </w:rPr>
        <w:t>1989</w:t>
      </w:r>
      <w:r>
        <w:rPr>
          <w:rFonts w:ascii="Times New Roman" w:eastAsiaTheme="majorEastAsia" w:hAnsi="Times New Roman" w:cs="Times New Roman"/>
          <w:lang w:bidi="ar"/>
        </w:rPr>
        <w:t>年起，我国水产品产量跃居世界第一位，已经连续</w:t>
      </w:r>
      <w:r>
        <w:rPr>
          <w:rFonts w:ascii="Times New Roman" w:eastAsiaTheme="majorEastAsia" w:hAnsi="Times New Roman" w:cs="Times New Roman"/>
          <w:lang w:bidi="ar"/>
        </w:rPr>
        <w:t>33</w:t>
      </w:r>
      <w:r>
        <w:rPr>
          <w:rFonts w:ascii="Times New Roman" w:eastAsiaTheme="majorEastAsia" w:hAnsi="Times New Roman" w:cs="Times New Roman"/>
          <w:lang w:bidi="ar"/>
        </w:rPr>
        <w:t>年保持世界首位。</w:t>
      </w:r>
    </w:p>
    <w:p w14:paraId="77CC9B6C" w14:textId="77777777" w:rsidR="006D73E5" w:rsidRDefault="00000000" w:rsidP="00983761">
      <w:pPr>
        <w:widowControl/>
        <w:spacing w:line="360" w:lineRule="auto"/>
        <w:ind w:firstLineChars="200" w:firstLine="480"/>
        <w:rPr>
          <w:rFonts w:eastAsiaTheme="majorEastAsia"/>
          <w:kern w:val="0"/>
          <w:sz w:val="24"/>
          <w:lang w:bidi="ar"/>
        </w:rPr>
      </w:pPr>
      <w:r>
        <w:rPr>
          <w:rFonts w:eastAsiaTheme="majorEastAsia"/>
          <w:kern w:val="0"/>
          <w:sz w:val="24"/>
          <w:lang w:bidi="ar"/>
        </w:rPr>
        <w:t>党的十八大以来，习近平总书记十分重视渔业发展、关心渔民群众生产生活，多次深入到渔区视察调研，对渔业发展和渔业资源养护作出重要指示批示。</w:t>
      </w:r>
      <w:r>
        <w:rPr>
          <w:rFonts w:eastAsiaTheme="majorEastAsia"/>
          <w:kern w:val="0"/>
          <w:sz w:val="24"/>
          <w:lang w:bidi="ar"/>
        </w:rPr>
        <w:t>2013</w:t>
      </w:r>
      <w:r>
        <w:rPr>
          <w:rFonts w:eastAsiaTheme="majorEastAsia"/>
          <w:kern w:val="0"/>
          <w:sz w:val="24"/>
          <w:lang w:bidi="ar"/>
        </w:rPr>
        <w:t>年</w:t>
      </w:r>
      <w:r>
        <w:rPr>
          <w:rFonts w:eastAsiaTheme="majorEastAsia"/>
          <w:kern w:val="0"/>
          <w:sz w:val="24"/>
          <w:lang w:bidi="ar"/>
        </w:rPr>
        <w:t>4</w:t>
      </w:r>
      <w:r>
        <w:rPr>
          <w:rFonts w:eastAsiaTheme="majorEastAsia"/>
          <w:kern w:val="0"/>
          <w:sz w:val="24"/>
          <w:lang w:bidi="ar"/>
        </w:rPr>
        <w:t>月</w:t>
      </w:r>
      <w:r>
        <w:rPr>
          <w:rFonts w:eastAsiaTheme="majorEastAsia"/>
          <w:kern w:val="0"/>
          <w:sz w:val="24"/>
          <w:lang w:bidi="ar"/>
        </w:rPr>
        <w:t>8</w:t>
      </w:r>
      <w:r>
        <w:rPr>
          <w:rFonts w:eastAsiaTheme="majorEastAsia"/>
          <w:kern w:val="0"/>
          <w:sz w:val="24"/>
          <w:lang w:bidi="ar"/>
        </w:rPr>
        <w:t>日，习近平总书记考察海南省琼海市潭门镇时，曾登上渔船，与渔民亲切交谈，询问远航安全情况和生活状况，与船员们分享收获的喜悦。</w:t>
      </w:r>
    </w:p>
    <w:p w14:paraId="7F736D80"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水产品是重要的农产品，也是优质动物蛋白的重要来源。我国水产品年产量多年保持在</w:t>
      </w:r>
      <w:r>
        <w:rPr>
          <w:rFonts w:ascii="Times New Roman" w:eastAsiaTheme="majorEastAsia" w:hAnsi="Times New Roman" w:cs="Times New Roman"/>
          <w:lang w:bidi="ar"/>
        </w:rPr>
        <w:t>6500</w:t>
      </w:r>
      <w:r>
        <w:rPr>
          <w:rFonts w:ascii="Times New Roman" w:eastAsiaTheme="majorEastAsia" w:hAnsi="Times New Roman" w:cs="Times New Roman"/>
          <w:lang w:bidi="ar"/>
        </w:rPr>
        <w:t>万吨以上。</w:t>
      </w:r>
      <w:r>
        <w:rPr>
          <w:rFonts w:ascii="Times New Roman" w:eastAsiaTheme="majorEastAsia" w:hAnsi="Times New Roman" w:cs="Times New Roman"/>
          <w:lang w:bidi="ar"/>
        </w:rPr>
        <w:t>2021</w:t>
      </w:r>
      <w:r>
        <w:rPr>
          <w:rFonts w:ascii="Times New Roman" w:eastAsiaTheme="majorEastAsia" w:hAnsi="Times New Roman" w:cs="Times New Roman"/>
          <w:lang w:bidi="ar"/>
        </w:rPr>
        <w:t>年全国水产品总产量达</w:t>
      </w:r>
      <w:r>
        <w:rPr>
          <w:rFonts w:ascii="Times New Roman" w:eastAsiaTheme="majorEastAsia" w:hAnsi="Times New Roman" w:cs="Times New Roman"/>
          <w:lang w:bidi="ar"/>
        </w:rPr>
        <w:t>6690.29</w:t>
      </w:r>
      <w:r>
        <w:rPr>
          <w:rFonts w:ascii="Times New Roman" w:eastAsiaTheme="majorEastAsia" w:hAnsi="Times New Roman" w:cs="Times New Roman"/>
          <w:lang w:bidi="ar"/>
        </w:rPr>
        <w:t>万吨，比上年增长</w:t>
      </w:r>
      <w:r>
        <w:rPr>
          <w:rFonts w:ascii="Times New Roman" w:eastAsiaTheme="majorEastAsia" w:hAnsi="Times New Roman" w:cs="Times New Roman"/>
          <w:lang w:bidi="ar"/>
        </w:rPr>
        <w:t>2.16</w:t>
      </w:r>
      <w:r>
        <w:rPr>
          <w:rFonts w:ascii="Times New Roman" w:eastAsiaTheme="majorEastAsia" w:hAnsi="Times New Roman" w:cs="Times New Roman"/>
          <w:lang w:bidi="ar"/>
        </w:rPr>
        <w:t>％；海水产品产量</w:t>
      </w:r>
      <w:r>
        <w:rPr>
          <w:rFonts w:ascii="Times New Roman" w:eastAsiaTheme="majorEastAsia" w:hAnsi="Times New Roman" w:cs="Times New Roman"/>
          <w:lang w:bidi="ar"/>
        </w:rPr>
        <w:t>3387.24</w:t>
      </w:r>
      <w:r>
        <w:rPr>
          <w:rFonts w:ascii="Times New Roman" w:eastAsiaTheme="majorEastAsia" w:hAnsi="Times New Roman" w:cs="Times New Roman"/>
          <w:lang w:bidi="ar"/>
        </w:rPr>
        <w:t>万吨，同比增长</w:t>
      </w:r>
      <w:r>
        <w:rPr>
          <w:rFonts w:ascii="Times New Roman" w:eastAsiaTheme="majorEastAsia" w:hAnsi="Times New Roman" w:cs="Times New Roman"/>
          <w:lang w:bidi="ar"/>
        </w:rPr>
        <w:t>2.20</w:t>
      </w:r>
      <w:r>
        <w:rPr>
          <w:rFonts w:ascii="Times New Roman" w:eastAsiaTheme="majorEastAsia" w:hAnsi="Times New Roman" w:cs="Times New Roman"/>
          <w:lang w:bidi="ar"/>
        </w:rPr>
        <w:t>％，淡水产品产量</w:t>
      </w:r>
      <w:r>
        <w:rPr>
          <w:rFonts w:ascii="Times New Roman" w:eastAsiaTheme="majorEastAsia" w:hAnsi="Times New Roman" w:cs="Times New Roman"/>
          <w:lang w:bidi="ar"/>
        </w:rPr>
        <w:t>3303.05</w:t>
      </w:r>
      <w:r>
        <w:rPr>
          <w:rFonts w:ascii="Times New Roman" w:eastAsiaTheme="majorEastAsia" w:hAnsi="Times New Roman" w:cs="Times New Roman"/>
          <w:lang w:bidi="ar"/>
        </w:rPr>
        <w:t>万吨，同比增长</w:t>
      </w:r>
      <w:r>
        <w:rPr>
          <w:rFonts w:ascii="Times New Roman" w:eastAsiaTheme="majorEastAsia" w:hAnsi="Times New Roman" w:cs="Times New Roman"/>
          <w:lang w:bidi="ar"/>
        </w:rPr>
        <w:t>2.11</w:t>
      </w:r>
      <w:r>
        <w:rPr>
          <w:rFonts w:ascii="Times New Roman" w:eastAsiaTheme="majorEastAsia" w:hAnsi="Times New Roman" w:cs="Times New Roman"/>
          <w:lang w:bidi="ar"/>
        </w:rPr>
        <w:t>％。</w:t>
      </w:r>
    </w:p>
    <w:p w14:paraId="0A3CD498"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我国是世界上主要渔业国家中唯一养殖产量超过捕捞产量的国家。</w:t>
      </w:r>
      <w:r>
        <w:rPr>
          <w:rFonts w:ascii="Times New Roman" w:eastAsiaTheme="majorEastAsia" w:hAnsi="Times New Roman" w:cs="Times New Roman"/>
          <w:lang w:bidi="ar"/>
        </w:rPr>
        <w:t>2021</w:t>
      </w:r>
      <w:r>
        <w:rPr>
          <w:rFonts w:ascii="Times New Roman" w:eastAsiaTheme="majorEastAsia" w:hAnsi="Times New Roman" w:cs="Times New Roman"/>
          <w:lang w:bidi="ar"/>
        </w:rPr>
        <w:t>年，我国水产养殖产量</w:t>
      </w:r>
      <w:r>
        <w:rPr>
          <w:rFonts w:ascii="Times New Roman" w:eastAsiaTheme="majorEastAsia" w:hAnsi="Times New Roman" w:cs="Times New Roman"/>
          <w:lang w:bidi="ar"/>
        </w:rPr>
        <w:t>5394.4</w:t>
      </w:r>
      <w:r>
        <w:rPr>
          <w:rFonts w:ascii="Times New Roman" w:eastAsiaTheme="majorEastAsia" w:hAnsi="Times New Roman" w:cs="Times New Roman"/>
          <w:lang w:bidi="ar"/>
        </w:rPr>
        <w:t>万吨，占水产品总产量</w:t>
      </w:r>
      <w:r>
        <w:rPr>
          <w:rFonts w:ascii="Times New Roman" w:eastAsiaTheme="majorEastAsia" w:hAnsi="Times New Roman" w:cs="Times New Roman"/>
          <w:lang w:bidi="ar"/>
        </w:rPr>
        <w:t>81</w:t>
      </w:r>
      <w:r>
        <w:rPr>
          <w:rFonts w:ascii="Times New Roman" w:eastAsiaTheme="majorEastAsia" w:hAnsi="Times New Roman" w:cs="Times New Roman"/>
          <w:lang w:bidi="ar"/>
        </w:rPr>
        <w:t>％；捕捞产量</w:t>
      </w:r>
      <w:r>
        <w:rPr>
          <w:rFonts w:ascii="Times New Roman" w:eastAsiaTheme="majorEastAsia" w:hAnsi="Times New Roman" w:cs="Times New Roman"/>
          <w:lang w:bidi="ar"/>
        </w:rPr>
        <w:t>1295.9</w:t>
      </w:r>
      <w:r>
        <w:rPr>
          <w:rFonts w:ascii="Times New Roman" w:eastAsiaTheme="majorEastAsia" w:hAnsi="Times New Roman" w:cs="Times New Roman"/>
          <w:lang w:bidi="ar"/>
        </w:rPr>
        <w:t>万吨，占水产品总产量</w:t>
      </w:r>
      <w:r>
        <w:rPr>
          <w:rFonts w:ascii="Times New Roman" w:eastAsiaTheme="majorEastAsia" w:hAnsi="Times New Roman" w:cs="Times New Roman"/>
          <w:lang w:bidi="ar"/>
        </w:rPr>
        <w:t>19</w:t>
      </w:r>
      <w:r>
        <w:rPr>
          <w:rFonts w:ascii="Times New Roman" w:eastAsiaTheme="majorEastAsia" w:hAnsi="Times New Roman" w:cs="Times New Roman"/>
          <w:lang w:bidi="ar"/>
        </w:rPr>
        <w:t>％。目前，我国已稳居世界第一渔业大国，养殖水产品占到全世界养殖产量</w:t>
      </w:r>
      <w:r>
        <w:rPr>
          <w:rFonts w:ascii="Times New Roman" w:eastAsiaTheme="majorEastAsia" w:hAnsi="Times New Roman" w:cs="Times New Roman"/>
          <w:lang w:bidi="ar"/>
        </w:rPr>
        <w:t>60</w:t>
      </w:r>
      <w:r>
        <w:rPr>
          <w:rFonts w:ascii="Times New Roman" w:eastAsiaTheme="majorEastAsia" w:hAnsi="Times New Roman" w:cs="Times New Roman"/>
          <w:lang w:bidi="ar"/>
        </w:rPr>
        <w:t>％以上。</w:t>
      </w:r>
    </w:p>
    <w:p w14:paraId="5AB47FE4"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我国渔业发展不仅成功解决了</w:t>
      </w:r>
      <w:r>
        <w:rPr>
          <w:rFonts w:ascii="Times New Roman" w:eastAsiaTheme="majorEastAsia" w:hAnsi="Times New Roman" w:cs="Times New Roman"/>
          <w:lang w:bidi="ar"/>
        </w:rPr>
        <w:t>14</w:t>
      </w:r>
      <w:r>
        <w:rPr>
          <w:rFonts w:ascii="Times New Roman" w:eastAsiaTheme="majorEastAsia" w:hAnsi="Times New Roman" w:cs="Times New Roman"/>
          <w:lang w:bidi="ar"/>
        </w:rPr>
        <w:t>亿国人吃鱼难的问题，也为世界粮食安全作出了重要贡献。</w:t>
      </w:r>
      <w:r>
        <w:rPr>
          <w:rFonts w:ascii="Times New Roman" w:eastAsiaTheme="majorEastAsia" w:hAnsi="Times New Roman" w:cs="Times New Roman"/>
          <w:lang w:bidi="ar"/>
        </w:rPr>
        <w:t>2021</w:t>
      </w:r>
      <w:r>
        <w:rPr>
          <w:rFonts w:ascii="Times New Roman" w:eastAsiaTheme="majorEastAsia" w:hAnsi="Times New Roman" w:cs="Times New Roman"/>
          <w:lang w:bidi="ar"/>
        </w:rPr>
        <w:t>年，我国人均水产品占有量</w:t>
      </w:r>
      <w:r>
        <w:rPr>
          <w:rFonts w:ascii="Times New Roman" w:eastAsiaTheme="majorEastAsia" w:hAnsi="Times New Roman" w:cs="Times New Roman"/>
          <w:lang w:bidi="ar"/>
        </w:rPr>
        <w:t>47.36</w:t>
      </w:r>
      <w:r>
        <w:rPr>
          <w:rFonts w:ascii="Times New Roman" w:eastAsiaTheme="majorEastAsia" w:hAnsi="Times New Roman" w:cs="Times New Roman"/>
          <w:lang w:bidi="ar"/>
        </w:rPr>
        <w:t>公斤，比上年增加</w:t>
      </w:r>
      <w:r>
        <w:rPr>
          <w:rFonts w:ascii="Times New Roman" w:eastAsiaTheme="majorEastAsia" w:hAnsi="Times New Roman" w:cs="Times New Roman"/>
          <w:lang w:bidi="ar"/>
        </w:rPr>
        <w:t>0.97</w:t>
      </w:r>
      <w:r>
        <w:rPr>
          <w:rFonts w:ascii="Times New Roman" w:eastAsiaTheme="majorEastAsia" w:hAnsi="Times New Roman" w:cs="Times New Roman"/>
          <w:lang w:bidi="ar"/>
        </w:rPr>
        <w:t>公斤，增长</w:t>
      </w:r>
      <w:r>
        <w:rPr>
          <w:rFonts w:ascii="Times New Roman" w:eastAsiaTheme="majorEastAsia" w:hAnsi="Times New Roman" w:cs="Times New Roman"/>
          <w:lang w:bidi="ar"/>
        </w:rPr>
        <w:t>2.09</w:t>
      </w:r>
      <w:r>
        <w:rPr>
          <w:rFonts w:ascii="Times New Roman" w:eastAsiaTheme="majorEastAsia" w:hAnsi="Times New Roman" w:cs="Times New Roman"/>
          <w:lang w:bidi="ar"/>
        </w:rPr>
        <w:t>％，是世界平均水平的</w:t>
      </w:r>
      <w:r>
        <w:rPr>
          <w:rFonts w:ascii="Times New Roman" w:eastAsiaTheme="majorEastAsia" w:hAnsi="Times New Roman" w:cs="Times New Roman"/>
          <w:lang w:bidi="ar"/>
        </w:rPr>
        <w:t>2</w:t>
      </w:r>
      <w:r>
        <w:rPr>
          <w:rFonts w:ascii="Times New Roman" w:eastAsiaTheme="majorEastAsia" w:hAnsi="Times New Roman" w:cs="Times New Roman"/>
          <w:lang w:bidi="ar"/>
        </w:rPr>
        <w:t>倍，约占人均动物蛋白消费量的</w:t>
      </w:r>
      <w:r>
        <w:rPr>
          <w:rFonts w:ascii="Times New Roman" w:eastAsiaTheme="majorEastAsia" w:hAnsi="Times New Roman" w:cs="Times New Roman"/>
          <w:lang w:bidi="ar"/>
        </w:rPr>
        <w:t>1/3</w:t>
      </w:r>
      <w:r>
        <w:rPr>
          <w:rFonts w:ascii="Times New Roman" w:eastAsiaTheme="majorEastAsia" w:hAnsi="Times New Roman" w:cs="Times New Roman"/>
          <w:lang w:bidi="ar"/>
        </w:rPr>
        <w:t>。</w:t>
      </w:r>
    </w:p>
    <w:p w14:paraId="599B4244" w14:textId="77777777" w:rsidR="006D73E5" w:rsidRDefault="00000000" w:rsidP="00983761">
      <w:pPr>
        <w:widowControl/>
        <w:spacing w:line="360" w:lineRule="auto"/>
        <w:ind w:firstLineChars="200" w:firstLine="480"/>
        <w:rPr>
          <w:rFonts w:eastAsiaTheme="majorEastAsia"/>
          <w:kern w:val="0"/>
          <w:sz w:val="24"/>
          <w:lang w:bidi="ar"/>
        </w:rPr>
      </w:pPr>
      <w:r>
        <w:rPr>
          <w:rFonts w:eastAsiaTheme="majorEastAsia"/>
          <w:kern w:val="0"/>
          <w:sz w:val="24"/>
          <w:lang w:bidi="ar"/>
        </w:rPr>
        <w:t>如今，各类名特优新水产品充盈国内市场，群众在多吃鱼、吃好鱼上有了更多选择，水产品再不是群众餐桌上</w:t>
      </w:r>
      <w:r>
        <w:rPr>
          <w:rFonts w:eastAsiaTheme="majorEastAsia"/>
          <w:kern w:val="0"/>
          <w:sz w:val="24"/>
          <w:lang w:bidi="ar"/>
        </w:rPr>
        <w:t>“</w:t>
      </w:r>
      <w:r>
        <w:rPr>
          <w:rFonts w:eastAsiaTheme="majorEastAsia"/>
          <w:kern w:val="0"/>
          <w:sz w:val="24"/>
          <w:lang w:bidi="ar"/>
        </w:rPr>
        <w:t>锦上添花</w:t>
      </w:r>
      <w:r>
        <w:rPr>
          <w:rFonts w:eastAsiaTheme="majorEastAsia"/>
          <w:kern w:val="0"/>
          <w:sz w:val="24"/>
          <w:lang w:bidi="ar"/>
        </w:rPr>
        <w:t>”“</w:t>
      </w:r>
      <w:r>
        <w:rPr>
          <w:rFonts w:eastAsiaTheme="majorEastAsia"/>
          <w:kern w:val="0"/>
          <w:sz w:val="24"/>
          <w:lang w:bidi="ar"/>
        </w:rPr>
        <w:t>可有可无</w:t>
      </w:r>
      <w:r>
        <w:rPr>
          <w:rFonts w:eastAsiaTheme="majorEastAsia"/>
          <w:kern w:val="0"/>
          <w:sz w:val="24"/>
          <w:lang w:bidi="ar"/>
        </w:rPr>
        <w:t>”</w:t>
      </w:r>
      <w:r>
        <w:rPr>
          <w:rFonts w:eastAsiaTheme="majorEastAsia"/>
          <w:kern w:val="0"/>
          <w:sz w:val="24"/>
          <w:lang w:bidi="ar"/>
        </w:rPr>
        <w:t>的菜品，已逐步变成餐桌上的</w:t>
      </w:r>
      <w:r>
        <w:rPr>
          <w:rFonts w:eastAsiaTheme="majorEastAsia"/>
          <w:kern w:val="0"/>
          <w:sz w:val="24"/>
          <w:lang w:bidi="ar"/>
        </w:rPr>
        <w:t>“</w:t>
      </w:r>
      <w:r>
        <w:rPr>
          <w:rFonts w:eastAsiaTheme="majorEastAsia"/>
          <w:kern w:val="0"/>
          <w:sz w:val="24"/>
          <w:lang w:bidi="ar"/>
        </w:rPr>
        <w:t>必需品</w:t>
      </w:r>
      <w:r>
        <w:rPr>
          <w:rFonts w:eastAsiaTheme="majorEastAsia"/>
          <w:kern w:val="0"/>
          <w:sz w:val="24"/>
          <w:lang w:bidi="ar"/>
        </w:rPr>
        <w:t>”</w:t>
      </w:r>
      <w:r>
        <w:rPr>
          <w:rFonts w:eastAsiaTheme="majorEastAsia"/>
          <w:kern w:val="0"/>
          <w:sz w:val="24"/>
          <w:lang w:bidi="ar"/>
        </w:rPr>
        <w:t>。</w:t>
      </w:r>
    </w:p>
    <w:p w14:paraId="344A0EE2"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我国水产养殖种类达</w:t>
      </w:r>
      <w:r>
        <w:rPr>
          <w:rFonts w:ascii="Times New Roman" w:eastAsiaTheme="majorEastAsia" w:hAnsi="Times New Roman" w:cs="Times New Roman"/>
          <w:lang w:bidi="ar"/>
        </w:rPr>
        <w:t>300</w:t>
      </w:r>
      <w:r>
        <w:rPr>
          <w:rFonts w:ascii="Times New Roman" w:eastAsiaTheme="majorEastAsia" w:hAnsi="Times New Roman" w:cs="Times New Roman"/>
          <w:lang w:bidi="ar"/>
        </w:rPr>
        <w:t>种以上，涵盖鱼、虾、蟹、贝、藻等各类水产品种。其中草、鲢、鳙、鲤、鲫和罗非鱼等鱼类品种产量超过</w:t>
      </w:r>
      <w:r>
        <w:rPr>
          <w:rFonts w:ascii="Times New Roman" w:eastAsiaTheme="majorEastAsia" w:hAnsi="Times New Roman" w:cs="Times New Roman"/>
          <w:lang w:bidi="ar"/>
        </w:rPr>
        <w:t>100</w:t>
      </w:r>
      <w:r>
        <w:rPr>
          <w:rFonts w:ascii="Times New Roman" w:eastAsiaTheme="majorEastAsia" w:hAnsi="Times New Roman" w:cs="Times New Roman"/>
          <w:lang w:bidi="ar"/>
        </w:rPr>
        <w:t>万吨；河蟹产量超过</w:t>
      </w:r>
      <w:r>
        <w:rPr>
          <w:rFonts w:ascii="Times New Roman" w:eastAsiaTheme="majorEastAsia" w:hAnsi="Times New Roman" w:cs="Times New Roman"/>
          <w:lang w:bidi="ar"/>
        </w:rPr>
        <w:t>50</w:t>
      </w:r>
      <w:r>
        <w:rPr>
          <w:rFonts w:ascii="Times New Roman" w:eastAsiaTheme="majorEastAsia" w:hAnsi="Times New Roman" w:cs="Times New Roman"/>
          <w:lang w:bidi="ar"/>
        </w:rPr>
        <w:t>万吨；牡蛎、蛤和扇贝等产量超过</w:t>
      </w:r>
      <w:r>
        <w:rPr>
          <w:rFonts w:ascii="Times New Roman" w:eastAsiaTheme="majorEastAsia" w:hAnsi="Times New Roman" w:cs="Times New Roman"/>
          <w:lang w:bidi="ar"/>
        </w:rPr>
        <w:t>100</w:t>
      </w:r>
      <w:r>
        <w:rPr>
          <w:rFonts w:ascii="Times New Roman" w:eastAsiaTheme="majorEastAsia" w:hAnsi="Times New Roman" w:cs="Times New Roman"/>
          <w:lang w:bidi="ar"/>
        </w:rPr>
        <w:t>万吨；海带和江蓠产量超过</w:t>
      </w:r>
      <w:r>
        <w:rPr>
          <w:rFonts w:ascii="Times New Roman" w:eastAsiaTheme="majorEastAsia" w:hAnsi="Times New Roman" w:cs="Times New Roman"/>
          <w:lang w:bidi="ar"/>
        </w:rPr>
        <w:t>30</w:t>
      </w:r>
      <w:r>
        <w:rPr>
          <w:rFonts w:ascii="Times New Roman" w:eastAsiaTheme="majorEastAsia" w:hAnsi="Times New Roman" w:cs="Times New Roman"/>
          <w:lang w:bidi="ar"/>
        </w:rPr>
        <w:t>万吨。海洋捕捞优质水产品的重要来源，鱼类产量超过</w:t>
      </w:r>
      <w:r>
        <w:rPr>
          <w:rFonts w:ascii="Times New Roman" w:eastAsiaTheme="majorEastAsia" w:hAnsi="Times New Roman" w:cs="Times New Roman"/>
          <w:lang w:bidi="ar"/>
        </w:rPr>
        <w:t>800</w:t>
      </w:r>
      <w:r>
        <w:rPr>
          <w:rFonts w:ascii="Times New Roman" w:eastAsiaTheme="majorEastAsia" w:hAnsi="Times New Roman" w:cs="Times New Roman"/>
          <w:lang w:bidi="ar"/>
        </w:rPr>
        <w:t>万吨，虾、蟹等甲壳类水产品产量近</w:t>
      </w:r>
      <w:r>
        <w:rPr>
          <w:rFonts w:ascii="Times New Roman" w:eastAsiaTheme="majorEastAsia" w:hAnsi="Times New Roman" w:cs="Times New Roman"/>
          <w:lang w:bidi="ar"/>
        </w:rPr>
        <w:t>200</w:t>
      </w:r>
      <w:r>
        <w:rPr>
          <w:rFonts w:ascii="Times New Roman" w:eastAsiaTheme="majorEastAsia" w:hAnsi="Times New Roman" w:cs="Times New Roman"/>
          <w:lang w:bidi="ar"/>
        </w:rPr>
        <w:t>万吨。</w:t>
      </w:r>
    </w:p>
    <w:p w14:paraId="1829C853" w14:textId="77777777" w:rsidR="006D73E5" w:rsidRDefault="00000000" w:rsidP="00983761">
      <w:pPr>
        <w:widowControl/>
        <w:spacing w:line="360" w:lineRule="auto"/>
        <w:ind w:firstLineChars="200" w:firstLine="480"/>
        <w:rPr>
          <w:rFonts w:eastAsiaTheme="majorEastAsia"/>
          <w:kern w:val="0"/>
          <w:sz w:val="24"/>
          <w:lang w:bidi="ar"/>
        </w:rPr>
      </w:pPr>
      <w:r>
        <w:rPr>
          <w:rFonts w:eastAsiaTheme="majorEastAsia"/>
          <w:kern w:val="0"/>
          <w:sz w:val="24"/>
          <w:lang w:bidi="ar"/>
        </w:rPr>
        <w:lastRenderedPageBreak/>
        <w:t>我国渔业的快速发展在丰富居民餐桌的同时，也给养殖户和渔民带来较丰厚的收益。据对全国近</w:t>
      </w:r>
      <w:r>
        <w:rPr>
          <w:rFonts w:eastAsiaTheme="majorEastAsia"/>
          <w:kern w:val="0"/>
          <w:sz w:val="24"/>
          <w:lang w:bidi="ar"/>
        </w:rPr>
        <w:t>1</w:t>
      </w:r>
      <w:r>
        <w:rPr>
          <w:rFonts w:eastAsiaTheme="majorEastAsia"/>
          <w:kern w:val="0"/>
          <w:sz w:val="24"/>
          <w:lang w:bidi="ar"/>
        </w:rPr>
        <w:t>万户渔民家庭当年收支情况调查，</w:t>
      </w:r>
      <w:r>
        <w:rPr>
          <w:rFonts w:eastAsiaTheme="majorEastAsia"/>
          <w:kern w:val="0"/>
          <w:sz w:val="24"/>
          <w:lang w:bidi="ar"/>
        </w:rPr>
        <w:t>2021</w:t>
      </w:r>
      <w:r>
        <w:rPr>
          <w:rFonts w:eastAsiaTheme="majorEastAsia"/>
          <w:kern w:val="0"/>
          <w:sz w:val="24"/>
          <w:lang w:bidi="ar"/>
        </w:rPr>
        <w:t>年，全国渔民人均纯收入</w:t>
      </w:r>
      <w:r>
        <w:rPr>
          <w:rFonts w:eastAsiaTheme="majorEastAsia"/>
          <w:kern w:val="0"/>
          <w:sz w:val="24"/>
          <w:lang w:bidi="ar"/>
        </w:rPr>
        <w:t>23442.13</w:t>
      </w:r>
      <w:r>
        <w:rPr>
          <w:rFonts w:eastAsiaTheme="majorEastAsia"/>
          <w:kern w:val="0"/>
          <w:sz w:val="24"/>
          <w:lang w:bidi="ar"/>
        </w:rPr>
        <w:t>元，比上年增加</w:t>
      </w:r>
      <w:r>
        <w:rPr>
          <w:rFonts w:eastAsiaTheme="majorEastAsia"/>
          <w:kern w:val="0"/>
          <w:sz w:val="24"/>
          <w:lang w:bidi="ar"/>
        </w:rPr>
        <w:t>1604.97</w:t>
      </w:r>
      <w:r>
        <w:rPr>
          <w:rFonts w:eastAsiaTheme="majorEastAsia"/>
          <w:kern w:val="0"/>
          <w:sz w:val="24"/>
          <w:lang w:bidi="ar"/>
        </w:rPr>
        <w:t>元、增长</w:t>
      </w:r>
      <w:r>
        <w:rPr>
          <w:rFonts w:eastAsiaTheme="majorEastAsia"/>
          <w:kern w:val="0"/>
          <w:sz w:val="24"/>
          <w:lang w:bidi="ar"/>
        </w:rPr>
        <w:t>7.35</w:t>
      </w:r>
      <w:r>
        <w:rPr>
          <w:rFonts w:eastAsiaTheme="majorEastAsia"/>
          <w:kern w:val="0"/>
          <w:sz w:val="24"/>
          <w:lang w:bidi="ar"/>
        </w:rPr>
        <w:t>％。以捕捞为代表的生计渔业提供了大量的就业岗位，为促进沿海渔区就业和缓解内陆欠发达地区就业压力作出了突出贡献。</w:t>
      </w:r>
    </w:p>
    <w:p w14:paraId="15F6D1ED" w14:textId="77777777" w:rsidR="006D73E5" w:rsidRDefault="00000000">
      <w:pPr>
        <w:pStyle w:val="ad"/>
        <w:spacing w:before="0" w:beforeAutospacing="0" w:after="0" w:afterAutospacing="0" w:line="360" w:lineRule="auto"/>
        <w:ind w:firstLineChars="200" w:firstLine="480"/>
        <w:rPr>
          <w:rFonts w:ascii="Times New Roman" w:eastAsiaTheme="majorEastAsia" w:hAnsi="Times New Roman" w:cs="Times New Roman"/>
          <w:lang w:bidi="ar"/>
        </w:rPr>
      </w:pPr>
      <w:r>
        <w:rPr>
          <w:rFonts w:ascii="Times New Roman" w:eastAsiaTheme="majorEastAsia" w:hAnsi="Times New Roman" w:cs="Times New Roman"/>
          <w:lang w:bidi="ar"/>
        </w:rPr>
        <w:t>如今，渔业已成为当地农村的支柱产业，在优化农村产业结构、助力脱贫攻坚等方面作出历史性贡献，在全面推进乡村振兴中也正在发挥积极的作用。</w:t>
      </w:r>
    </w:p>
    <w:p w14:paraId="38E0264C" w14:textId="77777777" w:rsidR="006D73E5" w:rsidRDefault="00000000">
      <w:pPr>
        <w:pStyle w:val="ad"/>
        <w:spacing w:before="0" w:beforeAutospacing="0" w:after="0" w:afterAutospacing="0" w:line="360" w:lineRule="auto"/>
        <w:rPr>
          <w:rFonts w:ascii="Times New Roman" w:eastAsiaTheme="majorEastAsia" w:hAnsi="Times New Roman" w:cs="Times New Roman"/>
          <w:b/>
          <w:bCs/>
          <w:lang w:bidi="ar"/>
        </w:rPr>
      </w:pPr>
      <w:r>
        <w:rPr>
          <w:rFonts w:ascii="Times New Roman" w:eastAsiaTheme="majorEastAsia" w:hAnsi="Times New Roman" w:cs="Times New Roman"/>
          <w:b/>
          <w:bCs/>
          <w:lang w:bidi="ar"/>
        </w:rPr>
        <w:t>生态优先绿色发展，资源养护让中国渔业厚积薄发</w:t>
      </w:r>
    </w:p>
    <w:p w14:paraId="0A2A0A1A"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党的十八大以来，按照</w:t>
      </w:r>
      <w:r>
        <w:rPr>
          <w:rFonts w:ascii="Times New Roman" w:eastAsiaTheme="majorEastAsia" w:hAnsi="Times New Roman" w:cs="Times New Roman"/>
          <w:lang w:bidi="ar"/>
        </w:rPr>
        <w:t>“</w:t>
      </w:r>
      <w:r>
        <w:rPr>
          <w:rFonts w:ascii="Times New Roman" w:eastAsiaTheme="majorEastAsia" w:hAnsi="Times New Roman" w:cs="Times New Roman"/>
          <w:lang w:bidi="ar"/>
        </w:rPr>
        <w:t>绿水青山就是金山银山</w:t>
      </w:r>
      <w:r>
        <w:rPr>
          <w:rFonts w:ascii="Times New Roman" w:eastAsiaTheme="majorEastAsia" w:hAnsi="Times New Roman" w:cs="Times New Roman"/>
          <w:lang w:bidi="ar"/>
        </w:rPr>
        <w:t>”</w:t>
      </w:r>
      <w:r>
        <w:rPr>
          <w:rFonts w:ascii="Times New Roman" w:eastAsiaTheme="majorEastAsia" w:hAnsi="Times New Roman" w:cs="Times New Roman"/>
          <w:lang w:bidi="ar"/>
        </w:rPr>
        <w:t>理念，全国渔业系统践行创新、协调、绿色、开放、共享的新发展理念，大力推进渔业绿色发展。</w:t>
      </w:r>
    </w:p>
    <w:p w14:paraId="09D24EC8" w14:textId="77777777" w:rsidR="006D73E5" w:rsidRDefault="00000000" w:rsidP="00983761">
      <w:pPr>
        <w:pStyle w:val="ad"/>
        <w:spacing w:before="0" w:beforeAutospacing="0" w:after="0" w:afterAutospacing="0" w:line="360" w:lineRule="auto"/>
        <w:jc w:val="both"/>
        <w:rPr>
          <w:rFonts w:ascii="Times New Roman" w:eastAsiaTheme="majorEastAsia" w:hAnsi="Times New Roman" w:cs="Times New Roman"/>
          <w:lang w:bidi="ar"/>
        </w:rPr>
      </w:pPr>
      <w:r>
        <w:rPr>
          <w:rFonts w:ascii="Times New Roman" w:eastAsiaTheme="majorEastAsia" w:hAnsi="Times New Roman" w:cs="Times New Roman"/>
          <w:lang w:bidi="ar"/>
        </w:rPr>
        <w:t>2017</w:t>
      </w:r>
      <w:r>
        <w:rPr>
          <w:rFonts w:ascii="Times New Roman" w:eastAsiaTheme="majorEastAsia" w:hAnsi="Times New Roman" w:cs="Times New Roman"/>
          <w:lang w:bidi="ar"/>
        </w:rPr>
        <w:t>年，我国主动提出海洋渔业资源总量管理目标，启动实施海洋渔业资源总量管理制度。截至目前，我国近海实际捕捞量控制在</w:t>
      </w:r>
      <w:r>
        <w:rPr>
          <w:rFonts w:ascii="Times New Roman" w:eastAsiaTheme="majorEastAsia" w:hAnsi="Times New Roman" w:cs="Times New Roman"/>
          <w:lang w:bidi="ar"/>
        </w:rPr>
        <w:t>1000</w:t>
      </w:r>
      <w:r>
        <w:rPr>
          <w:rFonts w:ascii="Times New Roman" w:eastAsiaTheme="majorEastAsia" w:hAnsi="Times New Roman" w:cs="Times New Roman"/>
          <w:lang w:bidi="ar"/>
        </w:rPr>
        <w:t>万吨以内，沿海</w:t>
      </w:r>
      <w:r>
        <w:rPr>
          <w:rFonts w:ascii="Times New Roman" w:eastAsiaTheme="majorEastAsia" w:hAnsi="Times New Roman" w:cs="Times New Roman"/>
          <w:lang w:bidi="ar"/>
        </w:rPr>
        <w:t>11</w:t>
      </w:r>
      <w:r>
        <w:rPr>
          <w:rFonts w:ascii="Times New Roman" w:eastAsiaTheme="majorEastAsia" w:hAnsi="Times New Roman" w:cs="Times New Roman"/>
          <w:lang w:bidi="ar"/>
        </w:rPr>
        <w:t>个省（区、市）已全部开展限额捕捞管理试点工作。</w:t>
      </w:r>
    </w:p>
    <w:p w14:paraId="6424FF22" w14:textId="77777777" w:rsidR="006D73E5" w:rsidRDefault="00000000" w:rsidP="00983761">
      <w:pPr>
        <w:widowControl/>
        <w:spacing w:line="360" w:lineRule="auto"/>
        <w:ind w:firstLineChars="200" w:firstLine="480"/>
        <w:rPr>
          <w:rFonts w:eastAsiaTheme="majorEastAsia"/>
          <w:kern w:val="0"/>
          <w:sz w:val="24"/>
          <w:lang w:bidi="ar"/>
        </w:rPr>
      </w:pPr>
      <w:r>
        <w:rPr>
          <w:rFonts w:eastAsiaTheme="majorEastAsia"/>
          <w:kern w:val="0"/>
          <w:sz w:val="24"/>
          <w:lang w:bidi="ar"/>
        </w:rPr>
        <w:t>为进一步保护和合理利用海洋生物资源，农业农村部多次调整完善海洋伏季休渔制度。</w:t>
      </w:r>
      <w:r>
        <w:rPr>
          <w:rFonts w:eastAsiaTheme="majorEastAsia"/>
          <w:kern w:val="0"/>
          <w:sz w:val="24"/>
          <w:lang w:bidi="ar"/>
        </w:rPr>
        <w:t>2017-2018</w:t>
      </w:r>
      <w:r>
        <w:rPr>
          <w:rFonts w:eastAsiaTheme="majorEastAsia"/>
          <w:kern w:val="0"/>
          <w:sz w:val="24"/>
          <w:lang w:bidi="ar"/>
        </w:rPr>
        <w:t>年对海洋伏季休渔的时间和作业类型作出更加严格的规定，同时科学设定了休渔期间特许捕捞品种；</w:t>
      </w:r>
      <w:r>
        <w:rPr>
          <w:rFonts w:eastAsiaTheme="majorEastAsia"/>
          <w:kern w:val="0"/>
          <w:sz w:val="24"/>
          <w:lang w:bidi="ar"/>
        </w:rPr>
        <w:t>2021</w:t>
      </w:r>
      <w:r>
        <w:rPr>
          <w:rFonts w:eastAsiaTheme="majorEastAsia"/>
          <w:kern w:val="0"/>
          <w:sz w:val="24"/>
          <w:lang w:bidi="ar"/>
        </w:rPr>
        <w:t>年再次优化海洋伏季休渔时间，将休渔分界线由三条减为两条，科学稳妥有序扩大伏休期间特许捕捞品种，初步实现海洋渔业资源合理利用、渔民增收、休渔秩序平稳有机统一。</w:t>
      </w:r>
    </w:p>
    <w:p w14:paraId="7A5CA931"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根据党中央、国务院决策部署，</w:t>
      </w:r>
      <w:r>
        <w:rPr>
          <w:rFonts w:ascii="Times New Roman" w:eastAsiaTheme="majorEastAsia" w:hAnsi="Times New Roman" w:cs="Times New Roman"/>
          <w:lang w:bidi="ar"/>
        </w:rPr>
        <w:t>2021</w:t>
      </w:r>
      <w:r>
        <w:rPr>
          <w:rFonts w:ascii="Times New Roman" w:eastAsiaTheme="majorEastAsia" w:hAnsi="Times New Roman" w:cs="Times New Roman"/>
          <w:lang w:bidi="ar"/>
        </w:rPr>
        <w:t>年</w:t>
      </w:r>
      <w:r>
        <w:rPr>
          <w:rFonts w:ascii="Times New Roman" w:eastAsiaTheme="majorEastAsia" w:hAnsi="Times New Roman" w:cs="Times New Roman"/>
          <w:lang w:bidi="ar"/>
        </w:rPr>
        <w:t>1</w:t>
      </w:r>
      <w:r>
        <w:rPr>
          <w:rFonts w:ascii="Times New Roman" w:eastAsiaTheme="majorEastAsia" w:hAnsi="Times New Roman" w:cs="Times New Roman"/>
          <w:lang w:bidi="ar"/>
        </w:rPr>
        <w:t>月</w:t>
      </w:r>
      <w:r>
        <w:rPr>
          <w:rFonts w:ascii="Times New Roman" w:eastAsiaTheme="majorEastAsia" w:hAnsi="Times New Roman" w:cs="Times New Roman"/>
          <w:lang w:bidi="ar"/>
        </w:rPr>
        <w:t>1</w:t>
      </w:r>
      <w:r>
        <w:rPr>
          <w:rFonts w:ascii="Times New Roman" w:eastAsiaTheme="majorEastAsia" w:hAnsi="Times New Roman" w:cs="Times New Roman"/>
          <w:lang w:bidi="ar"/>
        </w:rPr>
        <w:t>日起，长江流域重点水域实行为期</w:t>
      </w:r>
      <w:r>
        <w:rPr>
          <w:rFonts w:ascii="Times New Roman" w:eastAsiaTheme="majorEastAsia" w:hAnsi="Times New Roman" w:cs="Times New Roman"/>
          <w:lang w:bidi="ar"/>
        </w:rPr>
        <w:t>10</w:t>
      </w:r>
      <w:r>
        <w:rPr>
          <w:rFonts w:ascii="Times New Roman" w:eastAsiaTheme="majorEastAsia" w:hAnsi="Times New Roman" w:cs="Times New Roman"/>
          <w:lang w:bidi="ar"/>
        </w:rPr>
        <w:t>年的常年禁捕，</w:t>
      </w:r>
      <w:r>
        <w:rPr>
          <w:rFonts w:ascii="Times New Roman" w:eastAsiaTheme="majorEastAsia" w:hAnsi="Times New Roman" w:cs="Times New Roman"/>
          <w:lang w:bidi="ar"/>
        </w:rPr>
        <w:t>11.1</w:t>
      </w:r>
      <w:r>
        <w:rPr>
          <w:rFonts w:ascii="Times New Roman" w:eastAsiaTheme="majorEastAsia" w:hAnsi="Times New Roman" w:cs="Times New Roman"/>
          <w:lang w:bidi="ar"/>
        </w:rPr>
        <w:t>万艘渔船、</w:t>
      </w:r>
      <w:r>
        <w:rPr>
          <w:rFonts w:ascii="Times New Roman" w:eastAsiaTheme="majorEastAsia" w:hAnsi="Times New Roman" w:cs="Times New Roman"/>
          <w:lang w:bidi="ar"/>
        </w:rPr>
        <w:t>23.1</w:t>
      </w:r>
      <w:r>
        <w:rPr>
          <w:rFonts w:ascii="Times New Roman" w:eastAsiaTheme="majorEastAsia" w:hAnsi="Times New Roman" w:cs="Times New Roman"/>
          <w:lang w:bidi="ar"/>
        </w:rPr>
        <w:t>万名渔民如期退捕上岸。这是以习近平同志为核心的党中央从战略全局高度和长远发展角度作出的重大决策，是落实长江经济带共抓大保护措施、扭转长江生态环境恶化趋势的关键之举。据持续监测显示，长江禁捕</w:t>
      </w:r>
      <w:r>
        <w:rPr>
          <w:rFonts w:ascii="Times New Roman" w:eastAsiaTheme="majorEastAsia" w:hAnsi="Times New Roman" w:cs="Times New Roman"/>
          <w:lang w:bidi="ar"/>
        </w:rPr>
        <w:t>1</w:t>
      </w:r>
      <w:r>
        <w:rPr>
          <w:rFonts w:ascii="Times New Roman" w:eastAsiaTheme="majorEastAsia" w:hAnsi="Times New Roman" w:cs="Times New Roman"/>
          <w:lang w:bidi="ar"/>
        </w:rPr>
        <w:t>年多来，江豚群体在长江中下游江段出现的频率明显增加，长江刀鱼已上溯至长江中游和鄱阳湖。长江水生生物资源状况逐步好转。</w:t>
      </w:r>
    </w:p>
    <w:p w14:paraId="4FD3C7F1" w14:textId="77777777" w:rsidR="006D73E5" w:rsidRDefault="00000000" w:rsidP="00983761">
      <w:pPr>
        <w:widowControl/>
        <w:spacing w:line="360" w:lineRule="auto"/>
        <w:ind w:firstLineChars="200" w:firstLine="480"/>
        <w:rPr>
          <w:rFonts w:eastAsiaTheme="majorEastAsia"/>
          <w:kern w:val="0"/>
          <w:sz w:val="24"/>
          <w:lang w:bidi="ar"/>
        </w:rPr>
      </w:pPr>
      <w:r>
        <w:rPr>
          <w:rFonts w:eastAsiaTheme="majorEastAsia"/>
          <w:kern w:val="0"/>
          <w:sz w:val="24"/>
          <w:lang w:bidi="ar"/>
        </w:rPr>
        <w:t>2017</w:t>
      </w:r>
      <w:r>
        <w:rPr>
          <w:rFonts w:eastAsiaTheme="majorEastAsia"/>
          <w:kern w:val="0"/>
          <w:sz w:val="24"/>
          <w:lang w:bidi="ar"/>
        </w:rPr>
        <w:t>年以来，农业农村部先后印发通知，对珠江、闽江、海南省内陆水域、海河、辽河、松花江的禁渔管理作出规定并不断调整。</w:t>
      </w:r>
      <w:r>
        <w:rPr>
          <w:rFonts w:eastAsiaTheme="majorEastAsia"/>
          <w:kern w:val="0"/>
          <w:sz w:val="24"/>
          <w:lang w:bidi="ar"/>
        </w:rPr>
        <w:t>2018</w:t>
      </w:r>
      <w:r>
        <w:rPr>
          <w:rFonts w:eastAsiaTheme="majorEastAsia"/>
          <w:kern w:val="0"/>
          <w:sz w:val="24"/>
          <w:lang w:bidi="ar"/>
        </w:rPr>
        <w:t>年黄河流域正式实施休禁渔制度，今年</w:t>
      </w:r>
      <w:r>
        <w:rPr>
          <w:rFonts w:eastAsiaTheme="majorEastAsia"/>
          <w:kern w:val="0"/>
          <w:sz w:val="24"/>
          <w:lang w:bidi="ar"/>
        </w:rPr>
        <w:t>3</w:t>
      </w:r>
      <w:r>
        <w:rPr>
          <w:rFonts w:eastAsiaTheme="majorEastAsia"/>
          <w:kern w:val="0"/>
          <w:sz w:val="24"/>
          <w:lang w:bidi="ar"/>
        </w:rPr>
        <w:t>月农业农村部又印发《关于进一步加强黄河流域水生生物资源养护工作的通知》对黄河禁渔期制度进行的调整和完善，延长了禁渔时间、扩大了禁渔范围。目前黄河上游已实现常年禁渔，黄河下游休渔时间达</w:t>
      </w:r>
      <w:r>
        <w:rPr>
          <w:rFonts w:eastAsiaTheme="majorEastAsia"/>
          <w:kern w:val="0"/>
          <w:sz w:val="24"/>
          <w:lang w:bidi="ar"/>
        </w:rPr>
        <w:t>4</w:t>
      </w:r>
      <w:r>
        <w:rPr>
          <w:rFonts w:eastAsiaTheme="majorEastAsia"/>
          <w:kern w:val="0"/>
          <w:sz w:val="24"/>
          <w:lang w:bidi="ar"/>
        </w:rPr>
        <w:t>个月，我国内陆</w:t>
      </w:r>
      <w:r>
        <w:rPr>
          <w:rFonts w:eastAsiaTheme="majorEastAsia"/>
          <w:kern w:val="0"/>
          <w:sz w:val="24"/>
          <w:lang w:bidi="ar"/>
        </w:rPr>
        <w:t>7</w:t>
      </w:r>
      <w:r>
        <w:rPr>
          <w:rFonts w:eastAsiaTheme="majorEastAsia"/>
          <w:kern w:val="0"/>
          <w:sz w:val="24"/>
          <w:lang w:bidi="ar"/>
        </w:rPr>
        <w:t>大重点流域禁渔期制度和我国主要江河湖海休禁渔制度实现了全覆盖。</w:t>
      </w:r>
    </w:p>
    <w:p w14:paraId="0AAA4E3B"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lastRenderedPageBreak/>
        <w:t>各级渔业主管部门在组织开展休禁渔工作的同时，还积极开展水生生物增殖放流活动，据不完全统计，</w:t>
      </w:r>
      <w:r>
        <w:rPr>
          <w:rFonts w:ascii="Times New Roman" w:eastAsiaTheme="majorEastAsia" w:hAnsi="Times New Roman" w:cs="Times New Roman"/>
          <w:lang w:bidi="ar"/>
        </w:rPr>
        <w:t>“</w:t>
      </w:r>
      <w:r>
        <w:rPr>
          <w:rFonts w:ascii="Times New Roman" w:eastAsiaTheme="majorEastAsia" w:hAnsi="Times New Roman" w:cs="Times New Roman"/>
          <w:lang w:bidi="ar"/>
        </w:rPr>
        <w:t>十三五</w:t>
      </w:r>
      <w:r>
        <w:rPr>
          <w:rFonts w:ascii="Times New Roman" w:eastAsiaTheme="majorEastAsia" w:hAnsi="Times New Roman" w:cs="Times New Roman"/>
          <w:lang w:bidi="ar"/>
        </w:rPr>
        <w:t>”</w:t>
      </w:r>
      <w:r>
        <w:rPr>
          <w:rFonts w:ascii="Times New Roman" w:eastAsiaTheme="majorEastAsia" w:hAnsi="Times New Roman" w:cs="Times New Roman"/>
          <w:lang w:bidi="ar"/>
        </w:rPr>
        <w:t>期间各地每年组织开展增殖放流活动</w:t>
      </w:r>
      <w:r>
        <w:rPr>
          <w:rFonts w:ascii="Times New Roman" w:eastAsiaTheme="majorEastAsia" w:hAnsi="Times New Roman" w:cs="Times New Roman"/>
          <w:lang w:bidi="ar"/>
        </w:rPr>
        <w:t>2000</w:t>
      </w:r>
      <w:r>
        <w:rPr>
          <w:rFonts w:ascii="Times New Roman" w:eastAsiaTheme="majorEastAsia" w:hAnsi="Times New Roman" w:cs="Times New Roman"/>
          <w:lang w:bidi="ar"/>
        </w:rPr>
        <w:t>余次，投入增殖放流资金近</w:t>
      </w:r>
      <w:r>
        <w:rPr>
          <w:rFonts w:ascii="Times New Roman" w:eastAsiaTheme="majorEastAsia" w:hAnsi="Times New Roman" w:cs="Times New Roman"/>
          <w:lang w:bidi="ar"/>
        </w:rPr>
        <w:t>10</w:t>
      </w:r>
      <w:r>
        <w:rPr>
          <w:rFonts w:ascii="Times New Roman" w:eastAsiaTheme="majorEastAsia" w:hAnsi="Times New Roman" w:cs="Times New Roman"/>
          <w:lang w:bidi="ar"/>
        </w:rPr>
        <w:t>亿元，放流水生生物苗种</w:t>
      </w:r>
      <w:r>
        <w:rPr>
          <w:rFonts w:ascii="Times New Roman" w:eastAsiaTheme="majorEastAsia" w:hAnsi="Times New Roman" w:cs="Times New Roman"/>
          <w:lang w:bidi="ar"/>
        </w:rPr>
        <w:t>300</w:t>
      </w:r>
      <w:r>
        <w:rPr>
          <w:rFonts w:ascii="Times New Roman" w:eastAsiaTheme="majorEastAsia" w:hAnsi="Times New Roman" w:cs="Times New Roman"/>
          <w:lang w:bidi="ar"/>
        </w:rPr>
        <w:t>多亿尾，为恢复渔业种群资源、改善水域生态环境以及促进渔业增效、渔民增收等方面发挥了重要作用。</w:t>
      </w:r>
    </w:p>
    <w:p w14:paraId="4287F391" w14:textId="77777777" w:rsidR="006D73E5" w:rsidRDefault="00000000" w:rsidP="00983761">
      <w:pPr>
        <w:widowControl/>
        <w:spacing w:line="360" w:lineRule="auto"/>
        <w:ind w:firstLineChars="200" w:firstLine="480"/>
        <w:rPr>
          <w:rFonts w:eastAsiaTheme="majorEastAsia"/>
          <w:kern w:val="0"/>
          <w:sz w:val="24"/>
          <w:lang w:bidi="ar"/>
        </w:rPr>
      </w:pPr>
      <w:r>
        <w:rPr>
          <w:rFonts w:eastAsiaTheme="majorEastAsia"/>
          <w:kern w:val="0"/>
          <w:sz w:val="24"/>
          <w:lang w:bidi="ar"/>
        </w:rPr>
        <w:t>2015</w:t>
      </w:r>
      <w:r>
        <w:rPr>
          <w:rFonts w:eastAsiaTheme="majorEastAsia"/>
          <w:kern w:val="0"/>
          <w:sz w:val="24"/>
          <w:lang w:bidi="ar"/>
        </w:rPr>
        <w:t>年以来，农业农村部大力推进海洋牧场建设，编制发布了《全国海洋牧场建设规划（</w:t>
      </w:r>
      <w:r>
        <w:rPr>
          <w:rFonts w:eastAsiaTheme="majorEastAsia"/>
          <w:kern w:val="0"/>
          <w:sz w:val="24"/>
          <w:lang w:bidi="ar"/>
        </w:rPr>
        <w:t>2017-2025</w:t>
      </w:r>
      <w:r>
        <w:rPr>
          <w:rFonts w:eastAsiaTheme="majorEastAsia"/>
          <w:kern w:val="0"/>
          <w:sz w:val="24"/>
          <w:lang w:bidi="ar"/>
        </w:rPr>
        <w:t>年）》和《国家级海洋牧场示范区管理工作规范》，各级财政和社会资金累计投入海洋牧场建设资金</w:t>
      </w:r>
      <w:r>
        <w:rPr>
          <w:rFonts w:eastAsiaTheme="majorEastAsia"/>
          <w:kern w:val="0"/>
          <w:sz w:val="24"/>
          <w:lang w:bidi="ar"/>
        </w:rPr>
        <w:t>100</w:t>
      </w:r>
      <w:r>
        <w:rPr>
          <w:rFonts w:eastAsiaTheme="majorEastAsia"/>
          <w:kern w:val="0"/>
          <w:sz w:val="24"/>
          <w:lang w:bidi="ar"/>
        </w:rPr>
        <w:t>多亿元，建成海洋牧场</w:t>
      </w:r>
      <w:r>
        <w:rPr>
          <w:rFonts w:eastAsiaTheme="majorEastAsia"/>
          <w:kern w:val="0"/>
          <w:sz w:val="24"/>
          <w:lang w:bidi="ar"/>
        </w:rPr>
        <w:t>200</w:t>
      </w:r>
      <w:r>
        <w:rPr>
          <w:rFonts w:eastAsiaTheme="majorEastAsia"/>
          <w:kern w:val="0"/>
          <w:sz w:val="24"/>
          <w:lang w:bidi="ar"/>
        </w:rPr>
        <w:t>多个，其中国家级海洋牧场</w:t>
      </w:r>
      <w:r>
        <w:rPr>
          <w:rFonts w:eastAsiaTheme="majorEastAsia"/>
          <w:kern w:val="0"/>
          <w:sz w:val="24"/>
          <w:lang w:bidi="ar"/>
        </w:rPr>
        <w:t>153</w:t>
      </w:r>
      <w:r>
        <w:rPr>
          <w:rFonts w:eastAsiaTheme="majorEastAsia"/>
          <w:kern w:val="0"/>
          <w:sz w:val="24"/>
          <w:lang w:bidi="ar"/>
        </w:rPr>
        <w:t>个，引领带动全国海洋牧场持续健康发展。</w:t>
      </w:r>
    </w:p>
    <w:p w14:paraId="7497DC1D"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多年来，农业农村部全面落实《野生动物保护法》和全国人大有关决定要求，持续开展专项执法行动，严厉打击非法水生野生动物交易。</w:t>
      </w:r>
      <w:r>
        <w:rPr>
          <w:rFonts w:ascii="Times New Roman" w:eastAsiaTheme="majorEastAsia" w:hAnsi="Times New Roman" w:cs="Times New Roman"/>
          <w:lang w:bidi="ar"/>
        </w:rPr>
        <w:t>2021</w:t>
      </w:r>
      <w:r>
        <w:rPr>
          <w:rFonts w:ascii="Times New Roman" w:eastAsiaTheme="majorEastAsia" w:hAnsi="Times New Roman" w:cs="Times New Roman"/>
          <w:lang w:bidi="ar"/>
        </w:rPr>
        <w:t>年，会同林草局联合发布《国家重点保护野生动物名录》，加强旗舰物种保护管理，全面推进珍贵濒危水生野生动物及其栖息地保护，发布并实施中华白海豚、斑海豹、海龟等</w:t>
      </w:r>
      <w:r>
        <w:rPr>
          <w:rFonts w:ascii="Times New Roman" w:eastAsiaTheme="majorEastAsia" w:hAnsi="Times New Roman" w:cs="Times New Roman"/>
          <w:lang w:bidi="ar"/>
        </w:rPr>
        <w:t>7</w:t>
      </w:r>
      <w:r>
        <w:rPr>
          <w:rFonts w:ascii="Times New Roman" w:eastAsiaTheme="majorEastAsia" w:hAnsi="Times New Roman" w:cs="Times New Roman"/>
          <w:lang w:bidi="ar"/>
        </w:rPr>
        <w:t>个保护行动计划并成立保护联盟。如今，水生野生动物旗舰物种衰退趋势初步遏制，人工繁育技术及收容救护能力日趋提升，全社会广泛参与的良好局面初步</w:t>
      </w:r>
      <w:r>
        <w:rPr>
          <w:rFonts w:ascii="Times New Roman" w:eastAsiaTheme="majorEastAsia" w:hAnsi="Times New Roman" w:cs="Times New Roman"/>
          <w:lang w:bidi="ar"/>
        </w:rPr>
        <w:t xml:space="preserve">  </w:t>
      </w:r>
      <w:r>
        <w:rPr>
          <w:rFonts w:ascii="Times New Roman" w:eastAsiaTheme="majorEastAsia" w:hAnsi="Times New Roman" w:cs="Times New Roman"/>
          <w:lang w:bidi="ar"/>
        </w:rPr>
        <w:t>形成。</w:t>
      </w:r>
    </w:p>
    <w:p w14:paraId="00E42798"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w:t>
      </w:r>
      <w:r>
        <w:rPr>
          <w:rFonts w:ascii="Times New Roman" w:eastAsiaTheme="majorEastAsia" w:hAnsi="Times New Roman" w:cs="Times New Roman"/>
          <w:lang w:bidi="ar"/>
        </w:rPr>
        <w:t>伏季休渔</w:t>
      </w:r>
      <w:r>
        <w:rPr>
          <w:rFonts w:ascii="Times New Roman" w:eastAsiaTheme="majorEastAsia" w:hAnsi="Times New Roman" w:cs="Times New Roman"/>
          <w:lang w:bidi="ar"/>
        </w:rPr>
        <w:t>”“</w:t>
      </w:r>
      <w:r>
        <w:rPr>
          <w:rFonts w:ascii="Times New Roman" w:eastAsiaTheme="majorEastAsia" w:hAnsi="Times New Roman" w:cs="Times New Roman"/>
          <w:lang w:bidi="ar"/>
        </w:rPr>
        <w:t>十年禁渔</w:t>
      </w:r>
      <w:r>
        <w:rPr>
          <w:rFonts w:ascii="Times New Roman" w:eastAsiaTheme="majorEastAsia" w:hAnsi="Times New Roman" w:cs="Times New Roman"/>
          <w:lang w:bidi="ar"/>
        </w:rPr>
        <w:t>”“</w:t>
      </w:r>
      <w:r>
        <w:rPr>
          <w:rFonts w:ascii="Times New Roman" w:eastAsiaTheme="majorEastAsia" w:hAnsi="Times New Roman" w:cs="Times New Roman"/>
          <w:lang w:bidi="ar"/>
        </w:rPr>
        <w:t>增殖放流</w:t>
      </w:r>
      <w:r>
        <w:rPr>
          <w:rFonts w:ascii="Times New Roman" w:eastAsiaTheme="majorEastAsia" w:hAnsi="Times New Roman" w:cs="Times New Roman"/>
          <w:lang w:bidi="ar"/>
        </w:rPr>
        <w:t>”“</w:t>
      </w:r>
      <w:r>
        <w:rPr>
          <w:rFonts w:ascii="Times New Roman" w:eastAsiaTheme="majorEastAsia" w:hAnsi="Times New Roman" w:cs="Times New Roman"/>
          <w:lang w:bidi="ar"/>
        </w:rPr>
        <w:t>海洋牧场</w:t>
      </w:r>
      <w:r>
        <w:rPr>
          <w:rFonts w:ascii="Times New Roman" w:eastAsiaTheme="majorEastAsia" w:hAnsi="Times New Roman" w:cs="Times New Roman"/>
          <w:lang w:bidi="ar"/>
        </w:rPr>
        <w:t>”……</w:t>
      </w:r>
      <w:r>
        <w:rPr>
          <w:rFonts w:ascii="Times New Roman" w:eastAsiaTheme="majorEastAsia" w:hAnsi="Times New Roman" w:cs="Times New Roman"/>
          <w:lang w:bidi="ar"/>
        </w:rPr>
        <w:t>随着各项措施的顺利实施，我国的渔业资源保护管理制度不断完善，水生生物资源养护力度持续增强，渔业与资源保护协调发展，生态文明建设取得明显成效，逐步探索出一条资源开发利用与生态环境保护并行的新道路。</w:t>
      </w:r>
    </w:p>
    <w:p w14:paraId="4BCFAACA" w14:textId="77777777" w:rsidR="006D73E5" w:rsidRDefault="00000000">
      <w:pPr>
        <w:pStyle w:val="ad"/>
        <w:spacing w:before="0" w:beforeAutospacing="0" w:after="0" w:afterAutospacing="0" w:line="360" w:lineRule="auto"/>
        <w:rPr>
          <w:rFonts w:ascii="Times New Roman" w:eastAsiaTheme="majorEastAsia" w:hAnsi="Times New Roman" w:cs="Times New Roman"/>
          <w:b/>
          <w:bCs/>
          <w:lang w:bidi="ar"/>
        </w:rPr>
      </w:pPr>
      <w:r>
        <w:rPr>
          <w:rFonts w:ascii="Times New Roman" w:eastAsiaTheme="majorEastAsia" w:hAnsi="Times New Roman" w:cs="Times New Roman"/>
          <w:b/>
          <w:bCs/>
          <w:lang w:bidi="ar"/>
        </w:rPr>
        <w:t>科技支撑转型升级，高质量发展</w:t>
      </w:r>
      <w:r>
        <w:rPr>
          <w:rFonts w:ascii="Times New Roman" w:eastAsiaTheme="majorEastAsia" w:hAnsi="Times New Roman" w:cs="Times New Roman"/>
          <w:b/>
          <w:bCs/>
          <w:lang w:bidi="ar"/>
        </w:rPr>
        <w:t xml:space="preserve"> </w:t>
      </w:r>
      <w:r>
        <w:rPr>
          <w:rFonts w:ascii="Times New Roman" w:eastAsiaTheme="majorEastAsia" w:hAnsi="Times New Roman" w:cs="Times New Roman"/>
          <w:b/>
          <w:bCs/>
          <w:lang w:bidi="ar"/>
        </w:rPr>
        <w:t>让渔业新业态层出不穷</w:t>
      </w:r>
    </w:p>
    <w:p w14:paraId="78D7E68A"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今年</w:t>
      </w:r>
      <w:r>
        <w:rPr>
          <w:rFonts w:ascii="Times New Roman" w:eastAsiaTheme="majorEastAsia" w:hAnsi="Times New Roman" w:cs="Times New Roman"/>
          <w:lang w:bidi="ar"/>
        </w:rPr>
        <w:t>7</w:t>
      </w:r>
      <w:r>
        <w:rPr>
          <w:rFonts w:ascii="Times New Roman" w:eastAsiaTheme="majorEastAsia" w:hAnsi="Times New Roman" w:cs="Times New Roman"/>
          <w:lang w:bidi="ar"/>
        </w:rPr>
        <w:t>月，农业农村部印发</w:t>
      </w:r>
      <w:r>
        <w:rPr>
          <w:rFonts w:ascii="Times New Roman" w:eastAsiaTheme="majorEastAsia" w:hAnsi="Times New Roman" w:cs="Times New Roman"/>
          <w:lang w:bidi="ar"/>
        </w:rPr>
        <w:t>578</w:t>
      </w:r>
      <w:r>
        <w:rPr>
          <w:rFonts w:ascii="Times New Roman" w:eastAsiaTheme="majorEastAsia" w:hAnsi="Times New Roman" w:cs="Times New Roman"/>
          <w:lang w:bidi="ar"/>
        </w:rPr>
        <w:t>号公告，公布</w:t>
      </w:r>
      <w:r>
        <w:rPr>
          <w:rFonts w:ascii="Times New Roman" w:eastAsiaTheme="majorEastAsia" w:hAnsi="Times New Roman" w:cs="Times New Roman"/>
          <w:lang w:bidi="ar"/>
        </w:rPr>
        <w:t>26</w:t>
      </w:r>
      <w:r>
        <w:rPr>
          <w:rFonts w:ascii="Times New Roman" w:eastAsiaTheme="majorEastAsia" w:hAnsi="Times New Roman" w:cs="Times New Roman"/>
          <w:lang w:bidi="ar"/>
        </w:rPr>
        <w:t>个经国家审定的水产新品种。其中，大黄鱼</w:t>
      </w:r>
      <w:r>
        <w:rPr>
          <w:rFonts w:ascii="Times New Roman" w:eastAsiaTheme="majorEastAsia" w:hAnsi="Times New Roman" w:cs="Times New Roman"/>
          <w:lang w:bidi="ar"/>
        </w:rPr>
        <w:t>“</w:t>
      </w:r>
      <w:r>
        <w:rPr>
          <w:rFonts w:ascii="Times New Roman" w:eastAsiaTheme="majorEastAsia" w:hAnsi="Times New Roman" w:cs="Times New Roman"/>
          <w:lang w:bidi="ar"/>
        </w:rPr>
        <w:t>富发</w:t>
      </w:r>
      <w:r>
        <w:rPr>
          <w:rFonts w:ascii="Times New Roman" w:eastAsiaTheme="majorEastAsia" w:hAnsi="Times New Roman" w:cs="Times New Roman"/>
          <w:lang w:bidi="ar"/>
        </w:rPr>
        <w:t>1</w:t>
      </w:r>
      <w:r>
        <w:rPr>
          <w:rFonts w:ascii="Times New Roman" w:eastAsiaTheme="majorEastAsia" w:hAnsi="Times New Roman" w:cs="Times New Roman"/>
          <w:lang w:bidi="ar"/>
        </w:rPr>
        <w:t>号</w:t>
      </w:r>
      <w:r>
        <w:rPr>
          <w:rFonts w:ascii="Times New Roman" w:eastAsiaTheme="majorEastAsia" w:hAnsi="Times New Roman" w:cs="Times New Roman"/>
          <w:lang w:bidi="ar"/>
        </w:rPr>
        <w:t>”</w:t>
      </w:r>
      <w:r>
        <w:rPr>
          <w:rFonts w:ascii="Times New Roman" w:eastAsiaTheme="majorEastAsia" w:hAnsi="Times New Roman" w:cs="Times New Roman"/>
          <w:lang w:bidi="ar"/>
        </w:rPr>
        <w:t>是厦门大学、集美大学与大黄鱼育种国家重点实验室（企业）建设单位联合选育的新品种，是大黄鱼育种的又一标志性成果，大黄鱼养殖的良种良法又迈出坚实一步。</w:t>
      </w:r>
    </w:p>
    <w:p w14:paraId="0DB43BAA"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曾是我国海洋</w:t>
      </w:r>
      <w:r>
        <w:rPr>
          <w:rFonts w:ascii="Times New Roman" w:eastAsiaTheme="majorEastAsia" w:hAnsi="Times New Roman" w:cs="Times New Roman"/>
          <w:lang w:bidi="ar"/>
        </w:rPr>
        <w:t>4</w:t>
      </w:r>
      <w:r>
        <w:rPr>
          <w:rFonts w:ascii="Times New Roman" w:eastAsiaTheme="majorEastAsia" w:hAnsi="Times New Roman" w:cs="Times New Roman"/>
          <w:lang w:bidi="ar"/>
        </w:rPr>
        <w:t>大主捕鱼类之首的大黄鱼，因过度捕捞导致资源枯竭形不成渔汛，是以刘家富为代表的几代科技工作者不懈努力，才使得大黄鱼重回</w:t>
      </w:r>
      <w:r>
        <w:rPr>
          <w:rFonts w:ascii="Times New Roman" w:eastAsiaTheme="majorEastAsia" w:hAnsi="Times New Roman" w:cs="Times New Roman"/>
          <w:lang w:bidi="ar"/>
        </w:rPr>
        <w:t>“</w:t>
      </w:r>
      <w:r>
        <w:rPr>
          <w:rFonts w:ascii="Times New Roman" w:eastAsiaTheme="majorEastAsia" w:hAnsi="Times New Roman" w:cs="Times New Roman"/>
          <w:lang w:bidi="ar"/>
        </w:rPr>
        <w:t>百姓餐桌</w:t>
      </w:r>
      <w:r>
        <w:rPr>
          <w:rFonts w:ascii="Times New Roman" w:eastAsiaTheme="majorEastAsia" w:hAnsi="Times New Roman" w:cs="Times New Roman"/>
          <w:lang w:bidi="ar"/>
        </w:rPr>
        <w:t>”</w:t>
      </w:r>
      <w:r>
        <w:rPr>
          <w:rFonts w:ascii="Times New Roman" w:eastAsiaTheme="majorEastAsia" w:hAnsi="Times New Roman" w:cs="Times New Roman"/>
          <w:lang w:bidi="ar"/>
        </w:rPr>
        <w:t>。如今，在宁德三都澳大黄鱼养殖基地，新型深水抗风浪网箱的推广使用让大黄鱼的养殖更生态环保。</w:t>
      </w:r>
    </w:p>
    <w:p w14:paraId="5661A23A"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今年初，浙江象山县渔民一网捕捞</w:t>
      </w:r>
      <w:r>
        <w:rPr>
          <w:rFonts w:ascii="Times New Roman" w:eastAsiaTheme="majorEastAsia" w:hAnsi="Times New Roman" w:cs="Times New Roman"/>
          <w:lang w:bidi="ar"/>
        </w:rPr>
        <w:t>2450</w:t>
      </w:r>
      <w:r>
        <w:rPr>
          <w:rFonts w:ascii="Times New Roman" w:eastAsiaTheme="majorEastAsia" w:hAnsi="Times New Roman" w:cs="Times New Roman"/>
          <w:lang w:bidi="ar"/>
        </w:rPr>
        <w:t>公斤野生大黄鱼的新闻引起大家关注，有学者认为，根本原因还是海洋生态得到修复。目前，大黄鱼已连续</w:t>
      </w:r>
      <w:r>
        <w:rPr>
          <w:rFonts w:ascii="Times New Roman" w:eastAsiaTheme="majorEastAsia" w:hAnsi="Times New Roman" w:cs="Times New Roman"/>
          <w:lang w:bidi="ar"/>
        </w:rPr>
        <w:t>7</w:t>
      </w:r>
      <w:r>
        <w:rPr>
          <w:rFonts w:ascii="Times New Roman" w:eastAsiaTheme="majorEastAsia" w:hAnsi="Times New Roman" w:cs="Times New Roman"/>
          <w:lang w:bidi="ar"/>
        </w:rPr>
        <w:t>年蝉联我国养殖规模最大和产量最大的海水鱼类，野生种群也开始逐渐恢复。</w:t>
      </w:r>
    </w:p>
    <w:p w14:paraId="7A99711F"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lastRenderedPageBreak/>
        <w:t>2021</w:t>
      </w:r>
      <w:r>
        <w:rPr>
          <w:rFonts w:ascii="Times New Roman" w:eastAsiaTheme="majorEastAsia" w:hAnsi="Times New Roman" w:cs="Times New Roman"/>
          <w:lang w:bidi="ar"/>
        </w:rPr>
        <w:t>年</w:t>
      </w:r>
      <w:r>
        <w:rPr>
          <w:rFonts w:ascii="Times New Roman" w:eastAsiaTheme="majorEastAsia" w:hAnsi="Times New Roman" w:cs="Times New Roman"/>
          <w:lang w:bidi="ar"/>
        </w:rPr>
        <w:t>10</w:t>
      </w:r>
      <w:r>
        <w:rPr>
          <w:rFonts w:ascii="Times New Roman" w:eastAsiaTheme="majorEastAsia" w:hAnsi="Times New Roman" w:cs="Times New Roman"/>
          <w:lang w:bidi="ar"/>
        </w:rPr>
        <w:t>月，我国迄今投资规模最大、保存规模最大、设施最先进的国家海洋渔业生物种质资源库揭牌运营，标志着我国创建起海洋渔业生物资源保护与可持续开发利用国家级技术研发平台。</w:t>
      </w:r>
    </w:p>
    <w:p w14:paraId="6B959B3C"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目前，我国自主培育的水产新品种达</w:t>
      </w:r>
      <w:r>
        <w:rPr>
          <w:rFonts w:ascii="Times New Roman" w:eastAsiaTheme="majorEastAsia" w:hAnsi="Times New Roman" w:cs="Times New Roman"/>
          <w:lang w:bidi="ar"/>
        </w:rPr>
        <w:t>236</w:t>
      </w:r>
      <w:r>
        <w:rPr>
          <w:rFonts w:ascii="Times New Roman" w:eastAsiaTheme="majorEastAsia" w:hAnsi="Times New Roman" w:cs="Times New Roman"/>
          <w:lang w:bidi="ar"/>
        </w:rPr>
        <w:t>个。育种技术的持续迭代升级，为有力推进水产种业振兴、水产养殖业高质量发展提供了种源保障。</w:t>
      </w:r>
    </w:p>
    <w:p w14:paraId="65713911"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渔业科技创新不仅仅体现在育种上，还体现在养殖模式与养殖技术上。养殖模式和技术的一次次创新，掀起淡水养殖、海水养殖的一次又一次浪潮。</w:t>
      </w:r>
    </w:p>
    <w:p w14:paraId="43A72D26"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2019</w:t>
      </w:r>
      <w:r>
        <w:rPr>
          <w:rFonts w:ascii="Times New Roman" w:eastAsiaTheme="majorEastAsia" w:hAnsi="Times New Roman" w:cs="Times New Roman"/>
          <w:lang w:bidi="ar"/>
        </w:rPr>
        <w:t>年初，农业农村部等</w:t>
      </w:r>
      <w:r>
        <w:rPr>
          <w:rFonts w:ascii="Times New Roman" w:eastAsiaTheme="majorEastAsia" w:hAnsi="Times New Roman" w:cs="Times New Roman"/>
          <w:lang w:bidi="ar"/>
        </w:rPr>
        <w:t>10</w:t>
      </w:r>
      <w:r>
        <w:rPr>
          <w:rFonts w:ascii="Times New Roman" w:eastAsiaTheme="majorEastAsia" w:hAnsi="Times New Roman" w:cs="Times New Roman"/>
          <w:lang w:bidi="ar"/>
        </w:rPr>
        <w:t>部委联合发布《关于加快推进水产养殖业绿色发展的若干意见》，提出加快推进水产养殖业绿色发展。科技加速了我国渔业转型升级，各地围绕生态健康环保发展水产养殖业，涌现出改造传统池塘养殖，优化陆基工厂化养殖，稳步推进稻渔综合种养、大水面生态渔业，拓展深远海设施养殖、盐碱水养殖、循环水养殖等诸多养殖新模式、新业态，渔业生产发展与生态保护更加和谐统一。</w:t>
      </w:r>
    </w:p>
    <w:p w14:paraId="7F7BDAD3" w14:textId="77777777" w:rsidR="006D73E5" w:rsidRDefault="00000000" w:rsidP="00983761">
      <w:pPr>
        <w:widowControl/>
        <w:spacing w:line="360" w:lineRule="auto"/>
        <w:ind w:firstLineChars="200" w:firstLine="480"/>
        <w:rPr>
          <w:rFonts w:eastAsiaTheme="majorEastAsia"/>
          <w:kern w:val="0"/>
          <w:sz w:val="24"/>
          <w:lang w:bidi="ar"/>
        </w:rPr>
      </w:pPr>
      <w:r>
        <w:rPr>
          <w:rFonts w:eastAsiaTheme="majorEastAsia"/>
          <w:kern w:val="0"/>
          <w:sz w:val="24"/>
          <w:lang w:bidi="ar"/>
        </w:rPr>
        <w:t>2020</w:t>
      </w:r>
      <w:r>
        <w:rPr>
          <w:rFonts w:eastAsiaTheme="majorEastAsia"/>
          <w:kern w:val="0"/>
          <w:sz w:val="24"/>
          <w:lang w:bidi="ar"/>
        </w:rPr>
        <w:t>年</w:t>
      </w:r>
      <w:r>
        <w:rPr>
          <w:rFonts w:eastAsiaTheme="majorEastAsia"/>
          <w:kern w:val="0"/>
          <w:sz w:val="24"/>
          <w:lang w:bidi="ar"/>
        </w:rPr>
        <w:t>6</w:t>
      </w:r>
      <w:r>
        <w:rPr>
          <w:rFonts w:eastAsiaTheme="majorEastAsia"/>
          <w:kern w:val="0"/>
          <w:sz w:val="24"/>
          <w:lang w:bidi="ar"/>
        </w:rPr>
        <w:t>月</w:t>
      </w:r>
      <w:r>
        <w:rPr>
          <w:rFonts w:eastAsiaTheme="majorEastAsia"/>
          <w:kern w:val="0"/>
          <w:sz w:val="24"/>
          <w:lang w:bidi="ar"/>
        </w:rPr>
        <w:t>9</w:t>
      </w:r>
      <w:r>
        <w:rPr>
          <w:rFonts w:eastAsiaTheme="majorEastAsia"/>
          <w:kern w:val="0"/>
          <w:sz w:val="24"/>
          <w:lang w:bidi="ar"/>
        </w:rPr>
        <w:t>日，习近平总书记在宁夏银川贺兰县考察时，详细了解了稻渔种养融合发展的创新做法，并亲手舀起鱼苗、蟹苗放进田边水渠。目前，像甘肃景泰次生盐碱地修复、山东东营</w:t>
      </w:r>
      <w:r>
        <w:rPr>
          <w:rFonts w:eastAsiaTheme="majorEastAsia"/>
          <w:kern w:val="0"/>
          <w:sz w:val="24"/>
          <w:lang w:bidi="ar"/>
        </w:rPr>
        <w:t>“</w:t>
      </w:r>
      <w:r>
        <w:rPr>
          <w:rFonts w:eastAsiaTheme="majorEastAsia"/>
          <w:kern w:val="0"/>
          <w:sz w:val="24"/>
          <w:lang w:bidi="ar"/>
        </w:rPr>
        <w:t>上农下渔</w:t>
      </w:r>
      <w:r>
        <w:rPr>
          <w:rFonts w:eastAsiaTheme="majorEastAsia"/>
          <w:kern w:val="0"/>
          <w:sz w:val="24"/>
          <w:lang w:bidi="ar"/>
        </w:rPr>
        <w:t>”</w:t>
      </w:r>
      <w:r>
        <w:rPr>
          <w:rFonts w:eastAsiaTheme="majorEastAsia"/>
          <w:kern w:val="0"/>
          <w:sz w:val="24"/>
          <w:lang w:bidi="ar"/>
        </w:rPr>
        <w:t>、河北曹妃甸盐碱耕地保护、上海大丰农场原位复耕等因地制宜发展的农渔综合利用模式在各地如雨后春笋般涌现。</w:t>
      </w:r>
    </w:p>
    <w:p w14:paraId="4D86D08E"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10</w:t>
      </w:r>
      <w:r>
        <w:rPr>
          <w:rFonts w:ascii="Times New Roman" w:eastAsiaTheme="majorEastAsia" w:hAnsi="Times New Roman" w:cs="Times New Roman"/>
          <w:lang w:bidi="ar"/>
        </w:rPr>
        <w:t>年来，全国渔业科技加快关键技术突破、技术系统集成和科技成果转化，大宗淡水鱼、特色淡水鱼、海水鱼、虾、蟹、贝类等</w:t>
      </w:r>
      <w:r>
        <w:rPr>
          <w:rFonts w:ascii="Times New Roman" w:eastAsiaTheme="majorEastAsia" w:hAnsi="Times New Roman" w:cs="Times New Roman"/>
          <w:lang w:bidi="ar"/>
        </w:rPr>
        <w:t>6</w:t>
      </w:r>
      <w:r>
        <w:rPr>
          <w:rFonts w:ascii="Times New Roman" w:eastAsiaTheme="majorEastAsia" w:hAnsi="Times New Roman" w:cs="Times New Roman"/>
          <w:lang w:bidi="ar"/>
        </w:rPr>
        <w:t>个现代农业产业技术体系不断健全，循环水、稻渔综合种养、多营养层级立体养殖等生态养殖模式不断推广，物联网养殖设备、大型深海养殖装备不断涌现，重点品种药物残留检测监测、水产苗种产地检疫水平不断提升，水产品质量安全追溯试点稳步推进。目前，我国渔业科技进步贡献率已超过</w:t>
      </w:r>
      <w:r>
        <w:rPr>
          <w:rFonts w:ascii="Times New Roman" w:eastAsiaTheme="majorEastAsia" w:hAnsi="Times New Roman" w:cs="Times New Roman"/>
          <w:lang w:bidi="ar"/>
        </w:rPr>
        <w:t>60</w:t>
      </w:r>
      <w:r>
        <w:rPr>
          <w:rFonts w:ascii="Times New Roman" w:eastAsiaTheme="majorEastAsia" w:hAnsi="Times New Roman" w:cs="Times New Roman"/>
          <w:lang w:bidi="ar"/>
        </w:rPr>
        <w:t>％。</w:t>
      </w:r>
    </w:p>
    <w:p w14:paraId="47FBB3D3" w14:textId="77777777" w:rsidR="006D73E5" w:rsidRDefault="00000000">
      <w:pPr>
        <w:pStyle w:val="ad"/>
        <w:spacing w:before="0" w:beforeAutospacing="0" w:after="0" w:afterAutospacing="0" w:line="360" w:lineRule="auto"/>
        <w:rPr>
          <w:rFonts w:ascii="Times New Roman" w:eastAsiaTheme="majorEastAsia" w:hAnsi="Times New Roman" w:cs="Times New Roman"/>
          <w:b/>
          <w:bCs/>
          <w:lang w:bidi="ar"/>
        </w:rPr>
      </w:pPr>
      <w:r>
        <w:rPr>
          <w:rFonts w:ascii="Times New Roman" w:eastAsiaTheme="majorEastAsia" w:hAnsi="Times New Roman" w:cs="Times New Roman"/>
          <w:b/>
          <w:bCs/>
          <w:lang w:bidi="ar"/>
        </w:rPr>
        <w:t>加工贸易方兴未艾，深化国际合作</w:t>
      </w:r>
      <w:r>
        <w:rPr>
          <w:rFonts w:ascii="Times New Roman" w:eastAsiaTheme="majorEastAsia" w:hAnsi="Times New Roman" w:cs="Times New Roman"/>
          <w:b/>
          <w:bCs/>
          <w:lang w:bidi="ar"/>
        </w:rPr>
        <w:t xml:space="preserve"> </w:t>
      </w:r>
      <w:r>
        <w:rPr>
          <w:rFonts w:ascii="Times New Roman" w:eastAsiaTheme="majorEastAsia" w:hAnsi="Times New Roman" w:cs="Times New Roman"/>
          <w:b/>
          <w:bCs/>
          <w:lang w:bidi="ar"/>
        </w:rPr>
        <w:t>拓宽渔业发展空间</w:t>
      </w:r>
    </w:p>
    <w:p w14:paraId="1E2E7022"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今年</w:t>
      </w:r>
      <w:r>
        <w:rPr>
          <w:rFonts w:ascii="Times New Roman" w:eastAsiaTheme="majorEastAsia" w:hAnsi="Times New Roman" w:cs="Times New Roman"/>
          <w:lang w:bidi="ar"/>
        </w:rPr>
        <w:t>1</w:t>
      </w:r>
      <w:r>
        <w:rPr>
          <w:rFonts w:ascii="Times New Roman" w:eastAsiaTheme="majorEastAsia" w:hAnsi="Times New Roman" w:cs="Times New Roman"/>
          <w:lang w:bidi="ar"/>
        </w:rPr>
        <w:t>月初，广东恒兴集团茂名公司出口</w:t>
      </w:r>
      <w:r>
        <w:rPr>
          <w:rFonts w:ascii="Times New Roman" w:eastAsiaTheme="majorEastAsia" w:hAnsi="Times New Roman" w:cs="Times New Roman"/>
          <w:lang w:bidi="ar"/>
        </w:rPr>
        <w:t>RCEP</w:t>
      </w:r>
      <w:r>
        <w:rPr>
          <w:rFonts w:ascii="Times New Roman" w:eastAsiaTheme="majorEastAsia" w:hAnsi="Times New Roman" w:cs="Times New Roman"/>
          <w:lang w:bidi="ar"/>
        </w:rPr>
        <w:t>（即区域全面经济伙伴关系协定）国家的</w:t>
      </w:r>
      <w:r>
        <w:rPr>
          <w:rFonts w:ascii="Times New Roman" w:eastAsiaTheme="majorEastAsia" w:hAnsi="Times New Roman" w:cs="Times New Roman"/>
          <w:lang w:bidi="ar"/>
        </w:rPr>
        <w:t>2500</w:t>
      </w:r>
      <w:r>
        <w:rPr>
          <w:rFonts w:ascii="Times New Roman" w:eastAsiaTheme="majorEastAsia" w:hAnsi="Times New Roman" w:cs="Times New Roman"/>
          <w:lang w:bidi="ar"/>
        </w:rPr>
        <w:t>箱、</w:t>
      </w:r>
      <w:r>
        <w:rPr>
          <w:rFonts w:ascii="Times New Roman" w:eastAsiaTheme="majorEastAsia" w:hAnsi="Times New Roman" w:cs="Times New Roman"/>
          <w:lang w:bidi="ar"/>
        </w:rPr>
        <w:t>25</w:t>
      </w:r>
      <w:r>
        <w:rPr>
          <w:rFonts w:ascii="Times New Roman" w:eastAsiaTheme="majorEastAsia" w:hAnsi="Times New Roman" w:cs="Times New Roman"/>
          <w:lang w:bidi="ar"/>
        </w:rPr>
        <w:t>吨水产预制菜顺利发车运往东南亚市场。这是</w:t>
      </w:r>
      <w:r>
        <w:rPr>
          <w:rFonts w:ascii="Times New Roman" w:eastAsiaTheme="majorEastAsia" w:hAnsi="Times New Roman" w:cs="Times New Roman"/>
          <w:lang w:bidi="ar"/>
        </w:rPr>
        <w:t>RCEP</w:t>
      </w:r>
      <w:r>
        <w:rPr>
          <w:rFonts w:ascii="Times New Roman" w:eastAsiaTheme="majorEastAsia" w:hAnsi="Times New Roman" w:cs="Times New Roman"/>
          <w:lang w:bidi="ar"/>
        </w:rPr>
        <w:t>今年</w:t>
      </w:r>
      <w:r>
        <w:rPr>
          <w:rFonts w:ascii="Times New Roman" w:eastAsiaTheme="majorEastAsia" w:hAnsi="Times New Roman" w:cs="Times New Roman"/>
          <w:lang w:bidi="ar"/>
        </w:rPr>
        <w:t>1</w:t>
      </w:r>
      <w:r>
        <w:rPr>
          <w:rFonts w:ascii="Times New Roman" w:eastAsiaTheme="majorEastAsia" w:hAnsi="Times New Roman" w:cs="Times New Roman"/>
          <w:lang w:bidi="ar"/>
        </w:rPr>
        <w:t>月</w:t>
      </w:r>
      <w:r>
        <w:rPr>
          <w:rFonts w:ascii="Times New Roman" w:eastAsiaTheme="majorEastAsia" w:hAnsi="Times New Roman" w:cs="Times New Roman"/>
          <w:lang w:bidi="ar"/>
        </w:rPr>
        <w:t>1</w:t>
      </w:r>
      <w:r>
        <w:rPr>
          <w:rFonts w:ascii="Times New Roman" w:eastAsiaTheme="majorEastAsia" w:hAnsi="Times New Roman" w:cs="Times New Roman"/>
          <w:lang w:bidi="ar"/>
        </w:rPr>
        <w:t>日正式生效后，广东水产加工产品进军</w:t>
      </w:r>
      <w:r>
        <w:rPr>
          <w:rFonts w:ascii="Times New Roman" w:eastAsiaTheme="majorEastAsia" w:hAnsi="Times New Roman" w:cs="Times New Roman"/>
          <w:lang w:bidi="ar"/>
        </w:rPr>
        <w:t>RCEP</w:t>
      </w:r>
      <w:r>
        <w:rPr>
          <w:rFonts w:ascii="Times New Roman" w:eastAsiaTheme="majorEastAsia" w:hAnsi="Times New Roman" w:cs="Times New Roman"/>
          <w:lang w:bidi="ar"/>
        </w:rPr>
        <w:t>国家的首批产品。</w:t>
      </w:r>
    </w:p>
    <w:p w14:paraId="769090F4"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水产品是我国农产品中最具出口竞争力的产品之一，与</w:t>
      </w:r>
      <w:r>
        <w:rPr>
          <w:rFonts w:ascii="Times New Roman" w:eastAsiaTheme="majorEastAsia" w:hAnsi="Times New Roman" w:cs="Times New Roman"/>
          <w:lang w:bidi="ar"/>
        </w:rPr>
        <w:t>201</w:t>
      </w:r>
      <w:r>
        <w:rPr>
          <w:rFonts w:ascii="Times New Roman" w:eastAsiaTheme="majorEastAsia" w:hAnsi="Times New Roman" w:cs="Times New Roman"/>
          <w:lang w:bidi="ar"/>
        </w:rPr>
        <w:t>个国家和地区有水产贸易往来。目前，我国水产品加工比例为</w:t>
      </w:r>
      <w:r>
        <w:rPr>
          <w:rFonts w:ascii="Times New Roman" w:eastAsiaTheme="majorEastAsia" w:hAnsi="Times New Roman" w:cs="Times New Roman"/>
          <w:lang w:bidi="ar"/>
        </w:rPr>
        <w:t>38</w:t>
      </w:r>
      <w:r>
        <w:rPr>
          <w:rFonts w:ascii="Times New Roman" w:eastAsiaTheme="majorEastAsia" w:hAnsi="Times New Roman" w:cs="Times New Roman"/>
          <w:lang w:bidi="ar"/>
        </w:rPr>
        <w:t>％，其中海水产品加工比例为</w:t>
      </w:r>
      <w:r>
        <w:rPr>
          <w:rFonts w:ascii="Times New Roman" w:eastAsiaTheme="majorEastAsia" w:hAnsi="Times New Roman" w:cs="Times New Roman"/>
          <w:lang w:bidi="ar"/>
        </w:rPr>
        <w:t>58</w:t>
      </w:r>
      <w:r>
        <w:rPr>
          <w:rFonts w:ascii="Times New Roman" w:eastAsiaTheme="majorEastAsia" w:hAnsi="Times New Roman" w:cs="Times New Roman"/>
          <w:lang w:bidi="ar"/>
        </w:rPr>
        <w:t>％，淡水产品加工比例为</w:t>
      </w:r>
      <w:r>
        <w:rPr>
          <w:rFonts w:ascii="Times New Roman" w:eastAsiaTheme="majorEastAsia" w:hAnsi="Times New Roman" w:cs="Times New Roman"/>
          <w:lang w:bidi="ar"/>
        </w:rPr>
        <w:t>17</w:t>
      </w:r>
      <w:r>
        <w:rPr>
          <w:rFonts w:ascii="Times New Roman" w:eastAsiaTheme="majorEastAsia" w:hAnsi="Times New Roman" w:cs="Times New Roman"/>
          <w:lang w:bidi="ar"/>
        </w:rPr>
        <w:t>％。</w:t>
      </w:r>
      <w:r>
        <w:rPr>
          <w:rFonts w:ascii="Times New Roman" w:eastAsiaTheme="majorEastAsia" w:hAnsi="Times New Roman" w:cs="Times New Roman"/>
          <w:lang w:bidi="ar"/>
        </w:rPr>
        <w:t>2021</w:t>
      </w:r>
      <w:r>
        <w:rPr>
          <w:rFonts w:ascii="Times New Roman" w:eastAsiaTheme="majorEastAsia" w:hAnsi="Times New Roman" w:cs="Times New Roman"/>
          <w:lang w:bidi="ar"/>
        </w:rPr>
        <w:t>年，全国水产品加工企业</w:t>
      </w:r>
      <w:r>
        <w:rPr>
          <w:rFonts w:ascii="Times New Roman" w:eastAsiaTheme="majorEastAsia" w:hAnsi="Times New Roman" w:cs="Times New Roman"/>
          <w:lang w:bidi="ar"/>
        </w:rPr>
        <w:t>9202</w:t>
      </w:r>
      <w:r>
        <w:rPr>
          <w:rFonts w:ascii="Times New Roman" w:eastAsiaTheme="majorEastAsia" w:hAnsi="Times New Roman" w:cs="Times New Roman"/>
          <w:lang w:bidi="ar"/>
        </w:rPr>
        <w:t>家，水产品加工总量</w:t>
      </w:r>
      <w:r>
        <w:rPr>
          <w:rFonts w:ascii="Times New Roman" w:eastAsiaTheme="majorEastAsia" w:hAnsi="Times New Roman" w:cs="Times New Roman"/>
          <w:lang w:bidi="ar"/>
        </w:rPr>
        <w:t>2125</w:t>
      </w:r>
      <w:r>
        <w:rPr>
          <w:rFonts w:ascii="Times New Roman" w:eastAsiaTheme="majorEastAsia" w:hAnsi="Times New Roman" w:cs="Times New Roman"/>
          <w:lang w:bidi="ar"/>
        </w:rPr>
        <w:t>万吨，实现总产值</w:t>
      </w:r>
      <w:r>
        <w:rPr>
          <w:rFonts w:ascii="Times New Roman" w:eastAsiaTheme="majorEastAsia" w:hAnsi="Times New Roman" w:cs="Times New Roman"/>
          <w:lang w:bidi="ar"/>
        </w:rPr>
        <w:t>4496</w:t>
      </w:r>
      <w:r>
        <w:rPr>
          <w:rFonts w:ascii="Times New Roman" w:eastAsiaTheme="majorEastAsia" w:hAnsi="Times New Roman" w:cs="Times New Roman"/>
          <w:lang w:bidi="ar"/>
        </w:rPr>
        <w:t>亿元。</w:t>
      </w:r>
    </w:p>
    <w:p w14:paraId="2315E138"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lastRenderedPageBreak/>
        <w:t>据海关总署统计，我国水产品贸易</w:t>
      </w:r>
      <w:r>
        <w:rPr>
          <w:rFonts w:ascii="Times New Roman" w:eastAsiaTheme="majorEastAsia" w:hAnsi="Times New Roman" w:cs="Times New Roman"/>
          <w:lang w:bidi="ar"/>
        </w:rPr>
        <w:t>2012</w:t>
      </w:r>
      <w:r>
        <w:rPr>
          <w:rFonts w:ascii="Times New Roman" w:eastAsiaTheme="majorEastAsia" w:hAnsi="Times New Roman" w:cs="Times New Roman"/>
          <w:lang w:bidi="ar"/>
        </w:rPr>
        <w:t>年顺差</w:t>
      </w:r>
      <w:r>
        <w:rPr>
          <w:rFonts w:ascii="Times New Roman" w:eastAsiaTheme="majorEastAsia" w:hAnsi="Times New Roman" w:cs="Times New Roman"/>
          <w:lang w:bidi="ar"/>
        </w:rPr>
        <w:t>109.85</w:t>
      </w:r>
      <w:r>
        <w:rPr>
          <w:rFonts w:ascii="Times New Roman" w:eastAsiaTheme="majorEastAsia" w:hAnsi="Times New Roman" w:cs="Times New Roman"/>
          <w:lang w:bidi="ar"/>
        </w:rPr>
        <w:t>亿美元，首次突破百亿美元。</w:t>
      </w:r>
      <w:r>
        <w:rPr>
          <w:rFonts w:ascii="Times New Roman" w:eastAsiaTheme="majorEastAsia" w:hAnsi="Times New Roman" w:cs="Times New Roman"/>
          <w:lang w:bidi="ar"/>
        </w:rPr>
        <w:t>“</w:t>
      </w:r>
      <w:r>
        <w:rPr>
          <w:rFonts w:ascii="Times New Roman" w:eastAsiaTheme="majorEastAsia" w:hAnsi="Times New Roman" w:cs="Times New Roman"/>
          <w:lang w:bidi="ar"/>
        </w:rPr>
        <w:t>十三五</w:t>
      </w:r>
      <w:r>
        <w:rPr>
          <w:rFonts w:ascii="Times New Roman" w:eastAsiaTheme="majorEastAsia" w:hAnsi="Times New Roman" w:cs="Times New Roman"/>
          <w:lang w:bidi="ar"/>
        </w:rPr>
        <w:t>”</w:t>
      </w:r>
      <w:r>
        <w:rPr>
          <w:rFonts w:ascii="Times New Roman" w:eastAsiaTheme="majorEastAsia" w:hAnsi="Times New Roman" w:cs="Times New Roman"/>
          <w:lang w:bidi="ar"/>
        </w:rPr>
        <w:t>以来（除</w:t>
      </w:r>
      <w:r>
        <w:rPr>
          <w:rFonts w:ascii="Times New Roman" w:eastAsiaTheme="majorEastAsia" w:hAnsi="Times New Roman" w:cs="Times New Roman"/>
          <w:lang w:bidi="ar"/>
        </w:rPr>
        <w:t>2020</w:t>
      </w:r>
      <w:r>
        <w:rPr>
          <w:rFonts w:ascii="Times New Roman" w:eastAsiaTheme="majorEastAsia" w:hAnsi="Times New Roman" w:cs="Times New Roman"/>
          <w:lang w:bidi="ar"/>
        </w:rPr>
        <w:t>年外），水产品出口额稳定在</w:t>
      </w:r>
      <w:r>
        <w:rPr>
          <w:rFonts w:ascii="Times New Roman" w:eastAsiaTheme="majorEastAsia" w:hAnsi="Times New Roman" w:cs="Times New Roman"/>
          <w:lang w:bidi="ar"/>
        </w:rPr>
        <w:t>200</w:t>
      </w:r>
      <w:r>
        <w:rPr>
          <w:rFonts w:ascii="Times New Roman" w:eastAsiaTheme="majorEastAsia" w:hAnsi="Times New Roman" w:cs="Times New Roman"/>
          <w:lang w:bidi="ar"/>
        </w:rPr>
        <w:t>亿美元以上，其中</w:t>
      </w:r>
      <w:r>
        <w:rPr>
          <w:rFonts w:ascii="Times New Roman" w:eastAsiaTheme="majorEastAsia" w:hAnsi="Times New Roman" w:cs="Times New Roman"/>
          <w:lang w:bidi="ar"/>
        </w:rPr>
        <w:t>2018</w:t>
      </w:r>
      <w:r>
        <w:rPr>
          <w:rFonts w:ascii="Times New Roman" w:eastAsiaTheme="majorEastAsia" w:hAnsi="Times New Roman" w:cs="Times New Roman"/>
          <w:lang w:bidi="ar"/>
        </w:rPr>
        <w:t>年达到最高的</w:t>
      </w:r>
      <w:r>
        <w:rPr>
          <w:rFonts w:ascii="Times New Roman" w:eastAsiaTheme="majorEastAsia" w:hAnsi="Times New Roman" w:cs="Times New Roman"/>
          <w:lang w:bidi="ar"/>
        </w:rPr>
        <w:t>224.43</w:t>
      </w:r>
      <w:r>
        <w:rPr>
          <w:rFonts w:ascii="Times New Roman" w:eastAsiaTheme="majorEastAsia" w:hAnsi="Times New Roman" w:cs="Times New Roman"/>
          <w:lang w:bidi="ar"/>
        </w:rPr>
        <w:t>亿美元。</w:t>
      </w:r>
    </w:p>
    <w:p w14:paraId="196DEF7F" w14:textId="77777777" w:rsidR="006D73E5" w:rsidRDefault="00000000" w:rsidP="00983761">
      <w:pPr>
        <w:widowControl/>
        <w:spacing w:line="360" w:lineRule="auto"/>
        <w:ind w:firstLineChars="200" w:firstLine="480"/>
        <w:rPr>
          <w:rFonts w:eastAsiaTheme="majorEastAsia"/>
          <w:kern w:val="0"/>
          <w:sz w:val="24"/>
          <w:lang w:bidi="ar"/>
        </w:rPr>
      </w:pPr>
      <w:r>
        <w:rPr>
          <w:rFonts w:eastAsiaTheme="majorEastAsia"/>
          <w:kern w:val="0"/>
          <w:sz w:val="24"/>
          <w:lang w:bidi="ar"/>
        </w:rPr>
        <w:t>渔业是外向型的产业，远洋渔业是根据相关国际法和有关双边协议或机制，对国际渔业资源进行开发利用的产业。我国在不断扩大渔业对外开放的同时，还积极参与全球、区域和双边渔业事务，共加入</w:t>
      </w:r>
      <w:r>
        <w:rPr>
          <w:rFonts w:eastAsiaTheme="majorEastAsia"/>
          <w:kern w:val="0"/>
          <w:sz w:val="24"/>
          <w:lang w:bidi="ar"/>
        </w:rPr>
        <w:t>9</w:t>
      </w:r>
      <w:r>
        <w:rPr>
          <w:rFonts w:eastAsiaTheme="majorEastAsia"/>
          <w:kern w:val="0"/>
          <w:sz w:val="24"/>
          <w:lang w:bidi="ar"/>
        </w:rPr>
        <w:t>个国际或区域渔业管理组织，与</w:t>
      </w:r>
      <w:r>
        <w:rPr>
          <w:rFonts w:eastAsiaTheme="majorEastAsia"/>
          <w:kern w:val="0"/>
          <w:sz w:val="24"/>
          <w:lang w:bidi="ar"/>
        </w:rPr>
        <w:t>40</w:t>
      </w:r>
      <w:r>
        <w:rPr>
          <w:rFonts w:eastAsiaTheme="majorEastAsia"/>
          <w:kern w:val="0"/>
          <w:sz w:val="24"/>
          <w:lang w:bidi="ar"/>
        </w:rPr>
        <w:t>多个国家开展渔业合作。截至</w:t>
      </w:r>
      <w:r>
        <w:rPr>
          <w:rFonts w:eastAsiaTheme="majorEastAsia"/>
          <w:kern w:val="0"/>
          <w:sz w:val="24"/>
          <w:lang w:bidi="ar"/>
        </w:rPr>
        <w:t>2021</w:t>
      </w:r>
      <w:r>
        <w:rPr>
          <w:rFonts w:eastAsiaTheme="majorEastAsia"/>
          <w:kern w:val="0"/>
          <w:sz w:val="24"/>
          <w:lang w:bidi="ar"/>
        </w:rPr>
        <w:t>年底，远洋渔业企业</w:t>
      </w:r>
      <w:r>
        <w:rPr>
          <w:rFonts w:eastAsiaTheme="majorEastAsia"/>
          <w:kern w:val="0"/>
          <w:sz w:val="24"/>
          <w:lang w:bidi="ar"/>
        </w:rPr>
        <w:t>178</w:t>
      </w:r>
      <w:r>
        <w:rPr>
          <w:rFonts w:eastAsiaTheme="majorEastAsia"/>
          <w:kern w:val="0"/>
          <w:sz w:val="24"/>
          <w:lang w:bidi="ar"/>
        </w:rPr>
        <w:t>家，作业渔船</w:t>
      </w:r>
      <w:r>
        <w:rPr>
          <w:rFonts w:eastAsiaTheme="majorEastAsia"/>
          <w:kern w:val="0"/>
          <w:sz w:val="24"/>
          <w:lang w:bidi="ar"/>
        </w:rPr>
        <w:t>2559</w:t>
      </w:r>
      <w:r>
        <w:rPr>
          <w:rFonts w:eastAsiaTheme="majorEastAsia"/>
          <w:kern w:val="0"/>
          <w:sz w:val="24"/>
          <w:lang w:bidi="ar"/>
        </w:rPr>
        <w:t>艘，作业海域涉及太平洋、大西洋、印度洋三大洋公海、南极海域及</w:t>
      </w:r>
      <w:r>
        <w:rPr>
          <w:rFonts w:eastAsiaTheme="majorEastAsia"/>
          <w:kern w:val="0"/>
          <w:sz w:val="24"/>
          <w:lang w:bidi="ar"/>
        </w:rPr>
        <w:t>40</w:t>
      </w:r>
      <w:r>
        <w:rPr>
          <w:rFonts w:eastAsiaTheme="majorEastAsia"/>
          <w:kern w:val="0"/>
          <w:sz w:val="24"/>
          <w:lang w:bidi="ar"/>
        </w:rPr>
        <w:t>多个国家或地区，总产量达</w:t>
      </w:r>
      <w:r>
        <w:rPr>
          <w:rFonts w:eastAsiaTheme="majorEastAsia"/>
          <w:kern w:val="0"/>
          <w:sz w:val="24"/>
          <w:lang w:bidi="ar"/>
        </w:rPr>
        <w:t>224.65</w:t>
      </w:r>
      <w:r>
        <w:rPr>
          <w:rFonts w:eastAsiaTheme="majorEastAsia"/>
          <w:kern w:val="0"/>
          <w:sz w:val="24"/>
          <w:lang w:bidi="ar"/>
        </w:rPr>
        <w:t>万吨。我国远洋渔业的渔船规模、装备水平、捕捞加工能力、管理水平、科研水平已跻身世界前列。</w:t>
      </w:r>
    </w:p>
    <w:p w14:paraId="29899FEC"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同时，我国以开放合作的态度，积极与周边国家开展渔业往来，先后组织开展中韩、中越、中俄、中老联合增殖放流，共同养护渔业资源。中俄黑龙江、乌苏里江渔业合作，更是堪称大国合作典范。</w:t>
      </w:r>
    </w:p>
    <w:p w14:paraId="1FC8F0D6" w14:textId="1C4AA496" w:rsidR="006D73E5" w:rsidRDefault="00000000" w:rsidP="00C93F94">
      <w:pPr>
        <w:widowControl/>
        <w:spacing w:line="360" w:lineRule="auto"/>
        <w:ind w:firstLineChars="200" w:firstLine="480"/>
        <w:rPr>
          <w:rFonts w:eastAsiaTheme="majorEastAsia"/>
          <w:kern w:val="0"/>
          <w:sz w:val="24"/>
          <w:lang w:bidi="ar"/>
        </w:rPr>
      </w:pPr>
      <w:r>
        <w:rPr>
          <w:rFonts w:eastAsiaTheme="majorEastAsia"/>
          <w:kern w:val="0"/>
          <w:sz w:val="24"/>
          <w:lang w:bidi="ar"/>
        </w:rPr>
        <w:t>2021</w:t>
      </w:r>
      <w:r>
        <w:rPr>
          <w:rFonts w:eastAsiaTheme="majorEastAsia"/>
          <w:kern w:val="0"/>
          <w:sz w:val="24"/>
          <w:lang w:bidi="ar"/>
        </w:rPr>
        <w:t>年</w:t>
      </w:r>
      <w:r>
        <w:rPr>
          <w:rFonts w:eastAsiaTheme="majorEastAsia"/>
          <w:kern w:val="0"/>
          <w:sz w:val="24"/>
          <w:lang w:bidi="ar"/>
        </w:rPr>
        <w:t>9</w:t>
      </w:r>
      <w:r>
        <w:rPr>
          <w:rFonts w:eastAsiaTheme="majorEastAsia"/>
          <w:kern w:val="0"/>
          <w:sz w:val="24"/>
          <w:lang w:bidi="ar"/>
        </w:rPr>
        <w:t>月，第四届全球水产养殖大会在上海召开，来自全球</w:t>
      </w:r>
      <w:r>
        <w:rPr>
          <w:rFonts w:eastAsiaTheme="majorEastAsia"/>
          <w:kern w:val="0"/>
          <w:sz w:val="24"/>
          <w:lang w:bidi="ar"/>
        </w:rPr>
        <w:t>120</w:t>
      </w:r>
      <w:r>
        <w:rPr>
          <w:rFonts w:eastAsiaTheme="majorEastAsia"/>
          <w:kern w:val="0"/>
          <w:sz w:val="24"/>
          <w:lang w:bidi="ar"/>
        </w:rPr>
        <w:t>个国家、地区和经济体及有关国际和区域组织的</w:t>
      </w:r>
      <w:r>
        <w:rPr>
          <w:rFonts w:eastAsiaTheme="majorEastAsia"/>
          <w:kern w:val="0"/>
          <w:sz w:val="24"/>
          <w:lang w:bidi="ar"/>
        </w:rPr>
        <w:t>2700</w:t>
      </w:r>
      <w:r>
        <w:rPr>
          <w:rFonts w:eastAsiaTheme="majorEastAsia"/>
          <w:kern w:val="0"/>
          <w:sz w:val="24"/>
          <w:lang w:bidi="ar"/>
        </w:rPr>
        <w:t>多人参加了会议，发布了《促进全球水产养殖业可持续发展的上海宣言》。促进可持续水产养殖发展的南南和三方合作高端圆桌会议同期召开；同年</w:t>
      </w:r>
      <w:r>
        <w:rPr>
          <w:rFonts w:eastAsiaTheme="majorEastAsia"/>
          <w:kern w:val="0"/>
          <w:sz w:val="24"/>
          <w:lang w:bidi="ar"/>
        </w:rPr>
        <w:t>12</w:t>
      </w:r>
      <w:r>
        <w:rPr>
          <w:rFonts w:eastAsiaTheme="majorEastAsia"/>
          <w:kern w:val="0"/>
          <w:sz w:val="24"/>
          <w:lang w:bidi="ar"/>
        </w:rPr>
        <w:t>月，首届中国</w:t>
      </w:r>
      <w:r>
        <w:rPr>
          <w:rFonts w:eastAsiaTheme="majorEastAsia"/>
          <w:kern w:val="0"/>
          <w:sz w:val="24"/>
          <w:lang w:bidi="ar"/>
        </w:rPr>
        <w:t>——</w:t>
      </w:r>
      <w:r>
        <w:rPr>
          <w:rFonts w:eastAsiaTheme="majorEastAsia"/>
          <w:kern w:val="0"/>
          <w:sz w:val="24"/>
          <w:lang w:bidi="ar"/>
        </w:rPr>
        <w:t>太平洋岛国渔业合作发展论坛在广东广州成功举办。连续两场主场的国际渔业合作会议成功主办，对促进我国和平外交进程发挥了独特作用。</w:t>
      </w:r>
      <w:r>
        <w:rPr>
          <w:rFonts w:eastAsiaTheme="majorEastAsia"/>
          <w:kern w:val="0"/>
          <w:sz w:val="24"/>
          <w:lang w:bidi="ar"/>
        </w:rPr>
        <w:br/>
        <w:t xml:space="preserve">  </w:t>
      </w:r>
      <w:r w:rsidR="00983761">
        <w:rPr>
          <w:rFonts w:eastAsiaTheme="majorEastAsia"/>
          <w:kern w:val="0"/>
          <w:sz w:val="24"/>
          <w:lang w:bidi="ar"/>
        </w:rPr>
        <w:t xml:space="preserve"> </w:t>
      </w:r>
      <w:r>
        <w:rPr>
          <w:rFonts w:eastAsiaTheme="majorEastAsia"/>
          <w:kern w:val="0"/>
          <w:sz w:val="24"/>
          <w:lang w:bidi="ar"/>
        </w:rPr>
        <w:t>今年</w:t>
      </w:r>
      <w:r>
        <w:rPr>
          <w:rFonts w:eastAsiaTheme="majorEastAsia"/>
          <w:kern w:val="0"/>
          <w:sz w:val="24"/>
          <w:lang w:bidi="ar"/>
        </w:rPr>
        <w:t>6</w:t>
      </w:r>
      <w:r>
        <w:rPr>
          <w:rFonts w:eastAsiaTheme="majorEastAsia"/>
          <w:kern w:val="0"/>
          <w:sz w:val="24"/>
          <w:lang w:bidi="ar"/>
        </w:rPr>
        <w:t>月，在瑞士召开的</w:t>
      </w:r>
      <w:r>
        <w:rPr>
          <w:rFonts w:eastAsiaTheme="majorEastAsia"/>
          <w:kern w:val="0"/>
          <w:sz w:val="24"/>
          <w:lang w:bidi="ar"/>
        </w:rPr>
        <w:t>WTO</w:t>
      </w:r>
      <w:r>
        <w:rPr>
          <w:rFonts w:eastAsiaTheme="majorEastAsia"/>
          <w:kern w:val="0"/>
          <w:sz w:val="24"/>
          <w:lang w:bidi="ar"/>
        </w:rPr>
        <w:t>第</w:t>
      </w:r>
      <w:r>
        <w:rPr>
          <w:rFonts w:eastAsiaTheme="majorEastAsia"/>
          <w:kern w:val="0"/>
          <w:sz w:val="24"/>
          <w:lang w:bidi="ar"/>
        </w:rPr>
        <w:t>12</w:t>
      </w:r>
      <w:r>
        <w:rPr>
          <w:rFonts w:eastAsiaTheme="majorEastAsia"/>
          <w:kern w:val="0"/>
          <w:sz w:val="24"/>
          <w:lang w:bidi="ar"/>
        </w:rPr>
        <w:t>届部长级会议就渔业补贴等多项议题达成共识。其中《渔业补贴协定》是经过长达</w:t>
      </w:r>
      <w:r>
        <w:rPr>
          <w:rFonts w:eastAsiaTheme="majorEastAsia"/>
          <w:kern w:val="0"/>
          <w:sz w:val="24"/>
          <w:lang w:bidi="ar"/>
        </w:rPr>
        <w:t>21</w:t>
      </w:r>
      <w:r>
        <w:rPr>
          <w:rFonts w:eastAsiaTheme="majorEastAsia"/>
          <w:kern w:val="0"/>
          <w:sz w:val="24"/>
          <w:lang w:bidi="ar"/>
        </w:rPr>
        <w:t>年的艰苦谈判取得的最重大成果，为实现联合国</w:t>
      </w:r>
      <w:r>
        <w:rPr>
          <w:rFonts w:eastAsiaTheme="majorEastAsia"/>
          <w:kern w:val="0"/>
          <w:sz w:val="24"/>
          <w:lang w:bidi="ar"/>
        </w:rPr>
        <w:t>2030</w:t>
      </w:r>
      <w:r>
        <w:rPr>
          <w:rFonts w:eastAsiaTheme="majorEastAsia"/>
          <w:kern w:val="0"/>
          <w:sz w:val="24"/>
          <w:lang w:bidi="ar"/>
        </w:rPr>
        <w:t>年可持续发展议程作出重要贡献。这一协定的达成，既为捍卫多边主义作出渔业贡献，也有力保障了我国渔业发展权益。</w:t>
      </w:r>
    </w:p>
    <w:p w14:paraId="7ACBFBE2"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渔业对外合作的拓展，为践行</w:t>
      </w:r>
      <w:r>
        <w:rPr>
          <w:rFonts w:ascii="Times New Roman" w:eastAsiaTheme="majorEastAsia" w:hAnsi="Times New Roman" w:cs="Times New Roman"/>
          <w:lang w:bidi="ar"/>
        </w:rPr>
        <w:t>“</w:t>
      </w:r>
      <w:r>
        <w:rPr>
          <w:rFonts w:ascii="Times New Roman" w:eastAsiaTheme="majorEastAsia" w:hAnsi="Times New Roman" w:cs="Times New Roman"/>
          <w:lang w:bidi="ar"/>
        </w:rPr>
        <w:t>一带一路</w:t>
      </w:r>
      <w:r>
        <w:rPr>
          <w:rFonts w:ascii="Times New Roman" w:eastAsiaTheme="majorEastAsia" w:hAnsi="Times New Roman" w:cs="Times New Roman"/>
          <w:lang w:bidi="ar"/>
        </w:rPr>
        <w:t>”</w:t>
      </w:r>
      <w:r>
        <w:rPr>
          <w:rFonts w:ascii="Times New Roman" w:eastAsiaTheme="majorEastAsia" w:hAnsi="Times New Roman" w:cs="Times New Roman"/>
          <w:lang w:bidi="ar"/>
        </w:rPr>
        <w:t>倡议，建设海洋命运共同体，促进相关国家经济社会发展，作出了积极贡献，也为世界渔业发展贡献了</w:t>
      </w:r>
      <w:r>
        <w:rPr>
          <w:rFonts w:ascii="Times New Roman" w:eastAsiaTheme="majorEastAsia" w:hAnsi="Times New Roman" w:cs="Times New Roman"/>
          <w:lang w:bidi="ar"/>
        </w:rPr>
        <w:t>“</w:t>
      </w:r>
      <w:r>
        <w:rPr>
          <w:rFonts w:ascii="Times New Roman" w:eastAsiaTheme="majorEastAsia" w:hAnsi="Times New Roman" w:cs="Times New Roman"/>
          <w:lang w:bidi="ar"/>
        </w:rPr>
        <w:t>中国智慧</w:t>
      </w:r>
      <w:r>
        <w:rPr>
          <w:rFonts w:ascii="Times New Roman" w:eastAsiaTheme="majorEastAsia" w:hAnsi="Times New Roman" w:cs="Times New Roman"/>
          <w:lang w:bidi="ar"/>
        </w:rPr>
        <w:t>”“</w:t>
      </w:r>
      <w:r>
        <w:rPr>
          <w:rFonts w:ascii="Times New Roman" w:eastAsiaTheme="majorEastAsia" w:hAnsi="Times New Roman" w:cs="Times New Roman"/>
          <w:lang w:bidi="ar"/>
        </w:rPr>
        <w:t>中国方案</w:t>
      </w:r>
      <w:r>
        <w:rPr>
          <w:rFonts w:ascii="Times New Roman" w:eastAsiaTheme="majorEastAsia" w:hAnsi="Times New Roman" w:cs="Times New Roman"/>
          <w:lang w:bidi="ar"/>
        </w:rPr>
        <w:t>”</w:t>
      </w:r>
      <w:r>
        <w:rPr>
          <w:rFonts w:ascii="Times New Roman" w:eastAsiaTheme="majorEastAsia" w:hAnsi="Times New Roman" w:cs="Times New Roman"/>
          <w:lang w:bidi="ar"/>
        </w:rPr>
        <w:t>和</w:t>
      </w:r>
      <w:r>
        <w:rPr>
          <w:rFonts w:ascii="Times New Roman" w:eastAsiaTheme="majorEastAsia" w:hAnsi="Times New Roman" w:cs="Times New Roman"/>
          <w:lang w:bidi="ar"/>
        </w:rPr>
        <w:t>“</w:t>
      </w:r>
      <w:r>
        <w:rPr>
          <w:rFonts w:ascii="Times New Roman" w:eastAsiaTheme="majorEastAsia" w:hAnsi="Times New Roman" w:cs="Times New Roman"/>
          <w:lang w:bidi="ar"/>
        </w:rPr>
        <w:t>中国力量</w:t>
      </w:r>
      <w:r>
        <w:rPr>
          <w:rFonts w:ascii="Times New Roman" w:eastAsiaTheme="majorEastAsia" w:hAnsi="Times New Roman" w:cs="Times New Roman"/>
          <w:lang w:bidi="ar"/>
        </w:rPr>
        <w:t>”</w:t>
      </w:r>
      <w:r>
        <w:rPr>
          <w:rFonts w:ascii="Times New Roman" w:eastAsiaTheme="majorEastAsia" w:hAnsi="Times New Roman" w:cs="Times New Roman"/>
          <w:lang w:bidi="ar"/>
        </w:rPr>
        <w:t>。</w:t>
      </w:r>
    </w:p>
    <w:p w14:paraId="7E8B0B81" w14:textId="77777777" w:rsidR="006D73E5" w:rsidRDefault="00000000">
      <w:pPr>
        <w:widowControl/>
        <w:spacing w:before="240" w:after="240" w:line="21" w:lineRule="atLeast"/>
        <w:jc w:val="right"/>
        <w:rPr>
          <w:rFonts w:eastAsiaTheme="majorEastAsia"/>
          <w:kern w:val="0"/>
          <w:sz w:val="24"/>
          <w:lang w:bidi="ar"/>
        </w:rPr>
      </w:pPr>
      <w:r>
        <w:rPr>
          <w:rStyle w:val="af"/>
          <w:rFonts w:hint="eastAsia"/>
          <w:b w:val="0"/>
          <w:kern w:val="0"/>
          <w:sz w:val="25"/>
          <w:szCs w:val="25"/>
          <w:lang w:bidi="ar"/>
        </w:rPr>
        <w:t>摘自</w:t>
      </w:r>
      <w:r>
        <w:rPr>
          <w:rStyle w:val="af"/>
          <w:b w:val="0"/>
          <w:kern w:val="0"/>
          <w:sz w:val="25"/>
          <w:szCs w:val="25"/>
          <w:lang w:bidi="ar"/>
        </w:rPr>
        <w:t>中国水产品微信公众号</w:t>
      </w:r>
      <w:r>
        <w:rPr>
          <w:rStyle w:val="af"/>
          <w:kern w:val="0"/>
          <w:sz w:val="25"/>
          <w:szCs w:val="25"/>
          <w:lang w:bidi="ar"/>
        </w:rPr>
        <w:t xml:space="preserve"> </w:t>
      </w:r>
      <w:r>
        <w:rPr>
          <w:kern w:val="0"/>
          <w:szCs w:val="21"/>
          <w:lang w:bidi="ar"/>
        </w:rPr>
        <w:t>中国水产流通与加工协会会刊</w:t>
      </w:r>
    </w:p>
    <w:p w14:paraId="37453E30" w14:textId="77777777" w:rsidR="006D73E5" w:rsidRPr="00971756" w:rsidRDefault="00000000" w:rsidP="00971756">
      <w:pPr>
        <w:spacing w:line="360" w:lineRule="auto"/>
        <w:jc w:val="center"/>
        <w:outlineLvl w:val="1"/>
        <w:rPr>
          <w:rFonts w:eastAsia="黑体"/>
          <w:b/>
          <w:bCs/>
          <w:sz w:val="32"/>
          <w:szCs w:val="32"/>
        </w:rPr>
      </w:pPr>
      <w:bookmarkStart w:id="16" w:name="_Toc114077810"/>
      <w:r w:rsidRPr="00971756">
        <w:rPr>
          <w:rFonts w:eastAsia="黑体"/>
          <w:b/>
          <w:bCs/>
          <w:sz w:val="32"/>
          <w:szCs w:val="32"/>
        </w:rPr>
        <w:t>大食物观引领林牧渔业多元化变革</w:t>
      </w:r>
      <w:bookmarkEnd w:id="16"/>
    </w:p>
    <w:p w14:paraId="766F87AF"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14</w:t>
      </w:r>
      <w:r>
        <w:rPr>
          <w:rFonts w:ascii="Times New Roman" w:eastAsiaTheme="majorEastAsia" w:hAnsi="Times New Roman" w:cs="Times New Roman"/>
          <w:lang w:bidi="ar"/>
        </w:rPr>
        <w:t>亿多人口的大国，每天要消耗</w:t>
      </w:r>
      <w:r>
        <w:rPr>
          <w:rFonts w:ascii="Times New Roman" w:eastAsiaTheme="majorEastAsia" w:hAnsi="Times New Roman" w:cs="Times New Roman"/>
          <w:lang w:bidi="ar"/>
        </w:rPr>
        <w:t>25</w:t>
      </w:r>
      <w:r>
        <w:rPr>
          <w:rFonts w:ascii="Times New Roman" w:eastAsiaTheme="majorEastAsia" w:hAnsi="Times New Roman" w:cs="Times New Roman"/>
          <w:lang w:bidi="ar"/>
        </w:rPr>
        <w:t>万吨肉、</w:t>
      </w:r>
      <w:r>
        <w:rPr>
          <w:rFonts w:ascii="Times New Roman" w:eastAsiaTheme="majorEastAsia" w:hAnsi="Times New Roman" w:cs="Times New Roman"/>
          <w:lang w:bidi="ar"/>
        </w:rPr>
        <w:t>9</w:t>
      </w:r>
      <w:r>
        <w:rPr>
          <w:rFonts w:ascii="Times New Roman" w:eastAsiaTheme="majorEastAsia" w:hAnsi="Times New Roman" w:cs="Times New Roman"/>
          <w:lang w:bidi="ar"/>
        </w:rPr>
        <w:t>万吨禽蛋、</w:t>
      </w:r>
      <w:r>
        <w:rPr>
          <w:rFonts w:ascii="Times New Roman" w:eastAsiaTheme="majorEastAsia" w:hAnsi="Times New Roman" w:cs="Times New Roman"/>
          <w:lang w:bidi="ar"/>
        </w:rPr>
        <w:t>10</w:t>
      </w:r>
      <w:r>
        <w:rPr>
          <w:rFonts w:ascii="Times New Roman" w:eastAsiaTheme="majorEastAsia" w:hAnsi="Times New Roman" w:cs="Times New Roman"/>
          <w:lang w:bidi="ar"/>
        </w:rPr>
        <w:t>万吨奶。如何让百姓在吃得饱的基础上吃得好？在日前举行的大食物安全与林牧渔业现代化研讨会上，专家表示，</w:t>
      </w:r>
      <w:r>
        <w:rPr>
          <w:rFonts w:ascii="Times New Roman" w:eastAsiaTheme="majorEastAsia" w:hAnsi="Times New Roman" w:cs="Times New Roman"/>
          <w:lang w:bidi="ar"/>
        </w:rPr>
        <w:lastRenderedPageBreak/>
        <w:t>我国粮食需求总量呈刚性增长态势，未来食物消费仍处在增长期，居民膳食呈现多元化趋势。树立大食物观，不仅要在耕地上做文章，还要面向整个国土空间要食物，这为林牧渔业发展提供了广阔前景。</w:t>
      </w:r>
    </w:p>
    <w:p w14:paraId="2FB53305" w14:textId="77777777" w:rsidR="006D73E5" w:rsidRDefault="00000000" w:rsidP="00983761">
      <w:pPr>
        <w:pStyle w:val="ad"/>
        <w:spacing w:before="0" w:beforeAutospacing="0" w:after="0" w:afterAutospacing="0" w:line="360" w:lineRule="auto"/>
        <w:jc w:val="both"/>
        <w:rPr>
          <w:rFonts w:ascii="Times New Roman" w:eastAsiaTheme="majorEastAsia" w:hAnsi="Times New Roman" w:cs="Times New Roman"/>
          <w:b/>
          <w:bCs/>
          <w:lang w:bidi="ar"/>
        </w:rPr>
      </w:pPr>
      <w:r>
        <w:rPr>
          <w:rFonts w:ascii="Times New Roman" w:eastAsiaTheme="majorEastAsia" w:hAnsi="Times New Roman" w:cs="Times New Roman"/>
          <w:b/>
          <w:bCs/>
          <w:lang w:bidi="ar"/>
        </w:rPr>
        <w:t>重视多元食物供给</w:t>
      </w:r>
    </w:p>
    <w:p w14:paraId="557316C4"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农业农村部总畜牧师、农村合作经济指导司司长张天佐表示，从消费结构看，虽然</w:t>
      </w:r>
      <w:r>
        <w:rPr>
          <w:rFonts w:ascii="Times New Roman" w:eastAsiaTheme="majorEastAsia" w:hAnsi="Times New Roman" w:cs="Times New Roman"/>
          <w:lang w:bidi="ar"/>
        </w:rPr>
        <w:t>2020</w:t>
      </w:r>
      <w:r>
        <w:rPr>
          <w:rFonts w:ascii="Times New Roman" w:eastAsiaTheme="majorEastAsia" w:hAnsi="Times New Roman" w:cs="Times New Roman"/>
          <w:lang w:bidi="ar"/>
        </w:rPr>
        <w:t>年城乡居民人均粮食消费量比</w:t>
      </w:r>
      <w:r>
        <w:rPr>
          <w:rFonts w:ascii="Times New Roman" w:eastAsiaTheme="majorEastAsia" w:hAnsi="Times New Roman" w:cs="Times New Roman"/>
          <w:lang w:bidi="ar"/>
        </w:rPr>
        <w:t>1978</w:t>
      </w:r>
      <w:r>
        <w:rPr>
          <w:rFonts w:ascii="Times New Roman" w:eastAsiaTheme="majorEastAsia" w:hAnsi="Times New Roman" w:cs="Times New Roman"/>
          <w:lang w:bidi="ar"/>
        </w:rPr>
        <w:t>年有所下降，但是人均肉蛋奶果菜茶水产占有量增长了数倍，副食品作为重要的蛋白和热量来源，在居民饮食结构中越发占据重要地位，且趋势还在延续。保障好人民群众日益增长的多元化农产品需求不是一件容易的事情，必须树立大食物观，这是我国国情的必然选择，也是保障食物安全的战略需要。</w:t>
      </w:r>
    </w:p>
    <w:p w14:paraId="3B3D2FC6"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w:t>
      </w:r>
      <w:r>
        <w:rPr>
          <w:rFonts w:ascii="Times New Roman" w:eastAsiaTheme="majorEastAsia" w:hAnsi="Times New Roman" w:cs="Times New Roman"/>
          <w:lang w:bidi="ar"/>
        </w:rPr>
        <w:t>我们面临的问题是，如何用越来越少的土地和水资源、越来越贵的劳动力，生产出更多更好更安全的农产品。</w:t>
      </w:r>
      <w:r>
        <w:rPr>
          <w:rFonts w:ascii="Times New Roman" w:eastAsiaTheme="majorEastAsia" w:hAnsi="Times New Roman" w:cs="Times New Roman"/>
          <w:lang w:bidi="ar"/>
        </w:rPr>
        <w:t>”</w:t>
      </w:r>
      <w:r>
        <w:rPr>
          <w:rFonts w:ascii="Times New Roman" w:eastAsiaTheme="majorEastAsia" w:hAnsi="Times New Roman" w:cs="Times New Roman"/>
          <w:lang w:bidi="ar"/>
        </w:rPr>
        <w:t>中国农村专业技术协会理事长、中国农业大学原校长柯炳生认为，近年来，农产品生产供应呈现一些新特征。品种上，口粮消费不断减少，而肉禽蛋奶水产和瓜果蔬菜等的需求不断增加；质量上，人们由吃得饱转向吃得更好。因此，新时期落实大食物观，就要按消费导向生产农产品，包括数量、质量、品种等；按照市场规律配置资源，包括种什么、怎么种、怎么卖等。</w:t>
      </w:r>
    </w:p>
    <w:p w14:paraId="355E9F37"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扩展食物获取途径还有巨大空间。张天佐说，我国有</w:t>
      </w:r>
      <w:r>
        <w:rPr>
          <w:rFonts w:ascii="Times New Roman" w:eastAsiaTheme="majorEastAsia" w:hAnsi="Times New Roman" w:cs="Times New Roman"/>
          <w:lang w:bidi="ar"/>
        </w:rPr>
        <w:t>40</w:t>
      </w:r>
      <w:r>
        <w:rPr>
          <w:rFonts w:ascii="Times New Roman" w:eastAsiaTheme="majorEastAsia" w:hAnsi="Times New Roman" w:cs="Times New Roman"/>
          <w:lang w:bidi="ar"/>
        </w:rPr>
        <w:t>多亿亩林地，林下经济经营和利用的面积超</w:t>
      </w:r>
      <w:r>
        <w:rPr>
          <w:rFonts w:ascii="Times New Roman" w:eastAsiaTheme="majorEastAsia" w:hAnsi="Times New Roman" w:cs="Times New Roman"/>
          <w:lang w:bidi="ar"/>
        </w:rPr>
        <w:t>6</w:t>
      </w:r>
      <w:r>
        <w:rPr>
          <w:rFonts w:ascii="Times New Roman" w:eastAsiaTheme="majorEastAsia" w:hAnsi="Times New Roman" w:cs="Times New Roman"/>
          <w:lang w:bidi="ar"/>
        </w:rPr>
        <w:t>亿亩，发展林业食品包括林下中草药、林下食用菌、林下畜禽等产品潜力巨大。我国有草地近</w:t>
      </w:r>
      <w:r>
        <w:rPr>
          <w:rFonts w:ascii="Times New Roman" w:eastAsiaTheme="majorEastAsia" w:hAnsi="Times New Roman" w:cs="Times New Roman"/>
          <w:lang w:bidi="ar"/>
        </w:rPr>
        <w:t>40</w:t>
      </w:r>
      <w:r>
        <w:rPr>
          <w:rFonts w:ascii="Times New Roman" w:eastAsiaTheme="majorEastAsia" w:hAnsi="Times New Roman" w:cs="Times New Roman"/>
          <w:lang w:bidi="ar"/>
        </w:rPr>
        <w:t>亿亩，草场上约有</w:t>
      </w:r>
      <w:r>
        <w:rPr>
          <w:rFonts w:ascii="Times New Roman" w:eastAsiaTheme="majorEastAsia" w:hAnsi="Times New Roman" w:cs="Times New Roman"/>
          <w:lang w:bidi="ar"/>
        </w:rPr>
        <w:t>1.5</w:t>
      </w:r>
      <w:r>
        <w:rPr>
          <w:rFonts w:ascii="Times New Roman" w:eastAsiaTheme="majorEastAsia" w:hAnsi="Times New Roman" w:cs="Times New Roman"/>
          <w:lang w:bidi="ar"/>
        </w:rPr>
        <w:t>万多种植物，其中有</w:t>
      </w:r>
      <w:r>
        <w:rPr>
          <w:rFonts w:ascii="Times New Roman" w:eastAsiaTheme="majorEastAsia" w:hAnsi="Times New Roman" w:cs="Times New Roman"/>
          <w:lang w:bidi="ar"/>
        </w:rPr>
        <w:t>6700</w:t>
      </w:r>
      <w:r>
        <w:rPr>
          <w:rFonts w:ascii="Times New Roman" w:eastAsiaTheme="majorEastAsia" w:hAnsi="Times New Roman" w:cs="Times New Roman"/>
          <w:lang w:bidi="ar"/>
        </w:rPr>
        <w:t>多种牧草，为畜牧业提供了重要的食物源。我国有七大水系、辽阔的海域面积和大陆架渔场。利用好这些资源，通过近海网箱科学养殖、内陆大水面合理利用、养殖池塘改造升级，能大幅度提高水产品产量。</w:t>
      </w:r>
    </w:p>
    <w:p w14:paraId="0A0EC41F"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中国林牧渔业经济学会会长、中国社科院农村发展研究所所长魏后凯说，丰富多样的畜产品、水产品、林业食品是保障粮食安全和农产品供给的组成部分。在农林牧渔业总产值中，林牧渔业比重占到近一半。</w:t>
      </w:r>
      <w:r>
        <w:rPr>
          <w:rFonts w:ascii="Times New Roman" w:eastAsiaTheme="majorEastAsia" w:hAnsi="Times New Roman" w:cs="Times New Roman"/>
          <w:lang w:bidi="ar"/>
        </w:rPr>
        <w:t>1978</w:t>
      </w:r>
      <w:r>
        <w:rPr>
          <w:rFonts w:ascii="Times New Roman" w:eastAsiaTheme="majorEastAsia" w:hAnsi="Times New Roman" w:cs="Times New Roman"/>
          <w:lang w:bidi="ar"/>
        </w:rPr>
        <w:t>年占比为</w:t>
      </w:r>
      <w:r>
        <w:rPr>
          <w:rFonts w:ascii="Times New Roman" w:eastAsiaTheme="majorEastAsia" w:hAnsi="Times New Roman" w:cs="Times New Roman"/>
          <w:lang w:bidi="ar"/>
        </w:rPr>
        <w:t>20%</w:t>
      </w:r>
      <w:r>
        <w:rPr>
          <w:rFonts w:ascii="Times New Roman" w:eastAsiaTheme="majorEastAsia" w:hAnsi="Times New Roman" w:cs="Times New Roman"/>
          <w:lang w:bidi="ar"/>
        </w:rPr>
        <w:t>，</w:t>
      </w:r>
      <w:r>
        <w:rPr>
          <w:rFonts w:ascii="Times New Roman" w:eastAsiaTheme="majorEastAsia" w:hAnsi="Times New Roman" w:cs="Times New Roman"/>
          <w:lang w:bidi="ar"/>
        </w:rPr>
        <w:t>2008</w:t>
      </w:r>
      <w:r>
        <w:rPr>
          <w:rFonts w:ascii="Times New Roman" w:eastAsiaTheme="majorEastAsia" w:hAnsi="Times New Roman" w:cs="Times New Roman"/>
          <w:lang w:bidi="ar"/>
        </w:rPr>
        <w:t>年占比</w:t>
      </w:r>
      <w:r>
        <w:rPr>
          <w:rFonts w:ascii="Times New Roman" w:eastAsiaTheme="majorEastAsia" w:hAnsi="Times New Roman" w:cs="Times New Roman"/>
          <w:lang w:bidi="ar"/>
        </w:rPr>
        <w:t>48.1%</w:t>
      </w:r>
      <w:r>
        <w:rPr>
          <w:rFonts w:ascii="Times New Roman" w:eastAsiaTheme="majorEastAsia" w:hAnsi="Times New Roman" w:cs="Times New Roman"/>
          <w:lang w:bidi="ar"/>
        </w:rPr>
        <w:t>，</w:t>
      </w:r>
      <w:r>
        <w:rPr>
          <w:rFonts w:ascii="Times New Roman" w:eastAsiaTheme="majorEastAsia" w:hAnsi="Times New Roman" w:cs="Times New Roman"/>
          <w:lang w:bidi="ar"/>
        </w:rPr>
        <w:t>2020</w:t>
      </w:r>
      <w:r>
        <w:rPr>
          <w:rFonts w:ascii="Times New Roman" w:eastAsiaTheme="majorEastAsia" w:hAnsi="Times New Roman" w:cs="Times New Roman"/>
          <w:lang w:bidi="ar"/>
        </w:rPr>
        <w:t>年占比为</w:t>
      </w:r>
      <w:r>
        <w:rPr>
          <w:rFonts w:ascii="Times New Roman" w:eastAsiaTheme="majorEastAsia" w:hAnsi="Times New Roman" w:cs="Times New Roman"/>
          <w:lang w:bidi="ar"/>
        </w:rPr>
        <w:t>42.8%</w:t>
      </w:r>
      <w:r>
        <w:rPr>
          <w:rFonts w:ascii="Times New Roman" w:eastAsiaTheme="majorEastAsia" w:hAnsi="Times New Roman" w:cs="Times New Roman"/>
          <w:lang w:bidi="ar"/>
        </w:rPr>
        <w:t>。从发展趋势看，随着生活水平的提高，林牧渔业将更重要，也可能比种植业更容易实现由大到强的转变。构建食物安全保障体系，保障肉盘子、奶罐子、油瓶子等供给，根本之举是促进林牧渔业现代化。</w:t>
      </w:r>
    </w:p>
    <w:p w14:paraId="73868325" w14:textId="77777777" w:rsidR="006D73E5" w:rsidRDefault="00000000" w:rsidP="00983761">
      <w:pPr>
        <w:pStyle w:val="ad"/>
        <w:spacing w:before="0" w:beforeAutospacing="0" w:after="0" w:afterAutospacing="0" w:line="360" w:lineRule="auto"/>
        <w:jc w:val="both"/>
        <w:rPr>
          <w:rFonts w:ascii="Times New Roman" w:eastAsiaTheme="majorEastAsia" w:hAnsi="Times New Roman" w:cs="Times New Roman"/>
          <w:lang w:bidi="ar"/>
        </w:rPr>
      </w:pPr>
      <w:r>
        <w:rPr>
          <w:rFonts w:ascii="Times New Roman" w:eastAsiaTheme="majorEastAsia" w:hAnsi="Times New Roman" w:cs="Times New Roman"/>
          <w:lang w:bidi="ar"/>
        </w:rPr>
        <w:t>聚焦林牧渔业关键问题</w:t>
      </w:r>
    </w:p>
    <w:p w14:paraId="0A6210E4"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lastRenderedPageBreak/>
        <w:t>“</w:t>
      </w:r>
      <w:r>
        <w:rPr>
          <w:rFonts w:ascii="Times New Roman" w:eastAsiaTheme="majorEastAsia" w:hAnsi="Times New Roman" w:cs="Times New Roman"/>
          <w:lang w:bidi="ar"/>
        </w:rPr>
        <w:t>当前林牧渔业发展仍面临结构不平衡、发展质量不高等问题，这就要找准中国林牧渔业现代化的突破口。</w:t>
      </w:r>
      <w:r>
        <w:rPr>
          <w:rFonts w:ascii="Times New Roman" w:eastAsiaTheme="majorEastAsia" w:hAnsi="Times New Roman" w:cs="Times New Roman"/>
          <w:lang w:bidi="ar"/>
        </w:rPr>
        <w:t>”</w:t>
      </w:r>
      <w:r>
        <w:rPr>
          <w:rFonts w:ascii="Times New Roman" w:eastAsiaTheme="majorEastAsia" w:hAnsi="Times New Roman" w:cs="Times New Roman"/>
          <w:lang w:bidi="ar"/>
        </w:rPr>
        <w:t>魏后凯说，在林草业方面，如何建立健全生态产品价值实现机制，提升林草业信息化发展水平，是林草业现代化的核心问题。在畜牧业方面，如何优化畜牧业自给政策目标导向，消除畜产品生产供应问题隐患，全面提升供应保障能力，是畜牧业现代化的关键问题。在渔业方面，如何优化产业结构和布局，扩大优质水产品供给，拓展绿色发展空间，是渔业现代化的重要问题。</w:t>
      </w:r>
    </w:p>
    <w:p w14:paraId="6F2EA469"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浙江省湖州市南浔区双林镇的稻虾综合种养示范基地，小龙虾已上市，水稻茁壮生长。基地负责人黄建新介绍，稻虾田实现了种养循环，</w:t>
      </w:r>
      <w:r>
        <w:rPr>
          <w:rFonts w:ascii="Times New Roman" w:eastAsiaTheme="majorEastAsia" w:hAnsi="Times New Roman" w:cs="Times New Roman"/>
          <w:lang w:bidi="ar"/>
        </w:rPr>
        <w:t>“</w:t>
      </w:r>
      <w:r>
        <w:rPr>
          <w:rFonts w:ascii="Times New Roman" w:eastAsiaTheme="majorEastAsia" w:hAnsi="Times New Roman" w:cs="Times New Roman"/>
          <w:lang w:bidi="ar"/>
        </w:rPr>
        <w:t>一水两收、一田两用</w:t>
      </w:r>
      <w:r>
        <w:rPr>
          <w:rFonts w:ascii="Times New Roman" w:eastAsiaTheme="majorEastAsia" w:hAnsi="Times New Roman" w:cs="Times New Roman"/>
          <w:lang w:bidi="ar"/>
        </w:rPr>
        <w:t>”</w:t>
      </w:r>
      <w:r>
        <w:rPr>
          <w:rFonts w:ascii="Times New Roman" w:eastAsiaTheme="majorEastAsia" w:hAnsi="Times New Roman" w:cs="Times New Roman"/>
          <w:lang w:bidi="ar"/>
        </w:rPr>
        <w:t>，小龙虾吃田间杂草，排泄物还能肥田，水稻基本不施农药化肥，年均亩产小龙虾</w:t>
      </w:r>
      <w:r>
        <w:rPr>
          <w:rFonts w:ascii="Times New Roman" w:eastAsiaTheme="majorEastAsia" w:hAnsi="Times New Roman" w:cs="Times New Roman"/>
          <w:lang w:bidi="ar"/>
        </w:rPr>
        <w:t>150</w:t>
      </w:r>
      <w:r>
        <w:rPr>
          <w:rFonts w:ascii="Times New Roman" w:eastAsiaTheme="majorEastAsia" w:hAnsi="Times New Roman" w:cs="Times New Roman"/>
          <w:lang w:bidi="ar"/>
        </w:rPr>
        <w:t>公斤、水稻</w:t>
      </w:r>
      <w:r>
        <w:rPr>
          <w:rFonts w:ascii="Times New Roman" w:eastAsiaTheme="majorEastAsia" w:hAnsi="Times New Roman" w:cs="Times New Roman"/>
          <w:lang w:bidi="ar"/>
        </w:rPr>
        <w:t>550</w:t>
      </w:r>
      <w:r>
        <w:rPr>
          <w:rFonts w:ascii="Times New Roman" w:eastAsiaTheme="majorEastAsia" w:hAnsi="Times New Roman" w:cs="Times New Roman"/>
          <w:lang w:bidi="ar"/>
        </w:rPr>
        <w:t>公斤，效益可观。双林镇副镇长张开荣说，全镇稻虾综合种养面积达</w:t>
      </w:r>
      <w:r>
        <w:rPr>
          <w:rFonts w:ascii="Times New Roman" w:eastAsiaTheme="majorEastAsia" w:hAnsi="Times New Roman" w:cs="Times New Roman"/>
          <w:lang w:bidi="ar"/>
        </w:rPr>
        <w:t>1.5</w:t>
      </w:r>
      <w:r>
        <w:rPr>
          <w:rFonts w:ascii="Times New Roman" w:eastAsiaTheme="majorEastAsia" w:hAnsi="Times New Roman" w:cs="Times New Roman"/>
          <w:lang w:bidi="ar"/>
        </w:rPr>
        <w:t>万亩，带动</w:t>
      </w:r>
      <w:r>
        <w:rPr>
          <w:rFonts w:ascii="Times New Roman" w:eastAsiaTheme="majorEastAsia" w:hAnsi="Times New Roman" w:cs="Times New Roman"/>
          <w:lang w:bidi="ar"/>
        </w:rPr>
        <w:t>10</w:t>
      </w:r>
      <w:r>
        <w:rPr>
          <w:rFonts w:ascii="Times New Roman" w:eastAsiaTheme="majorEastAsia" w:hAnsi="Times New Roman" w:cs="Times New Roman"/>
          <w:lang w:bidi="ar"/>
        </w:rPr>
        <w:t>多个行政村发展。接下来，将加大新模式开发，引入深加工企业，打造高标准的综合种养产业区。</w:t>
      </w:r>
    </w:p>
    <w:p w14:paraId="6B664914" w14:textId="77777777" w:rsidR="006D73E5" w:rsidRDefault="00000000" w:rsidP="00983761">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农业农村部农村经济研究中心副主任陈洁说，我国居民鱼虾类平均摄入量远低于《中国居民膳食指南（</w:t>
      </w:r>
      <w:r>
        <w:rPr>
          <w:rFonts w:ascii="Times New Roman" w:eastAsiaTheme="majorEastAsia" w:hAnsi="Times New Roman" w:cs="Times New Roman"/>
          <w:lang w:bidi="ar"/>
        </w:rPr>
        <w:t>2022</w:t>
      </w:r>
      <w:r>
        <w:rPr>
          <w:rFonts w:ascii="Times New Roman" w:eastAsiaTheme="majorEastAsia" w:hAnsi="Times New Roman" w:cs="Times New Roman"/>
          <w:lang w:bidi="ar"/>
        </w:rPr>
        <w:t>）》推荐摄入量标准，且城乡间和区域间水产品消费不平衡。当前，渔业面临消费不旺、需求尚需恢复和饲料价格上涨、养殖成本抬升的挑战。稻田综合种养在多年的快速发展之后，也遇到了盲目铺摊子、发展水平低、运行不规范等问题。</w:t>
      </w:r>
      <w:r>
        <w:rPr>
          <w:rFonts w:ascii="Times New Roman" w:eastAsiaTheme="majorEastAsia" w:hAnsi="Times New Roman" w:cs="Times New Roman"/>
          <w:lang w:bidi="ar"/>
        </w:rPr>
        <w:t>2019</w:t>
      </w:r>
      <w:r>
        <w:rPr>
          <w:rFonts w:ascii="Times New Roman" w:eastAsiaTheme="majorEastAsia" w:hAnsi="Times New Roman" w:cs="Times New Roman"/>
          <w:lang w:bidi="ar"/>
        </w:rPr>
        <w:t>年以后，部分省份稻渔综合种养面积收缩。各地要因地制宜做好稻渔综合种养产业规划，平衡大空间尺度上的水稻产量和稻渔综合种养收益问题。</w:t>
      </w:r>
    </w:p>
    <w:p w14:paraId="4E0E64B3" w14:textId="77777777" w:rsidR="006D73E5" w:rsidRDefault="00000000">
      <w:pPr>
        <w:pStyle w:val="ad"/>
        <w:spacing w:before="0" w:beforeAutospacing="0" w:after="0" w:afterAutospacing="0" w:line="360" w:lineRule="auto"/>
        <w:rPr>
          <w:rFonts w:ascii="Times New Roman" w:eastAsiaTheme="majorEastAsia" w:hAnsi="Times New Roman" w:cs="Times New Roman"/>
          <w:b/>
          <w:bCs/>
          <w:lang w:bidi="ar"/>
        </w:rPr>
      </w:pPr>
      <w:r>
        <w:rPr>
          <w:rFonts w:ascii="Times New Roman" w:eastAsiaTheme="majorEastAsia" w:hAnsi="Times New Roman" w:cs="Times New Roman"/>
          <w:b/>
          <w:bCs/>
          <w:lang w:bidi="ar"/>
        </w:rPr>
        <w:t>构建大食物观支撑体系</w:t>
      </w:r>
    </w:p>
    <w:p w14:paraId="1939F82D" w14:textId="77777777" w:rsidR="006D73E5" w:rsidRDefault="00000000" w:rsidP="00C93F94">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悠悠万事，吃饭为大。树立大食物观，既是对量的补充，也是对质的促进。专家表示，要把推动大食物发展摆上农业农村工作的重要议程，创设支持政策，加大扶持力度，引导资源向大食物观配置。</w:t>
      </w:r>
    </w:p>
    <w:p w14:paraId="5FF2A552" w14:textId="77777777" w:rsidR="006D73E5" w:rsidRDefault="00000000" w:rsidP="00C93F94">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w:t>
      </w:r>
      <w:r>
        <w:rPr>
          <w:rFonts w:ascii="Times New Roman" w:eastAsiaTheme="majorEastAsia" w:hAnsi="Times New Roman" w:cs="Times New Roman"/>
          <w:lang w:bidi="ar"/>
        </w:rPr>
        <w:t>农产品供给保障要处理好优先序问题</w:t>
      </w:r>
      <w:r>
        <w:rPr>
          <w:rFonts w:ascii="Times New Roman" w:eastAsiaTheme="majorEastAsia" w:hAnsi="Times New Roman" w:cs="Times New Roman"/>
          <w:lang w:bidi="ar"/>
        </w:rPr>
        <w:t>”</w:t>
      </w:r>
      <w:r>
        <w:rPr>
          <w:rFonts w:ascii="Times New Roman" w:eastAsiaTheme="majorEastAsia" w:hAnsi="Times New Roman" w:cs="Times New Roman"/>
          <w:lang w:bidi="ar"/>
        </w:rPr>
        <w:t>，国务院发展研究中心农村经济部部长叶兴庆表示，应重点处理好三方面关系。与农民利益关系方面，在对耕地利用进行行政规制的同时，对承担耕地特别是永久基本农田保护任务的农户进行补偿，对需要优先保障供给的农产品生产给予政策倾斜。与地区优势关系方面，在强调粮食主产区、平衡区和主销区责任的同时，探索建立纵向的主产区利益补偿机制和横向的产销区利益协调机制。与大食物观关系方面，大食物观的核心是大资源观，从耕地资源向整个国土资源拓展、从传统的农作物和畜禽资源向更丰富的生物资源拓展。</w:t>
      </w:r>
    </w:p>
    <w:p w14:paraId="7ABD25DC" w14:textId="77777777" w:rsidR="006D73E5" w:rsidRDefault="00000000" w:rsidP="00C93F94">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lastRenderedPageBreak/>
        <w:t>科技对大食物发展的支撑作用也要加强。张天佐说，要加强科技人才队伍建设，积极增设适应大食物观需求的新专业、新学科，尽快培养一批开发利用大食物资源的科技领军人才和专业技术人才。要加强科技攻关，选准一批有潜力、可突破的领域，依靠科技创新，发掘食物开发潜力，加快研发一批实用成果。要加强科技成果推广应用，改革完善收益分配机制，推进产学研推协作，强化政策激励，充分发挥市场主体的作用。</w:t>
      </w:r>
    </w:p>
    <w:p w14:paraId="4562586A" w14:textId="77777777" w:rsidR="006D73E5" w:rsidRDefault="00000000" w:rsidP="00C93F94">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魏后凯表示，要改变传统的</w:t>
      </w:r>
      <w:r>
        <w:rPr>
          <w:rFonts w:ascii="Times New Roman" w:eastAsiaTheme="majorEastAsia" w:hAnsi="Times New Roman" w:cs="Times New Roman"/>
          <w:lang w:bidi="ar"/>
        </w:rPr>
        <w:t>“</w:t>
      </w:r>
      <w:r>
        <w:rPr>
          <w:rFonts w:ascii="Times New Roman" w:eastAsiaTheme="majorEastAsia" w:hAnsi="Times New Roman" w:cs="Times New Roman"/>
          <w:lang w:bidi="ar"/>
        </w:rPr>
        <w:t>重种植业、轻林牧渔业</w:t>
      </w:r>
      <w:r>
        <w:rPr>
          <w:rFonts w:ascii="Times New Roman" w:eastAsiaTheme="majorEastAsia" w:hAnsi="Times New Roman" w:cs="Times New Roman"/>
          <w:lang w:bidi="ar"/>
        </w:rPr>
        <w:t>”</w:t>
      </w:r>
      <w:r>
        <w:rPr>
          <w:rFonts w:ascii="Times New Roman" w:eastAsiaTheme="majorEastAsia" w:hAnsi="Times New Roman" w:cs="Times New Roman"/>
          <w:lang w:bidi="ar"/>
        </w:rPr>
        <w:t>的倾向。林牧渔业内部差异较大，要从实际出发，探索各具特色的现代化之路。具体包括，确立差异化的现代化指标体系；发挥林牧渔业的多功能性，推动产业链纵向延伸和横向融合；加快转变林牧渔业发展方式，实现良种化、规模化、生态化；加快建立现代林牧渔业社会化服务体系。当然，也要处理好粮食安全与林牧渔业发展的关系，尊重自然规律和地方实际，不能一刀切地</w:t>
      </w:r>
      <w:r>
        <w:rPr>
          <w:rFonts w:ascii="Times New Roman" w:eastAsiaTheme="majorEastAsia" w:hAnsi="Times New Roman" w:cs="Times New Roman"/>
          <w:lang w:bidi="ar"/>
        </w:rPr>
        <w:t>“</w:t>
      </w:r>
      <w:r>
        <w:rPr>
          <w:rFonts w:ascii="Times New Roman" w:eastAsiaTheme="majorEastAsia" w:hAnsi="Times New Roman" w:cs="Times New Roman"/>
          <w:lang w:bidi="ar"/>
        </w:rPr>
        <w:t>退林还耕、退塘还耕、退园还耕</w:t>
      </w:r>
      <w:r>
        <w:rPr>
          <w:rFonts w:ascii="Times New Roman" w:eastAsiaTheme="majorEastAsia" w:hAnsi="Times New Roman" w:cs="Times New Roman"/>
          <w:lang w:bidi="ar"/>
        </w:rPr>
        <w:t>”</w:t>
      </w:r>
      <w:r>
        <w:rPr>
          <w:rFonts w:ascii="Times New Roman" w:eastAsiaTheme="majorEastAsia" w:hAnsi="Times New Roman" w:cs="Times New Roman"/>
          <w:lang w:bidi="ar"/>
        </w:rPr>
        <w:t>。</w:t>
      </w:r>
    </w:p>
    <w:p w14:paraId="68E6BF22" w14:textId="77777777" w:rsidR="006D73E5" w:rsidRDefault="00000000" w:rsidP="00C93F94">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陈洁认为，大食物观本质是多元食物结构和供给体系，涉及打通种植业和养殖业的问题，要破除思想认识障碍，打破部门分割。在保护生态环境的前提下，宜粮则粮、宜经则经、宜牧则牧、宜渔则渔、宜林则林，形成同市场需求相适应、同资源环境承载力相匹配的现代农业生产结构和区域布局。</w:t>
      </w:r>
    </w:p>
    <w:p w14:paraId="773F7961" w14:textId="77777777" w:rsidR="006D73E5" w:rsidRDefault="00000000">
      <w:pPr>
        <w:widowControl/>
        <w:spacing w:line="360" w:lineRule="auto"/>
        <w:jc w:val="right"/>
        <w:rPr>
          <w:rFonts w:eastAsiaTheme="majorEastAsia"/>
          <w:kern w:val="0"/>
          <w:sz w:val="24"/>
          <w:lang w:bidi="ar"/>
        </w:rPr>
      </w:pPr>
      <w:r>
        <w:rPr>
          <w:rStyle w:val="af"/>
          <w:rFonts w:hint="eastAsia"/>
          <w:b w:val="0"/>
          <w:kern w:val="0"/>
          <w:sz w:val="25"/>
          <w:szCs w:val="25"/>
          <w:lang w:bidi="ar"/>
        </w:rPr>
        <w:t>摘自</w:t>
      </w:r>
      <w:r>
        <w:rPr>
          <w:rStyle w:val="af"/>
          <w:b w:val="0"/>
          <w:kern w:val="0"/>
          <w:sz w:val="25"/>
          <w:szCs w:val="25"/>
          <w:lang w:bidi="ar"/>
        </w:rPr>
        <w:t>中国水产品微信公众号</w:t>
      </w:r>
      <w:r>
        <w:rPr>
          <w:rStyle w:val="af"/>
          <w:kern w:val="0"/>
          <w:sz w:val="25"/>
          <w:szCs w:val="25"/>
          <w:lang w:bidi="ar"/>
        </w:rPr>
        <w:t xml:space="preserve"> </w:t>
      </w:r>
      <w:r>
        <w:rPr>
          <w:kern w:val="0"/>
          <w:szCs w:val="21"/>
          <w:lang w:bidi="ar"/>
        </w:rPr>
        <w:t>中国水产流通与加工协会会刊</w:t>
      </w:r>
    </w:p>
    <w:p w14:paraId="59206C02" w14:textId="77777777" w:rsidR="006D73E5" w:rsidRDefault="00000000">
      <w:pPr>
        <w:spacing w:line="360" w:lineRule="auto"/>
        <w:jc w:val="center"/>
        <w:outlineLvl w:val="1"/>
        <w:rPr>
          <w:rFonts w:eastAsia="黑体"/>
          <w:b/>
          <w:bCs/>
          <w:sz w:val="32"/>
          <w:szCs w:val="32"/>
        </w:rPr>
      </w:pPr>
      <w:bookmarkStart w:id="17" w:name="_Toc114077811"/>
      <w:r w:rsidRPr="00971756">
        <w:rPr>
          <w:rFonts w:eastAsia="黑体" w:hint="eastAsia"/>
          <w:b/>
          <w:bCs/>
          <w:sz w:val="32"/>
          <w:szCs w:val="32"/>
        </w:rPr>
        <w:t>全球首艘</w:t>
      </w:r>
      <w:r w:rsidRPr="00971756">
        <w:rPr>
          <w:rFonts w:eastAsia="黑体" w:hint="eastAsia"/>
          <w:b/>
          <w:bCs/>
          <w:sz w:val="32"/>
          <w:szCs w:val="32"/>
        </w:rPr>
        <w:t>10</w:t>
      </w:r>
      <w:r w:rsidRPr="00971756">
        <w:rPr>
          <w:rFonts w:eastAsia="黑体" w:hint="eastAsia"/>
          <w:b/>
          <w:bCs/>
          <w:sz w:val="32"/>
          <w:szCs w:val="32"/>
        </w:rPr>
        <w:t>万吨级智慧渔业大型养殖工船“国信</w:t>
      </w:r>
      <w:r w:rsidRPr="00971756">
        <w:rPr>
          <w:rFonts w:eastAsia="黑体" w:hint="eastAsia"/>
          <w:b/>
          <w:bCs/>
          <w:sz w:val="32"/>
          <w:szCs w:val="32"/>
        </w:rPr>
        <w:t>1</w:t>
      </w:r>
      <w:r w:rsidRPr="00971756">
        <w:rPr>
          <w:rFonts w:eastAsia="黑体" w:hint="eastAsia"/>
          <w:b/>
          <w:bCs/>
          <w:sz w:val="32"/>
          <w:szCs w:val="32"/>
        </w:rPr>
        <w:t>号”起捕首批产品</w:t>
      </w:r>
      <w:bookmarkEnd w:id="17"/>
    </w:p>
    <w:p w14:paraId="4BDC669C" w14:textId="77777777" w:rsidR="006D73E5" w:rsidRDefault="00000000">
      <w:pPr>
        <w:spacing w:line="360" w:lineRule="auto"/>
        <w:ind w:firstLine="420"/>
        <w:rPr>
          <w:rFonts w:eastAsiaTheme="minorEastAsia"/>
          <w:sz w:val="24"/>
        </w:rPr>
      </w:pPr>
      <w:r>
        <w:rPr>
          <w:rFonts w:eastAsiaTheme="minorEastAsia" w:hint="eastAsia"/>
          <w:sz w:val="24"/>
        </w:rPr>
        <w:t>9</w:t>
      </w:r>
      <w:r>
        <w:rPr>
          <w:rFonts w:eastAsiaTheme="minorEastAsia" w:hint="eastAsia"/>
          <w:sz w:val="24"/>
        </w:rPr>
        <w:t>月</w:t>
      </w:r>
      <w:r>
        <w:rPr>
          <w:rFonts w:eastAsiaTheme="minorEastAsia" w:hint="eastAsia"/>
          <w:sz w:val="24"/>
        </w:rPr>
        <w:t>1</w:t>
      </w:r>
      <w:r>
        <w:rPr>
          <w:rFonts w:eastAsiaTheme="minorEastAsia" w:hint="eastAsia"/>
          <w:sz w:val="24"/>
        </w:rPr>
        <w:t>日，全球首艘</w:t>
      </w:r>
      <w:r>
        <w:rPr>
          <w:rFonts w:eastAsiaTheme="minorEastAsia" w:hint="eastAsia"/>
          <w:sz w:val="24"/>
        </w:rPr>
        <w:t>10</w:t>
      </w:r>
      <w:r>
        <w:rPr>
          <w:rFonts w:eastAsiaTheme="minorEastAsia" w:hint="eastAsia"/>
          <w:sz w:val="24"/>
        </w:rPr>
        <w:t>万吨级智慧渔业大型养殖工船“国信</w:t>
      </w:r>
      <w:r>
        <w:rPr>
          <w:rFonts w:eastAsiaTheme="minorEastAsia" w:hint="eastAsia"/>
          <w:sz w:val="24"/>
        </w:rPr>
        <w:t>1</w:t>
      </w:r>
      <w:r>
        <w:rPr>
          <w:rFonts w:eastAsiaTheme="minorEastAsia" w:hint="eastAsia"/>
          <w:sz w:val="24"/>
        </w:rPr>
        <w:t>号”在黄海海域起捕交付运营以来的首批产品。本次起捕的大黄鱼共计约</w:t>
      </w:r>
      <w:r>
        <w:rPr>
          <w:rFonts w:eastAsiaTheme="minorEastAsia" w:hint="eastAsia"/>
          <w:sz w:val="24"/>
        </w:rPr>
        <w:t>65</w:t>
      </w:r>
      <w:r>
        <w:rPr>
          <w:rFonts w:eastAsiaTheme="minorEastAsia" w:hint="eastAsia"/>
          <w:sz w:val="24"/>
        </w:rPr>
        <w:t>吨，其在离岸约</w:t>
      </w:r>
      <w:r>
        <w:rPr>
          <w:rFonts w:eastAsiaTheme="minorEastAsia" w:hint="eastAsia"/>
          <w:sz w:val="24"/>
        </w:rPr>
        <w:t>100</w:t>
      </w:r>
      <w:r>
        <w:rPr>
          <w:rFonts w:eastAsiaTheme="minorEastAsia" w:hint="eastAsia"/>
          <w:sz w:val="24"/>
        </w:rPr>
        <w:t>海里的深远海长期游弋式牧养，依据水温等环境因素自航转场，富含蛋白质、钙、氨基酸、ω</w:t>
      </w:r>
      <w:r>
        <w:rPr>
          <w:rFonts w:eastAsiaTheme="minorEastAsia" w:hint="eastAsia"/>
          <w:sz w:val="24"/>
        </w:rPr>
        <w:t>-3</w:t>
      </w:r>
      <w:r>
        <w:rPr>
          <w:rFonts w:eastAsiaTheme="minorEastAsia" w:hint="eastAsia"/>
          <w:sz w:val="24"/>
        </w:rPr>
        <w:t>等微量元素。</w:t>
      </w:r>
    </w:p>
    <w:p w14:paraId="61595F5D" w14:textId="77777777" w:rsidR="006D73E5" w:rsidRDefault="00000000">
      <w:pPr>
        <w:spacing w:line="360" w:lineRule="auto"/>
        <w:ind w:firstLine="420"/>
        <w:rPr>
          <w:rFonts w:eastAsiaTheme="minorEastAsia"/>
          <w:sz w:val="24"/>
        </w:rPr>
      </w:pPr>
      <w:r>
        <w:rPr>
          <w:rFonts w:eastAsiaTheme="minorEastAsia" w:hint="eastAsia"/>
          <w:sz w:val="24"/>
        </w:rPr>
        <w:t>“国信</w:t>
      </w:r>
      <w:r>
        <w:rPr>
          <w:rFonts w:eastAsiaTheme="minorEastAsia" w:hint="eastAsia"/>
          <w:sz w:val="24"/>
        </w:rPr>
        <w:t>1</w:t>
      </w:r>
      <w:r>
        <w:rPr>
          <w:rFonts w:eastAsiaTheme="minorEastAsia" w:hint="eastAsia"/>
          <w:sz w:val="24"/>
        </w:rPr>
        <w:t>号”是全球唯一一艘建成并运营的</w:t>
      </w:r>
      <w:r>
        <w:rPr>
          <w:rFonts w:eastAsiaTheme="minorEastAsia" w:hint="eastAsia"/>
          <w:sz w:val="24"/>
        </w:rPr>
        <w:t>10</w:t>
      </w:r>
      <w:r>
        <w:rPr>
          <w:rFonts w:eastAsiaTheme="minorEastAsia" w:hint="eastAsia"/>
          <w:sz w:val="24"/>
        </w:rPr>
        <w:t>万吨级智慧渔业大型养殖工船，以其养殖模式和技术创新应用上的突破性、引领性和示范性引起行业关注，对拓展中国深远海养殖空间、带动渔业产业升级转化具有非常重要的现实意义。</w:t>
      </w:r>
    </w:p>
    <w:p w14:paraId="3CAC53D1" w14:textId="77777777" w:rsidR="006D73E5" w:rsidRDefault="00000000">
      <w:pPr>
        <w:spacing w:line="360" w:lineRule="auto"/>
        <w:ind w:firstLine="420"/>
        <w:rPr>
          <w:rFonts w:eastAsiaTheme="minorEastAsia"/>
          <w:sz w:val="24"/>
        </w:rPr>
      </w:pPr>
      <w:r>
        <w:rPr>
          <w:rFonts w:eastAsiaTheme="minorEastAsia" w:hint="eastAsia"/>
          <w:sz w:val="24"/>
        </w:rPr>
        <w:t>青岛国信集团相关负责人介绍说，工船大黄鱼起捕与传统网箱大黄鱼起捕方式不同，前者通过吸鱼泵和传送带将舱内游动的大黄鱼转运至休眠池，快速降温休眠锁鲜，全过程自动化，全流程可追溯。</w:t>
      </w:r>
    </w:p>
    <w:p w14:paraId="3A185B62" w14:textId="77777777" w:rsidR="006D73E5" w:rsidRDefault="00000000">
      <w:pPr>
        <w:spacing w:line="360" w:lineRule="auto"/>
        <w:ind w:firstLine="420"/>
        <w:rPr>
          <w:rFonts w:eastAsiaTheme="minorEastAsia"/>
          <w:sz w:val="24"/>
        </w:rPr>
      </w:pPr>
      <w:r>
        <w:rPr>
          <w:rFonts w:eastAsiaTheme="minorEastAsia" w:hint="eastAsia"/>
          <w:sz w:val="24"/>
        </w:rPr>
        <w:lastRenderedPageBreak/>
        <w:t>“国信</w:t>
      </w:r>
      <w:r>
        <w:rPr>
          <w:rFonts w:eastAsiaTheme="minorEastAsia" w:hint="eastAsia"/>
          <w:sz w:val="24"/>
        </w:rPr>
        <w:t>1</w:t>
      </w:r>
      <w:r>
        <w:rPr>
          <w:rFonts w:eastAsiaTheme="minorEastAsia" w:hint="eastAsia"/>
          <w:sz w:val="24"/>
        </w:rPr>
        <w:t>号”交付运营以来，实现鱼苗入舱</w:t>
      </w:r>
      <w:r>
        <w:rPr>
          <w:rFonts w:eastAsiaTheme="minorEastAsia" w:hint="eastAsia"/>
          <w:sz w:val="24"/>
        </w:rPr>
        <w:t>300</w:t>
      </w:r>
      <w:r>
        <w:rPr>
          <w:rFonts w:eastAsiaTheme="minorEastAsia" w:hint="eastAsia"/>
          <w:sz w:val="24"/>
        </w:rPr>
        <w:t>余万尾，累计航程</w:t>
      </w:r>
      <w:r>
        <w:rPr>
          <w:rFonts w:eastAsiaTheme="minorEastAsia" w:hint="eastAsia"/>
          <w:sz w:val="24"/>
        </w:rPr>
        <w:t>3000</w:t>
      </w:r>
      <w:r>
        <w:rPr>
          <w:rFonts w:eastAsiaTheme="minorEastAsia" w:hint="eastAsia"/>
          <w:sz w:val="24"/>
        </w:rPr>
        <w:t>余海里，入舱黄鱼适应速度快，游泳状态、集群性与野生大黄鱼趋近。全船</w:t>
      </w:r>
      <w:r>
        <w:rPr>
          <w:rFonts w:eastAsiaTheme="minorEastAsia" w:hint="eastAsia"/>
          <w:sz w:val="24"/>
        </w:rPr>
        <w:t>2108</w:t>
      </w:r>
      <w:r>
        <w:rPr>
          <w:rFonts w:eastAsiaTheme="minorEastAsia" w:hint="eastAsia"/>
          <w:sz w:val="24"/>
        </w:rPr>
        <w:t>个测点信息对</w:t>
      </w:r>
      <w:r>
        <w:rPr>
          <w:rFonts w:eastAsiaTheme="minorEastAsia" w:hint="eastAsia"/>
          <w:sz w:val="24"/>
        </w:rPr>
        <w:t>15</w:t>
      </w:r>
      <w:r>
        <w:rPr>
          <w:rFonts w:eastAsiaTheme="minorEastAsia" w:hint="eastAsia"/>
          <w:sz w:val="24"/>
        </w:rPr>
        <w:t>个养殖舱内水、氧、光、饲、鱼进行集中控制与实时监测，养殖密度是传统网箱的</w:t>
      </w:r>
      <w:r>
        <w:rPr>
          <w:rFonts w:eastAsiaTheme="minorEastAsia" w:hint="eastAsia"/>
          <w:sz w:val="24"/>
        </w:rPr>
        <w:t>4</w:t>
      </w:r>
      <w:r>
        <w:rPr>
          <w:rFonts w:eastAsiaTheme="minorEastAsia" w:hint="eastAsia"/>
          <w:sz w:val="24"/>
        </w:rPr>
        <w:t>至</w:t>
      </w:r>
      <w:r>
        <w:rPr>
          <w:rFonts w:eastAsiaTheme="minorEastAsia" w:hint="eastAsia"/>
          <w:sz w:val="24"/>
        </w:rPr>
        <w:t>6</w:t>
      </w:r>
      <w:r>
        <w:rPr>
          <w:rFonts w:eastAsiaTheme="minorEastAsia" w:hint="eastAsia"/>
          <w:sz w:val="24"/>
        </w:rPr>
        <w:t>倍，养殖周期可缩短三分之一以上。</w:t>
      </w:r>
    </w:p>
    <w:p w14:paraId="53768C00" w14:textId="77777777" w:rsidR="006D73E5" w:rsidRDefault="00000000">
      <w:pPr>
        <w:spacing w:line="360" w:lineRule="auto"/>
        <w:ind w:firstLine="420"/>
        <w:rPr>
          <w:rFonts w:eastAsiaTheme="minorEastAsia"/>
          <w:sz w:val="24"/>
        </w:rPr>
      </w:pPr>
      <w:r>
        <w:rPr>
          <w:rFonts w:eastAsiaTheme="minorEastAsia" w:hint="eastAsia"/>
          <w:sz w:val="24"/>
        </w:rPr>
        <w:t>青岛国信集团党委书记、董事长王建辉称，“国信</w:t>
      </w:r>
      <w:r>
        <w:rPr>
          <w:rFonts w:eastAsiaTheme="minorEastAsia" w:hint="eastAsia"/>
          <w:sz w:val="24"/>
        </w:rPr>
        <w:t>1</w:t>
      </w:r>
      <w:r>
        <w:rPr>
          <w:rFonts w:eastAsiaTheme="minorEastAsia" w:hint="eastAsia"/>
          <w:sz w:val="24"/>
        </w:rPr>
        <w:t>号”将养殖区域由近岸推向深远海，突破了近岸养殖的一系列制约因素，实现了海水养殖由传统农业化向现代工业化生产方式的创新探索，开辟了中国高品质水产蛋白的供给新空间，拉开了中国第六次海水养殖浪潮的序幕，也必将推动以设施渔业为特征的世界海洋渔业产业变革。</w:t>
      </w:r>
    </w:p>
    <w:p w14:paraId="05E5CE32" w14:textId="77777777" w:rsidR="006D73E5" w:rsidRDefault="00000000">
      <w:pPr>
        <w:spacing w:line="360" w:lineRule="auto"/>
        <w:ind w:firstLine="420"/>
        <w:rPr>
          <w:rFonts w:eastAsiaTheme="minorEastAsia"/>
          <w:sz w:val="24"/>
        </w:rPr>
      </w:pPr>
      <w:r>
        <w:rPr>
          <w:rFonts w:eastAsiaTheme="minorEastAsia" w:hint="eastAsia"/>
          <w:sz w:val="24"/>
        </w:rPr>
        <w:t>据悉，“国信</w:t>
      </w:r>
      <w:r>
        <w:rPr>
          <w:rFonts w:eastAsiaTheme="minorEastAsia" w:hint="eastAsia"/>
          <w:sz w:val="24"/>
        </w:rPr>
        <w:t>1</w:t>
      </w:r>
      <w:r>
        <w:rPr>
          <w:rFonts w:eastAsiaTheme="minorEastAsia" w:hint="eastAsia"/>
          <w:sz w:val="24"/>
        </w:rPr>
        <w:t>号”排水量</w:t>
      </w:r>
      <w:r>
        <w:rPr>
          <w:rFonts w:eastAsiaTheme="minorEastAsia" w:hint="eastAsia"/>
          <w:sz w:val="24"/>
        </w:rPr>
        <w:t>13</w:t>
      </w:r>
      <w:r>
        <w:rPr>
          <w:rFonts w:eastAsiaTheme="minorEastAsia" w:hint="eastAsia"/>
          <w:sz w:val="24"/>
        </w:rPr>
        <w:t>万吨，载重量</w:t>
      </w:r>
      <w:r>
        <w:rPr>
          <w:rFonts w:eastAsiaTheme="minorEastAsia" w:hint="eastAsia"/>
          <w:sz w:val="24"/>
        </w:rPr>
        <w:t>10</w:t>
      </w:r>
      <w:r>
        <w:rPr>
          <w:rFonts w:eastAsiaTheme="minorEastAsia" w:hint="eastAsia"/>
          <w:sz w:val="24"/>
        </w:rPr>
        <w:t>万吨，设</w:t>
      </w:r>
      <w:r>
        <w:rPr>
          <w:rFonts w:eastAsiaTheme="minorEastAsia" w:hint="eastAsia"/>
          <w:sz w:val="24"/>
        </w:rPr>
        <w:t>15</w:t>
      </w:r>
      <w:r>
        <w:rPr>
          <w:rFonts w:eastAsiaTheme="minorEastAsia" w:hint="eastAsia"/>
          <w:sz w:val="24"/>
        </w:rPr>
        <w:t>个养殖舱，养殖水体近</w:t>
      </w:r>
      <w:r>
        <w:rPr>
          <w:rFonts w:eastAsiaTheme="minorEastAsia" w:hint="eastAsia"/>
          <w:sz w:val="24"/>
        </w:rPr>
        <w:t>9</w:t>
      </w:r>
      <w:r>
        <w:rPr>
          <w:rFonts w:eastAsiaTheme="minorEastAsia" w:hint="eastAsia"/>
          <w:sz w:val="24"/>
        </w:rPr>
        <w:t>万立方米，实现年产</w:t>
      </w:r>
      <w:r>
        <w:rPr>
          <w:rFonts w:eastAsiaTheme="minorEastAsia" w:hint="eastAsia"/>
          <w:sz w:val="24"/>
        </w:rPr>
        <w:t>3700</w:t>
      </w:r>
      <w:r>
        <w:rPr>
          <w:rFonts w:eastAsiaTheme="minorEastAsia" w:hint="eastAsia"/>
          <w:sz w:val="24"/>
        </w:rPr>
        <w:t>吨高品质鱼类和</w:t>
      </w:r>
      <w:r>
        <w:rPr>
          <w:rFonts w:eastAsiaTheme="minorEastAsia" w:hint="eastAsia"/>
          <w:sz w:val="24"/>
        </w:rPr>
        <w:t>650</w:t>
      </w:r>
      <w:r>
        <w:rPr>
          <w:rFonts w:eastAsiaTheme="minorEastAsia" w:hint="eastAsia"/>
          <w:sz w:val="24"/>
        </w:rPr>
        <w:t>吨的优质蛋白供给，超过查干湖全年的捕获量。该船采用移动养殖模式，在有效规避台风等自然风险的基础上，根据不同季节随大黄鱼适合生长的水温和环境在中国深远海开展游弋式养殖作业，实现大黄鱼等高价值鱼类的全年可持续供应。</w:t>
      </w:r>
    </w:p>
    <w:p w14:paraId="5C2400BF" w14:textId="77777777" w:rsidR="006D73E5" w:rsidRDefault="00000000">
      <w:pPr>
        <w:spacing w:line="360" w:lineRule="auto"/>
        <w:ind w:firstLine="420"/>
        <w:jc w:val="right"/>
        <w:rPr>
          <w:rStyle w:val="vm"/>
          <w:rFonts w:eastAsiaTheme="minorEastAsia"/>
          <w:szCs w:val="21"/>
        </w:rPr>
      </w:pPr>
      <w:r>
        <w:rPr>
          <w:rStyle w:val="vm"/>
          <w:rFonts w:eastAsiaTheme="minorEastAsia" w:hint="eastAsia"/>
          <w:szCs w:val="21"/>
        </w:rPr>
        <w:t>转摘自中新网</w:t>
      </w:r>
    </w:p>
    <w:p w14:paraId="6C3D7C25" w14:textId="77777777" w:rsidR="006D73E5" w:rsidRPr="00971756" w:rsidRDefault="00000000" w:rsidP="00971756">
      <w:pPr>
        <w:spacing w:line="360" w:lineRule="auto"/>
        <w:jc w:val="center"/>
        <w:outlineLvl w:val="1"/>
        <w:rPr>
          <w:rFonts w:eastAsia="黑体"/>
          <w:b/>
          <w:bCs/>
          <w:sz w:val="32"/>
          <w:szCs w:val="32"/>
        </w:rPr>
      </w:pPr>
      <w:bookmarkStart w:id="18" w:name="_Toc114077812"/>
      <w:r w:rsidRPr="00971756">
        <w:rPr>
          <w:rFonts w:eastAsia="黑体"/>
          <w:b/>
          <w:bCs/>
          <w:sz w:val="32"/>
          <w:szCs w:val="32"/>
        </w:rPr>
        <w:t>国联水产</w:t>
      </w:r>
      <w:r w:rsidRPr="00971756">
        <w:rPr>
          <w:rFonts w:eastAsia="黑体"/>
          <w:b/>
          <w:bCs/>
          <w:sz w:val="32"/>
          <w:szCs w:val="32"/>
        </w:rPr>
        <w:t>&amp;</w:t>
      </w:r>
      <w:r w:rsidRPr="00971756">
        <w:rPr>
          <w:rFonts w:eastAsia="黑体"/>
          <w:b/>
          <w:bCs/>
          <w:sz w:val="32"/>
          <w:szCs w:val="32"/>
        </w:rPr>
        <w:t>粤海饲料达成战略合作，强强联手助力产业振兴</w:t>
      </w:r>
      <w:bookmarkEnd w:id="18"/>
    </w:p>
    <w:p w14:paraId="0DD092B4" w14:textId="77777777" w:rsidR="006D73E5" w:rsidRDefault="00000000">
      <w:pPr>
        <w:spacing w:line="360" w:lineRule="auto"/>
        <w:ind w:firstLineChars="200" w:firstLine="480"/>
        <w:rPr>
          <w:rFonts w:eastAsiaTheme="majorEastAsia"/>
          <w:kern w:val="0"/>
          <w:sz w:val="24"/>
          <w:lang w:bidi="ar"/>
        </w:rPr>
      </w:pPr>
      <w:r>
        <w:rPr>
          <w:rFonts w:eastAsiaTheme="majorEastAsia"/>
          <w:kern w:val="0"/>
          <w:sz w:val="24"/>
          <w:lang w:bidi="ar"/>
        </w:rPr>
        <w:t>9</w:t>
      </w:r>
      <w:r>
        <w:rPr>
          <w:rFonts w:eastAsiaTheme="majorEastAsia"/>
          <w:kern w:val="0"/>
          <w:sz w:val="24"/>
          <w:lang w:bidi="ar"/>
        </w:rPr>
        <w:t>月</w:t>
      </w:r>
      <w:r>
        <w:rPr>
          <w:rFonts w:eastAsiaTheme="majorEastAsia"/>
          <w:kern w:val="0"/>
          <w:sz w:val="24"/>
          <w:lang w:bidi="ar"/>
        </w:rPr>
        <w:t>6</w:t>
      </w:r>
      <w:r>
        <w:rPr>
          <w:rFonts w:eastAsiaTheme="majorEastAsia"/>
          <w:kern w:val="0"/>
          <w:sz w:val="24"/>
          <w:lang w:bidi="ar"/>
        </w:rPr>
        <w:t>日，国联水产与粤海饲料战略合作签约仪式在中国湛江举行，双方在资产整合、构建水产产业生态圈、深化产业研究等领域开展合作。</w:t>
      </w:r>
    </w:p>
    <w:p w14:paraId="1598AF3A" w14:textId="77777777" w:rsidR="006D73E5" w:rsidRDefault="00000000">
      <w:pPr>
        <w:pStyle w:val="ad"/>
        <w:spacing w:before="0" w:beforeAutospacing="0" w:after="0" w:afterAutospacing="0" w:line="360" w:lineRule="auto"/>
        <w:rPr>
          <w:rFonts w:ascii="Times New Roman" w:eastAsiaTheme="majorEastAsia" w:hAnsi="Times New Roman" w:cs="Times New Roman"/>
          <w:b/>
          <w:bCs/>
          <w:lang w:bidi="ar"/>
        </w:rPr>
      </w:pPr>
      <w:r>
        <w:rPr>
          <w:rFonts w:ascii="Times New Roman" w:eastAsiaTheme="majorEastAsia" w:hAnsi="Times New Roman" w:cs="Times New Roman"/>
          <w:b/>
          <w:bCs/>
          <w:lang w:bidi="ar"/>
        </w:rPr>
        <w:t>聚焦核心业务</w:t>
      </w:r>
      <w:r>
        <w:rPr>
          <w:rFonts w:ascii="Times New Roman" w:eastAsiaTheme="majorEastAsia" w:hAnsi="Times New Roman" w:cs="Times New Roman"/>
          <w:b/>
          <w:bCs/>
          <w:lang w:bidi="ar"/>
        </w:rPr>
        <w:t xml:space="preserve"> </w:t>
      </w:r>
      <w:r>
        <w:rPr>
          <w:rFonts w:ascii="Times New Roman" w:eastAsiaTheme="majorEastAsia" w:hAnsi="Times New Roman" w:cs="Times New Roman"/>
          <w:b/>
          <w:bCs/>
          <w:lang w:bidi="ar"/>
        </w:rPr>
        <w:t>促进高质量发展</w:t>
      </w:r>
    </w:p>
    <w:p w14:paraId="1D870184" w14:textId="77777777" w:rsidR="006D73E5" w:rsidRDefault="00000000" w:rsidP="00C93F94">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我会会员单位国联水产与粤海饲料均为水产产业链上的龙头企业，但分属于不同的业务环节，经营业务相对独立。粤海饲料侧重于水产上游养殖与饲料业务，国联水产则侧重于水产下游加工与销售业务。根据战略合作协议，国联水产拟对上游产业的海洋渔业养殖、对虾工厂化养殖等业务及资产进行剥离，粤海饲料将通过购买、租赁整合等方式，吸收国联水产上游产业的资产，实现自身主营的水产饲料业务品类扩充、产能扩大及产业整合。由此通过资产优化，双方的主营业务优势更加强化，在产业链的上下游行业地位将得到进一步提升。</w:t>
      </w:r>
    </w:p>
    <w:p w14:paraId="5F51D654" w14:textId="77777777" w:rsidR="006D73E5" w:rsidRDefault="00000000" w:rsidP="00C93F94">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近年来，国联水产也在大力拓展预制菜产品，预制菜业务逐年增长，</w:t>
      </w:r>
      <w:r>
        <w:rPr>
          <w:rFonts w:ascii="Times New Roman" w:eastAsiaTheme="majorEastAsia" w:hAnsi="Times New Roman" w:cs="Times New Roman"/>
          <w:lang w:bidi="ar"/>
        </w:rPr>
        <w:t>2019</w:t>
      </w:r>
      <w:r>
        <w:rPr>
          <w:rFonts w:ascii="Times New Roman" w:eastAsiaTheme="majorEastAsia" w:hAnsi="Times New Roman" w:cs="Times New Roman"/>
          <w:lang w:bidi="ar"/>
        </w:rPr>
        <w:t>年</w:t>
      </w:r>
      <w:r>
        <w:rPr>
          <w:rFonts w:ascii="Times New Roman" w:eastAsiaTheme="majorEastAsia" w:hAnsi="Times New Roman" w:cs="Times New Roman"/>
          <w:lang w:bidi="ar"/>
        </w:rPr>
        <w:t>-2021</w:t>
      </w:r>
      <w:r>
        <w:rPr>
          <w:rFonts w:ascii="Times New Roman" w:eastAsiaTheme="majorEastAsia" w:hAnsi="Times New Roman" w:cs="Times New Roman"/>
          <w:lang w:bidi="ar"/>
        </w:rPr>
        <w:t>年，预制菜营收</w:t>
      </w:r>
      <w:r>
        <w:rPr>
          <w:rFonts w:ascii="Times New Roman" w:eastAsiaTheme="majorEastAsia" w:hAnsi="Times New Roman" w:cs="Times New Roman"/>
          <w:lang w:bidi="ar"/>
        </w:rPr>
        <w:t>6.34</w:t>
      </w:r>
      <w:r>
        <w:rPr>
          <w:rFonts w:ascii="Times New Roman" w:eastAsiaTheme="majorEastAsia" w:hAnsi="Times New Roman" w:cs="Times New Roman"/>
          <w:lang w:bidi="ar"/>
        </w:rPr>
        <w:t>亿元、</w:t>
      </w:r>
      <w:r>
        <w:rPr>
          <w:rFonts w:ascii="Times New Roman" w:eastAsiaTheme="majorEastAsia" w:hAnsi="Times New Roman" w:cs="Times New Roman"/>
          <w:lang w:bidi="ar"/>
        </w:rPr>
        <w:t>7.29</w:t>
      </w:r>
      <w:r>
        <w:rPr>
          <w:rFonts w:ascii="Times New Roman" w:eastAsiaTheme="majorEastAsia" w:hAnsi="Times New Roman" w:cs="Times New Roman"/>
          <w:lang w:bidi="ar"/>
        </w:rPr>
        <w:t>亿元、</w:t>
      </w:r>
      <w:r>
        <w:rPr>
          <w:rFonts w:ascii="Times New Roman" w:eastAsiaTheme="majorEastAsia" w:hAnsi="Times New Roman" w:cs="Times New Roman"/>
          <w:lang w:bidi="ar"/>
        </w:rPr>
        <w:t>8.41</w:t>
      </w:r>
      <w:r>
        <w:rPr>
          <w:rFonts w:ascii="Times New Roman" w:eastAsiaTheme="majorEastAsia" w:hAnsi="Times New Roman" w:cs="Times New Roman"/>
          <w:lang w:bidi="ar"/>
        </w:rPr>
        <w:t>亿元。今年上半年公司营收、净利双增，其中预制菜营收</w:t>
      </w:r>
      <w:r>
        <w:rPr>
          <w:rFonts w:ascii="Times New Roman" w:eastAsiaTheme="majorEastAsia" w:hAnsi="Times New Roman" w:cs="Times New Roman"/>
          <w:lang w:bidi="ar"/>
        </w:rPr>
        <w:t>5.6</w:t>
      </w:r>
      <w:r>
        <w:rPr>
          <w:rFonts w:ascii="Times New Roman" w:eastAsiaTheme="majorEastAsia" w:hAnsi="Times New Roman" w:cs="Times New Roman"/>
          <w:lang w:bidi="ar"/>
        </w:rPr>
        <w:t>亿元，同比增长</w:t>
      </w:r>
      <w:r>
        <w:rPr>
          <w:rFonts w:ascii="Times New Roman" w:eastAsiaTheme="majorEastAsia" w:hAnsi="Times New Roman" w:cs="Times New Roman"/>
          <w:lang w:bidi="ar"/>
        </w:rPr>
        <w:t>36.17</w:t>
      </w:r>
      <w:r>
        <w:rPr>
          <w:rFonts w:ascii="Times New Roman" w:eastAsiaTheme="majorEastAsia" w:hAnsi="Times New Roman" w:cs="Times New Roman"/>
          <w:lang w:bidi="ar"/>
        </w:rPr>
        <w:t>％。</w:t>
      </w:r>
    </w:p>
    <w:p w14:paraId="61984941" w14:textId="77777777" w:rsidR="006D73E5" w:rsidRDefault="00000000" w:rsidP="00C93F94">
      <w:pPr>
        <w:pStyle w:val="ad"/>
        <w:spacing w:before="0" w:beforeAutospacing="0" w:after="0" w:afterAutospacing="0" w:line="360" w:lineRule="auto"/>
        <w:jc w:val="both"/>
        <w:rPr>
          <w:rFonts w:ascii="Times New Roman" w:eastAsiaTheme="majorEastAsia" w:hAnsi="Times New Roman" w:cs="Times New Roman"/>
          <w:b/>
          <w:bCs/>
          <w:lang w:bidi="ar"/>
        </w:rPr>
      </w:pPr>
      <w:r>
        <w:rPr>
          <w:rFonts w:ascii="Times New Roman" w:eastAsiaTheme="majorEastAsia" w:hAnsi="Times New Roman" w:cs="Times New Roman"/>
          <w:b/>
          <w:bCs/>
          <w:lang w:bidi="ar"/>
        </w:rPr>
        <w:t>共筑产业生态圈</w:t>
      </w:r>
      <w:r>
        <w:rPr>
          <w:rFonts w:ascii="Times New Roman" w:eastAsiaTheme="majorEastAsia" w:hAnsi="Times New Roman" w:cs="Times New Roman"/>
          <w:b/>
          <w:bCs/>
          <w:lang w:bidi="ar"/>
        </w:rPr>
        <w:t xml:space="preserve"> </w:t>
      </w:r>
      <w:r>
        <w:rPr>
          <w:rFonts w:ascii="Times New Roman" w:eastAsiaTheme="majorEastAsia" w:hAnsi="Times New Roman" w:cs="Times New Roman"/>
          <w:b/>
          <w:bCs/>
          <w:lang w:bidi="ar"/>
        </w:rPr>
        <w:t>助力乡村振兴</w:t>
      </w:r>
    </w:p>
    <w:p w14:paraId="2A3F1C4E" w14:textId="77777777" w:rsidR="006D73E5" w:rsidRDefault="00000000" w:rsidP="00C93F94">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lastRenderedPageBreak/>
        <w:t>据公告，双方将以水产产业振兴为目的共同服务并驱动广大农村现代养殖业务的良性发展，以引导养殖、定向养殖、养殖科技赋能、资源赋能等方式助力上游养殖业的稳定发展，促进养殖户增收，打造乡村产业振兴运营新模式。</w:t>
      </w:r>
    </w:p>
    <w:p w14:paraId="522DA012" w14:textId="77777777" w:rsidR="006D73E5" w:rsidRDefault="00000000" w:rsidP="00C93F94">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国联水产主营水产食品加工及水产预制菜，对上游水产品原材料有着稳定的需求，粤海饲料的饲料产品需要服务众多水产养殖客户，因此国联水产和粤海饲料通过水产养殖客户结成紧密的产业纽带。</w:t>
      </w:r>
    </w:p>
    <w:p w14:paraId="3B62B42C" w14:textId="77777777" w:rsidR="006D73E5" w:rsidRDefault="00000000" w:rsidP="00C93F94">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依据合作协议，双方对现有产业链条进行优化升级，密切合作。国联水产将通过定量、锁价等方式采购粤海养殖户的水产品，解决养殖户销路问题；而粤海凭借经验丰富的研发团队及先进的饲料、动保等养殖技术赋能养殖户，实现水产品养殖定制化、标准化，实现收益最大化。</w:t>
      </w:r>
    </w:p>
    <w:p w14:paraId="54A6C976" w14:textId="77777777" w:rsidR="006D73E5" w:rsidRDefault="00000000" w:rsidP="00C93F94">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由此，双方通过产业协同，构建紧密、完整、先进的水产产业生态圈，赋能传统水产养殖，实现养殖客户收益提升，共同助力乡村振兴。</w:t>
      </w:r>
    </w:p>
    <w:p w14:paraId="1D8B86AA" w14:textId="77777777" w:rsidR="006D73E5" w:rsidRDefault="00000000" w:rsidP="00C93F94">
      <w:pPr>
        <w:pStyle w:val="ad"/>
        <w:spacing w:before="0" w:beforeAutospacing="0" w:after="0" w:afterAutospacing="0" w:line="360" w:lineRule="auto"/>
        <w:jc w:val="both"/>
        <w:rPr>
          <w:rFonts w:ascii="Times New Roman" w:eastAsiaTheme="majorEastAsia" w:hAnsi="Times New Roman" w:cs="Times New Roman"/>
          <w:b/>
          <w:bCs/>
          <w:lang w:bidi="ar"/>
        </w:rPr>
      </w:pPr>
      <w:r>
        <w:rPr>
          <w:rFonts w:ascii="Times New Roman" w:eastAsiaTheme="majorEastAsia" w:hAnsi="Times New Roman" w:cs="Times New Roman"/>
          <w:b/>
          <w:bCs/>
          <w:lang w:bidi="ar"/>
        </w:rPr>
        <w:t>深化产业研究与投资协同</w:t>
      </w:r>
      <w:r>
        <w:rPr>
          <w:rFonts w:ascii="Times New Roman" w:eastAsiaTheme="majorEastAsia" w:hAnsi="Times New Roman" w:cs="Times New Roman"/>
          <w:b/>
          <w:bCs/>
          <w:lang w:bidi="ar"/>
        </w:rPr>
        <w:t xml:space="preserve"> </w:t>
      </w:r>
      <w:r>
        <w:rPr>
          <w:rFonts w:ascii="Times New Roman" w:eastAsiaTheme="majorEastAsia" w:hAnsi="Times New Roman" w:cs="Times New Roman"/>
          <w:b/>
          <w:bCs/>
          <w:lang w:bidi="ar"/>
        </w:rPr>
        <w:t>提升双方市场站位</w:t>
      </w:r>
    </w:p>
    <w:p w14:paraId="0CB9F696" w14:textId="77777777" w:rsidR="006D73E5" w:rsidRDefault="00000000" w:rsidP="00C93F94">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预制菜产业未来将成长为上万亿的赛道，产业覆盖各方面的业务。国联与粤海双方将利用各自的企业优势，在符合双方产业发展方向前提下，共同携手推动预制菜产业研究，未来包括但不限于共同投资新的项目和标的，不断提升双方在产业链中的市场地位，获取更多市场话语权和利润空间。</w:t>
      </w:r>
    </w:p>
    <w:p w14:paraId="55358F44" w14:textId="77777777" w:rsidR="006D73E5" w:rsidRDefault="00000000" w:rsidP="00C93F94">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此次国联水产与粤海饲料达成战略合作，共同探索水产产业创新发展新模式，将有力推动水产业上下游链条的强化和升级，能够帮助优质的水产品及水产预制菜品实现市场扩张，创造更大的商业价值，并带动养殖产业的良性发展。</w:t>
      </w:r>
    </w:p>
    <w:p w14:paraId="02C5F514" w14:textId="77777777" w:rsidR="006D73E5" w:rsidRDefault="00000000" w:rsidP="00C93F94">
      <w:pPr>
        <w:pStyle w:val="ad"/>
        <w:spacing w:before="0" w:beforeAutospacing="0" w:after="0" w:afterAutospacing="0" w:line="360" w:lineRule="auto"/>
        <w:ind w:firstLineChars="200" w:firstLine="480"/>
        <w:jc w:val="both"/>
        <w:rPr>
          <w:rFonts w:ascii="Times New Roman" w:eastAsiaTheme="majorEastAsia" w:hAnsi="Times New Roman" w:cs="Times New Roman"/>
          <w:lang w:bidi="ar"/>
        </w:rPr>
      </w:pPr>
      <w:r>
        <w:rPr>
          <w:rFonts w:ascii="Times New Roman" w:eastAsiaTheme="majorEastAsia" w:hAnsi="Times New Roman" w:cs="Times New Roman"/>
          <w:lang w:bidi="ar"/>
        </w:rPr>
        <w:t>同时，国联水产通过优化资产配置，聚焦盈利能力更强的食品加工及预制菜赛道，符合上市公司的整体利益和发展战略，能够进一步促进公司持续、稳定、高质量发展，提升上市公司价值，进一步夯实其在预制菜行业的市场地位和影响力。</w:t>
      </w:r>
    </w:p>
    <w:p w14:paraId="7F57BDC7" w14:textId="77777777" w:rsidR="006D73E5" w:rsidRDefault="00000000">
      <w:pPr>
        <w:widowControl/>
        <w:spacing w:line="360" w:lineRule="auto"/>
        <w:jc w:val="right"/>
        <w:rPr>
          <w:rStyle w:val="vm"/>
          <w:rFonts w:eastAsiaTheme="minorEastAsia"/>
          <w:szCs w:val="21"/>
        </w:rPr>
      </w:pPr>
      <w:r>
        <w:rPr>
          <w:rStyle w:val="af"/>
          <w:rFonts w:hint="eastAsia"/>
          <w:b w:val="0"/>
          <w:kern w:val="0"/>
          <w:sz w:val="25"/>
          <w:szCs w:val="25"/>
          <w:lang w:bidi="ar"/>
        </w:rPr>
        <w:t>摘自</w:t>
      </w:r>
      <w:r>
        <w:rPr>
          <w:rStyle w:val="af"/>
          <w:b w:val="0"/>
          <w:kern w:val="0"/>
          <w:sz w:val="25"/>
          <w:szCs w:val="25"/>
          <w:lang w:bidi="ar"/>
        </w:rPr>
        <w:t>中国水产品微信公众号</w:t>
      </w:r>
      <w:r>
        <w:rPr>
          <w:rStyle w:val="af"/>
          <w:kern w:val="0"/>
          <w:sz w:val="25"/>
          <w:szCs w:val="25"/>
          <w:lang w:bidi="ar"/>
        </w:rPr>
        <w:t xml:space="preserve"> </w:t>
      </w:r>
      <w:r>
        <w:rPr>
          <w:kern w:val="0"/>
          <w:szCs w:val="21"/>
          <w:lang w:bidi="ar"/>
        </w:rPr>
        <w:t>中国水产流通与加工协会会刊</w:t>
      </w:r>
    </w:p>
    <w:p w14:paraId="6418805E" w14:textId="77777777" w:rsidR="006D73E5" w:rsidRDefault="00000000">
      <w:pPr>
        <w:spacing w:line="276" w:lineRule="auto"/>
        <w:jc w:val="left"/>
        <w:outlineLvl w:val="0"/>
        <w:rPr>
          <w:rStyle w:val="vm"/>
          <w:rFonts w:eastAsia="黑体"/>
          <w:b/>
          <w:bCs/>
          <w:sz w:val="32"/>
          <w:szCs w:val="32"/>
          <w:bdr w:val="single" w:sz="4" w:space="0" w:color="auto"/>
        </w:rPr>
      </w:pPr>
      <w:bookmarkStart w:id="19" w:name="_Toc114077813"/>
      <w:r>
        <w:rPr>
          <w:rStyle w:val="vm"/>
          <w:rFonts w:eastAsia="黑体"/>
          <w:b/>
          <w:bCs/>
          <w:sz w:val="32"/>
          <w:szCs w:val="32"/>
          <w:bdr w:val="single" w:sz="4" w:space="0" w:color="auto"/>
        </w:rPr>
        <w:t>会议传递</w:t>
      </w:r>
      <w:bookmarkEnd w:id="19"/>
    </w:p>
    <w:p w14:paraId="1B01777C" w14:textId="77777777" w:rsidR="006D73E5" w:rsidRDefault="00000000">
      <w:pPr>
        <w:spacing w:line="360" w:lineRule="auto"/>
        <w:jc w:val="center"/>
        <w:outlineLvl w:val="1"/>
        <w:rPr>
          <w:rFonts w:eastAsiaTheme="minorEastAsia"/>
          <w:sz w:val="24"/>
        </w:rPr>
      </w:pPr>
      <w:bookmarkStart w:id="20" w:name="_Toc114077814"/>
      <w:r>
        <w:rPr>
          <w:rFonts w:eastAsia="黑体" w:hint="eastAsia"/>
          <w:b/>
          <w:bCs/>
          <w:sz w:val="32"/>
          <w:szCs w:val="32"/>
        </w:rPr>
        <w:t>2022</w:t>
      </w:r>
      <w:r>
        <w:rPr>
          <w:rFonts w:eastAsia="黑体" w:hint="eastAsia"/>
          <w:b/>
          <w:bCs/>
          <w:sz w:val="32"/>
          <w:szCs w:val="32"/>
        </w:rPr>
        <w:t>渔药科技创新与产业发展大会将在湖北省武汉市召开召开</w:t>
      </w:r>
      <w:bookmarkEnd w:id="20"/>
    </w:p>
    <w:p w14:paraId="225181A7" w14:textId="77777777" w:rsidR="006D73E5" w:rsidRDefault="00000000">
      <w:pPr>
        <w:spacing w:line="360" w:lineRule="auto"/>
        <w:ind w:firstLineChars="177" w:firstLine="425"/>
        <w:rPr>
          <w:rFonts w:eastAsiaTheme="minorEastAsia"/>
          <w:sz w:val="24"/>
        </w:rPr>
      </w:pPr>
      <w:r>
        <w:rPr>
          <w:rFonts w:eastAsiaTheme="minorEastAsia" w:hint="eastAsia"/>
          <w:sz w:val="24"/>
        </w:rPr>
        <w:t>由中国水产学会组织召开的，中国水产学会渔药专业委员会、中国水产科学研究院长江水产研究所、华中农业大学、上海海洋大学、湖北省水产技术推广总站、湖北省动物保健</w:t>
      </w:r>
      <w:r>
        <w:rPr>
          <w:rFonts w:eastAsiaTheme="minorEastAsia" w:hint="eastAsia"/>
          <w:sz w:val="24"/>
        </w:rPr>
        <w:lastRenderedPageBreak/>
        <w:t>品协会等承办的，主题为“绿色发展、质量安全、科技创新、产业升级”的</w:t>
      </w:r>
      <w:r>
        <w:rPr>
          <w:rFonts w:eastAsiaTheme="minorEastAsia" w:hint="eastAsia"/>
          <w:sz w:val="24"/>
        </w:rPr>
        <w:t>2022</w:t>
      </w:r>
      <w:r>
        <w:rPr>
          <w:rFonts w:eastAsiaTheme="minorEastAsia" w:hint="eastAsia"/>
          <w:sz w:val="24"/>
        </w:rPr>
        <w:t>渔药科技创新与产业发展将于</w:t>
      </w:r>
      <w:r>
        <w:rPr>
          <w:rFonts w:eastAsiaTheme="minorEastAsia" w:hint="eastAsia"/>
          <w:sz w:val="24"/>
        </w:rPr>
        <w:t>9</w:t>
      </w:r>
      <w:r>
        <w:rPr>
          <w:rFonts w:eastAsiaTheme="minorEastAsia" w:hint="eastAsia"/>
          <w:sz w:val="24"/>
        </w:rPr>
        <w:t>月</w:t>
      </w:r>
      <w:r>
        <w:rPr>
          <w:rFonts w:eastAsiaTheme="minorEastAsia" w:hint="eastAsia"/>
          <w:sz w:val="24"/>
        </w:rPr>
        <w:t>21~22</w:t>
      </w:r>
      <w:r>
        <w:rPr>
          <w:rFonts w:eastAsiaTheme="minorEastAsia" w:hint="eastAsia"/>
          <w:sz w:val="24"/>
        </w:rPr>
        <w:t>日在湖北武汉市荷田大酒店（湖北省武汉市东湖新技术开发区滨湖路</w:t>
      </w:r>
      <w:r>
        <w:rPr>
          <w:rFonts w:eastAsiaTheme="minorEastAsia" w:hint="eastAsia"/>
          <w:sz w:val="24"/>
        </w:rPr>
        <w:t>16</w:t>
      </w:r>
      <w:r>
        <w:rPr>
          <w:rFonts w:eastAsiaTheme="minorEastAsia" w:hint="eastAsia"/>
          <w:sz w:val="24"/>
        </w:rPr>
        <w:t>号）召开！</w:t>
      </w:r>
    </w:p>
    <w:p w14:paraId="2BE7A096" w14:textId="77777777" w:rsidR="006D73E5" w:rsidRDefault="00000000">
      <w:pPr>
        <w:spacing w:line="360" w:lineRule="auto"/>
        <w:ind w:firstLineChars="177" w:firstLine="425"/>
        <w:rPr>
          <w:rFonts w:eastAsiaTheme="minorEastAsia"/>
          <w:sz w:val="24"/>
        </w:rPr>
      </w:pPr>
      <w:r>
        <w:rPr>
          <w:rFonts w:eastAsiaTheme="minorEastAsia" w:hint="eastAsia"/>
          <w:sz w:val="24"/>
        </w:rPr>
        <w:t>大会采取主题报告与专题报告相结合的方式进行，邀请政府官员、院士专家、企业代表等作交流报告，内容包括渔药等水产养殖投入品的监督管理、水产绿色健康养殖与科学用药、渔药科技成果转化与产业健康发展、新渔药创制、渔药药效学与药理毒理学研究、渔药生产工艺优化、产品质量控制、残留检测方法研究与应用等。</w:t>
      </w:r>
    </w:p>
    <w:p w14:paraId="700867D1" w14:textId="77777777" w:rsidR="006D73E5" w:rsidRDefault="00000000">
      <w:pPr>
        <w:spacing w:line="360" w:lineRule="auto"/>
        <w:ind w:firstLineChars="177" w:firstLine="425"/>
        <w:rPr>
          <w:rFonts w:eastAsiaTheme="minorEastAsia"/>
          <w:sz w:val="24"/>
        </w:rPr>
      </w:pPr>
      <w:r>
        <w:rPr>
          <w:rFonts w:eastAsiaTheme="minorEastAsia" w:hint="eastAsia"/>
          <w:sz w:val="24"/>
        </w:rPr>
        <w:t>大会还将举办沙龙论坛和研究生专场报告，为相关支持单位提供场地，进行新成果、新技术、新产品宣传展示，促进政产学研推用对接和成果转化应用。</w:t>
      </w:r>
    </w:p>
    <w:p w14:paraId="0D83A827" w14:textId="77777777" w:rsidR="006D73E5" w:rsidRDefault="00000000">
      <w:pPr>
        <w:spacing w:line="360" w:lineRule="auto"/>
        <w:ind w:firstLineChars="177" w:firstLine="425"/>
        <w:rPr>
          <w:rFonts w:eastAsiaTheme="minorEastAsia"/>
          <w:sz w:val="24"/>
        </w:rPr>
      </w:pPr>
      <w:r>
        <w:rPr>
          <w:rFonts w:eastAsiaTheme="minorEastAsia" w:hint="eastAsia"/>
          <w:sz w:val="24"/>
        </w:rPr>
        <w:t>1</w:t>
      </w:r>
      <w:r>
        <w:rPr>
          <w:rFonts w:eastAsiaTheme="minorEastAsia" w:hint="eastAsia"/>
          <w:sz w:val="24"/>
        </w:rPr>
        <w:t>、参会人员</w:t>
      </w:r>
    </w:p>
    <w:p w14:paraId="0ED690F3" w14:textId="77777777" w:rsidR="006D73E5" w:rsidRDefault="00000000">
      <w:pPr>
        <w:spacing w:line="360" w:lineRule="auto"/>
        <w:ind w:firstLineChars="177" w:firstLine="425"/>
        <w:rPr>
          <w:rFonts w:eastAsiaTheme="minorEastAsia"/>
          <w:sz w:val="24"/>
        </w:rPr>
      </w:pPr>
      <w:r>
        <w:rPr>
          <w:rFonts w:eastAsiaTheme="minorEastAsia" w:hint="eastAsia"/>
          <w:sz w:val="24"/>
        </w:rPr>
        <w:t>水产科研教学单位、技术推广机构、投入品生产企业、水产养殖企业等单位的专家学者、管理人员、技术人员，以及在校研究生等。</w:t>
      </w:r>
    </w:p>
    <w:p w14:paraId="58837745" w14:textId="77777777" w:rsidR="006D73E5" w:rsidRDefault="00000000">
      <w:pPr>
        <w:spacing w:line="360" w:lineRule="auto"/>
        <w:ind w:firstLineChars="177" w:firstLine="425"/>
        <w:rPr>
          <w:rFonts w:eastAsiaTheme="minorEastAsia"/>
          <w:sz w:val="24"/>
        </w:rPr>
      </w:pPr>
      <w:r>
        <w:rPr>
          <w:rFonts w:eastAsiaTheme="minorEastAsia" w:hint="eastAsia"/>
          <w:sz w:val="24"/>
        </w:rPr>
        <w:t>2</w:t>
      </w:r>
      <w:r>
        <w:rPr>
          <w:rFonts w:eastAsiaTheme="minorEastAsia" w:hint="eastAsia"/>
          <w:sz w:val="24"/>
        </w:rPr>
        <w:t>、有关事项</w:t>
      </w:r>
    </w:p>
    <w:p w14:paraId="4683665C" w14:textId="77777777" w:rsidR="006D73E5" w:rsidRDefault="00000000">
      <w:pPr>
        <w:spacing w:line="360" w:lineRule="auto"/>
        <w:ind w:firstLineChars="177" w:firstLine="425"/>
        <w:rPr>
          <w:rFonts w:eastAsiaTheme="minorEastAsia"/>
          <w:sz w:val="24"/>
        </w:rPr>
      </w:pPr>
      <w:r>
        <w:rPr>
          <w:rFonts w:eastAsiaTheme="minorEastAsia" w:hint="eastAsia"/>
          <w:sz w:val="24"/>
        </w:rPr>
        <w:t>（一）食宿安排</w:t>
      </w:r>
    </w:p>
    <w:p w14:paraId="39FABE86" w14:textId="77777777" w:rsidR="006D73E5" w:rsidRDefault="00000000">
      <w:pPr>
        <w:spacing w:line="360" w:lineRule="auto"/>
        <w:ind w:firstLineChars="177" w:firstLine="425"/>
        <w:rPr>
          <w:rFonts w:eastAsiaTheme="minorEastAsia"/>
          <w:sz w:val="24"/>
        </w:rPr>
      </w:pPr>
      <w:r>
        <w:rPr>
          <w:rFonts w:eastAsiaTheme="minorEastAsia" w:hint="eastAsia"/>
          <w:sz w:val="24"/>
        </w:rPr>
        <w:t>大会统一安排用餐，住宿费用自理。大会为参会代表提供大会推荐的酒店及周边酒店信息，请各位代表自行尽早预订酒店，预订酒店报会议名称可享受协议价。</w:t>
      </w:r>
    </w:p>
    <w:p w14:paraId="636BF21F" w14:textId="77777777" w:rsidR="006D73E5" w:rsidRDefault="00000000">
      <w:pPr>
        <w:spacing w:line="360" w:lineRule="auto"/>
        <w:ind w:firstLineChars="177" w:firstLine="425"/>
        <w:rPr>
          <w:rFonts w:eastAsiaTheme="minorEastAsia"/>
          <w:sz w:val="24"/>
        </w:rPr>
      </w:pPr>
      <w:r>
        <w:rPr>
          <w:rFonts w:eastAsiaTheme="minorEastAsia" w:hint="eastAsia"/>
          <w:sz w:val="24"/>
        </w:rPr>
        <w:t>1</w:t>
      </w:r>
      <w:r>
        <w:rPr>
          <w:rFonts w:eastAsiaTheme="minorEastAsia" w:hint="eastAsia"/>
          <w:sz w:val="24"/>
        </w:rPr>
        <w:t>）大会酒店</w:t>
      </w:r>
    </w:p>
    <w:p w14:paraId="3F346821" w14:textId="77777777" w:rsidR="006D73E5" w:rsidRDefault="00000000">
      <w:pPr>
        <w:spacing w:line="360" w:lineRule="auto"/>
        <w:ind w:firstLineChars="177" w:firstLine="425"/>
        <w:rPr>
          <w:rFonts w:eastAsiaTheme="minorEastAsia"/>
          <w:sz w:val="24"/>
        </w:rPr>
      </w:pPr>
      <w:r>
        <w:rPr>
          <w:rFonts w:eastAsiaTheme="minorEastAsia" w:hint="eastAsia"/>
          <w:sz w:val="24"/>
        </w:rPr>
        <w:t>荷田大酒店（湖北省武汉市东湖新技术开发区滨湖路</w:t>
      </w:r>
      <w:r>
        <w:rPr>
          <w:rFonts w:eastAsiaTheme="minorEastAsia" w:hint="eastAsia"/>
          <w:sz w:val="24"/>
        </w:rPr>
        <w:t>16</w:t>
      </w:r>
      <w:r>
        <w:rPr>
          <w:rFonts w:eastAsiaTheme="minorEastAsia" w:hint="eastAsia"/>
          <w:sz w:val="24"/>
        </w:rPr>
        <w:t>号武汉荷田大酒店，朱庆，</w:t>
      </w:r>
      <w:r>
        <w:rPr>
          <w:rFonts w:eastAsiaTheme="minorEastAsia" w:hint="eastAsia"/>
          <w:sz w:val="24"/>
        </w:rPr>
        <w:t>15927648083</w:t>
      </w:r>
      <w:r>
        <w:rPr>
          <w:rFonts w:eastAsiaTheme="minorEastAsia" w:hint="eastAsia"/>
          <w:sz w:val="24"/>
        </w:rPr>
        <w:t>）</w:t>
      </w:r>
    </w:p>
    <w:p w14:paraId="588B7DCC" w14:textId="77777777" w:rsidR="006D73E5" w:rsidRDefault="00000000">
      <w:pPr>
        <w:spacing w:line="360" w:lineRule="auto"/>
        <w:ind w:firstLineChars="177" w:firstLine="425"/>
        <w:rPr>
          <w:rFonts w:eastAsiaTheme="minorEastAsia"/>
          <w:sz w:val="24"/>
        </w:rPr>
      </w:pPr>
      <w:r>
        <w:rPr>
          <w:rFonts w:eastAsiaTheme="minorEastAsia" w:hint="eastAsia"/>
          <w:sz w:val="24"/>
        </w:rPr>
        <w:t>2</w:t>
      </w:r>
      <w:r>
        <w:rPr>
          <w:rFonts w:eastAsiaTheme="minorEastAsia" w:hint="eastAsia"/>
          <w:sz w:val="24"/>
        </w:rPr>
        <w:t>）备选酒店</w:t>
      </w:r>
    </w:p>
    <w:p w14:paraId="7A65E3B5" w14:textId="77777777" w:rsidR="006D73E5" w:rsidRDefault="00000000">
      <w:pPr>
        <w:spacing w:line="360" w:lineRule="auto"/>
        <w:ind w:firstLineChars="177" w:firstLine="425"/>
        <w:rPr>
          <w:rFonts w:eastAsiaTheme="minorEastAsia"/>
          <w:sz w:val="24"/>
        </w:rPr>
      </w:pPr>
      <w:r>
        <w:rPr>
          <w:rFonts w:eastAsiaTheme="minorEastAsia" w:hint="eastAsia"/>
          <w:sz w:val="24"/>
        </w:rPr>
        <w:t>ME</w:t>
      </w:r>
      <w:r>
        <w:rPr>
          <w:rFonts w:eastAsiaTheme="minorEastAsia" w:hint="eastAsia"/>
          <w:sz w:val="24"/>
        </w:rPr>
        <w:t>隐和国际酒店（武汉市东湖新技术开发区大学园路</w:t>
      </w:r>
      <w:r>
        <w:rPr>
          <w:rFonts w:eastAsiaTheme="minorEastAsia" w:hint="eastAsia"/>
          <w:sz w:val="24"/>
        </w:rPr>
        <w:t>16</w:t>
      </w:r>
      <w:r>
        <w:rPr>
          <w:rFonts w:eastAsiaTheme="minorEastAsia" w:hint="eastAsia"/>
          <w:sz w:val="24"/>
        </w:rPr>
        <w:t>号</w:t>
      </w:r>
      <w:r>
        <w:rPr>
          <w:rFonts w:eastAsiaTheme="minorEastAsia" w:hint="eastAsia"/>
          <w:sz w:val="24"/>
        </w:rPr>
        <w:t xml:space="preserve"> ME</w:t>
      </w:r>
      <w:r>
        <w:rPr>
          <w:rFonts w:eastAsiaTheme="minorEastAsia" w:hint="eastAsia"/>
          <w:sz w:val="24"/>
        </w:rPr>
        <w:t>隐和国际酒店，</w:t>
      </w:r>
      <w:r>
        <w:rPr>
          <w:rFonts w:eastAsiaTheme="minorEastAsia" w:hint="eastAsia"/>
          <w:sz w:val="24"/>
        </w:rPr>
        <w:t>027-81705888</w:t>
      </w:r>
      <w:r>
        <w:rPr>
          <w:rFonts w:eastAsiaTheme="minorEastAsia" w:hint="eastAsia"/>
          <w:sz w:val="24"/>
        </w:rPr>
        <w:t>）</w:t>
      </w:r>
    </w:p>
    <w:p w14:paraId="31DD8679" w14:textId="77777777" w:rsidR="006D73E5" w:rsidRDefault="00000000">
      <w:pPr>
        <w:spacing w:line="360" w:lineRule="auto"/>
        <w:ind w:firstLineChars="177" w:firstLine="425"/>
        <w:rPr>
          <w:rFonts w:eastAsiaTheme="minorEastAsia"/>
          <w:sz w:val="24"/>
        </w:rPr>
      </w:pPr>
      <w:r>
        <w:rPr>
          <w:rFonts w:eastAsiaTheme="minorEastAsia" w:hint="eastAsia"/>
          <w:sz w:val="24"/>
        </w:rPr>
        <w:t>（二）请参会代表填写参会回执，并在</w:t>
      </w:r>
      <w:r>
        <w:rPr>
          <w:rFonts w:eastAsiaTheme="minorEastAsia" w:hint="eastAsia"/>
          <w:sz w:val="24"/>
        </w:rPr>
        <w:t>9</w:t>
      </w:r>
      <w:r>
        <w:rPr>
          <w:rFonts w:eastAsiaTheme="minorEastAsia" w:hint="eastAsia"/>
          <w:sz w:val="24"/>
        </w:rPr>
        <w:t>月</w:t>
      </w:r>
      <w:r>
        <w:rPr>
          <w:rFonts w:eastAsiaTheme="minorEastAsia" w:hint="eastAsia"/>
          <w:sz w:val="24"/>
        </w:rPr>
        <w:t>16</w:t>
      </w:r>
      <w:r>
        <w:rPr>
          <w:rFonts w:eastAsiaTheme="minorEastAsia" w:hint="eastAsia"/>
          <w:sz w:val="24"/>
        </w:rPr>
        <w:t>日之前发送至中国水产学会渔药专业委员会秘书处电子邮箱。</w:t>
      </w:r>
    </w:p>
    <w:p w14:paraId="1A7CA334" w14:textId="77777777" w:rsidR="006D73E5" w:rsidRDefault="00000000">
      <w:pPr>
        <w:spacing w:line="360" w:lineRule="auto"/>
        <w:ind w:firstLineChars="177" w:firstLine="425"/>
        <w:rPr>
          <w:rFonts w:eastAsiaTheme="minorEastAsia"/>
          <w:sz w:val="24"/>
        </w:rPr>
      </w:pPr>
      <w:r>
        <w:rPr>
          <w:rFonts w:eastAsiaTheme="minorEastAsia" w:hint="eastAsia"/>
          <w:sz w:val="24"/>
        </w:rPr>
        <w:t>2</w:t>
      </w:r>
      <w:r>
        <w:rPr>
          <w:rFonts w:eastAsiaTheme="minorEastAsia" w:hint="eastAsia"/>
          <w:sz w:val="24"/>
        </w:rPr>
        <w:t>、会议注册</w:t>
      </w:r>
    </w:p>
    <w:p w14:paraId="3A8DD42A" w14:textId="77777777" w:rsidR="006D73E5" w:rsidRDefault="00000000">
      <w:pPr>
        <w:spacing w:line="360" w:lineRule="auto"/>
        <w:ind w:firstLineChars="177" w:firstLine="425"/>
        <w:rPr>
          <w:rFonts w:eastAsiaTheme="minorEastAsia"/>
          <w:sz w:val="24"/>
        </w:rPr>
      </w:pPr>
      <w:r>
        <w:rPr>
          <w:rFonts w:eastAsiaTheme="minorEastAsia" w:hint="eastAsia"/>
          <w:sz w:val="24"/>
        </w:rPr>
        <w:t>会议代表注册费</w:t>
      </w:r>
      <w:r>
        <w:rPr>
          <w:rFonts w:eastAsiaTheme="minorEastAsia" w:hint="eastAsia"/>
          <w:sz w:val="24"/>
        </w:rPr>
        <w:t>1200</w:t>
      </w:r>
      <w:r>
        <w:rPr>
          <w:rFonts w:eastAsiaTheme="minorEastAsia" w:hint="eastAsia"/>
          <w:sz w:val="24"/>
        </w:rPr>
        <w:t>元</w:t>
      </w:r>
      <w:r>
        <w:rPr>
          <w:rFonts w:eastAsiaTheme="minorEastAsia" w:hint="eastAsia"/>
          <w:sz w:val="24"/>
        </w:rPr>
        <w:t>/</w:t>
      </w:r>
      <w:r>
        <w:rPr>
          <w:rFonts w:eastAsiaTheme="minorEastAsia" w:hint="eastAsia"/>
          <w:sz w:val="24"/>
        </w:rPr>
        <w:t>人，学生代表（需凭证明）注册费</w:t>
      </w:r>
      <w:r>
        <w:rPr>
          <w:rFonts w:eastAsiaTheme="minorEastAsia" w:hint="eastAsia"/>
          <w:sz w:val="24"/>
        </w:rPr>
        <w:t>800</w:t>
      </w:r>
      <w:r>
        <w:rPr>
          <w:rFonts w:eastAsiaTheme="minorEastAsia" w:hint="eastAsia"/>
          <w:sz w:val="24"/>
        </w:rPr>
        <w:t>元</w:t>
      </w:r>
      <w:r>
        <w:rPr>
          <w:rFonts w:eastAsiaTheme="minorEastAsia" w:hint="eastAsia"/>
          <w:sz w:val="24"/>
        </w:rPr>
        <w:t>/</w:t>
      </w:r>
      <w:r>
        <w:rPr>
          <w:rFonts w:eastAsiaTheme="minorEastAsia" w:hint="eastAsia"/>
          <w:sz w:val="24"/>
        </w:rPr>
        <w:t>人。会议注册费由中国水产学会统一收取，分现场缴费和汇款两种方式。汇款请于</w:t>
      </w:r>
      <w:r>
        <w:rPr>
          <w:rFonts w:eastAsiaTheme="minorEastAsia" w:hint="eastAsia"/>
          <w:sz w:val="24"/>
        </w:rPr>
        <w:t>9</w:t>
      </w:r>
      <w:r>
        <w:rPr>
          <w:rFonts w:eastAsiaTheme="minorEastAsia" w:hint="eastAsia"/>
          <w:sz w:val="24"/>
        </w:rPr>
        <w:t>月</w:t>
      </w:r>
      <w:r>
        <w:rPr>
          <w:rFonts w:eastAsiaTheme="minorEastAsia" w:hint="eastAsia"/>
          <w:sz w:val="24"/>
        </w:rPr>
        <w:t>16</w:t>
      </w:r>
      <w:r>
        <w:rPr>
          <w:rFonts w:eastAsiaTheme="minorEastAsia" w:hint="eastAsia"/>
          <w:sz w:val="24"/>
        </w:rPr>
        <w:t>日前办理，汇款事宜可与财务人员联系确认。</w:t>
      </w:r>
    </w:p>
    <w:p w14:paraId="6E1113AA" w14:textId="77777777" w:rsidR="006D73E5" w:rsidRDefault="00000000">
      <w:pPr>
        <w:spacing w:line="360" w:lineRule="auto"/>
        <w:ind w:firstLineChars="177" w:firstLine="425"/>
        <w:rPr>
          <w:rFonts w:eastAsiaTheme="minorEastAsia"/>
          <w:sz w:val="24"/>
        </w:rPr>
      </w:pPr>
      <w:r>
        <w:rPr>
          <w:rFonts w:eastAsiaTheme="minorEastAsia" w:hint="eastAsia"/>
          <w:sz w:val="24"/>
        </w:rPr>
        <w:t>联系人：中国水产学会财务条件处</w:t>
      </w:r>
      <w:r>
        <w:rPr>
          <w:rFonts w:eastAsiaTheme="minorEastAsia" w:hint="eastAsia"/>
          <w:sz w:val="24"/>
        </w:rPr>
        <w:t xml:space="preserve"> </w:t>
      </w:r>
      <w:r>
        <w:rPr>
          <w:rFonts w:eastAsiaTheme="minorEastAsia" w:hint="eastAsia"/>
          <w:sz w:val="24"/>
        </w:rPr>
        <w:t>董继岩</w:t>
      </w:r>
    </w:p>
    <w:p w14:paraId="202C5ABE" w14:textId="77777777" w:rsidR="006D73E5" w:rsidRDefault="00000000">
      <w:pPr>
        <w:spacing w:line="360" w:lineRule="auto"/>
        <w:ind w:firstLineChars="177" w:firstLine="425"/>
        <w:rPr>
          <w:rFonts w:eastAsiaTheme="minorEastAsia"/>
          <w:sz w:val="24"/>
        </w:rPr>
      </w:pPr>
      <w:r>
        <w:rPr>
          <w:rFonts w:eastAsiaTheme="minorEastAsia" w:hint="eastAsia"/>
          <w:sz w:val="24"/>
        </w:rPr>
        <w:lastRenderedPageBreak/>
        <w:t>联系电话：</w:t>
      </w:r>
      <w:r>
        <w:rPr>
          <w:rFonts w:eastAsiaTheme="minorEastAsia" w:hint="eastAsia"/>
          <w:sz w:val="24"/>
        </w:rPr>
        <w:t>010-59195174</w:t>
      </w:r>
    </w:p>
    <w:p w14:paraId="60A1F9C5" w14:textId="77777777" w:rsidR="006D73E5" w:rsidRDefault="00000000">
      <w:pPr>
        <w:spacing w:line="360" w:lineRule="auto"/>
        <w:ind w:firstLineChars="177" w:firstLine="425"/>
        <w:rPr>
          <w:rFonts w:eastAsiaTheme="minorEastAsia"/>
          <w:sz w:val="24"/>
        </w:rPr>
      </w:pPr>
      <w:r>
        <w:rPr>
          <w:rFonts w:eastAsiaTheme="minorEastAsia" w:hint="eastAsia"/>
          <w:sz w:val="24"/>
        </w:rPr>
        <w:t>汇款信息如下：</w:t>
      </w:r>
    </w:p>
    <w:p w14:paraId="40F7F719" w14:textId="77777777" w:rsidR="006D73E5" w:rsidRDefault="00000000">
      <w:pPr>
        <w:spacing w:line="360" w:lineRule="auto"/>
        <w:ind w:firstLineChars="177" w:firstLine="425"/>
        <w:rPr>
          <w:rFonts w:eastAsiaTheme="minorEastAsia"/>
          <w:sz w:val="24"/>
        </w:rPr>
      </w:pPr>
      <w:r>
        <w:rPr>
          <w:rFonts w:eastAsiaTheme="minorEastAsia" w:hint="eastAsia"/>
          <w:sz w:val="24"/>
        </w:rPr>
        <w:t>户名：中国水产学会</w:t>
      </w:r>
    </w:p>
    <w:p w14:paraId="03CF4F94" w14:textId="77777777" w:rsidR="006D73E5" w:rsidRDefault="00000000">
      <w:pPr>
        <w:spacing w:line="360" w:lineRule="auto"/>
        <w:ind w:firstLineChars="177" w:firstLine="425"/>
        <w:rPr>
          <w:rFonts w:eastAsiaTheme="minorEastAsia"/>
          <w:sz w:val="24"/>
        </w:rPr>
      </w:pPr>
      <w:r>
        <w:rPr>
          <w:rFonts w:eastAsiaTheme="minorEastAsia" w:hint="eastAsia"/>
          <w:sz w:val="24"/>
        </w:rPr>
        <w:t>开户银行：农行北京分行朝阳路北支行</w:t>
      </w:r>
    </w:p>
    <w:p w14:paraId="432C9DE8" w14:textId="77777777" w:rsidR="006D73E5" w:rsidRDefault="00000000">
      <w:pPr>
        <w:spacing w:line="360" w:lineRule="auto"/>
        <w:ind w:firstLineChars="177" w:firstLine="425"/>
        <w:rPr>
          <w:rFonts w:eastAsiaTheme="minorEastAsia"/>
          <w:sz w:val="24"/>
        </w:rPr>
      </w:pPr>
      <w:r>
        <w:rPr>
          <w:rFonts w:eastAsiaTheme="minorEastAsia" w:hint="eastAsia"/>
          <w:sz w:val="24"/>
        </w:rPr>
        <w:t>账号：</w:t>
      </w:r>
      <w:r>
        <w:rPr>
          <w:rFonts w:eastAsiaTheme="minorEastAsia" w:hint="eastAsia"/>
          <w:sz w:val="24"/>
        </w:rPr>
        <w:t>11-040101040004887</w:t>
      </w:r>
    </w:p>
    <w:p w14:paraId="21B2AF84" w14:textId="77777777" w:rsidR="006D73E5" w:rsidRDefault="00000000">
      <w:pPr>
        <w:spacing w:line="360" w:lineRule="auto"/>
        <w:ind w:firstLineChars="177" w:firstLine="425"/>
        <w:rPr>
          <w:rFonts w:eastAsiaTheme="minorEastAsia"/>
          <w:sz w:val="24"/>
        </w:rPr>
      </w:pPr>
      <w:r>
        <w:rPr>
          <w:rFonts w:eastAsiaTheme="minorEastAsia" w:hint="eastAsia"/>
          <w:sz w:val="24"/>
        </w:rPr>
        <w:t>请在汇款单上备注：渔药年会，姓名电话</w:t>
      </w:r>
    </w:p>
    <w:p w14:paraId="5F041373" w14:textId="77777777" w:rsidR="006D73E5" w:rsidRDefault="00000000">
      <w:pPr>
        <w:spacing w:line="360" w:lineRule="auto"/>
        <w:ind w:firstLineChars="177" w:firstLine="425"/>
        <w:rPr>
          <w:rFonts w:eastAsiaTheme="minorEastAsia"/>
          <w:sz w:val="24"/>
        </w:rPr>
      </w:pPr>
      <w:r>
        <w:rPr>
          <w:rFonts w:eastAsiaTheme="minorEastAsia" w:hint="eastAsia"/>
          <w:sz w:val="24"/>
        </w:rPr>
        <w:t>3</w:t>
      </w:r>
      <w:r>
        <w:rPr>
          <w:rFonts w:eastAsiaTheme="minorEastAsia" w:hint="eastAsia"/>
          <w:sz w:val="24"/>
        </w:rPr>
        <w:t>、防疫要求</w:t>
      </w:r>
    </w:p>
    <w:p w14:paraId="3A6AFAF8" w14:textId="77777777" w:rsidR="006D73E5" w:rsidRDefault="00000000">
      <w:pPr>
        <w:spacing w:line="360" w:lineRule="auto"/>
        <w:ind w:firstLineChars="177" w:firstLine="425"/>
        <w:rPr>
          <w:rFonts w:eastAsiaTheme="minorEastAsia"/>
          <w:sz w:val="24"/>
        </w:rPr>
      </w:pPr>
      <w:r>
        <w:rPr>
          <w:rFonts w:eastAsiaTheme="minorEastAsia" w:hint="eastAsia"/>
          <w:sz w:val="24"/>
        </w:rPr>
        <w:t>（一）参会代表在报到时，需用手机查验</w:t>
      </w:r>
      <w:r>
        <w:rPr>
          <w:rFonts w:eastAsiaTheme="minorEastAsia" w:hint="eastAsia"/>
          <w:sz w:val="24"/>
        </w:rPr>
        <w:t>48</w:t>
      </w:r>
      <w:r>
        <w:rPr>
          <w:rFonts w:eastAsiaTheme="minorEastAsia" w:hint="eastAsia"/>
          <w:sz w:val="24"/>
        </w:rPr>
        <w:t>小时内的核酸阴性证明、“健康码”“通信大数据行程卡”绿码，且</w:t>
      </w:r>
      <w:r>
        <w:rPr>
          <w:rFonts w:eastAsiaTheme="minorEastAsia" w:hint="eastAsia"/>
          <w:sz w:val="24"/>
        </w:rPr>
        <w:t>14</w:t>
      </w:r>
      <w:r>
        <w:rPr>
          <w:rFonts w:eastAsiaTheme="minorEastAsia" w:hint="eastAsia"/>
          <w:sz w:val="24"/>
        </w:rPr>
        <w:t>天内无中高风险等疫情重点地区旅居史和接触史。</w:t>
      </w:r>
    </w:p>
    <w:p w14:paraId="352ACDEB" w14:textId="77777777" w:rsidR="006D73E5" w:rsidRDefault="00000000">
      <w:pPr>
        <w:spacing w:line="360" w:lineRule="auto"/>
        <w:ind w:firstLineChars="177" w:firstLine="425"/>
        <w:rPr>
          <w:rFonts w:eastAsiaTheme="minorEastAsia"/>
          <w:sz w:val="24"/>
        </w:rPr>
      </w:pPr>
      <w:r>
        <w:rPr>
          <w:rFonts w:eastAsiaTheme="minorEastAsia" w:hint="eastAsia"/>
          <w:sz w:val="24"/>
        </w:rPr>
        <w:t>（二）参会代表需严格遵守湖北省武汉市和本人所在地关于防疫工作的有关规定。</w:t>
      </w:r>
    </w:p>
    <w:p w14:paraId="462A7155" w14:textId="77777777" w:rsidR="006D73E5" w:rsidRDefault="00000000">
      <w:pPr>
        <w:spacing w:line="360" w:lineRule="auto"/>
        <w:ind w:firstLineChars="177" w:firstLine="425"/>
        <w:rPr>
          <w:rFonts w:eastAsiaTheme="minorEastAsia"/>
          <w:sz w:val="24"/>
        </w:rPr>
      </w:pPr>
      <w:r>
        <w:rPr>
          <w:rFonts w:eastAsiaTheme="minorEastAsia" w:hint="eastAsia"/>
          <w:sz w:val="24"/>
        </w:rPr>
        <w:t>（三）参会代表在报到和进入会场时，需配合会场工作人员进行测量体温。</w:t>
      </w:r>
    </w:p>
    <w:p w14:paraId="654AB639" w14:textId="77777777" w:rsidR="006D73E5" w:rsidRDefault="00000000">
      <w:pPr>
        <w:spacing w:line="360" w:lineRule="auto"/>
        <w:ind w:firstLineChars="177" w:firstLine="425"/>
        <w:rPr>
          <w:rFonts w:eastAsiaTheme="minorEastAsia"/>
          <w:sz w:val="24"/>
        </w:rPr>
      </w:pPr>
      <w:r>
        <w:rPr>
          <w:rFonts w:eastAsiaTheme="minorEastAsia" w:hint="eastAsia"/>
          <w:sz w:val="24"/>
        </w:rPr>
        <w:t>（四）参会代表在会场开会、乘坐电梯、餐厅取餐等环节，需佩戴口罩，并保持适当社交距离，避免拥挤。</w:t>
      </w:r>
    </w:p>
    <w:p w14:paraId="7E3D9B92" w14:textId="77777777" w:rsidR="006D73E5" w:rsidRDefault="00000000">
      <w:pPr>
        <w:spacing w:line="360" w:lineRule="auto"/>
        <w:ind w:firstLineChars="177" w:firstLine="425"/>
        <w:rPr>
          <w:rFonts w:eastAsiaTheme="minorEastAsia"/>
          <w:sz w:val="24"/>
        </w:rPr>
      </w:pPr>
      <w:r>
        <w:rPr>
          <w:rFonts w:eastAsiaTheme="minorEastAsia" w:hint="eastAsia"/>
          <w:sz w:val="24"/>
        </w:rPr>
        <w:t>4</w:t>
      </w:r>
      <w:r>
        <w:rPr>
          <w:rFonts w:eastAsiaTheme="minorEastAsia" w:hint="eastAsia"/>
          <w:sz w:val="24"/>
        </w:rPr>
        <w:t>、联系方式</w:t>
      </w:r>
    </w:p>
    <w:p w14:paraId="1C861B57" w14:textId="77777777" w:rsidR="006D73E5" w:rsidRDefault="00000000">
      <w:pPr>
        <w:spacing w:line="360" w:lineRule="auto"/>
        <w:ind w:firstLineChars="177" w:firstLine="425"/>
        <w:rPr>
          <w:rFonts w:eastAsiaTheme="minorEastAsia"/>
          <w:sz w:val="24"/>
        </w:rPr>
      </w:pPr>
      <w:r>
        <w:rPr>
          <w:rFonts w:eastAsiaTheme="minorEastAsia" w:hint="eastAsia"/>
          <w:sz w:val="24"/>
        </w:rPr>
        <w:t>（一）中国水产学会渔药专业委员会秘书处</w:t>
      </w:r>
    </w:p>
    <w:p w14:paraId="5FD39047" w14:textId="77777777" w:rsidR="006D73E5" w:rsidRDefault="00000000">
      <w:pPr>
        <w:spacing w:line="360" w:lineRule="auto"/>
        <w:ind w:firstLineChars="177" w:firstLine="425"/>
        <w:rPr>
          <w:rFonts w:eastAsiaTheme="minorEastAsia"/>
          <w:sz w:val="24"/>
        </w:rPr>
      </w:pPr>
      <w:r>
        <w:rPr>
          <w:rFonts w:eastAsiaTheme="minorEastAsia" w:hint="eastAsia"/>
          <w:sz w:val="24"/>
        </w:rPr>
        <w:t>联系人：李阳</w:t>
      </w:r>
    </w:p>
    <w:p w14:paraId="5252CC0F" w14:textId="77777777" w:rsidR="006D73E5" w:rsidRDefault="00000000">
      <w:pPr>
        <w:spacing w:line="360" w:lineRule="auto"/>
        <w:ind w:firstLineChars="177" w:firstLine="425"/>
        <w:rPr>
          <w:rFonts w:eastAsiaTheme="minorEastAsia"/>
          <w:sz w:val="24"/>
        </w:rPr>
      </w:pPr>
      <w:r>
        <w:rPr>
          <w:rFonts w:eastAsiaTheme="minorEastAsia" w:hint="eastAsia"/>
          <w:sz w:val="24"/>
        </w:rPr>
        <w:t>联系电话：</w:t>
      </w:r>
      <w:r>
        <w:rPr>
          <w:rFonts w:eastAsiaTheme="minorEastAsia" w:hint="eastAsia"/>
          <w:sz w:val="24"/>
        </w:rPr>
        <w:t>010-59195495/13683624745</w:t>
      </w:r>
    </w:p>
    <w:p w14:paraId="4D6B343D" w14:textId="77777777" w:rsidR="006D73E5" w:rsidRDefault="00000000">
      <w:pPr>
        <w:spacing w:line="360" w:lineRule="auto"/>
        <w:ind w:firstLineChars="177" w:firstLine="425"/>
        <w:rPr>
          <w:rFonts w:eastAsiaTheme="minorEastAsia"/>
          <w:sz w:val="24"/>
        </w:rPr>
      </w:pPr>
      <w:r>
        <w:rPr>
          <w:rFonts w:eastAsiaTheme="minorEastAsia" w:hint="eastAsia"/>
          <w:sz w:val="24"/>
        </w:rPr>
        <w:t>（二）中国水产科学研究院长江水产研究所</w:t>
      </w:r>
    </w:p>
    <w:p w14:paraId="24BFEB5E" w14:textId="77777777" w:rsidR="006D73E5" w:rsidRDefault="00000000">
      <w:pPr>
        <w:spacing w:line="360" w:lineRule="auto"/>
        <w:ind w:firstLineChars="177" w:firstLine="425"/>
        <w:rPr>
          <w:rFonts w:eastAsiaTheme="minorEastAsia"/>
          <w:sz w:val="24"/>
        </w:rPr>
      </w:pPr>
      <w:r>
        <w:rPr>
          <w:rFonts w:eastAsiaTheme="minorEastAsia" w:hint="eastAsia"/>
          <w:sz w:val="24"/>
        </w:rPr>
        <w:t>联系人：邵今</w:t>
      </w:r>
    </w:p>
    <w:p w14:paraId="71B53B81" w14:textId="77777777" w:rsidR="006D73E5" w:rsidRDefault="00000000">
      <w:pPr>
        <w:spacing w:line="360" w:lineRule="auto"/>
        <w:ind w:firstLineChars="177" w:firstLine="425"/>
        <w:rPr>
          <w:rFonts w:eastAsiaTheme="minorEastAsia"/>
          <w:sz w:val="24"/>
        </w:rPr>
      </w:pPr>
      <w:r>
        <w:rPr>
          <w:rFonts w:eastAsiaTheme="minorEastAsia" w:hint="eastAsia"/>
          <w:sz w:val="24"/>
        </w:rPr>
        <w:t>联系电话：</w:t>
      </w:r>
      <w:r>
        <w:rPr>
          <w:rFonts w:eastAsiaTheme="minorEastAsia" w:hint="eastAsia"/>
          <w:sz w:val="24"/>
        </w:rPr>
        <w:t>13886569618</w:t>
      </w:r>
    </w:p>
    <w:p w14:paraId="50B8B335" w14:textId="77777777" w:rsidR="006D73E5" w:rsidRDefault="00000000">
      <w:pPr>
        <w:spacing w:line="360" w:lineRule="auto"/>
        <w:ind w:firstLineChars="177" w:firstLine="425"/>
        <w:rPr>
          <w:rFonts w:eastAsiaTheme="minorEastAsia"/>
          <w:sz w:val="24"/>
        </w:rPr>
      </w:pPr>
      <w:r>
        <w:rPr>
          <w:rFonts w:eastAsiaTheme="minorEastAsia" w:hint="eastAsia"/>
          <w:sz w:val="24"/>
        </w:rPr>
        <w:t>（三）会务统一邮箱</w:t>
      </w:r>
    </w:p>
    <w:p w14:paraId="58BFCF18" w14:textId="77777777" w:rsidR="006D73E5" w:rsidRDefault="00000000">
      <w:pPr>
        <w:spacing w:line="360" w:lineRule="auto"/>
        <w:ind w:firstLineChars="177" w:firstLine="425"/>
        <w:rPr>
          <w:rFonts w:eastAsiaTheme="minorEastAsia"/>
          <w:sz w:val="24"/>
        </w:rPr>
      </w:pPr>
      <w:hyperlink r:id="rId16" w:history="1">
        <w:r>
          <w:rPr>
            <w:rStyle w:val="af2"/>
            <w:rFonts w:eastAsiaTheme="minorEastAsia"/>
            <w:sz w:val="24"/>
          </w:rPr>
          <w:t>yyfh2021@163.com</w:t>
        </w:r>
        <w:r>
          <w:rPr>
            <w:rStyle w:val="af2"/>
            <w:rFonts w:eastAsiaTheme="minorEastAsia" w:hint="eastAsia"/>
            <w:sz w:val="24"/>
          </w:rPr>
          <w:t>。</w:t>
        </w:r>
      </w:hyperlink>
    </w:p>
    <w:p w14:paraId="5178B990" w14:textId="77777777" w:rsidR="006D73E5" w:rsidRDefault="00000000">
      <w:pPr>
        <w:spacing w:line="360" w:lineRule="auto"/>
        <w:ind w:firstLine="420"/>
        <w:jc w:val="right"/>
        <w:rPr>
          <w:rStyle w:val="vm"/>
          <w:rFonts w:eastAsiaTheme="minorEastAsia"/>
          <w:szCs w:val="21"/>
        </w:rPr>
      </w:pPr>
      <w:r>
        <w:rPr>
          <w:rStyle w:val="vm"/>
          <w:rFonts w:eastAsiaTheme="minorEastAsia" w:hint="eastAsia"/>
          <w:szCs w:val="21"/>
        </w:rPr>
        <w:t>转摘自中国水产学会网站</w:t>
      </w:r>
    </w:p>
    <w:p w14:paraId="1F73AE18" w14:textId="77777777" w:rsidR="006D73E5" w:rsidRPr="00971756" w:rsidRDefault="00000000">
      <w:pPr>
        <w:spacing w:line="276" w:lineRule="auto"/>
        <w:jc w:val="left"/>
        <w:outlineLvl w:val="0"/>
        <w:rPr>
          <w:rFonts w:eastAsia="黑体"/>
          <w:b/>
          <w:bCs/>
          <w:sz w:val="32"/>
          <w:szCs w:val="32"/>
          <w:bdr w:val="single" w:sz="4" w:space="0" w:color="auto"/>
        </w:rPr>
      </w:pPr>
      <w:bookmarkStart w:id="21" w:name="_Hlk113992521"/>
      <w:bookmarkStart w:id="22" w:name="_Toc114077815"/>
      <w:r w:rsidRPr="00971756">
        <w:rPr>
          <w:rFonts w:eastAsia="黑体"/>
          <w:b/>
          <w:bCs/>
          <w:sz w:val="32"/>
          <w:szCs w:val="32"/>
          <w:bdr w:val="single" w:sz="4" w:space="0" w:color="auto"/>
        </w:rPr>
        <w:t>经营管理</w:t>
      </w:r>
      <w:bookmarkEnd w:id="22"/>
    </w:p>
    <w:p w14:paraId="33EA8DF6" w14:textId="77777777" w:rsidR="006D73E5" w:rsidRDefault="00000000">
      <w:pPr>
        <w:spacing w:line="360" w:lineRule="auto"/>
        <w:jc w:val="center"/>
        <w:outlineLvl w:val="1"/>
        <w:rPr>
          <w:rFonts w:eastAsia="黑体"/>
          <w:b/>
          <w:bCs/>
          <w:sz w:val="32"/>
          <w:szCs w:val="32"/>
        </w:rPr>
      </w:pPr>
      <w:bookmarkStart w:id="23" w:name="_Toc114077816"/>
      <w:bookmarkEnd w:id="21"/>
      <w:r>
        <w:rPr>
          <w:rFonts w:eastAsia="黑体" w:hint="eastAsia"/>
          <w:b/>
          <w:bCs/>
          <w:sz w:val="32"/>
          <w:szCs w:val="32"/>
        </w:rPr>
        <w:t>管理者应该内部培养还是外部空降？</w:t>
      </w:r>
      <w:bookmarkEnd w:id="23"/>
    </w:p>
    <w:p w14:paraId="4854D588" w14:textId="77777777" w:rsidR="006D73E5" w:rsidRDefault="00000000">
      <w:pPr>
        <w:spacing w:line="360" w:lineRule="auto"/>
        <w:jc w:val="center"/>
        <w:rPr>
          <w:kern w:val="0"/>
          <w:szCs w:val="21"/>
        </w:rPr>
      </w:pPr>
      <w:r>
        <w:rPr>
          <w:rFonts w:hint="eastAsia"/>
          <w:kern w:val="0"/>
          <w:szCs w:val="21"/>
        </w:rPr>
        <w:t>陈春花</w:t>
      </w:r>
    </w:p>
    <w:p w14:paraId="7990A0F6" w14:textId="77777777" w:rsidR="006D73E5" w:rsidRDefault="00000000">
      <w:pPr>
        <w:spacing w:line="360" w:lineRule="auto"/>
        <w:ind w:firstLine="420"/>
        <w:rPr>
          <w:b/>
          <w:kern w:val="0"/>
          <w:sz w:val="24"/>
        </w:rPr>
      </w:pPr>
      <w:r>
        <w:rPr>
          <w:rFonts w:hint="eastAsia"/>
          <w:b/>
          <w:kern w:val="0"/>
          <w:sz w:val="24"/>
        </w:rPr>
        <w:t>1</w:t>
      </w:r>
      <w:r>
        <w:rPr>
          <w:b/>
          <w:kern w:val="0"/>
          <w:sz w:val="24"/>
        </w:rPr>
        <w:t>.</w:t>
      </w:r>
      <w:r>
        <w:rPr>
          <w:rFonts w:hint="eastAsia"/>
          <w:b/>
          <w:kern w:val="0"/>
          <w:sz w:val="24"/>
        </w:rPr>
        <w:t>何时选择“空降”？何时选择“内升”？</w:t>
      </w:r>
    </w:p>
    <w:p w14:paraId="3C7C0669" w14:textId="77777777" w:rsidR="006D73E5" w:rsidRDefault="00000000">
      <w:pPr>
        <w:spacing w:line="360" w:lineRule="auto"/>
        <w:ind w:firstLine="420"/>
        <w:rPr>
          <w:kern w:val="0"/>
          <w:sz w:val="24"/>
        </w:rPr>
      </w:pPr>
      <w:r>
        <w:rPr>
          <w:rFonts w:hint="eastAsia"/>
          <w:kern w:val="0"/>
          <w:sz w:val="24"/>
        </w:rPr>
        <w:t>很多中小型企业一直受困于人才，人才从何而来？靠内部培养是需要时间的，短期内会影响项目进展和效率；突击招人，又很难符合企业的现有文化，该如何去平衡？</w:t>
      </w:r>
    </w:p>
    <w:p w14:paraId="7D0ECC86" w14:textId="77777777" w:rsidR="006D73E5" w:rsidRDefault="00000000">
      <w:pPr>
        <w:spacing w:line="360" w:lineRule="auto"/>
        <w:ind w:firstLine="420"/>
        <w:rPr>
          <w:kern w:val="0"/>
          <w:sz w:val="24"/>
        </w:rPr>
      </w:pPr>
      <w:r>
        <w:rPr>
          <w:rFonts w:hint="eastAsia"/>
          <w:kern w:val="0"/>
          <w:sz w:val="24"/>
        </w:rPr>
        <w:lastRenderedPageBreak/>
        <w:t>首先我们需要了解的是，组织的发展不能完全依赖空降获得人才。一定要清楚地知道，组织中绝大部分人才是要靠自己培养的，只有少部分人才靠空降。</w:t>
      </w:r>
    </w:p>
    <w:p w14:paraId="3BC91D7A" w14:textId="77777777" w:rsidR="006D73E5" w:rsidRDefault="00000000">
      <w:pPr>
        <w:spacing w:line="360" w:lineRule="auto"/>
        <w:ind w:firstLine="420"/>
        <w:rPr>
          <w:kern w:val="0"/>
          <w:sz w:val="24"/>
        </w:rPr>
      </w:pPr>
      <w:r>
        <w:rPr>
          <w:rFonts w:hint="eastAsia"/>
          <w:kern w:val="0"/>
          <w:sz w:val="24"/>
        </w:rPr>
        <w:t>什么时候要靠空降？回答这个问题，需要分两种情况看：</w:t>
      </w:r>
    </w:p>
    <w:p w14:paraId="2D7CA145" w14:textId="77777777" w:rsidR="006D73E5" w:rsidRDefault="00000000">
      <w:pPr>
        <w:spacing w:line="360" w:lineRule="auto"/>
        <w:ind w:firstLine="420"/>
        <w:rPr>
          <w:kern w:val="0"/>
          <w:sz w:val="24"/>
        </w:rPr>
      </w:pPr>
      <w:r>
        <w:rPr>
          <w:rFonts w:hint="eastAsia"/>
          <w:kern w:val="0"/>
          <w:sz w:val="24"/>
        </w:rPr>
        <w:t>第一，如果是你的公司本来没有的能力，需要从外部获得这个新能力，那么从外部招人进来，相对来说在时间的效率上更高一些。</w:t>
      </w:r>
    </w:p>
    <w:p w14:paraId="2143A6A4" w14:textId="77777777" w:rsidR="006D73E5" w:rsidRDefault="00000000">
      <w:pPr>
        <w:spacing w:line="360" w:lineRule="auto"/>
        <w:ind w:firstLine="420"/>
        <w:rPr>
          <w:kern w:val="0"/>
          <w:sz w:val="24"/>
        </w:rPr>
      </w:pPr>
      <w:r>
        <w:rPr>
          <w:rFonts w:hint="eastAsia"/>
          <w:kern w:val="0"/>
          <w:sz w:val="24"/>
        </w:rPr>
        <w:t>此时空降的好处就体现出来：第一个好处是“掺沙子”，从外部空降来的人才可以带来一些完全不同的理念或方法；第二个好处是，投入一些企业内部长不出来的新能力。</w:t>
      </w:r>
    </w:p>
    <w:p w14:paraId="3B5C9B80" w14:textId="77777777" w:rsidR="006D73E5" w:rsidRDefault="00000000">
      <w:pPr>
        <w:spacing w:line="360" w:lineRule="auto"/>
        <w:ind w:firstLine="420"/>
        <w:rPr>
          <w:kern w:val="0"/>
          <w:sz w:val="24"/>
        </w:rPr>
      </w:pPr>
      <w:r>
        <w:rPr>
          <w:rFonts w:hint="eastAsia"/>
          <w:kern w:val="0"/>
          <w:sz w:val="24"/>
        </w:rPr>
        <w:t>第二，如果这个能力是公司本身就具有的，你从外面找人来，让他嫁接内部能力时，可能培养的时间会反而变长。</w:t>
      </w:r>
    </w:p>
    <w:p w14:paraId="6AC640A2" w14:textId="77777777" w:rsidR="006D73E5" w:rsidRDefault="00000000">
      <w:pPr>
        <w:spacing w:line="360" w:lineRule="auto"/>
        <w:ind w:firstLine="420"/>
        <w:rPr>
          <w:kern w:val="0"/>
          <w:sz w:val="24"/>
        </w:rPr>
      </w:pPr>
      <w:r>
        <w:rPr>
          <w:rFonts w:hint="eastAsia"/>
          <w:kern w:val="0"/>
          <w:sz w:val="24"/>
        </w:rPr>
        <w:t>这是实际调研的结果。因为也许他不愿意把自己的经验放掉，或者他不能够理解你的文化，这都导致企业需要耗费更多的时间来适应。</w:t>
      </w:r>
    </w:p>
    <w:p w14:paraId="52AA7D76" w14:textId="77777777" w:rsidR="006D73E5" w:rsidRDefault="00000000">
      <w:pPr>
        <w:spacing w:line="360" w:lineRule="auto"/>
        <w:ind w:firstLine="420"/>
        <w:rPr>
          <w:b/>
          <w:kern w:val="0"/>
          <w:sz w:val="24"/>
        </w:rPr>
      </w:pPr>
      <w:r>
        <w:rPr>
          <w:rFonts w:hint="eastAsia"/>
          <w:b/>
          <w:kern w:val="0"/>
          <w:sz w:val="24"/>
        </w:rPr>
        <w:t>2</w:t>
      </w:r>
      <w:r>
        <w:rPr>
          <w:b/>
          <w:kern w:val="0"/>
          <w:sz w:val="24"/>
        </w:rPr>
        <w:t>.</w:t>
      </w:r>
      <w:r>
        <w:rPr>
          <w:rFonts w:hint="eastAsia"/>
          <w:b/>
          <w:kern w:val="0"/>
          <w:sz w:val="24"/>
        </w:rPr>
        <w:t>培养人的三个阶段</w:t>
      </w:r>
    </w:p>
    <w:p w14:paraId="719C0662" w14:textId="77777777" w:rsidR="006D73E5" w:rsidRDefault="00000000">
      <w:pPr>
        <w:spacing w:line="360" w:lineRule="auto"/>
        <w:ind w:firstLine="420"/>
        <w:rPr>
          <w:kern w:val="0"/>
          <w:sz w:val="24"/>
        </w:rPr>
      </w:pPr>
      <w:r>
        <w:rPr>
          <w:rFonts w:hint="eastAsia"/>
          <w:kern w:val="0"/>
          <w:sz w:val="24"/>
        </w:rPr>
        <w:t>企业中个体的成长，一定要经历三个很重要的阶段：</w:t>
      </w:r>
    </w:p>
    <w:p w14:paraId="09ADDABC" w14:textId="77777777" w:rsidR="006D73E5" w:rsidRDefault="00000000">
      <w:pPr>
        <w:spacing w:line="360" w:lineRule="auto"/>
        <w:ind w:firstLine="420"/>
        <w:rPr>
          <w:kern w:val="0"/>
          <w:sz w:val="24"/>
        </w:rPr>
      </w:pPr>
      <w:r>
        <w:rPr>
          <w:rFonts w:hint="eastAsia"/>
          <w:kern w:val="0"/>
          <w:sz w:val="24"/>
        </w:rPr>
        <w:t>第一，文化价值观的认同。</w:t>
      </w:r>
    </w:p>
    <w:p w14:paraId="6DAD1EF5" w14:textId="77777777" w:rsidR="006D73E5" w:rsidRDefault="00000000">
      <w:pPr>
        <w:spacing w:line="360" w:lineRule="auto"/>
        <w:ind w:firstLine="420"/>
        <w:rPr>
          <w:kern w:val="0"/>
          <w:sz w:val="24"/>
        </w:rPr>
      </w:pPr>
      <w:r>
        <w:rPr>
          <w:rFonts w:hint="eastAsia"/>
          <w:kern w:val="0"/>
          <w:sz w:val="24"/>
        </w:rPr>
        <w:t>尤其是面对核心人才，领导者要能够沟通使命和价值观，而不仅仅是沟通工作内容。</w:t>
      </w:r>
    </w:p>
    <w:p w14:paraId="258993D8" w14:textId="77777777" w:rsidR="006D73E5" w:rsidRDefault="00000000">
      <w:pPr>
        <w:spacing w:line="360" w:lineRule="auto"/>
        <w:ind w:firstLine="420"/>
        <w:rPr>
          <w:kern w:val="0"/>
          <w:sz w:val="24"/>
        </w:rPr>
      </w:pPr>
      <w:r>
        <w:rPr>
          <w:rFonts w:hint="eastAsia"/>
          <w:kern w:val="0"/>
          <w:sz w:val="24"/>
        </w:rPr>
        <w:t>空降经理人，需要在价值观上认同：我曾经做了一段时间总裁，我之所以愿意空降到这个公司做总裁，是被这个公司的理念和价值观所吸引。公司的创始人有着非常明确的价值判断，而且很多价值取向，我非常认同。</w:t>
      </w:r>
    </w:p>
    <w:p w14:paraId="29F97C3E" w14:textId="77777777" w:rsidR="006D73E5" w:rsidRDefault="00000000">
      <w:pPr>
        <w:spacing w:line="360" w:lineRule="auto"/>
        <w:ind w:firstLine="420"/>
        <w:rPr>
          <w:kern w:val="0"/>
          <w:sz w:val="24"/>
        </w:rPr>
      </w:pPr>
      <w:r>
        <w:rPr>
          <w:rFonts w:hint="eastAsia"/>
          <w:kern w:val="0"/>
          <w:sz w:val="24"/>
        </w:rPr>
        <w:t>六和创始人有一句话我一直记在笔记本上，他说，“凡事往好处想，往好处做，必会得到好结果”。我后来自己去体验和践行这句话的时候，我发现真的是这样。任何事情往好处想，往好处做，一定会得到好的结果。</w:t>
      </w:r>
    </w:p>
    <w:p w14:paraId="632027E5" w14:textId="77777777" w:rsidR="006D73E5" w:rsidRDefault="00000000">
      <w:pPr>
        <w:spacing w:line="360" w:lineRule="auto"/>
        <w:ind w:firstLine="420"/>
        <w:rPr>
          <w:kern w:val="0"/>
          <w:sz w:val="24"/>
        </w:rPr>
      </w:pPr>
      <w:r>
        <w:rPr>
          <w:rFonts w:hint="eastAsia"/>
          <w:kern w:val="0"/>
          <w:sz w:val="24"/>
        </w:rPr>
        <w:t>第二，能力胜任岗位工作，这基于他对岗位的理解。</w:t>
      </w:r>
    </w:p>
    <w:p w14:paraId="63A76012" w14:textId="77777777" w:rsidR="006D73E5" w:rsidRDefault="00000000">
      <w:pPr>
        <w:spacing w:line="360" w:lineRule="auto"/>
        <w:ind w:firstLine="420"/>
        <w:rPr>
          <w:kern w:val="0"/>
          <w:sz w:val="24"/>
        </w:rPr>
      </w:pPr>
      <w:r>
        <w:rPr>
          <w:rFonts w:hint="eastAsia"/>
          <w:kern w:val="0"/>
          <w:sz w:val="24"/>
        </w:rPr>
        <w:t>第三，能够创造性地工作，能够被信任，我们才得以授权给他。</w:t>
      </w:r>
    </w:p>
    <w:p w14:paraId="271D7140" w14:textId="77777777" w:rsidR="006D73E5" w:rsidRDefault="00000000">
      <w:pPr>
        <w:spacing w:line="360" w:lineRule="auto"/>
        <w:ind w:firstLine="420"/>
        <w:rPr>
          <w:kern w:val="0"/>
          <w:sz w:val="24"/>
        </w:rPr>
      </w:pPr>
      <w:r>
        <w:rPr>
          <w:rFonts w:hint="eastAsia"/>
          <w:kern w:val="0"/>
          <w:sz w:val="24"/>
        </w:rPr>
        <w:t>这三个阶段是都需要花费时间的。如果你希望把培养的时间缩短，让他成长的速度变得更快，我的建议就是：</w:t>
      </w:r>
    </w:p>
    <w:p w14:paraId="2F8E6E81" w14:textId="77777777" w:rsidR="006D73E5" w:rsidRDefault="00000000">
      <w:pPr>
        <w:spacing w:line="360" w:lineRule="auto"/>
        <w:ind w:firstLine="420"/>
        <w:rPr>
          <w:kern w:val="0"/>
          <w:sz w:val="24"/>
        </w:rPr>
      </w:pPr>
      <w:r>
        <w:rPr>
          <w:rFonts w:hint="eastAsia"/>
          <w:kern w:val="0"/>
          <w:sz w:val="24"/>
        </w:rPr>
        <w:t>作为领导者本人投入的时间和精力要多一点，那么他成长所耗的时间就会少一点；你如果投入少，他自己摸索的时间就会比较长。</w:t>
      </w:r>
    </w:p>
    <w:p w14:paraId="063224EE" w14:textId="77777777" w:rsidR="006D73E5" w:rsidRDefault="00000000">
      <w:pPr>
        <w:spacing w:line="360" w:lineRule="auto"/>
        <w:ind w:firstLine="420"/>
        <w:rPr>
          <w:b/>
          <w:kern w:val="0"/>
          <w:sz w:val="24"/>
        </w:rPr>
      </w:pPr>
      <w:r>
        <w:rPr>
          <w:b/>
          <w:kern w:val="0"/>
          <w:sz w:val="24"/>
        </w:rPr>
        <w:t>3.</w:t>
      </w:r>
      <w:r>
        <w:rPr>
          <w:rFonts w:hint="eastAsia"/>
          <w:b/>
          <w:kern w:val="0"/>
          <w:sz w:val="24"/>
        </w:rPr>
        <w:t>如何避免空降带来的失控？</w:t>
      </w:r>
    </w:p>
    <w:p w14:paraId="4CBF7EAD" w14:textId="77777777" w:rsidR="006D73E5" w:rsidRDefault="00000000">
      <w:pPr>
        <w:spacing w:line="360" w:lineRule="auto"/>
        <w:ind w:firstLine="420"/>
        <w:rPr>
          <w:kern w:val="0"/>
          <w:sz w:val="24"/>
        </w:rPr>
      </w:pPr>
      <w:r>
        <w:rPr>
          <w:rFonts w:hint="eastAsia"/>
          <w:kern w:val="0"/>
          <w:sz w:val="24"/>
        </w:rPr>
        <w:t>空降经理人来了后，很多企业会遇到一个问题，就是把控不好，失去了原有的工作方法。</w:t>
      </w:r>
      <w:r>
        <w:rPr>
          <w:rFonts w:hint="eastAsia"/>
          <w:kern w:val="0"/>
          <w:sz w:val="24"/>
        </w:rPr>
        <w:lastRenderedPageBreak/>
        <w:t>这涉及到你应该如何用好空降经理人，核心是两件事（前提条件是价值观一致）：</w:t>
      </w:r>
    </w:p>
    <w:p w14:paraId="696B7FDF" w14:textId="77777777" w:rsidR="006D73E5" w:rsidRDefault="00000000">
      <w:pPr>
        <w:spacing w:line="360" w:lineRule="auto"/>
        <w:ind w:firstLine="420"/>
        <w:rPr>
          <w:kern w:val="0"/>
          <w:sz w:val="24"/>
        </w:rPr>
      </w:pPr>
      <w:r>
        <w:rPr>
          <w:rFonts w:hint="eastAsia"/>
          <w:kern w:val="0"/>
          <w:sz w:val="24"/>
        </w:rPr>
        <w:t>第一，让空降经理人能够获得绩效。</w:t>
      </w:r>
    </w:p>
    <w:p w14:paraId="5C1583B9" w14:textId="77777777" w:rsidR="006D73E5" w:rsidRDefault="00000000">
      <w:pPr>
        <w:spacing w:line="360" w:lineRule="auto"/>
        <w:ind w:firstLine="420"/>
        <w:rPr>
          <w:kern w:val="0"/>
          <w:sz w:val="24"/>
        </w:rPr>
      </w:pPr>
      <w:r>
        <w:rPr>
          <w:rFonts w:hint="eastAsia"/>
          <w:kern w:val="0"/>
          <w:sz w:val="24"/>
        </w:rPr>
        <w:t>这是空降最重要的部分。很多时候企业到一定程度，领导者要非常清晰这一点，才能够帮助空降经理人与组织共同成功。</w:t>
      </w:r>
    </w:p>
    <w:p w14:paraId="406B37C2" w14:textId="77777777" w:rsidR="006D73E5" w:rsidRDefault="00000000">
      <w:pPr>
        <w:spacing w:line="360" w:lineRule="auto"/>
        <w:ind w:firstLine="420"/>
        <w:rPr>
          <w:kern w:val="0"/>
          <w:sz w:val="24"/>
        </w:rPr>
      </w:pPr>
      <w:r>
        <w:rPr>
          <w:rFonts w:hint="eastAsia"/>
          <w:kern w:val="0"/>
          <w:sz w:val="24"/>
        </w:rPr>
        <w:t>建立快速的信任机制，让空降经理人能够较快地获得绩效检验或者成果检验。当他把市场和增量做出来的时候，因为大家看到了他的成功，他也就比较容易和公司内部达成一致。同时，这也给了他时间理解公司。</w:t>
      </w:r>
    </w:p>
    <w:p w14:paraId="6C46E85D" w14:textId="77777777" w:rsidR="006D73E5" w:rsidRDefault="00000000">
      <w:pPr>
        <w:spacing w:line="360" w:lineRule="auto"/>
        <w:ind w:firstLine="420"/>
        <w:rPr>
          <w:kern w:val="0"/>
          <w:sz w:val="24"/>
        </w:rPr>
      </w:pPr>
      <w:r>
        <w:rPr>
          <w:rFonts w:hint="eastAsia"/>
          <w:kern w:val="0"/>
          <w:sz w:val="24"/>
        </w:rPr>
        <w:t>第二，形成共同的工作方法。</w:t>
      </w:r>
    </w:p>
    <w:p w14:paraId="774D1E49" w14:textId="77777777" w:rsidR="006D73E5" w:rsidRDefault="00000000">
      <w:pPr>
        <w:spacing w:line="360" w:lineRule="auto"/>
        <w:ind w:firstLine="420"/>
        <w:rPr>
          <w:kern w:val="0"/>
          <w:sz w:val="24"/>
        </w:rPr>
      </w:pPr>
      <w:r>
        <w:rPr>
          <w:rFonts w:hint="eastAsia"/>
          <w:kern w:val="0"/>
          <w:sz w:val="24"/>
        </w:rPr>
        <w:t>当他空降来的时候，无论他说他的对还是你的对，你要坚持两个东西：</w:t>
      </w:r>
    </w:p>
    <w:p w14:paraId="648FC2F0" w14:textId="77777777" w:rsidR="006D73E5" w:rsidRDefault="00000000">
      <w:pPr>
        <w:spacing w:line="360" w:lineRule="auto"/>
        <w:ind w:firstLine="420"/>
        <w:rPr>
          <w:kern w:val="0"/>
          <w:sz w:val="24"/>
        </w:rPr>
      </w:pPr>
      <w:r>
        <w:rPr>
          <w:rFonts w:hint="eastAsia"/>
          <w:kern w:val="0"/>
          <w:sz w:val="24"/>
        </w:rPr>
        <w:t xml:space="preserve">1. </w:t>
      </w:r>
      <w:r>
        <w:rPr>
          <w:rFonts w:hint="eastAsia"/>
          <w:kern w:val="0"/>
          <w:sz w:val="24"/>
        </w:rPr>
        <w:t>帮助空降经理人掌握公司的工作方法。你已经知道公司哪些方法有效，就先保护住它，告诉对方这是你坚持的。</w:t>
      </w:r>
    </w:p>
    <w:p w14:paraId="7A366B18" w14:textId="77777777" w:rsidR="006D73E5" w:rsidRDefault="00000000">
      <w:pPr>
        <w:spacing w:line="360" w:lineRule="auto"/>
        <w:ind w:firstLine="420"/>
        <w:rPr>
          <w:kern w:val="0"/>
          <w:sz w:val="24"/>
        </w:rPr>
      </w:pPr>
      <w:r>
        <w:rPr>
          <w:rFonts w:hint="eastAsia"/>
          <w:kern w:val="0"/>
          <w:sz w:val="24"/>
        </w:rPr>
        <w:t>这就是为什么我要求企业做知识管理。你一定要知道哪些是你坚持的，并让全员都理解清楚。有效的知识管理，一定要认真地把获取知识、运用知识设计好，这样才会让整个公司在知识上有共同工作方法。</w:t>
      </w:r>
    </w:p>
    <w:p w14:paraId="14B765DE" w14:textId="77777777" w:rsidR="006D73E5" w:rsidRDefault="00000000">
      <w:pPr>
        <w:spacing w:line="360" w:lineRule="auto"/>
        <w:ind w:firstLine="420"/>
        <w:rPr>
          <w:kern w:val="0"/>
          <w:sz w:val="24"/>
        </w:rPr>
      </w:pPr>
      <w:r>
        <w:rPr>
          <w:rFonts w:hint="eastAsia"/>
          <w:kern w:val="0"/>
          <w:sz w:val="24"/>
        </w:rPr>
        <w:t xml:space="preserve">2. </w:t>
      </w:r>
      <w:r>
        <w:rPr>
          <w:rFonts w:hint="eastAsia"/>
          <w:kern w:val="0"/>
          <w:sz w:val="24"/>
        </w:rPr>
        <w:t>你们两个要形成共同的工作方法。无论他动用任何新方法，你都应该先和他达成共识，共同工作，得出共同的工作方法。</w:t>
      </w:r>
    </w:p>
    <w:p w14:paraId="5ACBA9B9" w14:textId="77777777" w:rsidR="006D73E5" w:rsidRDefault="00000000">
      <w:pPr>
        <w:spacing w:line="360" w:lineRule="auto"/>
        <w:ind w:firstLine="420"/>
        <w:rPr>
          <w:kern w:val="0"/>
          <w:sz w:val="24"/>
        </w:rPr>
      </w:pPr>
      <w:r>
        <w:rPr>
          <w:rFonts w:hint="eastAsia"/>
          <w:kern w:val="0"/>
          <w:sz w:val="24"/>
        </w:rPr>
        <w:t>不要因为他空降来了，授权给他，领导者就退后。反而你授权之后，还要经常和他交流，听听他在做什么，谈谈你的想法。慢慢建立起信任之后，共同工作方法就会出来。</w:t>
      </w:r>
    </w:p>
    <w:p w14:paraId="523B0143" w14:textId="77777777" w:rsidR="006D73E5" w:rsidRDefault="00000000">
      <w:pPr>
        <w:spacing w:line="360" w:lineRule="auto"/>
        <w:ind w:firstLine="420"/>
        <w:jc w:val="right"/>
        <w:rPr>
          <w:rFonts w:eastAsiaTheme="minorEastAsia"/>
          <w:szCs w:val="21"/>
        </w:rPr>
      </w:pPr>
      <w:r>
        <w:rPr>
          <w:rFonts w:eastAsiaTheme="minorEastAsia" w:hint="eastAsia"/>
          <w:szCs w:val="21"/>
        </w:rPr>
        <w:t>转摘自春暖花开微信公众号</w:t>
      </w:r>
    </w:p>
    <w:p w14:paraId="3CAC4620" w14:textId="77777777" w:rsidR="006D73E5" w:rsidRPr="00971756" w:rsidRDefault="00000000">
      <w:pPr>
        <w:spacing w:line="276" w:lineRule="auto"/>
        <w:jc w:val="left"/>
        <w:outlineLvl w:val="0"/>
        <w:rPr>
          <w:rFonts w:eastAsia="黑体"/>
          <w:b/>
          <w:bCs/>
          <w:sz w:val="32"/>
          <w:szCs w:val="32"/>
          <w:bdr w:val="single" w:sz="4" w:space="0" w:color="auto"/>
        </w:rPr>
      </w:pPr>
      <w:bookmarkStart w:id="24" w:name="_Hlk113992544"/>
      <w:bookmarkStart w:id="25" w:name="_Toc114077817"/>
      <w:r w:rsidRPr="00971756">
        <w:rPr>
          <w:rFonts w:eastAsia="黑体" w:hint="eastAsia"/>
          <w:b/>
          <w:bCs/>
          <w:sz w:val="32"/>
          <w:szCs w:val="32"/>
          <w:bdr w:val="single" w:sz="4" w:space="0" w:color="auto"/>
        </w:rPr>
        <w:t>研究进展</w:t>
      </w:r>
      <w:bookmarkEnd w:id="25"/>
    </w:p>
    <w:p w14:paraId="380B0AD9" w14:textId="77777777" w:rsidR="006D73E5" w:rsidRDefault="00000000">
      <w:pPr>
        <w:jc w:val="center"/>
        <w:outlineLvl w:val="1"/>
        <w:rPr>
          <w:rFonts w:ascii="黑体" w:eastAsia="黑体" w:hAnsi="黑体"/>
          <w:b/>
          <w:bCs/>
          <w:sz w:val="32"/>
          <w:szCs w:val="32"/>
        </w:rPr>
      </w:pPr>
      <w:bookmarkStart w:id="26" w:name="_Toc114077818"/>
      <w:r>
        <w:rPr>
          <w:rFonts w:ascii="黑体" w:eastAsia="黑体" w:hAnsi="黑体"/>
          <w:b/>
          <w:bCs/>
          <w:sz w:val="32"/>
          <w:szCs w:val="32"/>
        </w:rPr>
        <w:t>大菱鲆和红鳍东方鲀脂肪酸转运蛋白的组织分布及营养调控</w:t>
      </w:r>
      <w:bookmarkEnd w:id="26"/>
    </w:p>
    <w:p w14:paraId="1AABFCC7" w14:textId="77777777" w:rsidR="006D73E5" w:rsidRDefault="00000000">
      <w:pPr>
        <w:jc w:val="center"/>
        <w:rPr>
          <w:szCs w:val="22"/>
        </w:rPr>
      </w:pPr>
      <w:r>
        <w:rPr>
          <w:szCs w:val="22"/>
        </w:rPr>
        <w:t>赵丽丽</w:t>
      </w:r>
      <w:r>
        <w:rPr>
          <w:szCs w:val="22"/>
          <w:vertAlign w:val="superscript"/>
        </w:rPr>
        <w:t>1</w:t>
      </w:r>
      <w:r>
        <w:rPr>
          <w:rFonts w:hint="eastAsia"/>
          <w:szCs w:val="22"/>
          <w:vertAlign w:val="superscript"/>
        </w:rPr>
        <w:t xml:space="preserve"> </w:t>
      </w:r>
      <w:r>
        <w:rPr>
          <w:szCs w:val="22"/>
          <w:vertAlign w:val="superscript"/>
        </w:rPr>
        <w:t>2</w:t>
      </w:r>
      <w:r>
        <w:rPr>
          <w:szCs w:val="22"/>
        </w:rPr>
        <w:t xml:space="preserve"> </w:t>
      </w:r>
      <w:r>
        <w:rPr>
          <w:szCs w:val="22"/>
        </w:rPr>
        <w:t>王迪欣</w:t>
      </w:r>
      <w:r>
        <w:rPr>
          <w:szCs w:val="22"/>
          <w:vertAlign w:val="superscript"/>
        </w:rPr>
        <w:t>2</w:t>
      </w:r>
      <w:r>
        <w:rPr>
          <w:szCs w:val="22"/>
        </w:rPr>
        <w:t xml:space="preserve"> </w:t>
      </w:r>
      <w:r>
        <w:rPr>
          <w:szCs w:val="22"/>
        </w:rPr>
        <w:t>廖章斌</w:t>
      </w:r>
      <w:r>
        <w:rPr>
          <w:szCs w:val="22"/>
          <w:vertAlign w:val="superscript"/>
        </w:rPr>
        <w:t>2</w:t>
      </w:r>
      <w:r>
        <w:rPr>
          <w:szCs w:val="22"/>
        </w:rPr>
        <w:t xml:space="preserve"> </w:t>
      </w:r>
      <w:r>
        <w:rPr>
          <w:szCs w:val="22"/>
        </w:rPr>
        <w:t>毕清竹</w:t>
      </w:r>
      <w:r>
        <w:rPr>
          <w:szCs w:val="22"/>
          <w:vertAlign w:val="superscript"/>
        </w:rPr>
        <w:t xml:space="preserve">2 </w:t>
      </w:r>
      <w:r>
        <w:rPr>
          <w:szCs w:val="22"/>
        </w:rPr>
        <w:t>马强</w:t>
      </w:r>
      <w:r>
        <w:rPr>
          <w:szCs w:val="22"/>
          <w:vertAlign w:val="superscript"/>
        </w:rPr>
        <w:t>2</w:t>
      </w:r>
      <w:r>
        <w:rPr>
          <w:szCs w:val="22"/>
        </w:rPr>
        <w:t xml:space="preserve"> </w:t>
      </w:r>
      <w:r>
        <w:rPr>
          <w:szCs w:val="22"/>
        </w:rPr>
        <w:t>卫育良</w:t>
      </w:r>
      <w:r>
        <w:rPr>
          <w:szCs w:val="22"/>
          <w:vertAlign w:val="superscript"/>
        </w:rPr>
        <w:t>2</w:t>
      </w:r>
      <w:r>
        <w:rPr>
          <w:szCs w:val="22"/>
        </w:rPr>
        <w:t xml:space="preserve"> </w:t>
      </w:r>
      <w:r>
        <w:rPr>
          <w:szCs w:val="22"/>
        </w:rPr>
        <w:t>梁萌青</w:t>
      </w:r>
      <w:r>
        <w:rPr>
          <w:szCs w:val="22"/>
          <w:vertAlign w:val="superscript"/>
        </w:rPr>
        <w:t>2</w:t>
      </w:r>
      <w:r>
        <w:rPr>
          <w:szCs w:val="22"/>
        </w:rPr>
        <w:t xml:space="preserve"> </w:t>
      </w:r>
      <w:r>
        <w:rPr>
          <w:szCs w:val="22"/>
        </w:rPr>
        <w:t>乔秀亭</w:t>
      </w:r>
      <w:r>
        <w:rPr>
          <w:szCs w:val="22"/>
          <w:vertAlign w:val="superscript"/>
        </w:rPr>
        <w:t>1</w:t>
      </w:r>
      <w:r>
        <w:rPr>
          <w:szCs w:val="22"/>
        </w:rPr>
        <w:t xml:space="preserve"> </w:t>
      </w:r>
      <w:r>
        <w:rPr>
          <w:szCs w:val="22"/>
        </w:rPr>
        <w:t>程镇燕</w:t>
      </w:r>
      <w:r>
        <w:rPr>
          <w:szCs w:val="22"/>
          <w:vertAlign w:val="superscript"/>
        </w:rPr>
        <w:t>1*</w:t>
      </w:r>
      <w:r>
        <w:rPr>
          <w:szCs w:val="22"/>
        </w:rPr>
        <w:t xml:space="preserve"> </w:t>
      </w:r>
      <w:r>
        <w:rPr>
          <w:szCs w:val="22"/>
        </w:rPr>
        <w:t>徐后国</w:t>
      </w:r>
      <w:r>
        <w:rPr>
          <w:szCs w:val="22"/>
          <w:vertAlign w:val="superscript"/>
        </w:rPr>
        <w:t>2*</w:t>
      </w:r>
    </w:p>
    <w:p w14:paraId="530D1EE1" w14:textId="77777777" w:rsidR="006D73E5" w:rsidRDefault="00000000">
      <w:pPr>
        <w:rPr>
          <w:szCs w:val="22"/>
        </w:rPr>
      </w:pPr>
      <w:r>
        <w:rPr>
          <w:rFonts w:hint="eastAsia"/>
          <w:szCs w:val="22"/>
        </w:rPr>
        <w:t>（</w:t>
      </w:r>
      <w:r>
        <w:rPr>
          <w:szCs w:val="22"/>
        </w:rPr>
        <w:t>1</w:t>
      </w:r>
      <w:r>
        <w:rPr>
          <w:szCs w:val="22"/>
        </w:rPr>
        <w:t>．天津农学院水产学院，天津</w:t>
      </w:r>
      <w:r>
        <w:rPr>
          <w:szCs w:val="22"/>
        </w:rPr>
        <w:t xml:space="preserve"> 300392; 2</w:t>
      </w:r>
      <w:r>
        <w:rPr>
          <w:szCs w:val="22"/>
        </w:rPr>
        <w:t>．中国水产科学研究院黄海水产研究所，青岛</w:t>
      </w:r>
      <w:r>
        <w:rPr>
          <w:szCs w:val="22"/>
        </w:rPr>
        <w:t xml:space="preserve"> 266071)</w:t>
      </w:r>
    </w:p>
    <w:p w14:paraId="39668D9B" w14:textId="77777777" w:rsidR="006D73E5" w:rsidRDefault="00000000">
      <w:pPr>
        <w:rPr>
          <w:szCs w:val="22"/>
        </w:rPr>
      </w:pPr>
      <w:r>
        <w:rPr>
          <w:b/>
          <w:bCs/>
          <w:szCs w:val="22"/>
        </w:rPr>
        <w:t>摘要</w:t>
      </w:r>
      <w:r>
        <w:rPr>
          <w:b/>
          <w:bCs/>
          <w:szCs w:val="22"/>
        </w:rPr>
        <w:t>:</w:t>
      </w:r>
      <w:r>
        <w:rPr>
          <w:szCs w:val="22"/>
        </w:rPr>
        <w:t>本研究对</w:t>
      </w:r>
      <w:r>
        <w:rPr>
          <w:szCs w:val="22"/>
        </w:rPr>
        <w:t>2</w:t>
      </w:r>
      <w:r>
        <w:rPr>
          <w:szCs w:val="22"/>
        </w:rPr>
        <w:t>种海洋硬骨鱼</w:t>
      </w:r>
      <w:r>
        <w:rPr>
          <w:szCs w:val="22"/>
        </w:rPr>
        <w:t>(</w:t>
      </w:r>
      <w:r>
        <w:rPr>
          <w:szCs w:val="22"/>
        </w:rPr>
        <w:t>大菱鲆和红鳍东方鲀</w:t>
      </w:r>
      <w:r>
        <w:rPr>
          <w:szCs w:val="22"/>
        </w:rPr>
        <w:t>)</w:t>
      </w:r>
      <w:r>
        <w:rPr>
          <w:szCs w:val="22"/>
        </w:rPr>
        <w:t>脂肪酸转运蛋白</w:t>
      </w:r>
      <w:r>
        <w:rPr>
          <w:szCs w:val="22"/>
        </w:rPr>
        <w:t>(FATP)</w:t>
      </w:r>
      <w:r>
        <w:rPr>
          <w:szCs w:val="22"/>
        </w:rPr>
        <w:t>亚型</w:t>
      </w:r>
      <w:r>
        <w:rPr>
          <w:szCs w:val="22"/>
        </w:rPr>
        <w:t>FATP1</w:t>
      </w:r>
      <w:r>
        <w:rPr>
          <w:szCs w:val="22"/>
        </w:rPr>
        <w:t>、</w:t>
      </w:r>
      <w:r>
        <w:rPr>
          <w:szCs w:val="22"/>
        </w:rPr>
        <w:t>FATP4</w:t>
      </w:r>
      <w:r>
        <w:rPr>
          <w:szCs w:val="22"/>
        </w:rPr>
        <w:t>和</w:t>
      </w:r>
      <w:r>
        <w:rPr>
          <w:szCs w:val="22"/>
        </w:rPr>
        <w:t>FATP6</w:t>
      </w:r>
      <w:r>
        <w:rPr>
          <w:szCs w:val="22"/>
        </w:rPr>
        <w:t>进行了序列分析，并对其在不同组织或不同营养状况下的基因表达特征进行了研究。在</w:t>
      </w:r>
      <w:r>
        <w:rPr>
          <w:szCs w:val="22"/>
        </w:rPr>
        <w:t xml:space="preserve">FATP </w:t>
      </w:r>
      <w:r>
        <w:rPr>
          <w:szCs w:val="22"/>
        </w:rPr>
        <w:t>表达的组织分布研究中，分别取大菱鲆和红鳍东方鲀的不同组织。在饲养试验中，分别饲喂大菱鲆和红鳍东方鲀幼鱼不同脂肪水平</w:t>
      </w:r>
      <w:r>
        <w:rPr>
          <w:szCs w:val="22"/>
        </w:rPr>
        <w:t>( 8%</w:t>
      </w:r>
      <w:r>
        <w:rPr>
          <w:szCs w:val="22"/>
        </w:rPr>
        <w:t>、</w:t>
      </w:r>
      <w:r>
        <w:rPr>
          <w:szCs w:val="22"/>
        </w:rPr>
        <w:t>12%</w:t>
      </w:r>
      <w:r>
        <w:rPr>
          <w:szCs w:val="22"/>
        </w:rPr>
        <w:t>和</w:t>
      </w:r>
      <w:r>
        <w:rPr>
          <w:szCs w:val="22"/>
        </w:rPr>
        <w:t xml:space="preserve"> 16%)</w:t>
      </w:r>
      <w:r>
        <w:rPr>
          <w:szCs w:val="22"/>
        </w:rPr>
        <w:t>的试验饲料，</w:t>
      </w:r>
      <w:r>
        <w:rPr>
          <w:szCs w:val="22"/>
        </w:rPr>
        <w:t xml:space="preserve"> </w:t>
      </w:r>
      <w:r>
        <w:rPr>
          <w:szCs w:val="22"/>
        </w:rPr>
        <w:t>进行</w:t>
      </w:r>
      <w:r>
        <w:rPr>
          <w:szCs w:val="22"/>
        </w:rPr>
        <w:t xml:space="preserve"> 9 </w:t>
      </w:r>
      <w:r>
        <w:rPr>
          <w:szCs w:val="22"/>
        </w:rPr>
        <w:t>周的饲养试验，然后进行饥饿试验</w:t>
      </w:r>
      <w:r>
        <w:rPr>
          <w:szCs w:val="22"/>
        </w:rPr>
        <w:t>(30 d)</w:t>
      </w:r>
      <w:r>
        <w:rPr>
          <w:szCs w:val="22"/>
        </w:rPr>
        <w:t>。采用实时荧光定量</w:t>
      </w:r>
      <w:r>
        <w:rPr>
          <w:szCs w:val="22"/>
        </w:rPr>
        <w:t xml:space="preserve"> PC</w:t>
      </w:r>
      <w:r>
        <w:rPr>
          <w:rFonts w:hint="eastAsia"/>
          <w:szCs w:val="22"/>
        </w:rPr>
        <w:t>R</w:t>
      </w:r>
      <w:r>
        <w:rPr>
          <w:szCs w:val="22"/>
        </w:rPr>
        <w:t>检测大菱鲆和红鳍东方鲀幼鱼不同组织中以及不同营养状态下</w:t>
      </w:r>
      <w:r>
        <w:rPr>
          <w:szCs w:val="22"/>
        </w:rPr>
        <w:t>FATP m</w:t>
      </w:r>
      <w:r>
        <w:rPr>
          <w:rFonts w:hint="eastAsia"/>
          <w:szCs w:val="22"/>
        </w:rPr>
        <w:t>R</w:t>
      </w:r>
      <w:r>
        <w:rPr>
          <w:szCs w:val="22"/>
        </w:rPr>
        <w:t xml:space="preserve">NA </w:t>
      </w:r>
      <w:r>
        <w:rPr>
          <w:szCs w:val="22"/>
        </w:rPr>
        <w:t>的相对表达量。结果表明</w:t>
      </w:r>
      <w:r>
        <w:rPr>
          <w:szCs w:val="22"/>
        </w:rPr>
        <w:t xml:space="preserve">: 1) </w:t>
      </w:r>
      <w:r>
        <w:rPr>
          <w:szCs w:val="22"/>
        </w:rPr>
        <w:t>大菱鲆和红鳍东方鲀</w:t>
      </w:r>
      <w:r>
        <w:rPr>
          <w:szCs w:val="22"/>
        </w:rPr>
        <w:t xml:space="preserve">FATP </w:t>
      </w:r>
      <w:r>
        <w:rPr>
          <w:szCs w:val="22"/>
        </w:rPr>
        <w:t>与其他鱼类和哺乳动物中的同源序列具有高度一致性，但</w:t>
      </w:r>
      <w:r>
        <w:rPr>
          <w:szCs w:val="22"/>
        </w:rPr>
        <w:t xml:space="preserve"> FATP6 </w:t>
      </w:r>
      <w:r>
        <w:rPr>
          <w:szCs w:val="22"/>
        </w:rPr>
        <w:t>与</w:t>
      </w:r>
      <w:r>
        <w:rPr>
          <w:szCs w:val="22"/>
        </w:rPr>
        <w:t>FATP1</w:t>
      </w:r>
      <w:r>
        <w:rPr>
          <w:szCs w:val="22"/>
        </w:rPr>
        <w:t>和</w:t>
      </w:r>
      <w:r>
        <w:rPr>
          <w:szCs w:val="22"/>
        </w:rPr>
        <w:t>FATP4</w:t>
      </w:r>
      <w:r>
        <w:rPr>
          <w:szCs w:val="22"/>
        </w:rPr>
        <w:t>的同源性较低。</w:t>
      </w:r>
      <w:r>
        <w:rPr>
          <w:szCs w:val="22"/>
        </w:rPr>
        <w:t xml:space="preserve">2) </w:t>
      </w:r>
      <w:r>
        <w:rPr>
          <w:szCs w:val="22"/>
        </w:rPr>
        <w:t>大菱鲆</w:t>
      </w:r>
      <w:r>
        <w:rPr>
          <w:szCs w:val="22"/>
        </w:rPr>
        <w:t xml:space="preserve"> FATP1</w:t>
      </w:r>
      <w:r>
        <w:rPr>
          <w:szCs w:val="22"/>
        </w:rPr>
        <w:t>在大脑、心脏、眼睛和肾脏中高表达，红鳍东方鲀</w:t>
      </w:r>
      <w:r>
        <w:rPr>
          <w:szCs w:val="22"/>
        </w:rPr>
        <w:t xml:space="preserve"> FATP1 </w:t>
      </w:r>
      <w:r>
        <w:rPr>
          <w:szCs w:val="22"/>
        </w:rPr>
        <w:t>在肝脏中高表达。大菱鲆和红鳍东方鲀</w:t>
      </w:r>
      <w:r>
        <w:rPr>
          <w:szCs w:val="22"/>
        </w:rPr>
        <w:t xml:space="preserve"> FATP4 </w:t>
      </w:r>
      <w:r>
        <w:rPr>
          <w:szCs w:val="22"/>
        </w:rPr>
        <w:t>在消化道中高表达。大菱鲆</w:t>
      </w:r>
      <w:r>
        <w:rPr>
          <w:szCs w:val="22"/>
        </w:rPr>
        <w:t xml:space="preserve"> FATP6 </w:t>
      </w:r>
      <w:r>
        <w:rPr>
          <w:szCs w:val="22"/>
        </w:rPr>
        <w:t>在幽门盲肠和前肠中高表达，而红鳍东方鲀</w:t>
      </w:r>
      <w:r>
        <w:rPr>
          <w:szCs w:val="22"/>
        </w:rPr>
        <w:t xml:space="preserve"> FATP6 </w:t>
      </w:r>
      <w:r>
        <w:rPr>
          <w:szCs w:val="22"/>
        </w:rPr>
        <w:t>仅在肝脏中高表达。</w:t>
      </w:r>
      <w:r>
        <w:rPr>
          <w:szCs w:val="22"/>
        </w:rPr>
        <w:t xml:space="preserve">3) </w:t>
      </w:r>
      <w:r>
        <w:rPr>
          <w:szCs w:val="22"/>
        </w:rPr>
        <w:t>饲料脂肪水平对大菱鲆和红鳍东方鲀的肝脏</w:t>
      </w:r>
      <w:r>
        <w:rPr>
          <w:szCs w:val="22"/>
        </w:rPr>
        <w:t>FATP1</w:t>
      </w:r>
      <w:r>
        <w:rPr>
          <w:szCs w:val="22"/>
        </w:rPr>
        <w:t>、</w:t>
      </w:r>
      <w:r>
        <w:rPr>
          <w:szCs w:val="22"/>
        </w:rPr>
        <w:t xml:space="preserve">FATP4 </w:t>
      </w:r>
      <w:r>
        <w:rPr>
          <w:szCs w:val="22"/>
        </w:rPr>
        <w:t>和</w:t>
      </w:r>
      <w:r>
        <w:rPr>
          <w:szCs w:val="22"/>
        </w:rPr>
        <w:t xml:space="preserve"> FATP6</w:t>
      </w:r>
      <w:r>
        <w:rPr>
          <w:szCs w:val="22"/>
        </w:rPr>
        <w:t>的</w:t>
      </w:r>
      <w:r>
        <w:rPr>
          <w:szCs w:val="22"/>
        </w:rPr>
        <w:t xml:space="preserve"> m</w:t>
      </w:r>
      <w:r>
        <w:rPr>
          <w:rFonts w:hint="eastAsia"/>
          <w:szCs w:val="22"/>
        </w:rPr>
        <w:t>R</w:t>
      </w:r>
      <w:r>
        <w:rPr>
          <w:szCs w:val="22"/>
        </w:rPr>
        <w:t xml:space="preserve">NA </w:t>
      </w:r>
      <w:r>
        <w:rPr>
          <w:szCs w:val="22"/>
        </w:rPr>
        <w:t>相对表达量无显著影响</w:t>
      </w:r>
      <w:r>
        <w:rPr>
          <w:szCs w:val="22"/>
        </w:rPr>
        <w:t>(</w:t>
      </w:r>
      <w:r>
        <w:rPr>
          <w:i/>
          <w:iCs/>
          <w:szCs w:val="22"/>
        </w:rPr>
        <w:t>P</w:t>
      </w:r>
      <w:r>
        <w:rPr>
          <w:szCs w:val="22"/>
        </w:rPr>
        <w:t>＞</w:t>
      </w:r>
      <w:r>
        <w:rPr>
          <w:szCs w:val="22"/>
        </w:rPr>
        <w:t>0</w:t>
      </w:r>
      <w:r>
        <w:rPr>
          <w:rFonts w:hint="eastAsia"/>
          <w:szCs w:val="22"/>
        </w:rPr>
        <w:t>.</w:t>
      </w:r>
      <w:r>
        <w:rPr>
          <w:szCs w:val="22"/>
        </w:rPr>
        <w:t>05)</w:t>
      </w:r>
      <w:r>
        <w:rPr>
          <w:szCs w:val="22"/>
        </w:rPr>
        <w:t>。</w:t>
      </w:r>
      <w:r>
        <w:rPr>
          <w:szCs w:val="22"/>
        </w:rPr>
        <w:lastRenderedPageBreak/>
        <w:t xml:space="preserve">4) </w:t>
      </w:r>
      <w:r>
        <w:rPr>
          <w:szCs w:val="22"/>
        </w:rPr>
        <w:t>大菱鲆第</w:t>
      </w:r>
      <w:r>
        <w:rPr>
          <w:szCs w:val="22"/>
        </w:rPr>
        <w:t xml:space="preserve"> 30 </w:t>
      </w:r>
      <w:r>
        <w:rPr>
          <w:szCs w:val="22"/>
        </w:rPr>
        <w:t>天的肝脏</w:t>
      </w:r>
      <w:r>
        <w:rPr>
          <w:szCs w:val="22"/>
        </w:rPr>
        <w:t xml:space="preserve"> FATP1</w:t>
      </w:r>
      <w:r>
        <w:rPr>
          <w:szCs w:val="22"/>
        </w:rPr>
        <w:t>的</w:t>
      </w:r>
      <w:r>
        <w:rPr>
          <w:szCs w:val="22"/>
        </w:rPr>
        <w:t xml:space="preserve"> m</w:t>
      </w:r>
      <w:r>
        <w:rPr>
          <w:rFonts w:hint="eastAsia"/>
          <w:szCs w:val="22"/>
        </w:rPr>
        <w:t>R</w:t>
      </w:r>
      <w:r>
        <w:rPr>
          <w:szCs w:val="22"/>
        </w:rPr>
        <w:t xml:space="preserve">NA </w:t>
      </w:r>
      <w:r>
        <w:rPr>
          <w:szCs w:val="22"/>
        </w:rPr>
        <w:t>相对表达量显著高于第</w:t>
      </w:r>
      <w:r>
        <w:rPr>
          <w:szCs w:val="22"/>
        </w:rPr>
        <w:t xml:space="preserve"> 0 </w:t>
      </w:r>
      <w:r>
        <w:rPr>
          <w:szCs w:val="22"/>
        </w:rPr>
        <w:t>天、第</w:t>
      </w:r>
      <w:r>
        <w:rPr>
          <w:szCs w:val="22"/>
        </w:rPr>
        <w:t xml:space="preserve"> 10 </w:t>
      </w:r>
      <w:r>
        <w:rPr>
          <w:szCs w:val="22"/>
        </w:rPr>
        <w:t>天和第</w:t>
      </w:r>
      <w:r>
        <w:rPr>
          <w:szCs w:val="22"/>
        </w:rPr>
        <w:t xml:space="preserve"> 20 </w:t>
      </w:r>
      <w:r>
        <w:rPr>
          <w:szCs w:val="22"/>
        </w:rPr>
        <w:t>天</w:t>
      </w:r>
      <w:r>
        <w:rPr>
          <w:szCs w:val="22"/>
        </w:rPr>
        <w:t>(</w:t>
      </w:r>
      <w:r>
        <w:rPr>
          <w:i/>
          <w:iCs/>
          <w:szCs w:val="22"/>
        </w:rPr>
        <w:t>P</w:t>
      </w:r>
      <w:r>
        <w:rPr>
          <w:szCs w:val="22"/>
        </w:rPr>
        <w:t>＜</w:t>
      </w:r>
      <w:r>
        <w:rPr>
          <w:szCs w:val="22"/>
        </w:rPr>
        <w:t>0</w:t>
      </w:r>
      <w:r>
        <w:rPr>
          <w:rFonts w:hint="eastAsia"/>
          <w:szCs w:val="22"/>
        </w:rPr>
        <w:t>.</w:t>
      </w:r>
      <w:r>
        <w:rPr>
          <w:szCs w:val="22"/>
        </w:rPr>
        <w:t>05)</w:t>
      </w:r>
      <w:r>
        <w:rPr>
          <w:szCs w:val="22"/>
        </w:rPr>
        <w:t>。红鳍东方鲀第</w:t>
      </w:r>
      <w:r>
        <w:rPr>
          <w:szCs w:val="22"/>
        </w:rPr>
        <w:t xml:space="preserve"> 16 </w:t>
      </w:r>
      <w:r>
        <w:rPr>
          <w:szCs w:val="22"/>
        </w:rPr>
        <w:t>天和第</w:t>
      </w:r>
      <w:r>
        <w:rPr>
          <w:szCs w:val="22"/>
        </w:rPr>
        <w:t xml:space="preserve"> 31 </w:t>
      </w:r>
      <w:r>
        <w:rPr>
          <w:szCs w:val="22"/>
        </w:rPr>
        <w:t>天的肝脏</w:t>
      </w:r>
      <w:r>
        <w:rPr>
          <w:szCs w:val="22"/>
        </w:rPr>
        <w:t xml:space="preserve"> FATP1 </w:t>
      </w:r>
      <w:r>
        <w:rPr>
          <w:szCs w:val="22"/>
        </w:rPr>
        <w:t>的</w:t>
      </w:r>
      <w:r>
        <w:rPr>
          <w:szCs w:val="22"/>
        </w:rPr>
        <w:t xml:space="preserve"> m</w:t>
      </w:r>
      <w:r>
        <w:rPr>
          <w:rFonts w:hint="eastAsia"/>
          <w:szCs w:val="22"/>
        </w:rPr>
        <w:t>R</w:t>
      </w:r>
      <w:r>
        <w:rPr>
          <w:szCs w:val="22"/>
        </w:rPr>
        <w:t xml:space="preserve">NA </w:t>
      </w:r>
      <w:r>
        <w:rPr>
          <w:szCs w:val="22"/>
        </w:rPr>
        <w:t>相对表达量显著高于第</w:t>
      </w:r>
      <w:r>
        <w:rPr>
          <w:szCs w:val="22"/>
        </w:rPr>
        <w:t xml:space="preserve"> 0 </w:t>
      </w:r>
      <w:r>
        <w:rPr>
          <w:szCs w:val="22"/>
        </w:rPr>
        <w:t>天、第</w:t>
      </w:r>
      <w:r>
        <w:rPr>
          <w:szCs w:val="22"/>
        </w:rPr>
        <w:t xml:space="preserve"> 1 </w:t>
      </w:r>
      <w:r>
        <w:rPr>
          <w:szCs w:val="22"/>
        </w:rPr>
        <w:t>天、第</w:t>
      </w:r>
      <w:r>
        <w:rPr>
          <w:szCs w:val="22"/>
        </w:rPr>
        <w:t xml:space="preserve"> 4 </w:t>
      </w:r>
      <w:r>
        <w:rPr>
          <w:szCs w:val="22"/>
        </w:rPr>
        <w:t>天和第</w:t>
      </w:r>
      <w:r>
        <w:rPr>
          <w:szCs w:val="22"/>
        </w:rPr>
        <w:t xml:space="preserve"> 9 </w:t>
      </w:r>
      <w:r>
        <w:rPr>
          <w:szCs w:val="22"/>
        </w:rPr>
        <w:t>天</w:t>
      </w:r>
      <w:r>
        <w:rPr>
          <w:szCs w:val="22"/>
        </w:rPr>
        <w:t>(</w:t>
      </w:r>
      <w:r>
        <w:rPr>
          <w:i/>
          <w:iCs/>
          <w:szCs w:val="22"/>
        </w:rPr>
        <w:t xml:space="preserve"> P</w:t>
      </w:r>
      <w:r>
        <w:rPr>
          <w:szCs w:val="22"/>
        </w:rPr>
        <w:t>＜</w:t>
      </w:r>
      <w:r>
        <w:rPr>
          <w:szCs w:val="22"/>
        </w:rPr>
        <w:t>0</w:t>
      </w:r>
      <w:r>
        <w:rPr>
          <w:rFonts w:hint="eastAsia"/>
          <w:szCs w:val="22"/>
        </w:rPr>
        <w:t>.</w:t>
      </w:r>
      <w:r>
        <w:rPr>
          <w:szCs w:val="22"/>
        </w:rPr>
        <w:t xml:space="preserve">05) </w:t>
      </w:r>
      <w:r>
        <w:rPr>
          <w:szCs w:val="22"/>
        </w:rPr>
        <w:t>，第</w:t>
      </w:r>
      <w:r>
        <w:rPr>
          <w:szCs w:val="22"/>
        </w:rPr>
        <w:t xml:space="preserve"> 9 </w:t>
      </w:r>
      <w:r>
        <w:rPr>
          <w:szCs w:val="22"/>
        </w:rPr>
        <w:t>天和第</w:t>
      </w:r>
      <w:r>
        <w:rPr>
          <w:szCs w:val="22"/>
        </w:rPr>
        <w:t xml:space="preserve"> 31 </w:t>
      </w:r>
      <w:r>
        <w:rPr>
          <w:szCs w:val="22"/>
        </w:rPr>
        <w:t>天的肝脏</w:t>
      </w:r>
      <w:r>
        <w:rPr>
          <w:szCs w:val="22"/>
        </w:rPr>
        <w:t xml:space="preserve"> FATP4 </w:t>
      </w:r>
      <w:r>
        <w:rPr>
          <w:szCs w:val="22"/>
        </w:rPr>
        <w:t>的</w:t>
      </w:r>
      <w:r>
        <w:rPr>
          <w:szCs w:val="22"/>
        </w:rPr>
        <w:t xml:space="preserve"> m</w:t>
      </w:r>
      <w:r>
        <w:rPr>
          <w:rFonts w:hint="eastAsia"/>
          <w:szCs w:val="22"/>
        </w:rPr>
        <w:t>R</w:t>
      </w:r>
      <w:r>
        <w:rPr>
          <w:szCs w:val="22"/>
        </w:rPr>
        <w:t xml:space="preserve">NA </w:t>
      </w:r>
      <w:r>
        <w:rPr>
          <w:szCs w:val="22"/>
        </w:rPr>
        <w:t>相对表达量显著高于第</w:t>
      </w:r>
      <w:r>
        <w:rPr>
          <w:szCs w:val="22"/>
        </w:rPr>
        <w:t xml:space="preserve"> 0 </w:t>
      </w:r>
      <w:r>
        <w:rPr>
          <w:szCs w:val="22"/>
        </w:rPr>
        <w:t>天、第</w:t>
      </w:r>
      <w:r>
        <w:rPr>
          <w:szCs w:val="22"/>
        </w:rPr>
        <w:t xml:space="preserve"> 1 </w:t>
      </w:r>
      <w:r>
        <w:rPr>
          <w:szCs w:val="22"/>
        </w:rPr>
        <w:t>天和第</w:t>
      </w:r>
      <w:r>
        <w:rPr>
          <w:szCs w:val="22"/>
        </w:rPr>
        <w:t xml:space="preserve"> 4 </w:t>
      </w:r>
      <w:r>
        <w:rPr>
          <w:szCs w:val="22"/>
        </w:rPr>
        <w:t>天</w:t>
      </w:r>
      <w:r>
        <w:rPr>
          <w:szCs w:val="22"/>
        </w:rPr>
        <w:t>(</w:t>
      </w:r>
      <w:r>
        <w:rPr>
          <w:i/>
          <w:iCs/>
          <w:szCs w:val="22"/>
        </w:rPr>
        <w:t>P</w:t>
      </w:r>
      <w:r>
        <w:rPr>
          <w:szCs w:val="22"/>
        </w:rPr>
        <w:t>＜</w:t>
      </w:r>
      <w:r>
        <w:rPr>
          <w:szCs w:val="22"/>
        </w:rPr>
        <w:t>0</w:t>
      </w:r>
      <w:r>
        <w:rPr>
          <w:rFonts w:hint="eastAsia"/>
          <w:szCs w:val="22"/>
        </w:rPr>
        <w:t>.</w:t>
      </w:r>
      <w:r>
        <w:rPr>
          <w:szCs w:val="22"/>
        </w:rPr>
        <w:t>05)</w:t>
      </w:r>
      <w:r>
        <w:rPr>
          <w:szCs w:val="22"/>
        </w:rPr>
        <w:t>，第</w:t>
      </w:r>
      <w:r>
        <w:rPr>
          <w:szCs w:val="22"/>
        </w:rPr>
        <w:t xml:space="preserve"> 16 </w:t>
      </w:r>
      <w:r>
        <w:rPr>
          <w:szCs w:val="22"/>
        </w:rPr>
        <w:t>天的肝脏</w:t>
      </w:r>
      <w:r>
        <w:rPr>
          <w:szCs w:val="22"/>
        </w:rPr>
        <w:t xml:space="preserve"> FATP6 </w:t>
      </w:r>
      <w:r>
        <w:rPr>
          <w:szCs w:val="22"/>
        </w:rPr>
        <w:t>的</w:t>
      </w:r>
      <w:r>
        <w:rPr>
          <w:szCs w:val="22"/>
        </w:rPr>
        <w:t xml:space="preserve"> m</w:t>
      </w:r>
      <w:r>
        <w:rPr>
          <w:rFonts w:hint="eastAsia"/>
          <w:szCs w:val="22"/>
        </w:rPr>
        <w:t>R</w:t>
      </w:r>
      <w:r>
        <w:rPr>
          <w:szCs w:val="22"/>
        </w:rPr>
        <w:t xml:space="preserve">NA </w:t>
      </w:r>
      <w:r>
        <w:rPr>
          <w:szCs w:val="22"/>
        </w:rPr>
        <w:t>相对表达量显著高于第</w:t>
      </w:r>
      <w:r>
        <w:rPr>
          <w:szCs w:val="22"/>
        </w:rPr>
        <w:t xml:space="preserve"> 0 </w:t>
      </w:r>
      <w:r>
        <w:rPr>
          <w:szCs w:val="22"/>
        </w:rPr>
        <w:t>天、第</w:t>
      </w:r>
      <w:r>
        <w:rPr>
          <w:szCs w:val="22"/>
        </w:rPr>
        <w:t xml:space="preserve"> 1 </w:t>
      </w:r>
      <w:r>
        <w:rPr>
          <w:szCs w:val="22"/>
        </w:rPr>
        <w:t>天、第</w:t>
      </w:r>
      <w:r>
        <w:rPr>
          <w:szCs w:val="22"/>
        </w:rPr>
        <w:t xml:space="preserve"> 4 </w:t>
      </w:r>
      <w:r>
        <w:rPr>
          <w:szCs w:val="22"/>
        </w:rPr>
        <w:t>天、第</w:t>
      </w:r>
      <w:r>
        <w:rPr>
          <w:szCs w:val="22"/>
        </w:rPr>
        <w:t xml:space="preserve"> 9 </w:t>
      </w:r>
      <w:r>
        <w:rPr>
          <w:szCs w:val="22"/>
        </w:rPr>
        <w:t>天和第</w:t>
      </w:r>
      <w:r>
        <w:rPr>
          <w:szCs w:val="22"/>
        </w:rPr>
        <w:t xml:space="preserve"> 31 </w:t>
      </w:r>
      <w:r>
        <w:rPr>
          <w:szCs w:val="22"/>
        </w:rPr>
        <w:t>天</w:t>
      </w:r>
      <w:r>
        <w:rPr>
          <w:szCs w:val="22"/>
        </w:rPr>
        <w:t xml:space="preserve">( </w:t>
      </w:r>
      <w:r>
        <w:rPr>
          <w:i/>
          <w:iCs/>
          <w:szCs w:val="22"/>
        </w:rPr>
        <w:t>P</w:t>
      </w:r>
      <w:r>
        <w:rPr>
          <w:szCs w:val="22"/>
        </w:rPr>
        <w:t>＜</w:t>
      </w:r>
      <w:r>
        <w:rPr>
          <w:szCs w:val="22"/>
        </w:rPr>
        <w:t>0</w:t>
      </w:r>
      <w:r>
        <w:rPr>
          <w:rFonts w:hint="eastAsia"/>
          <w:szCs w:val="22"/>
        </w:rPr>
        <w:t>.</w:t>
      </w:r>
      <w:r>
        <w:rPr>
          <w:szCs w:val="22"/>
        </w:rPr>
        <w:t>05)</w:t>
      </w:r>
      <w:r>
        <w:rPr>
          <w:szCs w:val="22"/>
        </w:rPr>
        <w:t>。由此可见，大菱鲆和红鳍东方鲀</w:t>
      </w:r>
      <w:r>
        <w:rPr>
          <w:szCs w:val="22"/>
        </w:rPr>
        <w:t xml:space="preserve"> FATP </w:t>
      </w:r>
      <w:r>
        <w:rPr>
          <w:szCs w:val="22"/>
        </w:rPr>
        <w:t>表达的组织分布模式不同，但</w:t>
      </w:r>
      <w:r>
        <w:rPr>
          <w:szCs w:val="22"/>
        </w:rPr>
        <w:t xml:space="preserve"> FATP </w:t>
      </w:r>
      <w:r>
        <w:rPr>
          <w:szCs w:val="22"/>
        </w:rPr>
        <w:t>表达对饲料脂肪水平和饥饿时间的响应相似。饲料脂肪水平对大菱鲆和红鳍东方鲀肝脏</w:t>
      </w:r>
      <w:r>
        <w:rPr>
          <w:szCs w:val="22"/>
        </w:rPr>
        <w:t xml:space="preserve"> FATP1</w:t>
      </w:r>
      <w:r>
        <w:rPr>
          <w:szCs w:val="22"/>
        </w:rPr>
        <w:t>、</w:t>
      </w:r>
      <w:r>
        <w:rPr>
          <w:szCs w:val="22"/>
        </w:rPr>
        <w:t xml:space="preserve">FATP4 </w:t>
      </w:r>
      <w:r>
        <w:rPr>
          <w:szCs w:val="22"/>
        </w:rPr>
        <w:t>和</w:t>
      </w:r>
      <w:r>
        <w:rPr>
          <w:szCs w:val="22"/>
        </w:rPr>
        <w:t xml:space="preserve"> FATP6 </w:t>
      </w:r>
      <w:r>
        <w:rPr>
          <w:szCs w:val="22"/>
        </w:rPr>
        <w:t>的表达均无显著影响，但饥饿可上调红鳍东方鲀肝脏</w:t>
      </w:r>
      <w:r>
        <w:rPr>
          <w:szCs w:val="22"/>
        </w:rPr>
        <w:t>FATP1</w:t>
      </w:r>
      <w:r>
        <w:rPr>
          <w:szCs w:val="22"/>
        </w:rPr>
        <w:t>、</w:t>
      </w:r>
      <w:r>
        <w:rPr>
          <w:szCs w:val="22"/>
        </w:rPr>
        <w:t xml:space="preserve">FATP4 </w:t>
      </w:r>
      <w:r>
        <w:rPr>
          <w:szCs w:val="22"/>
        </w:rPr>
        <w:t>和</w:t>
      </w:r>
      <w:r>
        <w:rPr>
          <w:szCs w:val="22"/>
        </w:rPr>
        <w:t xml:space="preserve"> FATP6 </w:t>
      </w:r>
      <w:r>
        <w:rPr>
          <w:szCs w:val="22"/>
        </w:rPr>
        <w:t>以及大菱鲆肝脏</w:t>
      </w:r>
      <w:r>
        <w:rPr>
          <w:szCs w:val="22"/>
        </w:rPr>
        <w:t>FATP1</w:t>
      </w:r>
      <w:r>
        <w:rPr>
          <w:szCs w:val="22"/>
        </w:rPr>
        <w:t>的表达。</w:t>
      </w:r>
    </w:p>
    <w:p w14:paraId="2E53546B" w14:textId="77777777" w:rsidR="006D73E5" w:rsidRDefault="00000000">
      <w:pPr>
        <w:rPr>
          <w:szCs w:val="22"/>
        </w:rPr>
      </w:pPr>
      <w:r>
        <w:rPr>
          <w:b/>
          <w:bCs/>
          <w:szCs w:val="22"/>
        </w:rPr>
        <w:t>关键词</w:t>
      </w:r>
      <w:r>
        <w:rPr>
          <w:b/>
          <w:bCs/>
          <w:szCs w:val="22"/>
        </w:rPr>
        <w:t xml:space="preserve">: </w:t>
      </w:r>
      <w:r>
        <w:rPr>
          <w:szCs w:val="22"/>
        </w:rPr>
        <w:t>大菱鲆</w:t>
      </w:r>
      <w:r>
        <w:rPr>
          <w:szCs w:val="22"/>
        </w:rPr>
        <w:t xml:space="preserve">; </w:t>
      </w:r>
      <w:r>
        <w:rPr>
          <w:szCs w:val="22"/>
        </w:rPr>
        <w:t>红鳍东方鲀</w:t>
      </w:r>
      <w:r>
        <w:rPr>
          <w:szCs w:val="22"/>
        </w:rPr>
        <w:t xml:space="preserve">; </w:t>
      </w:r>
      <w:r>
        <w:rPr>
          <w:szCs w:val="22"/>
        </w:rPr>
        <w:t>基因表达</w:t>
      </w:r>
      <w:r>
        <w:rPr>
          <w:szCs w:val="22"/>
        </w:rPr>
        <w:t xml:space="preserve">; </w:t>
      </w:r>
      <w:r>
        <w:rPr>
          <w:szCs w:val="22"/>
        </w:rPr>
        <w:t>饲料脂肪水平</w:t>
      </w:r>
      <w:r>
        <w:rPr>
          <w:szCs w:val="22"/>
        </w:rPr>
        <w:t xml:space="preserve">; </w:t>
      </w:r>
      <w:r>
        <w:rPr>
          <w:szCs w:val="22"/>
        </w:rPr>
        <w:t>饥饿</w:t>
      </w:r>
    </w:p>
    <w:p w14:paraId="4DDA4FEE" w14:textId="77777777" w:rsidR="006D73E5" w:rsidRDefault="006D73E5">
      <w:pPr>
        <w:jc w:val="center"/>
        <w:rPr>
          <w:szCs w:val="22"/>
        </w:rPr>
      </w:pPr>
    </w:p>
    <w:p w14:paraId="4B394D1B" w14:textId="77777777" w:rsidR="006D73E5" w:rsidRDefault="00000000">
      <w:pPr>
        <w:jc w:val="center"/>
        <w:rPr>
          <w:b/>
          <w:bCs/>
          <w:sz w:val="24"/>
        </w:rPr>
      </w:pPr>
      <w:r>
        <w:rPr>
          <w:b/>
          <w:bCs/>
          <w:sz w:val="24"/>
        </w:rPr>
        <w:t xml:space="preserve">Tissue Distribution and Nutritional </w:t>
      </w:r>
      <w:r>
        <w:rPr>
          <w:rFonts w:hint="eastAsia"/>
          <w:b/>
          <w:bCs/>
          <w:sz w:val="24"/>
        </w:rPr>
        <w:t>R</w:t>
      </w:r>
      <w:r>
        <w:rPr>
          <w:b/>
          <w:bCs/>
          <w:sz w:val="24"/>
        </w:rPr>
        <w:t xml:space="preserve">egulation of Fatty Acid Transport Protein in </w:t>
      </w:r>
      <w:r>
        <w:rPr>
          <w:b/>
          <w:bCs/>
          <w:i/>
          <w:iCs/>
          <w:sz w:val="24"/>
        </w:rPr>
        <w:t>Scophthalmus maximus</w:t>
      </w:r>
      <w:r>
        <w:rPr>
          <w:b/>
          <w:bCs/>
          <w:sz w:val="24"/>
        </w:rPr>
        <w:t xml:space="preserve"> and </w:t>
      </w:r>
      <w:proofErr w:type="spellStart"/>
      <w:r>
        <w:rPr>
          <w:b/>
          <w:bCs/>
          <w:i/>
          <w:iCs/>
          <w:sz w:val="24"/>
        </w:rPr>
        <w:t>Takifugu</w:t>
      </w:r>
      <w:proofErr w:type="spellEnd"/>
      <w:r>
        <w:rPr>
          <w:b/>
          <w:bCs/>
          <w:i/>
          <w:iCs/>
          <w:sz w:val="24"/>
        </w:rPr>
        <w:t xml:space="preserve"> </w:t>
      </w:r>
      <w:proofErr w:type="spellStart"/>
      <w:r>
        <w:rPr>
          <w:b/>
          <w:bCs/>
          <w:i/>
          <w:iCs/>
          <w:sz w:val="24"/>
        </w:rPr>
        <w:t>rubripes</w:t>
      </w:r>
      <w:proofErr w:type="spellEnd"/>
    </w:p>
    <w:p w14:paraId="704FD102" w14:textId="77777777" w:rsidR="006D73E5" w:rsidRDefault="00000000">
      <w:pPr>
        <w:jc w:val="center"/>
        <w:rPr>
          <w:szCs w:val="22"/>
        </w:rPr>
      </w:pPr>
      <w:r>
        <w:rPr>
          <w:szCs w:val="22"/>
        </w:rPr>
        <w:t>ZHAO Lili</w:t>
      </w:r>
      <w:r>
        <w:rPr>
          <w:szCs w:val="22"/>
          <w:vertAlign w:val="superscript"/>
        </w:rPr>
        <w:t xml:space="preserve"> 1</w:t>
      </w:r>
      <w:r>
        <w:rPr>
          <w:rFonts w:hint="eastAsia"/>
          <w:szCs w:val="22"/>
          <w:vertAlign w:val="superscript"/>
        </w:rPr>
        <w:t xml:space="preserve"> </w:t>
      </w:r>
      <w:r>
        <w:rPr>
          <w:szCs w:val="22"/>
          <w:vertAlign w:val="superscript"/>
        </w:rPr>
        <w:t xml:space="preserve">2 </w:t>
      </w:r>
      <w:r>
        <w:rPr>
          <w:szCs w:val="22"/>
        </w:rPr>
        <w:t>WANG Dixin</w:t>
      </w:r>
      <w:r>
        <w:rPr>
          <w:szCs w:val="22"/>
          <w:vertAlign w:val="superscript"/>
        </w:rPr>
        <w:t>2</w:t>
      </w:r>
      <w:r>
        <w:rPr>
          <w:szCs w:val="22"/>
        </w:rPr>
        <w:t xml:space="preserve"> LIAO Zhangbin</w:t>
      </w:r>
      <w:r>
        <w:rPr>
          <w:szCs w:val="22"/>
          <w:vertAlign w:val="superscript"/>
        </w:rPr>
        <w:t>2</w:t>
      </w:r>
      <w:r>
        <w:rPr>
          <w:szCs w:val="22"/>
        </w:rPr>
        <w:t xml:space="preserve"> BI Qingzhu</w:t>
      </w:r>
      <w:r>
        <w:rPr>
          <w:szCs w:val="22"/>
          <w:vertAlign w:val="superscript"/>
        </w:rPr>
        <w:t>2</w:t>
      </w:r>
      <w:r>
        <w:rPr>
          <w:szCs w:val="22"/>
        </w:rPr>
        <w:t xml:space="preserve"> MA Qiang</w:t>
      </w:r>
      <w:r>
        <w:rPr>
          <w:szCs w:val="22"/>
          <w:vertAlign w:val="superscript"/>
        </w:rPr>
        <w:t>2</w:t>
      </w:r>
      <w:r>
        <w:rPr>
          <w:szCs w:val="22"/>
        </w:rPr>
        <w:t xml:space="preserve"> WEI Yuliang</w:t>
      </w:r>
      <w:r>
        <w:rPr>
          <w:szCs w:val="22"/>
          <w:vertAlign w:val="superscript"/>
        </w:rPr>
        <w:t>2</w:t>
      </w:r>
      <w:r>
        <w:rPr>
          <w:szCs w:val="22"/>
        </w:rPr>
        <w:t xml:space="preserve">LIANG </w:t>
      </w:r>
      <w:proofErr w:type="spellStart"/>
      <w:r>
        <w:rPr>
          <w:szCs w:val="22"/>
        </w:rPr>
        <w:t>Mengqing</w:t>
      </w:r>
      <w:proofErr w:type="spellEnd"/>
      <w:r>
        <w:rPr>
          <w:szCs w:val="22"/>
          <w:vertAlign w:val="superscript"/>
        </w:rPr>
        <w:t xml:space="preserve"> 2</w:t>
      </w:r>
      <w:r>
        <w:rPr>
          <w:szCs w:val="22"/>
        </w:rPr>
        <w:t xml:space="preserve"> QIAO </w:t>
      </w:r>
      <w:proofErr w:type="spellStart"/>
      <w:r>
        <w:rPr>
          <w:szCs w:val="22"/>
        </w:rPr>
        <w:t>Xiuting</w:t>
      </w:r>
      <w:proofErr w:type="spellEnd"/>
      <w:r>
        <w:rPr>
          <w:szCs w:val="22"/>
        </w:rPr>
        <w:t xml:space="preserve"> </w:t>
      </w:r>
      <w:r>
        <w:rPr>
          <w:szCs w:val="22"/>
          <w:vertAlign w:val="superscript"/>
        </w:rPr>
        <w:t>1</w:t>
      </w:r>
      <w:r>
        <w:rPr>
          <w:szCs w:val="22"/>
        </w:rPr>
        <w:t xml:space="preserve"> CHENG Zhenyan</w:t>
      </w:r>
      <w:r>
        <w:rPr>
          <w:szCs w:val="22"/>
          <w:vertAlign w:val="superscript"/>
        </w:rPr>
        <w:t>1*</w:t>
      </w:r>
      <w:r>
        <w:rPr>
          <w:szCs w:val="22"/>
        </w:rPr>
        <w:t xml:space="preserve"> XU </w:t>
      </w:r>
      <w:proofErr w:type="spellStart"/>
      <w:r>
        <w:rPr>
          <w:szCs w:val="22"/>
        </w:rPr>
        <w:t>Houguo</w:t>
      </w:r>
      <w:proofErr w:type="spellEnd"/>
      <w:r>
        <w:rPr>
          <w:szCs w:val="22"/>
        </w:rPr>
        <w:t xml:space="preserve"> </w:t>
      </w:r>
      <w:r>
        <w:rPr>
          <w:szCs w:val="22"/>
          <w:vertAlign w:val="superscript"/>
        </w:rPr>
        <w:t>2*</w:t>
      </w:r>
      <w:r>
        <w:rPr>
          <w:szCs w:val="22"/>
        </w:rPr>
        <w:t xml:space="preserve"> </w:t>
      </w:r>
    </w:p>
    <w:p w14:paraId="41122F84" w14:textId="77777777" w:rsidR="006D73E5" w:rsidRDefault="00000000">
      <w:pPr>
        <w:jc w:val="center"/>
        <w:rPr>
          <w:i/>
          <w:iCs/>
          <w:szCs w:val="22"/>
        </w:rPr>
      </w:pPr>
      <w:r>
        <w:rPr>
          <w:i/>
          <w:iCs/>
          <w:szCs w:val="22"/>
        </w:rPr>
        <w:t>(1</w:t>
      </w:r>
      <w:r>
        <w:rPr>
          <w:rFonts w:hint="eastAsia"/>
          <w:i/>
          <w:iCs/>
          <w:szCs w:val="22"/>
        </w:rPr>
        <w:t>.</w:t>
      </w:r>
      <w:r>
        <w:rPr>
          <w:i/>
          <w:iCs/>
          <w:szCs w:val="22"/>
        </w:rPr>
        <w:t xml:space="preserve"> College of Fisheries</w:t>
      </w:r>
      <w:r>
        <w:rPr>
          <w:rFonts w:hint="eastAsia"/>
          <w:i/>
          <w:iCs/>
          <w:szCs w:val="22"/>
        </w:rPr>
        <w:t>,</w:t>
      </w:r>
      <w:r>
        <w:rPr>
          <w:i/>
          <w:iCs/>
          <w:szCs w:val="22"/>
        </w:rPr>
        <w:t xml:space="preserve"> Tianjin Agricultural University</w:t>
      </w:r>
      <w:r>
        <w:rPr>
          <w:rFonts w:hint="eastAsia"/>
          <w:i/>
          <w:iCs/>
          <w:szCs w:val="22"/>
        </w:rPr>
        <w:t>,</w:t>
      </w:r>
      <w:r>
        <w:rPr>
          <w:i/>
          <w:iCs/>
          <w:szCs w:val="22"/>
        </w:rPr>
        <w:t xml:space="preserve"> Tianjin 300392</w:t>
      </w:r>
      <w:r>
        <w:rPr>
          <w:rFonts w:hint="eastAsia"/>
          <w:i/>
          <w:iCs/>
          <w:szCs w:val="22"/>
        </w:rPr>
        <w:t>,</w:t>
      </w:r>
      <w:r>
        <w:rPr>
          <w:i/>
          <w:iCs/>
          <w:szCs w:val="22"/>
        </w:rPr>
        <w:t xml:space="preserve"> China; 2</w:t>
      </w:r>
      <w:r>
        <w:rPr>
          <w:rFonts w:hint="eastAsia"/>
          <w:i/>
          <w:iCs/>
          <w:szCs w:val="22"/>
        </w:rPr>
        <w:t>.</w:t>
      </w:r>
      <w:r>
        <w:rPr>
          <w:i/>
          <w:iCs/>
          <w:szCs w:val="22"/>
        </w:rPr>
        <w:t xml:space="preserve"> Yellow Sea Fisheries </w:t>
      </w:r>
      <w:r>
        <w:rPr>
          <w:rFonts w:hint="eastAsia"/>
          <w:i/>
          <w:iCs/>
          <w:szCs w:val="22"/>
        </w:rPr>
        <w:t>R</w:t>
      </w:r>
      <w:r>
        <w:rPr>
          <w:i/>
          <w:iCs/>
          <w:szCs w:val="22"/>
        </w:rPr>
        <w:t>esearch Institute</w:t>
      </w:r>
      <w:r>
        <w:rPr>
          <w:rFonts w:hint="eastAsia"/>
          <w:i/>
          <w:iCs/>
          <w:szCs w:val="22"/>
        </w:rPr>
        <w:t>,</w:t>
      </w:r>
      <w:r>
        <w:rPr>
          <w:i/>
          <w:iCs/>
          <w:szCs w:val="22"/>
        </w:rPr>
        <w:t xml:space="preserve"> Chinese Academy of Fishery Sciences</w:t>
      </w:r>
      <w:r>
        <w:rPr>
          <w:rFonts w:hint="eastAsia"/>
          <w:i/>
          <w:iCs/>
          <w:szCs w:val="22"/>
        </w:rPr>
        <w:t>,</w:t>
      </w:r>
      <w:r>
        <w:rPr>
          <w:i/>
          <w:iCs/>
          <w:szCs w:val="22"/>
        </w:rPr>
        <w:t xml:space="preserve"> Qingdao 266071</w:t>
      </w:r>
      <w:r>
        <w:rPr>
          <w:rFonts w:hint="eastAsia"/>
          <w:i/>
          <w:iCs/>
          <w:szCs w:val="22"/>
        </w:rPr>
        <w:t>,</w:t>
      </w:r>
      <w:r>
        <w:rPr>
          <w:i/>
          <w:iCs/>
          <w:szCs w:val="22"/>
        </w:rPr>
        <w:t xml:space="preserve"> China)</w:t>
      </w:r>
    </w:p>
    <w:p w14:paraId="71B5A31B" w14:textId="77777777" w:rsidR="006D73E5" w:rsidRDefault="00000000">
      <w:pPr>
        <w:rPr>
          <w:szCs w:val="22"/>
        </w:rPr>
      </w:pPr>
      <w:r>
        <w:rPr>
          <w:b/>
          <w:bCs/>
          <w:szCs w:val="22"/>
        </w:rPr>
        <w:t xml:space="preserve">Abstract: </w:t>
      </w:r>
      <w:r>
        <w:rPr>
          <w:szCs w:val="22"/>
        </w:rPr>
        <w:t>In the present study</w:t>
      </w:r>
      <w:r>
        <w:rPr>
          <w:rFonts w:hint="eastAsia"/>
          <w:szCs w:val="22"/>
        </w:rPr>
        <w:t>,</w:t>
      </w:r>
      <w:r>
        <w:rPr>
          <w:szCs w:val="22"/>
        </w:rPr>
        <w:t xml:space="preserve"> three fatty acid transport protein (FATP) isoforms</w:t>
      </w:r>
      <w:r>
        <w:rPr>
          <w:rFonts w:hint="eastAsia"/>
          <w:szCs w:val="22"/>
        </w:rPr>
        <w:t>,</w:t>
      </w:r>
      <w:r>
        <w:rPr>
          <w:szCs w:val="22"/>
        </w:rPr>
        <w:t xml:space="preserve"> namely FATP1</w:t>
      </w:r>
      <w:r>
        <w:rPr>
          <w:rFonts w:hint="eastAsia"/>
          <w:szCs w:val="22"/>
        </w:rPr>
        <w:t>,</w:t>
      </w:r>
      <w:r>
        <w:rPr>
          <w:szCs w:val="22"/>
        </w:rPr>
        <w:t xml:space="preserve"> FATP4 and FATP6 in two marine </w:t>
      </w:r>
      <w:proofErr w:type="spellStart"/>
      <w:r>
        <w:rPr>
          <w:szCs w:val="22"/>
        </w:rPr>
        <w:t>teleosts</w:t>
      </w:r>
      <w:proofErr w:type="spellEnd"/>
      <w:r>
        <w:rPr>
          <w:szCs w:val="22"/>
        </w:rPr>
        <w:t xml:space="preserve"> (</w:t>
      </w:r>
      <w:r>
        <w:rPr>
          <w:i/>
          <w:iCs/>
          <w:szCs w:val="22"/>
        </w:rPr>
        <w:t>Scophthalmus maximus</w:t>
      </w:r>
      <w:r>
        <w:rPr>
          <w:szCs w:val="22"/>
        </w:rPr>
        <w:t xml:space="preserve"> and </w:t>
      </w:r>
      <w:proofErr w:type="spellStart"/>
      <w:r>
        <w:rPr>
          <w:i/>
          <w:iCs/>
          <w:szCs w:val="22"/>
        </w:rPr>
        <w:t>Takifugu</w:t>
      </w:r>
      <w:proofErr w:type="spellEnd"/>
      <w:r>
        <w:rPr>
          <w:i/>
          <w:iCs/>
          <w:szCs w:val="22"/>
        </w:rPr>
        <w:t xml:space="preserve"> </w:t>
      </w:r>
      <w:proofErr w:type="spellStart"/>
      <w:r>
        <w:rPr>
          <w:i/>
          <w:iCs/>
          <w:szCs w:val="22"/>
        </w:rPr>
        <w:t>rubripes</w:t>
      </w:r>
      <w:proofErr w:type="spellEnd"/>
      <w:r>
        <w:rPr>
          <w:szCs w:val="22"/>
        </w:rPr>
        <w:t>) were characterized in terms of sequence analysis</w:t>
      </w:r>
      <w:r>
        <w:rPr>
          <w:rFonts w:hint="eastAsia"/>
          <w:szCs w:val="22"/>
        </w:rPr>
        <w:t>,</w:t>
      </w:r>
      <w:r>
        <w:rPr>
          <w:szCs w:val="22"/>
        </w:rPr>
        <w:t xml:space="preserve"> as well as the gene expression characteristics in different tissues and different nutritional status were studied</w:t>
      </w:r>
      <w:r>
        <w:rPr>
          <w:rFonts w:hint="eastAsia"/>
          <w:szCs w:val="22"/>
        </w:rPr>
        <w:t>.</w:t>
      </w:r>
      <w:r>
        <w:rPr>
          <w:szCs w:val="22"/>
        </w:rPr>
        <w:t xml:space="preserve"> In the study of tissue distribution of FATP expression</w:t>
      </w:r>
      <w:r>
        <w:rPr>
          <w:rFonts w:hint="eastAsia"/>
          <w:szCs w:val="22"/>
        </w:rPr>
        <w:t>,</w:t>
      </w:r>
      <w:r>
        <w:rPr>
          <w:szCs w:val="22"/>
        </w:rPr>
        <w:t xml:space="preserve"> the different tissues of </w:t>
      </w:r>
      <w:r>
        <w:rPr>
          <w:i/>
          <w:iCs/>
          <w:szCs w:val="22"/>
        </w:rPr>
        <w:t>Scophthalmus maximus</w:t>
      </w:r>
      <w:r>
        <w:rPr>
          <w:szCs w:val="22"/>
        </w:rPr>
        <w:t xml:space="preserve"> and </w:t>
      </w:r>
      <w:proofErr w:type="spellStart"/>
      <w:r>
        <w:rPr>
          <w:i/>
          <w:iCs/>
          <w:szCs w:val="22"/>
        </w:rPr>
        <w:t>Takifugu</w:t>
      </w:r>
      <w:proofErr w:type="spellEnd"/>
      <w:r>
        <w:rPr>
          <w:i/>
          <w:iCs/>
          <w:szCs w:val="22"/>
        </w:rPr>
        <w:t xml:space="preserve"> </w:t>
      </w:r>
      <w:proofErr w:type="spellStart"/>
      <w:r>
        <w:rPr>
          <w:i/>
          <w:iCs/>
          <w:szCs w:val="22"/>
        </w:rPr>
        <w:t>rubripes</w:t>
      </w:r>
      <w:proofErr w:type="spellEnd"/>
      <w:r>
        <w:rPr>
          <w:szCs w:val="22"/>
        </w:rPr>
        <w:t xml:space="preserve"> were selected</w:t>
      </w:r>
      <w:r>
        <w:rPr>
          <w:rFonts w:hint="eastAsia"/>
          <w:szCs w:val="22"/>
        </w:rPr>
        <w:t>.</w:t>
      </w:r>
      <w:r>
        <w:rPr>
          <w:szCs w:val="22"/>
        </w:rPr>
        <w:t xml:space="preserve"> In the feeding experiment</w:t>
      </w:r>
      <w:r>
        <w:rPr>
          <w:rFonts w:hint="eastAsia"/>
          <w:szCs w:val="22"/>
        </w:rPr>
        <w:t>,</w:t>
      </w:r>
      <w:r>
        <w:rPr>
          <w:szCs w:val="22"/>
        </w:rPr>
        <w:t xml:space="preserve"> juvenile fish of </w:t>
      </w:r>
      <w:r>
        <w:rPr>
          <w:i/>
          <w:iCs/>
          <w:szCs w:val="22"/>
        </w:rPr>
        <w:t>Scophthalmus maximus</w:t>
      </w:r>
      <w:r>
        <w:rPr>
          <w:szCs w:val="22"/>
        </w:rPr>
        <w:t xml:space="preserve"> and </w:t>
      </w:r>
      <w:proofErr w:type="spellStart"/>
      <w:r>
        <w:rPr>
          <w:i/>
          <w:iCs/>
          <w:szCs w:val="22"/>
        </w:rPr>
        <w:t>Takifugu</w:t>
      </w:r>
      <w:proofErr w:type="spellEnd"/>
      <w:r>
        <w:rPr>
          <w:i/>
          <w:iCs/>
          <w:szCs w:val="22"/>
        </w:rPr>
        <w:t xml:space="preserve"> </w:t>
      </w:r>
      <w:proofErr w:type="spellStart"/>
      <w:r>
        <w:rPr>
          <w:i/>
          <w:iCs/>
          <w:szCs w:val="22"/>
        </w:rPr>
        <w:t>rubripes</w:t>
      </w:r>
      <w:proofErr w:type="spellEnd"/>
      <w:r>
        <w:rPr>
          <w:i/>
          <w:iCs/>
          <w:szCs w:val="22"/>
        </w:rPr>
        <w:t xml:space="preserve"> </w:t>
      </w:r>
      <w:r>
        <w:rPr>
          <w:szCs w:val="22"/>
        </w:rPr>
        <w:t>were fed experimental diets with different lipid levels (8%</w:t>
      </w:r>
      <w:r>
        <w:rPr>
          <w:rFonts w:hint="eastAsia"/>
          <w:szCs w:val="22"/>
        </w:rPr>
        <w:t>,</w:t>
      </w:r>
      <w:r>
        <w:rPr>
          <w:szCs w:val="22"/>
        </w:rPr>
        <w:t xml:space="preserve"> 12% and 16%) for 9 weeks</w:t>
      </w:r>
      <w:r>
        <w:rPr>
          <w:rFonts w:hint="eastAsia"/>
          <w:szCs w:val="22"/>
        </w:rPr>
        <w:t>,</w:t>
      </w:r>
      <w:r>
        <w:rPr>
          <w:szCs w:val="22"/>
        </w:rPr>
        <w:t xml:space="preserve"> followed by a starvation experiment (30 d)</w:t>
      </w:r>
      <w:r>
        <w:rPr>
          <w:rFonts w:hint="eastAsia"/>
          <w:szCs w:val="22"/>
        </w:rPr>
        <w:t>.</w:t>
      </w:r>
      <w:r>
        <w:rPr>
          <w:szCs w:val="22"/>
        </w:rPr>
        <w:t xml:space="preserve"> The FATP mRNA relative expression levels of in different tissues and different nutritional status of </w:t>
      </w:r>
      <w:r>
        <w:rPr>
          <w:i/>
          <w:iCs/>
          <w:szCs w:val="22"/>
        </w:rPr>
        <w:t>Scophthalmus maximus</w:t>
      </w:r>
      <w:r>
        <w:rPr>
          <w:szCs w:val="22"/>
        </w:rPr>
        <w:t xml:space="preserve"> and</w:t>
      </w:r>
      <w:r>
        <w:rPr>
          <w:i/>
          <w:iCs/>
          <w:szCs w:val="22"/>
        </w:rPr>
        <w:t xml:space="preserve"> </w:t>
      </w:r>
      <w:proofErr w:type="spellStart"/>
      <w:r>
        <w:rPr>
          <w:i/>
          <w:iCs/>
          <w:szCs w:val="22"/>
        </w:rPr>
        <w:t>Takifugu</w:t>
      </w:r>
      <w:proofErr w:type="spellEnd"/>
      <w:r>
        <w:rPr>
          <w:i/>
          <w:iCs/>
          <w:szCs w:val="22"/>
        </w:rPr>
        <w:t xml:space="preserve"> </w:t>
      </w:r>
      <w:proofErr w:type="spellStart"/>
      <w:r>
        <w:rPr>
          <w:i/>
          <w:iCs/>
          <w:szCs w:val="22"/>
        </w:rPr>
        <w:t>rubripes</w:t>
      </w:r>
      <w:proofErr w:type="spellEnd"/>
      <w:r>
        <w:rPr>
          <w:szCs w:val="22"/>
        </w:rPr>
        <w:t xml:space="preserve"> were detected by real-time fluorescent quantitative PCR</w:t>
      </w:r>
      <w:r>
        <w:rPr>
          <w:rFonts w:hint="eastAsia"/>
          <w:szCs w:val="22"/>
        </w:rPr>
        <w:t>.</w:t>
      </w:r>
      <w:r>
        <w:rPr>
          <w:szCs w:val="22"/>
        </w:rPr>
        <w:t xml:space="preserve"> The results showed as follows: 1) the FATP of </w:t>
      </w:r>
      <w:r>
        <w:rPr>
          <w:i/>
          <w:iCs/>
          <w:szCs w:val="22"/>
        </w:rPr>
        <w:t xml:space="preserve">Scophthalmus maximus </w:t>
      </w:r>
      <w:r>
        <w:rPr>
          <w:szCs w:val="22"/>
        </w:rPr>
        <w:t xml:space="preserve">and </w:t>
      </w:r>
      <w:proofErr w:type="spellStart"/>
      <w:r>
        <w:rPr>
          <w:i/>
          <w:iCs/>
          <w:szCs w:val="22"/>
        </w:rPr>
        <w:t>Takifugu</w:t>
      </w:r>
      <w:proofErr w:type="spellEnd"/>
      <w:r>
        <w:rPr>
          <w:i/>
          <w:iCs/>
          <w:szCs w:val="22"/>
        </w:rPr>
        <w:t xml:space="preserve"> </w:t>
      </w:r>
      <w:proofErr w:type="spellStart"/>
      <w:r>
        <w:rPr>
          <w:i/>
          <w:iCs/>
          <w:szCs w:val="22"/>
        </w:rPr>
        <w:t>rubripes</w:t>
      </w:r>
      <w:proofErr w:type="spellEnd"/>
      <w:r>
        <w:rPr>
          <w:szCs w:val="22"/>
        </w:rPr>
        <w:t xml:space="preserve"> showed high identity to their orthologs in other fish species and mammals</w:t>
      </w:r>
      <w:r>
        <w:rPr>
          <w:rFonts w:hint="eastAsia"/>
          <w:szCs w:val="22"/>
        </w:rPr>
        <w:t>,</w:t>
      </w:r>
      <w:r>
        <w:rPr>
          <w:szCs w:val="22"/>
        </w:rPr>
        <w:t xml:space="preserve"> but FATP6 showed a low identity to FATP1 and FATP4</w:t>
      </w:r>
      <w:r>
        <w:rPr>
          <w:szCs w:val="22"/>
        </w:rPr>
        <w:t>．</w:t>
      </w:r>
      <w:r>
        <w:rPr>
          <w:szCs w:val="22"/>
        </w:rPr>
        <w:t xml:space="preserve"> 2) The FATP1 of Scophthalmus maximus was high expression in the brain</w:t>
      </w:r>
      <w:r>
        <w:rPr>
          <w:rFonts w:hint="eastAsia"/>
          <w:szCs w:val="22"/>
        </w:rPr>
        <w:t>,</w:t>
      </w:r>
      <w:r>
        <w:rPr>
          <w:szCs w:val="22"/>
        </w:rPr>
        <w:t xml:space="preserve"> heart</w:t>
      </w:r>
      <w:r>
        <w:rPr>
          <w:rFonts w:hint="eastAsia"/>
          <w:szCs w:val="22"/>
        </w:rPr>
        <w:t>,</w:t>
      </w:r>
      <w:r>
        <w:rPr>
          <w:szCs w:val="22"/>
        </w:rPr>
        <w:t xml:space="preserve"> eye and kidney</w:t>
      </w:r>
      <w:r>
        <w:rPr>
          <w:rFonts w:hint="eastAsia"/>
          <w:szCs w:val="22"/>
        </w:rPr>
        <w:t>,</w:t>
      </w:r>
      <w:r>
        <w:rPr>
          <w:szCs w:val="22"/>
        </w:rPr>
        <w:t xml:space="preserve"> and the FATP1 of </w:t>
      </w:r>
      <w:proofErr w:type="spellStart"/>
      <w:r>
        <w:rPr>
          <w:i/>
          <w:iCs/>
          <w:szCs w:val="22"/>
        </w:rPr>
        <w:t>Takifugu</w:t>
      </w:r>
      <w:proofErr w:type="spellEnd"/>
      <w:r>
        <w:rPr>
          <w:i/>
          <w:iCs/>
          <w:szCs w:val="22"/>
        </w:rPr>
        <w:t xml:space="preserve"> </w:t>
      </w:r>
      <w:proofErr w:type="spellStart"/>
      <w:r>
        <w:rPr>
          <w:i/>
          <w:iCs/>
          <w:szCs w:val="22"/>
        </w:rPr>
        <w:t>rubripes</w:t>
      </w:r>
      <w:proofErr w:type="spellEnd"/>
      <w:r>
        <w:rPr>
          <w:szCs w:val="22"/>
        </w:rPr>
        <w:t xml:space="preserve"> was high expression in liver. The FATP4 of </w:t>
      </w:r>
      <w:r>
        <w:rPr>
          <w:i/>
          <w:iCs/>
          <w:szCs w:val="22"/>
        </w:rPr>
        <w:t>Scophthalmus maximus</w:t>
      </w:r>
      <w:r>
        <w:rPr>
          <w:szCs w:val="22"/>
        </w:rPr>
        <w:t xml:space="preserve"> and </w:t>
      </w:r>
      <w:proofErr w:type="spellStart"/>
      <w:r>
        <w:rPr>
          <w:i/>
          <w:iCs/>
          <w:szCs w:val="22"/>
        </w:rPr>
        <w:t>Takifugu</w:t>
      </w:r>
      <w:proofErr w:type="spellEnd"/>
      <w:r>
        <w:rPr>
          <w:i/>
          <w:iCs/>
          <w:szCs w:val="22"/>
        </w:rPr>
        <w:t xml:space="preserve"> </w:t>
      </w:r>
      <w:proofErr w:type="spellStart"/>
      <w:r>
        <w:rPr>
          <w:i/>
          <w:iCs/>
          <w:szCs w:val="22"/>
        </w:rPr>
        <w:t>rubripes</w:t>
      </w:r>
      <w:proofErr w:type="spellEnd"/>
      <w:r>
        <w:rPr>
          <w:i/>
          <w:iCs/>
          <w:szCs w:val="22"/>
        </w:rPr>
        <w:t xml:space="preserve"> </w:t>
      </w:r>
      <w:r>
        <w:rPr>
          <w:szCs w:val="22"/>
        </w:rPr>
        <w:t>was high expression in digestive tract</w:t>
      </w:r>
      <w:r>
        <w:rPr>
          <w:szCs w:val="22"/>
        </w:rPr>
        <w:t>．</w:t>
      </w:r>
      <w:r>
        <w:rPr>
          <w:szCs w:val="22"/>
        </w:rPr>
        <w:t xml:space="preserve">The FATP6 of </w:t>
      </w:r>
      <w:r>
        <w:rPr>
          <w:i/>
          <w:iCs/>
          <w:szCs w:val="22"/>
        </w:rPr>
        <w:t>Scophthalmus maximus</w:t>
      </w:r>
      <w:r>
        <w:rPr>
          <w:szCs w:val="22"/>
        </w:rPr>
        <w:t xml:space="preserve"> was high expression in pyloric caecum and anterior intestine</w:t>
      </w:r>
      <w:r>
        <w:rPr>
          <w:rFonts w:hint="eastAsia"/>
          <w:szCs w:val="22"/>
        </w:rPr>
        <w:t>,</w:t>
      </w:r>
      <w:r>
        <w:rPr>
          <w:szCs w:val="22"/>
        </w:rPr>
        <w:t xml:space="preserve"> and the e FATP6 of </w:t>
      </w:r>
      <w:proofErr w:type="spellStart"/>
      <w:r>
        <w:rPr>
          <w:i/>
          <w:iCs/>
          <w:szCs w:val="22"/>
        </w:rPr>
        <w:t>Takifugu</w:t>
      </w:r>
      <w:proofErr w:type="spellEnd"/>
      <w:r>
        <w:rPr>
          <w:i/>
          <w:iCs/>
          <w:szCs w:val="22"/>
        </w:rPr>
        <w:t xml:space="preserve"> </w:t>
      </w:r>
      <w:proofErr w:type="spellStart"/>
      <w:r>
        <w:rPr>
          <w:i/>
          <w:iCs/>
          <w:szCs w:val="22"/>
        </w:rPr>
        <w:t>rubripes</w:t>
      </w:r>
      <w:proofErr w:type="spellEnd"/>
      <w:r>
        <w:rPr>
          <w:szCs w:val="22"/>
        </w:rPr>
        <w:t xml:space="preserve"> was only high expression in liver</w:t>
      </w:r>
      <w:r>
        <w:rPr>
          <w:szCs w:val="22"/>
        </w:rPr>
        <w:t>．</w:t>
      </w:r>
      <w:r>
        <w:rPr>
          <w:szCs w:val="22"/>
        </w:rPr>
        <w:t>3) Dietary lipid levels had no significant effects on mRNA relative expression levels of FATP1</w:t>
      </w:r>
      <w:r>
        <w:rPr>
          <w:rFonts w:hint="eastAsia"/>
          <w:szCs w:val="22"/>
        </w:rPr>
        <w:t>,</w:t>
      </w:r>
      <w:r>
        <w:rPr>
          <w:szCs w:val="22"/>
        </w:rPr>
        <w:t xml:space="preserve"> FATP4 and FATP6 in liver of </w:t>
      </w:r>
      <w:r>
        <w:rPr>
          <w:i/>
          <w:iCs/>
          <w:szCs w:val="22"/>
        </w:rPr>
        <w:t>Scophthalmus maximus</w:t>
      </w:r>
      <w:r>
        <w:rPr>
          <w:szCs w:val="22"/>
        </w:rPr>
        <w:t xml:space="preserve"> and </w:t>
      </w:r>
      <w:proofErr w:type="spellStart"/>
      <w:r>
        <w:rPr>
          <w:i/>
          <w:iCs/>
          <w:szCs w:val="22"/>
        </w:rPr>
        <w:t>Takifugu</w:t>
      </w:r>
      <w:proofErr w:type="spellEnd"/>
      <w:r>
        <w:rPr>
          <w:i/>
          <w:iCs/>
          <w:szCs w:val="22"/>
        </w:rPr>
        <w:t xml:space="preserve"> </w:t>
      </w:r>
      <w:proofErr w:type="spellStart"/>
      <w:r>
        <w:rPr>
          <w:i/>
          <w:iCs/>
          <w:szCs w:val="22"/>
        </w:rPr>
        <w:t>rubripes</w:t>
      </w:r>
      <w:proofErr w:type="spellEnd"/>
      <w:r>
        <w:rPr>
          <w:szCs w:val="22"/>
        </w:rPr>
        <w:t xml:space="preserve"> (</w:t>
      </w:r>
      <w:r>
        <w:rPr>
          <w:i/>
          <w:iCs/>
          <w:szCs w:val="22"/>
        </w:rPr>
        <w:t>P</w:t>
      </w:r>
      <w:r>
        <w:rPr>
          <w:szCs w:val="22"/>
        </w:rPr>
        <w:t>＞</w:t>
      </w:r>
      <w:r>
        <w:rPr>
          <w:szCs w:val="22"/>
        </w:rPr>
        <w:t>0</w:t>
      </w:r>
      <w:r>
        <w:rPr>
          <w:rFonts w:hint="eastAsia"/>
          <w:szCs w:val="22"/>
        </w:rPr>
        <w:t>.</w:t>
      </w:r>
      <w:r>
        <w:rPr>
          <w:szCs w:val="22"/>
        </w:rPr>
        <w:t>05)</w:t>
      </w:r>
      <w:r>
        <w:rPr>
          <w:szCs w:val="22"/>
        </w:rPr>
        <w:t>．</w:t>
      </w:r>
      <w:r>
        <w:rPr>
          <w:szCs w:val="22"/>
        </w:rPr>
        <w:t xml:space="preserve"> 4) The liver FATP1 m</w:t>
      </w:r>
      <w:r>
        <w:rPr>
          <w:rFonts w:hint="eastAsia"/>
          <w:szCs w:val="22"/>
        </w:rPr>
        <w:t>R</w:t>
      </w:r>
      <w:r>
        <w:rPr>
          <w:szCs w:val="22"/>
        </w:rPr>
        <w:t xml:space="preserve">NA relative expression level of </w:t>
      </w:r>
      <w:r>
        <w:rPr>
          <w:i/>
          <w:iCs/>
          <w:szCs w:val="22"/>
        </w:rPr>
        <w:t>Scophthalmus maximus</w:t>
      </w:r>
      <w:r>
        <w:rPr>
          <w:szCs w:val="22"/>
        </w:rPr>
        <w:t xml:space="preserve"> on day 30 was significantly higher than that on day 0</w:t>
      </w:r>
      <w:r>
        <w:rPr>
          <w:rFonts w:hint="eastAsia"/>
          <w:szCs w:val="22"/>
        </w:rPr>
        <w:t>,</w:t>
      </w:r>
      <w:r>
        <w:rPr>
          <w:szCs w:val="22"/>
        </w:rPr>
        <w:t xml:space="preserve"> day 10 and day 20 ( </w:t>
      </w:r>
      <w:r>
        <w:rPr>
          <w:i/>
          <w:iCs/>
          <w:szCs w:val="22"/>
        </w:rPr>
        <w:t>P</w:t>
      </w:r>
      <w:r>
        <w:rPr>
          <w:szCs w:val="22"/>
        </w:rPr>
        <w:t>＜</w:t>
      </w:r>
      <w:r>
        <w:rPr>
          <w:szCs w:val="22"/>
        </w:rPr>
        <w:t>0</w:t>
      </w:r>
      <w:r>
        <w:rPr>
          <w:rFonts w:hint="eastAsia"/>
          <w:szCs w:val="22"/>
        </w:rPr>
        <w:t>.</w:t>
      </w:r>
      <w:r>
        <w:rPr>
          <w:szCs w:val="22"/>
        </w:rPr>
        <w:t>05). The liver FATP1 m</w:t>
      </w:r>
      <w:r>
        <w:rPr>
          <w:rFonts w:hint="eastAsia"/>
          <w:szCs w:val="22"/>
        </w:rPr>
        <w:t>R</w:t>
      </w:r>
      <w:r>
        <w:rPr>
          <w:szCs w:val="22"/>
        </w:rPr>
        <w:t xml:space="preserve">NA relative expression level of </w:t>
      </w:r>
      <w:proofErr w:type="spellStart"/>
      <w:r>
        <w:rPr>
          <w:i/>
          <w:iCs/>
          <w:szCs w:val="22"/>
        </w:rPr>
        <w:t>Takifugu</w:t>
      </w:r>
      <w:proofErr w:type="spellEnd"/>
      <w:r>
        <w:rPr>
          <w:i/>
          <w:iCs/>
          <w:szCs w:val="22"/>
        </w:rPr>
        <w:t xml:space="preserve"> </w:t>
      </w:r>
      <w:proofErr w:type="spellStart"/>
      <w:r>
        <w:rPr>
          <w:i/>
          <w:iCs/>
          <w:szCs w:val="22"/>
        </w:rPr>
        <w:t>rubripes</w:t>
      </w:r>
      <w:proofErr w:type="spellEnd"/>
      <w:r>
        <w:rPr>
          <w:i/>
          <w:iCs/>
          <w:szCs w:val="22"/>
        </w:rPr>
        <w:t xml:space="preserve"> </w:t>
      </w:r>
      <w:r>
        <w:rPr>
          <w:szCs w:val="22"/>
        </w:rPr>
        <w:t>on day 16 and day 31 was significantly higher than that on day 0</w:t>
      </w:r>
      <w:r>
        <w:rPr>
          <w:rFonts w:hint="eastAsia"/>
          <w:szCs w:val="22"/>
        </w:rPr>
        <w:t>,</w:t>
      </w:r>
      <w:r>
        <w:rPr>
          <w:szCs w:val="22"/>
        </w:rPr>
        <w:t xml:space="preserve"> day 1</w:t>
      </w:r>
      <w:r>
        <w:rPr>
          <w:rFonts w:hint="eastAsia"/>
          <w:szCs w:val="22"/>
        </w:rPr>
        <w:t>,</w:t>
      </w:r>
      <w:r>
        <w:rPr>
          <w:szCs w:val="22"/>
        </w:rPr>
        <w:t xml:space="preserve"> day 4 and day 20 (</w:t>
      </w:r>
      <w:r>
        <w:rPr>
          <w:i/>
          <w:iCs/>
          <w:szCs w:val="22"/>
        </w:rPr>
        <w:t>P</w:t>
      </w:r>
      <w:r>
        <w:rPr>
          <w:szCs w:val="22"/>
        </w:rPr>
        <w:t>＜</w:t>
      </w:r>
      <w:r>
        <w:rPr>
          <w:szCs w:val="22"/>
        </w:rPr>
        <w:t>0.05)</w:t>
      </w:r>
      <w:r>
        <w:rPr>
          <w:rFonts w:hint="eastAsia"/>
          <w:szCs w:val="22"/>
        </w:rPr>
        <w:t>,</w:t>
      </w:r>
      <w:r>
        <w:rPr>
          <w:szCs w:val="22"/>
        </w:rPr>
        <w:t xml:space="preserve"> the liver FATP4 m</w:t>
      </w:r>
      <w:r>
        <w:rPr>
          <w:rFonts w:hint="eastAsia"/>
          <w:szCs w:val="22"/>
        </w:rPr>
        <w:t>R</w:t>
      </w:r>
      <w:r>
        <w:rPr>
          <w:szCs w:val="22"/>
        </w:rPr>
        <w:t>NA relative expression level on day 9 and day 31 was significantly higher than that on day 0</w:t>
      </w:r>
      <w:r>
        <w:rPr>
          <w:rFonts w:hint="eastAsia"/>
          <w:szCs w:val="22"/>
        </w:rPr>
        <w:t>,</w:t>
      </w:r>
      <w:r>
        <w:rPr>
          <w:szCs w:val="22"/>
        </w:rPr>
        <w:t xml:space="preserve"> day 1 and day 4 (</w:t>
      </w:r>
      <w:r>
        <w:rPr>
          <w:i/>
          <w:iCs/>
          <w:szCs w:val="22"/>
        </w:rPr>
        <w:t>P</w:t>
      </w:r>
      <w:r>
        <w:rPr>
          <w:szCs w:val="22"/>
        </w:rPr>
        <w:t>＜</w:t>
      </w:r>
      <w:r>
        <w:rPr>
          <w:szCs w:val="22"/>
        </w:rPr>
        <w:t>0.05)</w:t>
      </w:r>
      <w:r>
        <w:rPr>
          <w:rFonts w:hint="eastAsia"/>
          <w:szCs w:val="22"/>
        </w:rPr>
        <w:t>,</w:t>
      </w:r>
      <w:r>
        <w:rPr>
          <w:szCs w:val="22"/>
        </w:rPr>
        <w:t xml:space="preserve"> and the liver FATP6 m</w:t>
      </w:r>
      <w:r>
        <w:rPr>
          <w:rFonts w:hint="eastAsia"/>
          <w:szCs w:val="22"/>
        </w:rPr>
        <w:t>R</w:t>
      </w:r>
      <w:r>
        <w:rPr>
          <w:szCs w:val="22"/>
        </w:rPr>
        <w:t>NA relative expression level on day 16 was significantly higher than that on day 0</w:t>
      </w:r>
      <w:r>
        <w:rPr>
          <w:rFonts w:hint="eastAsia"/>
          <w:szCs w:val="22"/>
        </w:rPr>
        <w:t>,</w:t>
      </w:r>
      <w:r>
        <w:rPr>
          <w:szCs w:val="22"/>
        </w:rPr>
        <w:t xml:space="preserve"> day 1</w:t>
      </w:r>
      <w:r>
        <w:rPr>
          <w:rFonts w:hint="eastAsia"/>
          <w:szCs w:val="22"/>
        </w:rPr>
        <w:t>,</w:t>
      </w:r>
      <w:r>
        <w:rPr>
          <w:szCs w:val="22"/>
        </w:rPr>
        <w:t xml:space="preserve"> day 4</w:t>
      </w:r>
      <w:r>
        <w:rPr>
          <w:rFonts w:hint="eastAsia"/>
          <w:szCs w:val="22"/>
        </w:rPr>
        <w:t>,</w:t>
      </w:r>
      <w:r>
        <w:rPr>
          <w:szCs w:val="22"/>
        </w:rPr>
        <w:t xml:space="preserve"> day 9 and day 31 (</w:t>
      </w:r>
      <w:r>
        <w:rPr>
          <w:i/>
          <w:iCs/>
          <w:szCs w:val="22"/>
        </w:rPr>
        <w:t>P</w:t>
      </w:r>
      <w:r>
        <w:rPr>
          <w:szCs w:val="22"/>
        </w:rPr>
        <w:t>＜</w:t>
      </w:r>
      <w:r>
        <w:rPr>
          <w:szCs w:val="22"/>
        </w:rPr>
        <w:t>0.05)</w:t>
      </w:r>
      <w:r>
        <w:rPr>
          <w:szCs w:val="22"/>
        </w:rPr>
        <w:t>．</w:t>
      </w:r>
      <w:r>
        <w:rPr>
          <w:szCs w:val="22"/>
        </w:rPr>
        <w:t xml:space="preserve">In conclusion, tissue distribution pattern of FATP expression is different between </w:t>
      </w:r>
      <w:r>
        <w:rPr>
          <w:i/>
          <w:iCs/>
          <w:szCs w:val="22"/>
        </w:rPr>
        <w:t>Scophthalmus maximus</w:t>
      </w:r>
      <w:r>
        <w:rPr>
          <w:szCs w:val="22"/>
        </w:rPr>
        <w:t xml:space="preserve"> and </w:t>
      </w:r>
      <w:proofErr w:type="spellStart"/>
      <w:r>
        <w:rPr>
          <w:i/>
          <w:iCs/>
          <w:szCs w:val="22"/>
        </w:rPr>
        <w:t>Takifugu</w:t>
      </w:r>
      <w:proofErr w:type="spellEnd"/>
      <w:r>
        <w:rPr>
          <w:i/>
          <w:iCs/>
          <w:szCs w:val="22"/>
        </w:rPr>
        <w:t xml:space="preserve"> </w:t>
      </w:r>
      <w:proofErr w:type="spellStart"/>
      <w:r>
        <w:rPr>
          <w:i/>
          <w:iCs/>
          <w:szCs w:val="22"/>
        </w:rPr>
        <w:t>rubripes</w:t>
      </w:r>
      <w:proofErr w:type="spellEnd"/>
      <w:r>
        <w:rPr>
          <w:rFonts w:hint="eastAsia"/>
          <w:szCs w:val="22"/>
        </w:rPr>
        <w:t>,</w:t>
      </w:r>
      <w:r>
        <w:rPr>
          <w:szCs w:val="22"/>
        </w:rPr>
        <w:t xml:space="preserve"> however</w:t>
      </w:r>
      <w:r>
        <w:rPr>
          <w:rFonts w:hint="eastAsia"/>
          <w:szCs w:val="22"/>
        </w:rPr>
        <w:t>,</w:t>
      </w:r>
      <w:r>
        <w:rPr>
          <w:szCs w:val="22"/>
        </w:rPr>
        <w:t xml:space="preserve"> the response of FATP expression to diet lipid level and starvation time is similar</w:t>
      </w:r>
      <w:r>
        <w:rPr>
          <w:rFonts w:hint="eastAsia"/>
          <w:szCs w:val="22"/>
        </w:rPr>
        <w:t>.</w:t>
      </w:r>
      <w:r>
        <w:rPr>
          <w:szCs w:val="22"/>
        </w:rPr>
        <w:t xml:space="preserve"> Dietary lipid levels had no significant effects on expression of FATP1</w:t>
      </w:r>
      <w:r>
        <w:rPr>
          <w:rFonts w:hint="eastAsia"/>
          <w:szCs w:val="22"/>
        </w:rPr>
        <w:t>,</w:t>
      </w:r>
      <w:r>
        <w:rPr>
          <w:szCs w:val="22"/>
        </w:rPr>
        <w:t xml:space="preserve"> FATP4 and FATP6 in liver of </w:t>
      </w:r>
      <w:proofErr w:type="spellStart"/>
      <w:r>
        <w:rPr>
          <w:i/>
          <w:iCs/>
          <w:szCs w:val="22"/>
        </w:rPr>
        <w:t>Scophthalamus</w:t>
      </w:r>
      <w:proofErr w:type="spellEnd"/>
      <w:r>
        <w:rPr>
          <w:i/>
          <w:iCs/>
          <w:szCs w:val="22"/>
        </w:rPr>
        <w:t xml:space="preserve"> maximus </w:t>
      </w:r>
      <w:r>
        <w:rPr>
          <w:szCs w:val="22"/>
        </w:rPr>
        <w:t>and</w:t>
      </w:r>
      <w:r>
        <w:rPr>
          <w:i/>
          <w:iCs/>
          <w:szCs w:val="22"/>
        </w:rPr>
        <w:t xml:space="preserve"> </w:t>
      </w:r>
      <w:proofErr w:type="spellStart"/>
      <w:r>
        <w:rPr>
          <w:i/>
          <w:iCs/>
          <w:szCs w:val="22"/>
        </w:rPr>
        <w:t>Takifugu</w:t>
      </w:r>
      <w:proofErr w:type="spellEnd"/>
      <w:r>
        <w:rPr>
          <w:i/>
          <w:iCs/>
          <w:szCs w:val="22"/>
        </w:rPr>
        <w:t xml:space="preserve"> </w:t>
      </w:r>
      <w:proofErr w:type="spellStart"/>
      <w:r>
        <w:rPr>
          <w:i/>
          <w:iCs/>
          <w:szCs w:val="22"/>
        </w:rPr>
        <w:t>rubripes</w:t>
      </w:r>
      <w:proofErr w:type="spellEnd"/>
      <w:r>
        <w:rPr>
          <w:rFonts w:hint="eastAsia"/>
          <w:szCs w:val="22"/>
        </w:rPr>
        <w:t>,</w:t>
      </w:r>
      <w:r>
        <w:rPr>
          <w:szCs w:val="22"/>
        </w:rPr>
        <w:t xml:space="preserve"> however</w:t>
      </w:r>
      <w:r>
        <w:rPr>
          <w:rFonts w:hint="eastAsia"/>
          <w:szCs w:val="22"/>
        </w:rPr>
        <w:t>,</w:t>
      </w:r>
      <w:r>
        <w:rPr>
          <w:szCs w:val="22"/>
        </w:rPr>
        <w:t xml:space="preserve"> the starvation can up-regulate the expression of FATP1</w:t>
      </w:r>
      <w:r>
        <w:rPr>
          <w:rFonts w:hint="eastAsia"/>
          <w:szCs w:val="22"/>
        </w:rPr>
        <w:t>,</w:t>
      </w:r>
      <w:r>
        <w:rPr>
          <w:szCs w:val="22"/>
        </w:rPr>
        <w:t xml:space="preserve"> FATP4</w:t>
      </w:r>
      <w:r>
        <w:rPr>
          <w:rFonts w:hint="eastAsia"/>
          <w:szCs w:val="22"/>
        </w:rPr>
        <w:t>,</w:t>
      </w:r>
      <w:r>
        <w:rPr>
          <w:szCs w:val="22"/>
        </w:rPr>
        <w:t xml:space="preserve"> FATP6 in liver of </w:t>
      </w:r>
      <w:r>
        <w:rPr>
          <w:i/>
          <w:iCs/>
          <w:szCs w:val="22"/>
        </w:rPr>
        <w:t>Scophthalmus maximus</w:t>
      </w:r>
      <w:r>
        <w:rPr>
          <w:szCs w:val="22"/>
        </w:rPr>
        <w:t xml:space="preserve"> and FATP6 in liver of </w:t>
      </w:r>
      <w:proofErr w:type="spellStart"/>
      <w:r>
        <w:rPr>
          <w:i/>
          <w:iCs/>
          <w:szCs w:val="22"/>
        </w:rPr>
        <w:t>Takifugu</w:t>
      </w:r>
      <w:proofErr w:type="spellEnd"/>
      <w:r>
        <w:rPr>
          <w:i/>
          <w:iCs/>
          <w:szCs w:val="22"/>
        </w:rPr>
        <w:t xml:space="preserve"> </w:t>
      </w:r>
      <w:proofErr w:type="spellStart"/>
      <w:r>
        <w:rPr>
          <w:i/>
          <w:iCs/>
          <w:szCs w:val="22"/>
        </w:rPr>
        <w:t>rubripes</w:t>
      </w:r>
      <w:proofErr w:type="spellEnd"/>
      <w:r>
        <w:rPr>
          <w:szCs w:val="22"/>
        </w:rPr>
        <w:t>．［</w:t>
      </w:r>
      <w:r>
        <w:rPr>
          <w:szCs w:val="22"/>
        </w:rPr>
        <w:t>Chinese Journal of Animal Nutrition</w:t>
      </w:r>
      <w:r>
        <w:rPr>
          <w:szCs w:val="22"/>
        </w:rPr>
        <w:t>，</w:t>
      </w:r>
      <w:r>
        <w:rPr>
          <w:szCs w:val="22"/>
        </w:rPr>
        <w:t>2022</w:t>
      </w:r>
      <w:r>
        <w:rPr>
          <w:szCs w:val="22"/>
        </w:rPr>
        <w:t>，</w:t>
      </w:r>
      <w:r>
        <w:rPr>
          <w:szCs w:val="22"/>
        </w:rPr>
        <w:t>34(9)</w:t>
      </w:r>
      <w:r>
        <w:rPr>
          <w:szCs w:val="22"/>
        </w:rPr>
        <w:t>］</w:t>
      </w:r>
    </w:p>
    <w:p w14:paraId="603F3FF0" w14:textId="77777777" w:rsidR="006D73E5" w:rsidRDefault="00000000">
      <w:pPr>
        <w:rPr>
          <w:szCs w:val="22"/>
        </w:rPr>
      </w:pPr>
      <w:r>
        <w:rPr>
          <w:b/>
          <w:bCs/>
          <w:szCs w:val="22"/>
        </w:rPr>
        <w:t>Key words:</w:t>
      </w:r>
      <w:r>
        <w:rPr>
          <w:szCs w:val="22"/>
        </w:rPr>
        <w:t xml:space="preserve"> </w:t>
      </w:r>
      <w:r>
        <w:rPr>
          <w:i/>
          <w:iCs/>
          <w:szCs w:val="22"/>
        </w:rPr>
        <w:t>Scophthalmus maximus</w:t>
      </w:r>
      <w:r>
        <w:rPr>
          <w:szCs w:val="22"/>
        </w:rPr>
        <w:t>;</w:t>
      </w:r>
      <w:r>
        <w:rPr>
          <w:i/>
          <w:iCs/>
          <w:szCs w:val="22"/>
        </w:rPr>
        <w:t xml:space="preserve"> </w:t>
      </w:r>
      <w:proofErr w:type="spellStart"/>
      <w:r>
        <w:rPr>
          <w:i/>
          <w:iCs/>
          <w:szCs w:val="22"/>
        </w:rPr>
        <w:t>Takifugu</w:t>
      </w:r>
      <w:proofErr w:type="spellEnd"/>
      <w:r>
        <w:rPr>
          <w:i/>
          <w:iCs/>
          <w:szCs w:val="22"/>
        </w:rPr>
        <w:t xml:space="preserve"> </w:t>
      </w:r>
      <w:proofErr w:type="spellStart"/>
      <w:r>
        <w:rPr>
          <w:i/>
          <w:iCs/>
          <w:szCs w:val="22"/>
        </w:rPr>
        <w:t>rubripes</w:t>
      </w:r>
      <w:proofErr w:type="spellEnd"/>
      <w:r>
        <w:rPr>
          <w:szCs w:val="22"/>
        </w:rPr>
        <w:t>; gene expression; dietary lipid level; starvation</w:t>
      </w:r>
    </w:p>
    <w:p w14:paraId="7584C136" w14:textId="77777777" w:rsidR="006D73E5" w:rsidRDefault="00000000">
      <w:pPr>
        <w:spacing w:line="360" w:lineRule="auto"/>
        <w:ind w:firstLineChars="200" w:firstLine="480"/>
        <w:rPr>
          <w:sz w:val="24"/>
        </w:rPr>
      </w:pPr>
      <w:r>
        <w:rPr>
          <w:sz w:val="24"/>
        </w:rPr>
        <w:lastRenderedPageBreak/>
        <w:t>脂肪酸转运蛋白</w:t>
      </w:r>
      <w:r>
        <w:rPr>
          <w:sz w:val="24"/>
        </w:rPr>
        <w:t>( FATP</w:t>
      </w:r>
      <w:r>
        <w:rPr>
          <w:sz w:val="24"/>
        </w:rPr>
        <w:t>，也称为溶质载体家族</w:t>
      </w:r>
      <w:r>
        <w:rPr>
          <w:sz w:val="24"/>
        </w:rPr>
        <w:t xml:space="preserve"> 27)</w:t>
      </w:r>
      <w:r>
        <w:rPr>
          <w:sz w:val="24"/>
        </w:rPr>
        <w:t>广泛存在于从分枝杆菌到人类的许多生物中，在长链脂肪酸</w:t>
      </w:r>
      <w:r>
        <w:rPr>
          <w:sz w:val="24"/>
        </w:rPr>
        <w:t>(LCFA)</w:t>
      </w:r>
      <w:r>
        <w:rPr>
          <w:sz w:val="24"/>
        </w:rPr>
        <w:t>和超长链脂肪酸</w:t>
      </w:r>
      <w:r>
        <w:rPr>
          <w:sz w:val="24"/>
        </w:rPr>
        <w:t>(VLCFA)</w:t>
      </w:r>
      <w:r>
        <w:rPr>
          <w:sz w:val="24"/>
        </w:rPr>
        <w:t>的细胞摄取和代谢中发挥着重要作用。已经在人类和小鼠中鉴定到</w:t>
      </w:r>
      <w:r>
        <w:rPr>
          <w:sz w:val="24"/>
        </w:rPr>
        <w:t>6</w:t>
      </w:r>
      <w:r>
        <w:rPr>
          <w:sz w:val="24"/>
        </w:rPr>
        <w:t>种</w:t>
      </w:r>
      <w:r>
        <w:rPr>
          <w:sz w:val="24"/>
        </w:rPr>
        <w:t xml:space="preserve">FATP </w:t>
      </w:r>
      <w:r>
        <w:rPr>
          <w:sz w:val="24"/>
        </w:rPr>
        <w:t>亚型，即</w:t>
      </w:r>
      <w:r>
        <w:rPr>
          <w:sz w:val="24"/>
        </w:rPr>
        <w:t xml:space="preserve"> FATP1</w:t>
      </w:r>
      <w:r>
        <w:rPr>
          <w:sz w:val="24"/>
        </w:rPr>
        <w:t>～</w:t>
      </w:r>
      <w:r>
        <w:rPr>
          <w:sz w:val="24"/>
        </w:rPr>
        <w:t>FATP6</w:t>
      </w:r>
      <w:r>
        <w:rPr>
          <w:sz w:val="24"/>
        </w:rPr>
        <w:t>，每种亚型都在摄取特定脂肪酸中起着不同的作用</w:t>
      </w:r>
      <w:r>
        <w:rPr>
          <w:sz w:val="24"/>
          <w:vertAlign w:val="superscript"/>
        </w:rPr>
        <w:t>[1</w:t>
      </w:r>
      <w:r>
        <w:rPr>
          <w:rFonts w:hint="eastAsia"/>
          <w:sz w:val="24"/>
          <w:vertAlign w:val="superscript"/>
        </w:rPr>
        <w:t>-</w:t>
      </w:r>
      <w:r>
        <w:rPr>
          <w:sz w:val="24"/>
          <w:vertAlign w:val="superscript"/>
        </w:rPr>
        <w:t>2</w:t>
      </w:r>
      <w:r>
        <w:rPr>
          <w:rFonts w:hint="eastAsia"/>
          <w:sz w:val="24"/>
          <w:vertAlign w:val="superscript"/>
        </w:rPr>
        <w:t>]</w:t>
      </w:r>
      <w:r>
        <w:rPr>
          <w:sz w:val="24"/>
        </w:rPr>
        <w:t>。尽管</w:t>
      </w:r>
      <w:r>
        <w:rPr>
          <w:sz w:val="24"/>
        </w:rPr>
        <w:t xml:space="preserve"> FATP </w:t>
      </w:r>
      <w:r>
        <w:rPr>
          <w:sz w:val="24"/>
        </w:rPr>
        <w:t>促进</w:t>
      </w:r>
      <w:r>
        <w:rPr>
          <w:sz w:val="24"/>
        </w:rPr>
        <w:t xml:space="preserve">LCFA </w:t>
      </w:r>
      <w:r>
        <w:rPr>
          <w:sz w:val="24"/>
        </w:rPr>
        <w:t>摄取的确切机制仍不十分清楚，但已经有人提出</w:t>
      </w:r>
      <w:r>
        <w:rPr>
          <w:sz w:val="24"/>
        </w:rPr>
        <w:t xml:space="preserve"> FATP </w:t>
      </w:r>
      <w:r>
        <w:rPr>
          <w:sz w:val="24"/>
        </w:rPr>
        <w:t>可以通过以下几种方式发挥作用</w:t>
      </w:r>
      <w:r>
        <w:rPr>
          <w:sz w:val="24"/>
        </w:rPr>
        <w:t xml:space="preserve">: 1) </w:t>
      </w:r>
      <w:r>
        <w:rPr>
          <w:sz w:val="24"/>
        </w:rPr>
        <w:t>作为</w:t>
      </w:r>
      <w:r>
        <w:rPr>
          <w:sz w:val="24"/>
        </w:rPr>
        <w:t xml:space="preserve"> LCFA </w:t>
      </w:r>
      <w:r>
        <w:rPr>
          <w:sz w:val="24"/>
        </w:rPr>
        <w:t>的直接转运蛋白</w:t>
      </w:r>
      <w:r>
        <w:rPr>
          <w:sz w:val="24"/>
        </w:rPr>
        <w:t xml:space="preserve">; 2) </w:t>
      </w:r>
      <w:r>
        <w:rPr>
          <w:sz w:val="24"/>
        </w:rPr>
        <w:t>通过酰基辅酶</w:t>
      </w:r>
      <w:r>
        <w:rPr>
          <w:sz w:val="24"/>
        </w:rPr>
        <w:t xml:space="preserve"> A </w:t>
      </w:r>
      <w:r>
        <w:rPr>
          <w:sz w:val="24"/>
        </w:rPr>
        <w:t>合成</w:t>
      </w:r>
      <w:r>
        <w:rPr>
          <w:rFonts w:hint="eastAsia"/>
          <w:sz w:val="24"/>
        </w:rPr>
        <w:t>酶激活</w:t>
      </w:r>
      <w:r>
        <w:rPr>
          <w:sz w:val="24"/>
        </w:rPr>
        <w:t>LCFA; 3)</w:t>
      </w:r>
      <w:r>
        <w:rPr>
          <w:sz w:val="24"/>
        </w:rPr>
        <w:t>作为具有独立转运和酶活性的双</w:t>
      </w:r>
      <w:r>
        <w:rPr>
          <w:rFonts w:hint="eastAsia"/>
          <w:sz w:val="24"/>
        </w:rPr>
        <w:t>功能蛋白</w:t>
      </w:r>
      <w:r>
        <w:rPr>
          <w:rFonts w:hint="eastAsia"/>
          <w:sz w:val="24"/>
          <w:vertAlign w:val="superscript"/>
        </w:rPr>
        <w:t>[</w:t>
      </w:r>
      <w:r>
        <w:rPr>
          <w:sz w:val="24"/>
          <w:vertAlign w:val="superscript"/>
        </w:rPr>
        <w:t>3</w:t>
      </w:r>
      <w:r>
        <w:rPr>
          <w:rFonts w:hint="eastAsia"/>
          <w:sz w:val="24"/>
          <w:vertAlign w:val="superscript"/>
        </w:rPr>
        <w:t>-</w:t>
      </w:r>
      <w:r>
        <w:rPr>
          <w:sz w:val="24"/>
          <w:vertAlign w:val="superscript"/>
        </w:rPr>
        <w:t>4</w:t>
      </w:r>
      <w:r>
        <w:rPr>
          <w:rFonts w:hint="eastAsia"/>
          <w:sz w:val="24"/>
          <w:vertAlign w:val="superscript"/>
        </w:rPr>
        <w:t>]</w:t>
      </w:r>
      <w:r>
        <w:rPr>
          <w:sz w:val="24"/>
        </w:rPr>
        <w:t>。</w:t>
      </w:r>
    </w:p>
    <w:p w14:paraId="00F52B75" w14:textId="77777777" w:rsidR="006D73E5" w:rsidRDefault="00000000">
      <w:pPr>
        <w:spacing w:line="360" w:lineRule="auto"/>
        <w:ind w:firstLineChars="200" w:firstLine="420"/>
        <w:rPr>
          <w:rFonts w:ascii="等线" w:eastAsia="等线" w:hAnsi="等线"/>
          <w:szCs w:val="22"/>
        </w:rPr>
      </w:pPr>
      <w:r>
        <w:rPr>
          <w:rFonts w:ascii="等线" w:eastAsia="等线" w:hAnsi="等线"/>
          <w:szCs w:val="22"/>
        </w:rPr>
        <w:t xml:space="preserve">  </w:t>
      </w:r>
      <w:r>
        <w:rPr>
          <w:sz w:val="24"/>
        </w:rPr>
        <w:t>FATP</w:t>
      </w:r>
      <w:r>
        <w:rPr>
          <w:sz w:val="24"/>
        </w:rPr>
        <w:t>已在哺乳动物甚至某些无脊椎动物中得到广泛研究</w:t>
      </w:r>
      <w:r>
        <w:rPr>
          <w:rFonts w:hint="eastAsia"/>
          <w:sz w:val="24"/>
          <w:vertAlign w:val="superscript"/>
        </w:rPr>
        <w:t>[</w:t>
      </w:r>
      <w:r>
        <w:rPr>
          <w:sz w:val="24"/>
          <w:vertAlign w:val="superscript"/>
        </w:rPr>
        <w:t>5]</w:t>
      </w:r>
      <w:r>
        <w:rPr>
          <w:sz w:val="24"/>
        </w:rPr>
        <w:t>。但是，关于鱼类</w:t>
      </w:r>
      <w:r>
        <w:rPr>
          <w:sz w:val="24"/>
        </w:rPr>
        <w:t>FATP</w:t>
      </w:r>
      <w:r>
        <w:rPr>
          <w:sz w:val="24"/>
        </w:rPr>
        <w:t>的信息很少。在一些鱼类研究中，</w:t>
      </w:r>
      <w:r>
        <w:rPr>
          <w:sz w:val="24"/>
        </w:rPr>
        <w:t xml:space="preserve">FATP </w:t>
      </w:r>
      <w:r>
        <w:rPr>
          <w:sz w:val="24"/>
        </w:rPr>
        <w:t>表达仅用作脂质积累的指标</w:t>
      </w:r>
      <w:r>
        <w:rPr>
          <w:rFonts w:hint="eastAsia"/>
          <w:sz w:val="24"/>
          <w:vertAlign w:val="superscript"/>
        </w:rPr>
        <w:t>[</w:t>
      </w:r>
      <w:r>
        <w:rPr>
          <w:sz w:val="24"/>
          <w:vertAlign w:val="superscript"/>
        </w:rPr>
        <w:t>6-7]</w:t>
      </w:r>
      <w:r>
        <w:rPr>
          <w:sz w:val="24"/>
        </w:rPr>
        <w:t>。与哺乳动物不同，鱼类更多地利用脂质而不是碳水化合物作为其主要能量来源。脂肪作为三大营养物质之一，是鱼类生长、发育和繁殖所必需的营养物质</w:t>
      </w:r>
      <w:r>
        <w:rPr>
          <w:rFonts w:hint="eastAsia"/>
          <w:sz w:val="24"/>
          <w:vertAlign w:val="superscript"/>
        </w:rPr>
        <w:t>[</w:t>
      </w:r>
      <w:r>
        <w:rPr>
          <w:sz w:val="24"/>
          <w:vertAlign w:val="superscript"/>
        </w:rPr>
        <w:t>8]</w:t>
      </w:r>
      <w:r>
        <w:rPr>
          <w:sz w:val="24"/>
        </w:rPr>
        <w:t>。此外，鱼类是人类食用的长链多不饱和脂肪酸</w:t>
      </w:r>
      <w:r>
        <w:rPr>
          <w:sz w:val="24"/>
        </w:rPr>
        <w:t>( LC-PUFA)</w:t>
      </w:r>
      <w:r>
        <w:rPr>
          <w:sz w:val="24"/>
        </w:rPr>
        <w:t>，即二十二碳六烯酸</w:t>
      </w:r>
      <w:r>
        <w:rPr>
          <w:sz w:val="24"/>
        </w:rPr>
        <w:t>(DHA</w:t>
      </w:r>
      <w:r>
        <w:rPr>
          <w:sz w:val="24"/>
        </w:rPr>
        <w:t>，</w:t>
      </w:r>
      <w:r>
        <w:rPr>
          <w:sz w:val="24"/>
        </w:rPr>
        <w:t>22</w:t>
      </w:r>
      <w:r>
        <w:rPr>
          <w:rFonts w:ascii="宋体" w:hAnsi="宋体" w:cs="宋体"/>
          <w:sz w:val="24"/>
        </w:rPr>
        <w:t>∶</w:t>
      </w:r>
      <w:r>
        <w:rPr>
          <w:sz w:val="24"/>
        </w:rPr>
        <w:t>6n-3)</w:t>
      </w:r>
      <w:r>
        <w:rPr>
          <w:sz w:val="24"/>
        </w:rPr>
        <w:t>、二十碳五烯酸</w:t>
      </w:r>
      <w:r>
        <w:rPr>
          <w:sz w:val="24"/>
        </w:rPr>
        <w:t>( EPA</w:t>
      </w:r>
      <w:r>
        <w:rPr>
          <w:sz w:val="24"/>
        </w:rPr>
        <w:t>，</w:t>
      </w:r>
      <w:r>
        <w:rPr>
          <w:sz w:val="24"/>
        </w:rPr>
        <w:t>20</w:t>
      </w:r>
      <w:bookmarkStart w:id="27" w:name="_Hlk113133278"/>
      <w:r>
        <w:rPr>
          <w:rFonts w:ascii="宋体" w:hAnsi="宋体" w:cs="宋体" w:hint="eastAsia"/>
          <w:sz w:val="24"/>
        </w:rPr>
        <w:t>∶</w:t>
      </w:r>
      <w:bookmarkEnd w:id="27"/>
      <w:r>
        <w:rPr>
          <w:sz w:val="24"/>
        </w:rPr>
        <w:t>5n-3)</w:t>
      </w:r>
      <w:r>
        <w:rPr>
          <w:sz w:val="24"/>
        </w:rPr>
        <w:t>和花生四烯酸</w:t>
      </w:r>
      <w:r>
        <w:rPr>
          <w:sz w:val="24"/>
        </w:rPr>
        <w:t>( ARA</w:t>
      </w:r>
      <w:r>
        <w:rPr>
          <w:sz w:val="24"/>
        </w:rPr>
        <w:t>，</w:t>
      </w:r>
      <w:r>
        <w:rPr>
          <w:sz w:val="24"/>
        </w:rPr>
        <w:t>20</w:t>
      </w:r>
      <w:r>
        <w:rPr>
          <w:rFonts w:ascii="宋体" w:hAnsi="宋体" w:cs="宋体" w:hint="eastAsia"/>
          <w:sz w:val="24"/>
        </w:rPr>
        <w:t>：</w:t>
      </w:r>
      <w:r>
        <w:rPr>
          <w:sz w:val="24"/>
        </w:rPr>
        <w:t>4n-6)</w:t>
      </w:r>
      <w:r>
        <w:rPr>
          <w:sz w:val="24"/>
        </w:rPr>
        <w:t>的主要来源。因此，阐明鱼类体内</w:t>
      </w:r>
      <w:r>
        <w:rPr>
          <w:sz w:val="24"/>
        </w:rPr>
        <w:t xml:space="preserve"> FATP </w:t>
      </w:r>
      <w:r>
        <w:rPr>
          <w:sz w:val="24"/>
        </w:rPr>
        <w:t>功能有利于阐明其体内脂质</w:t>
      </w:r>
      <w:r>
        <w:rPr>
          <w:sz w:val="24"/>
        </w:rPr>
        <w:t>/</w:t>
      </w:r>
      <w:r>
        <w:rPr>
          <w:sz w:val="24"/>
        </w:rPr>
        <w:t>脂肪酸转运机制。</w:t>
      </w:r>
    </w:p>
    <w:p w14:paraId="5890DE46" w14:textId="77777777" w:rsidR="006D73E5" w:rsidRDefault="00000000">
      <w:pPr>
        <w:spacing w:line="360" w:lineRule="auto"/>
        <w:ind w:firstLineChars="200" w:firstLine="420"/>
        <w:rPr>
          <w:sz w:val="24"/>
        </w:rPr>
      </w:pPr>
      <w:r>
        <w:rPr>
          <w:rFonts w:ascii="等线" w:eastAsia="等线" w:hAnsi="等线"/>
          <w:szCs w:val="22"/>
        </w:rPr>
        <w:t xml:space="preserve">  </w:t>
      </w:r>
      <w:r>
        <w:rPr>
          <w:sz w:val="24"/>
        </w:rPr>
        <w:t>在我们之前对花鲈</w:t>
      </w:r>
      <w:r>
        <w:rPr>
          <w:sz w:val="24"/>
        </w:rPr>
        <w:t>(</w:t>
      </w:r>
      <w:proofErr w:type="spellStart"/>
      <w:r>
        <w:rPr>
          <w:i/>
          <w:iCs/>
          <w:sz w:val="24"/>
        </w:rPr>
        <w:t>Lateolabrax</w:t>
      </w:r>
      <w:proofErr w:type="spellEnd"/>
      <w:r>
        <w:rPr>
          <w:i/>
          <w:iCs/>
          <w:sz w:val="24"/>
        </w:rPr>
        <w:t xml:space="preserve"> japonicus</w:t>
      </w:r>
      <w:r>
        <w:rPr>
          <w:sz w:val="24"/>
        </w:rPr>
        <w:t>)</w:t>
      </w:r>
      <w:r>
        <w:rPr>
          <w:sz w:val="24"/>
        </w:rPr>
        <w:t>的研究中，已经克隆并表征了几种</w:t>
      </w:r>
      <w:r>
        <w:rPr>
          <w:sz w:val="24"/>
        </w:rPr>
        <w:t xml:space="preserve">FATP </w:t>
      </w:r>
      <w:r>
        <w:rPr>
          <w:sz w:val="24"/>
        </w:rPr>
        <w:t>亚型，即</w:t>
      </w:r>
      <w:r>
        <w:rPr>
          <w:sz w:val="24"/>
        </w:rPr>
        <w:t>FATP1a</w:t>
      </w:r>
      <w:r>
        <w:rPr>
          <w:sz w:val="24"/>
        </w:rPr>
        <w:t>、</w:t>
      </w:r>
      <w:r>
        <w:rPr>
          <w:sz w:val="24"/>
        </w:rPr>
        <w:t>FATP1b</w:t>
      </w:r>
      <w:r>
        <w:rPr>
          <w:sz w:val="24"/>
        </w:rPr>
        <w:t>、</w:t>
      </w:r>
      <w:r>
        <w:rPr>
          <w:sz w:val="24"/>
        </w:rPr>
        <w:t>FATP4</w:t>
      </w:r>
      <w:r>
        <w:rPr>
          <w:sz w:val="24"/>
        </w:rPr>
        <w:t>和</w:t>
      </w:r>
      <w:r>
        <w:rPr>
          <w:sz w:val="24"/>
        </w:rPr>
        <w:t>FATP6</w:t>
      </w:r>
      <w:r>
        <w:rPr>
          <w:rFonts w:hint="eastAsia"/>
          <w:sz w:val="24"/>
          <w:vertAlign w:val="superscript"/>
        </w:rPr>
        <w:t>[</w:t>
      </w:r>
      <w:r>
        <w:rPr>
          <w:sz w:val="24"/>
          <w:vertAlign w:val="superscript"/>
        </w:rPr>
        <w:t>9]</w:t>
      </w:r>
      <w:r>
        <w:rPr>
          <w:sz w:val="24"/>
        </w:rPr>
        <w:t>。但是，其他鱼类中</w:t>
      </w:r>
      <w:r>
        <w:rPr>
          <w:sz w:val="24"/>
        </w:rPr>
        <w:t xml:space="preserve"> FATP </w:t>
      </w:r>
      <w:r>
        <w:rPr>
          <w:sz w:val="24"/>
        </w:rPr>
        <w:t>基因的特征研究非常稀少。本研究旨在对大菱鲆</w:t>
      </w:r>
      <w:r>
        <w:rPr>
          <w:sz w:val="24"/>
        </w:rPr>
        <w:t>(</w:t>
      </w:r>
      <w:r>
        <w:rPr>
          <w:i/>
          <w:iCs/>
          <w:sz w:val="24"/>
        </w:rPr>
        <w:t>Scophthalmus maximus</w:t>
      </w:r>
      <w:r>
        <w:rPr>
          <w:sz w:val="24"/>
        </w:rPr>
        <w:t>)</w:t>
      </w:r>
      <w:r>
        <w:rPr>
          <w:sz w:val="24"/>
        </w:rPr>
        <w:t>和红鳍东</w:t>
      </w:r>
      <w:r>
        <w:rPr>
          <w:sz w:val="24"/>
        </w:rPr>
        <w:t xml:space="preserve"> </w:t>
      </w:r>
      <w:r>
        <w:rPr>
          <w:sz w:val="24"/>
        </w:rPr>
        <w:t>方鲀</w:t>
      </w:r>
      <w:r>
        <w:rPr>
          <w:sz w:val="24"/>
        </w:rPr>
        <w:t>(</w:t>
      </w:r>
      <w:proofErr w:type="spellStart"/>
      <w:r>
        <w:rPr>
          <w:i/>
          <w:iCs/>
          <w:sz w:val="24"/>
        </w:rPr>
        <w:t>Takifugu</w:t>
      </w:r>
      <w:proofErr w:type="spellEnd"/>
      <w:r>
        <w:rPr>
          <w:i/>
          <w:iCs/>
          <w:sz w:val="24"/>
        </w:rPr>
        <w:t xml:space="preserve"> </w:t>
      </w:r>
      <w:proofErr w:type="spellStart"/>
      <w:r>
        <w:rPr>
          <w:i/>
          <w:iCs/>
          <w:sz w:val="24"/>
        </w:rPr>
        <w:t>rubripes</w:t>
      </w:r>
      <w:proofErr w:type="spellEnd"/>
      <w:r>
        <w:rPr>
          <w:sz w:val="24"/>
        </w:rPr>
        <w:t>)</w:t>
      </w:r>
      <w:r>
        <w:rPr>
          <w:sz w:val="24"/>
        </w:rPr>
        <w:t>这</w:t>
      </w:r>
      <w:r>
        <w:rPr>
          <w:sz w:val="24"/>
        </w:rPr>
        <w:t xml:space="preserve"> 2 </w:t>
      </w:r>
      <w:r>
        <w:rPr>
          <w:sz w:val="24"/>
        </w:rPr>
        <w:t>种海洋硬骨鱼的</w:t>
      </w:r>
      <w:r>
        <w:rPr>
          <w:sz w:val="24"/>
        </w:rPr>
        <w:t>FATP</w:t>
      </w:r>
      <w:r>
        <w:rPr>
          <w:sz w:val="24"/>
        </w:rPr>
        <w:t>基因进行研究，这</w:t>
      </w:r>
      <w:r>
        <w:rPr>
          <w:sz w:val="24"/>
        </w:rPr>
        <w:t xml:space="preserve"> 2 </w:t>
      </w:r>
      <w:r>
        <w:rPr>
          <w:sz w:val="24"/>
        </w:rPr>
        <w:t>种鱼类也因其特殊的脂质储存模式而成为脂质代谢研究的重要模式鱼类</w:t>
      </w:r>
      <w:r>
        <w:rPr>
          <w:rFonts w:hint="eastAsia"/>
          <w:sz w:val="24"/>
          <w:vertAlign w:val="superscript"/>
        </w:rPr>
        <w:t>[</w:t>
      </w:r>
      <w:r>
        <w:rPr>
          <w:sz w:val="24"/>
          <w:vertAlign w:val="superscript"/>
        </w:rPr>
        <w:t>10]</w:t>
      </w:r>
      <w:r>
        <w:rPr>
          <w:sz w:val="24"/>
        </w:rPr>
        <w:t>。考虑到饲料脂肪水平已在水产养殖业中被用于调节鱼类生长和品质</w:t>
      </w:r>
      <w:r>
        <w:rPr>
          <w:rFonts w:hint="eastAsia"/>
          <w:sz w:val="24"/>
          <w:vertAlign w:val="superscript"/>
        </w:rPr>
        <w:t>[</w:t>
      </w:r>
      <w:r>
        <w:rPr>
          <w:sz w:val="24"/>
          <w:vertAlign w:val="superscript"/>
        </w:rPr>
        <w:t>11]</w:t>
      </w:r>
      <w:r>
        <w:rPr>
          <w:sz w:val="24"/>
        </w:rPr>
        <w:t>，本研究除分析</w:t>
      </w:r>
      <w:r>
        <w:rPr>
          <w:sz w:val="24"/>
        </w:rPr>
        <w:t xml:space="preserve"> 2 </w:t>
      </w:r>
      <w:r>
        <w:rPr>
          <w:sz w:val="24"/>
        </w:rPr>
        <w:t>种海洋硬骨鱼的</w:t>
      </w:r>
      <w:r>
        <w:rPr>
          <w:sz w:val="24"/>
        </w:rPr>
        <w:t>FATP</w:t>
      </w:r>
      <w:r>
        <w:rPr>
          <w:sz w:val="24"/>
        </w:rPr>
        <w:t>基因序列特征和组织分布外，还研究了饲料脂肪水平和饥饿时间对</w:t>
      </w:r>
      <w:r>
        <w:rPr>
          <w:sz w:val="24"/>
        </w:rPr>
        <w:t xml:space="preserve"> FATP </w:t>
      </w:r>
      <w:r>
        <w:rPr>
          <w:sz w:val="24"/>
        </w:rPr>
        <w:t>表达的影响，研究结果将有助于阐明鱼类</w:t>
      </w:r>
      <w:r>
        <w:rPr>
          <w:sz w:val="24"/>
        </w:rPr>
        <w:t xml:space="preserve"> FATP </w:t>
      </w:r>
      <w:r>
        <w:rPr>
          <w:sz w:val="24"/>
        </w:rPr>
        <w:t>基因的生理机制及调控机制。</w:t>
      </w:r>
    </w:p>
    <w:p w14:paraId="48AC1B2B" w14:textId="77777777" w:rsidR="006D73E5" w:rsidRDefault="00000000">
      <w:pPr>
        <w:spacing w:line="360" w:lineRule="auto"/>
        <w:rPr>
          <w:sz w:val="24"/>
        </w:rPr>
      </w:pPr>
      <w:r>
        <w:rPr>
          <w:sz w:val="24"/>
        </w:rPr>
        <w:t xml:space="preserve">1  </w:t>
      </w:r>
      <w:r>
        <w:rPr>
          <w:sz w:val="24"/>
        </w:rPr>
        <w:t>材料与方法</w:t>
      </w:r>
    </w:p>
    <w:p w14:paraId="0D9B099B" w14:textId="77777777" w:rsidR="006D73E5" w:rsidRDefault="00000000">
      <w:pPr>
        <w:spacing w:line="360" w:lineRule="auto"/>
        <w:rPr>
          <w:sz w:val="24"/>
        </w:rPr>
      </w:pPr>
      <w:r>
        <w:rPr>
          <w:sz w:val="24"/>
        </w:rPr>
        <w:t xml:space="preserve">1.1  </w:t>
      </w:r>
      <w:r>
        <w:rPr>
          <w:sz w:val="24"/>
        </w:rPr>
        <w:t>饲养试验和取样</w:t>
      </w:r>
    </w:p>
    <w:p w14:paraId="0FCC2FA4" w14:textId="77777777" w:rsidR="006D73E5" w:rsidRDefault="00000000">
      <w:pPr>
        <w:spacing w:line="360" w:lineRule="auto"/>
        <w:rPr>
          <w:sz w:val="24"/>
        </w:rPr>
      </w:pPr>
      <w:r>
        <w:rPr>
          <w:sz w:val="24"/>
        </w:rPr>
        <w:t xml:space="preserve">1.1.1  </w:t>
      </w:r>
      <w:r>
        <w:rPr>
          <w:sz w:val="24"/>
        </w:rPr>
        <w:t>大菱鲆饲养试验和取样</w:t>
      </w:r>
    </w:p>
    <w:p w14:paraId="274C6020" w14:textId="77777777" w:rsidR="006D73E5" w:rsidRDefault="00000000">
      <w:pPr>
        <w:spacing w:line="360" w:lineRule="auto"/>
        <w:ind w:firstLineChars="200" w:firstLine="480"/>
        <w:rPr>
          <w:sz w:val="24"/>
        </w:rPr>
      </w:pPr>
      <w:r>
        <w:rPr>
          <w:sz w:val="24"/>
        </w:rPr>
        <w:t>在大菱鲆</w:t>
      </w:r>
      <w:r>
        <w:rPr>
          <w:sz w:val="24"/>
        </w:rPr>
        <w:t xml:space="preserve"> FATP </w:t>
      </w:r>
      <w:r>
        <w:rPr>
          <w:sz w:val="24"/>
        </w:rPr>
        <w:t>表达的组织分布研究中，取眼睛、大脑、心脏、鳃、肌肉、肝脏、肾脏、皮肤、鳍周围皮下组织、脾脏、胃、幽门盲肠、肠</w:t>
      </w:r>
      <w:r>
        <w:rPr>
          <w:sz w:val="24"/>
        </w:rPr>
        <w:t>13</w:t>
      </w:r>
      <w:r>
        <w:rPr>
          <w:sz w:val="24"/>
        </w:rPr>
        <w:t>个组织样本，肠分别取前肠、中肠和后肠，采自山东省烟台市黄海水产养殖有限公司养殖的</w:t>
      </w:r>
      <w:r>
        <w:rPr>
          <w:sz w:val="24"/>
        </w:rPr>
        <w:t xml:space="preserve"> 30 </w:t>
      </w:r>
      <w:r>
        <w:rPr>
          <w:sz w:val="24"/>
        </w:rPr>
        <w:t>条大菱鲆幼鱼</w:t>
      </w:r>
      <w:r>
        <w:rPr>
          <w:sz w:val="24"/>
        </w:rPr>
        <w:t>(</w:t>
      </w:r>
      <w:r>
        <w:rPr>
          <w:sz w:val="24"/>
        </w:rPr>
        <w:t>体重约</w:t>
      </w:r>
      <w:r>
        <w:rPr>
          <w:sz w:val="24"/>
        </w:rPr>
        <w:t xml:space="preserve"> 20 g</w:t>
      </w:r>
      <w:r>
        <w:rPr>
          <w:sz w:val="24"/>
        </w:rPr>
        <w:t>，每组</w:t>
      </w:r>
      <w:r>
        <w:rPr>
          <w:sz w:val="24"/>
        </w:rPr>
        <w:t xml:space="preserve"> 10 </w:t>
      </w:r>
      <w:r>
        <w:rPr>
          <w:sz w:val="24"/>
        </w:rPr>
        <w:t>条</w:t>
      </w:r>
      <w:r>
        <w:rPr>
          <w:sz w:val="24"/>
        </w:rPr>
        <w:t>)</w:t>
      </w:r>
      <w:r>
        <w:rPr>
          <w:sz w:val="24"/>
        </w:rPr>
        <w:t>。这些鱼被用丁香酚麻醉后立即被解剖。组织样本</w:t>
      </w:r>
      <w:r>
        <w:rPr>
          <w:rFonts w:hint="eastAsia"/>
          <w:sz w:val="24"/>
        </w:rPr>
        <w:t>-</w:t>
      </w:r>
      <w:r>
        <w:rPr>
          <w:sz w:val="24"/>
        </w:rPr>
        <w:t>76 ℃</w:t>
      </w:r>
      <w:r>
        <w:rPr>
          <w:sz w:val="24"/>
        </w:rPr>
        <w:t>保存，用于进一步提取</w:t>
      </w:r>
      <w:r>
        <w:rPr>
          <w:rFonts w:hint="eastAsia"/>
          <w:sz w:val="24"/>
        </w:rPr>
        <w:t>R</w:t>
      </w:r>
      <w:r>
        <w:rPr>
          <w:sz w:val="24"/>
        </w:rPr>
        <w:t>NA</w:t>
      </w:r>
      <w:r>
        <w:rPr>
          <w:sz w:val="24"/>
        </w:rPr>
        <w:t>。</w:t>
      </w:r>
    </w:p>
    <w:p w14:paraId="38107248" w14:textId="77777777" w:rsidR="006D73E5" w:rsidRDefault="00000000">
      <w:pPr>
        <w:spacing w:line="360" w:lineRule="auto"/>
        <w:ind w:firstLineChars="200" w:firstLine="480"/>
        <w:rPr>
          <w:sz w:val="24"/>
        </w:rPr>
      </w:pPr>
      <w:r>
        <w:rPr>
          <w:sz w:val="24"/>
        </w:rPr>
        <w:lastRenderedPageBreak/>
        <w:t>饲喂试验选择平均初始体重为</w:t>
      </w:r>
      <w:r>
        <w:rPr>
          <w:sz w:val="24"/>
        </w:rPr>
        <w:t xml:space="preserve"> 26 g </w:t>
      </w:r>
      <w:r>
        <w:rPr>
          <w:sz w:val="24"/>
        </w:rPr>
        <w:t>的大菱鲆幼鱼</w:t>
      </w:r>
      <w:r>
        <w:rPr>
          <w:sz w:val="24"/>
        </w:rPr>
        <w:t xml:space="preserve"> 630 </w:t>
      </w:r>
      <w:r>
        <w:rPr>
          <w:sz w:val="24"/>
        </w:rPr>
        <w:t>尾，随机分为</w:t>
      </w:r>
      <w:r>
        <w:rPr>
          <w:sz w:val="24"/>
        </w:rPr>
        <w:t xml:space="preserve"> 3 </w:t>
      </w:r>
      <w:r>
        <w:rPr>
          <w:sz w:val="24"/>
        </w:rPr>
        <w:t>组，每组</w:t>
      </w:r>
      <w:r>
        <w:rPr>
          <w:sz w:val="24"/>
        </w:rPr>
        <w:t xml:space="preserve"> 6 </w:t>
      </w:r>
      <w:r>
        <w:rPr>
          <w:sz w:val="24"/>
        </w:rPr>
        <w:t>个重复</w:t>
      </w:r>
      <w:r>
        <w:rPr>
          <w:sz w:val="24"/>
        </w:rPr>
        <w:t>(</w:t>
      </w:r>
      <w:r>
        <w:rPr>
          <w:sz w:val="24"/>
        </w:rPr>
        <w:t>桶</w:t>
      </w:r>
      <w:r>
        <w:rPr>
          <w:sz w:val="24"/>
        </w:rPr>
        <w:t>)</w:t>
      </w:r>
      <w:r>
        <w:rPr>
          <w:sz w:val="24"/>
        </w:rPr>
        <w:t>，每个重复</w:t>
      </w:r>
      <w:r>
        <w:rPr>
          <w:sz w:val="24"/>
        </w:rPr>
        <w:t xml:space="preserve"> 35 </w:t>
      </w:r>
      <w:r>
        <w:rPr>
          <w:sz w:val="24"/>
        </w:rPr>
        <w:t>尾，进行</w:t>
      </w:r>
      <w:r>
        <w:rPr>
          <w:sz w:val="24"/>
        </w:rPr>
        <w:t xml:space="preserve"> 9 </w:t>
      </w:r>
      <w:r>
        <w:rPr>
          <w:sz w:val="24"/>
        </w:rPr>
        <w:t>周的饲养试验，然后进行饥饿试验</w:t>
      </w:r>
      <w:r>
        <w:rPr>
          <w:sz w:val="24"/>
        </w:rPr>
        <w:t>(30 d)</w:t>
      </w:r>
      <w:r>
        <w:rPr>
          <w:sz w:val="24"/>
        </w:rPr>
        <w:t>。各组试验饲料脂肪水平分别为</w:t>
      </w:r>
      <w:r>
        <w:rPr>
          <w:sz w:val="24"/>
        </w:rPr>
        <w:t xml:space="preserve"> 8</w:t>
      </w:r>
      <w:r>
        <w:rPr>
          <w:rFonts w:hint="eastAsia"/>
          <w:sz w:val="24"/>
        </w:rPr>
        <w:t>.</w:t>
      </w:r>
      <w:r>
        <w:rPr>
          <w:sz w:val="24"/>
        </w:rPr>
        <w:t>0%(</w:t>
      </w:r>
      <w:r>
        <w:rPr>
          <w:sz w:val="24"/>
        </w:rPr>
        <w:t>对照组</w:t>
      </w:r>
      <w:r>
        <w:rPr>
          <w:sz w:val="24"/>
        </w:rPr>
        <w:t>)</w:t>
      </w:r>
      <w:r>
        <w:rPr>
          <w:sz w:val="24"/>
        </w:rPr>
        <w:t>、</w:t>
      </w:r>
      <w:r>
        <w:rPr>
          <w:sz w:val="24"/>
        </w:rPr>
        <w:t>12</w:t>
      </w:r>
      <w:r>
        <w:rPr>
          <w:rFonts w:hint="eastAsia"/>
          <w:sz w:val="24"/>
        </w:rPr>
        <w:t>.</w:t>
      </w:r>
      <w:r>
        <w:rPr>
          <w:sz w:val="24"/>
        </w:rPr>
        <w:t>0%</w:t>
      </w:r>
      <w:r>
        <w:rPr>
          <w:sz w:val="24"/>
        </w:rPr>
        <w:t>和</w:t>
      </w:r>
      <w:r>
        <w:rPr>
          <w:sz w:val="24"/>
        </w:rPr>
        <w:t>16</w:t>
      </w:r>
      <w:r>
        <w:rPr>
          <w:rFonts w:hint="eastAsia"/>
          <w:sz w:val="24"/>
        </w:rPr>
        <w:t>.</w:t>
      </w:r>
      <w:r>
        <w:rPr>
          <w:sz w:val="24"/>
        </w:rPr>
        <w:t>0%</w:t>
      </w:r>
      <w:r>
        <w:rPr>
          <w:rFonts w:hint="eastAsia"/>
          <w:sz w:val="24"/>
          <w:vertAlign w:val="superscript"/>
        </w:rPr>
        <w:t>[</w:t>
      </w:r>
      <w:r>
        <w:rPr>
          <w:sz w:val="24"/>
          <w:vertAlign w:val="superscript"/>
        </w:rPr>
        <w:t>12-13]</w:t>
      </w:r>
      <w:r>
        <w:rPr>
          <w:sz w:val="24"/>
        </w:rPr>
        <w:t>，试验饲料组成及营养水平见表</w:t>
      </w:r>
      <w:r>
        <w:rPr>
          <w:sz w:val="24"/>
        </w:rPr>
        <w:t xml:space="preserve"> 1</w:t>
      </w:r>
      <w:r>
        <w:rPr>
          <w:sz w:val="24"/>
        </w:rPr>
        <w:t>。饲料按照本实验室的标准程序制作</w:t>
      </w:r>
      <w:r>
        <w:rPr>
          <w:rFonts w:hint="eastAsia"/>
          <w:sz w:val="24"/>
          <w:vertAlign w:val="superscript"/>
        </w:rPr>
        <w:t>[</w:t>
      </w:r>
      <w:r>
        <w:rPr>
          <w:sz w:val="24"/>
          <w:vertAlign w:val="superscript"/>
        </w:rPr>
        <w:t>14]</w:t>
      </w:r>
      <w:r>
        <w:rPr>
          <w:sz w:val="24"/>
        </w:rPr>
        <w:t>，使用前于</w:t>
      </w:r>
      <w:r>
        <w:rPr>
          <w:rFonts w:hint="eastAsia"/>
          <w:sz w:val="24"/>
        </w:rPr>
        <w:t>-</w:t>
      </w:r>
      <w:r>
        <w:rPr>
          <w:sz w:val="24"/>
        </w:rPr>
        <w:t>20 ℃</w:t>
      </w:r>
      <w:r>
        <w:rPr>
          <w:sz w:val="24"/>
        </w:rPr>
        <w:t>存放。</w:t>
      </w:r>
    </w:p>
    <w:p w14:paraId="69FD1902" w14:textId="77777777" w:rsidR="006D73E5" w:rsidRDefault="00000000">
      <w:pPr>
        <w:spacing w:line="360" w:lineRule="auto"/>
        <w:ind w:firstLineChars="200" w:firstLine="480"/>
        <w:jc w:val="center"/>
        <w:rPr>
          <w:sz w:val="24"/>
        </w:rPr>
      </w:pPr>
      <w:r>
        <w:rPr>
          <w:noProof/>
          <w:sz w:val="24"/>
        </w:rPr>
        <w:drawing>
          <wp:inline distT="0" distB="0" distL="0" distR="0" wp14:anchorId="3B4C9397" wp14:editId="03C6DC01">
            <wp:extent cx="4445635" cy="4636135"/>
            <wp:effectExtent l="0" t="0" r="12065"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4445635" cy="4636135"/>
                    </a:xfrm>
                    <a:prstGeom prst="rect">
                      <a:avLst/>
                    </a:prstGeom>
                    <a:noFill/>
                    <a:ln>
                      <a:noFill/>
                    </a:ln>
                  </pic:spPr>
                </pic:pic>
              </a:graphicData>
            </a:graphic>
          </wp:inline>
        </w:drawing>
      </w:r>
    </w:p>
    <w:p w14:paraId="2DB54E4D" w14:textId="77777777" w:rsidR="006D73E5" w:rsidRDefault="00000000">
      <w:pPr>
        <w:spacing w:line="360" w:lineRule="auto"/>
        <w:ind w:firstLineChars="200" w:firstLine="480"/>
        <w:rPr>
          <w:sz w:val="24"/>
        </w:rPr>
      </w:pPr>
      <w:r>
        <w:rPr>
          <w:sz w:val="24"/>
        </w:rPr>
        <w:t>饲喂试验在烟台市天源水产养殖有限公司的流式海水系统中进行，试验鱼亦购自该公司。饲喂试验开始前，在聚乙烯桶</w:t>
      </w:r>
      <w:r>
        <w:rPr>
          <w:sz w:val="24"/>
        </w:rPr>
        <w:t>(500 L)</w:t>
      </w:r>
      <w:r>
        <w:rPr>
          <w:sz w:val="24"/>
        </w:rPr>
        <w:t>中饲养试验鱼，并饲喂商业饲料</w:t>
      </w:r>
      <w:r>
        <w:rPr>
          <w:sz w:val="24"/>
        </w:rPr>
        <w:t xml:space="preserve"> 7 d</w:t>
      </w:r>
      <w:r>
        <w:rPr>
          <w:sz w:val="24"/>
        </w:rPr>
        <w:t>，以适应试验条件。在饲喂试验开始时，将试验鱼随机分配到</w:t>
      </w:r>
      <w:r>
        <w:rPr>
          <w:sz w:val="24"/>
        </w:rPr>
        <w:t>18</w:t>
      </w:r>
      <w:r>
        <w:rPr>
          <w:sz w:val="24"/>
        </w:rPr>
        <w:t>个聚乙烯桶中。在试验期间，每天</w:t>
      </w:r>
      <w:r>
        <w:rPr>
          <w:sz w:val="24"/>
        </w:rPr>
        <w:t xml:space="preserve">2 </w:t>
      </w:r>
      <w:r>
        <w:rPr>
          <w:sz w:val="24"/>
        </w:rPr>
        <w:t>次</w:t>
      </w:r>
      <w:r>
        <w:rPr>
          <w:sz w:val="24"/>
        </w:rPr>
        <w:t xml:space="preserve">( 07: 30 </w:t>
      </w:r>
      <w:r>
        <w:rPr>
          <w:sz w:val="24"/>
        </w:rPr>
        <w:t>和</w:t>
      </w:r>
      <w:r>
        <w:rPr>
          <w:sz w:val="24"/>
        </w:rPr>
        <w:t xml:space="preserve"> 17: 30)</w:t>
      </w:r>
      <w:r>
        <w:rPr>
          <w:sz w:val="24"/>
        </w:rPr>
        <w:t>人工投喂至明显饱食。每天用虹吸的方式清洗试验桶，将剩余的饲料和粪便吸出。饲喂试验结束后，在试验鱼禁食</w:t>
      </w:r>
      <w:r>
        <w:rPr>
          <w:sz w:val="24"/>
        </w:rPr>
        <w:t xml:space="preserve"> 24 h </w:t>
      </w:r>
      <w:r>
        <w:rPr>
          <w:sz w:val="24"/>
        </w:rPr>
        <w:t>后，每个桶随机取</w:t>
      </w:r>
      <w:r>
        <w:rPr>
          <w:sz w:val="24"/>
        </w:rPr>
        <w:t xml:space="preserve"> 6 </w:t>
      </w:r>
      <w:r>
        <w:rPr>
          <w:sz w:val="24"/>
        </w:rPr>
        <w:t>尾鱼的肝脏样本。</w:t>
      </w:r>
    </w:p>
    <w:p w14:paraId="1F899B05" w14:textId="77777777" w:rsidR="006D73E5" w:rsidRDefault="00000000">
      <w:pPr>
        <w:spacing w:line="360" w:lineRule="auto"/>
        <w:ind w:firstLineChars="200" w:firstLine="480"/>
        <w:rPr>
          <w:sz w:val="24"/>
        </w:rPr>
      </w:pPr>
      <w:r>
        <w:rPr>
          <w:sz w:val="24"/>
        </w:rPr>
        <w:t>饲喂试验结束后，在对照组的每个桶中随机抽取</w:t>
      </w:r>
      <w:r>
        <w:rPr>
          <w:sz w:val="24"/>
        </w:rPr>
        <w:t xml:space="preserve"> 20 </w:t>
      </w:r>
      <w:r>
        <w:rPr>
          <w:sz w:val="24"/>
        </w:rPr>
        <w:t>尾鱼，进行后续的饥饿试验。在接下来的饥饿期，分别在</w:t>
      </w:r>
      <w:r>
        <w:rPr>
          <w:sz w:val="24"/>
        </w:rPr>
        <w:t xml:space="preserve"> 4 </w:t>
      </w:r>
      <w:r>
        <w:rPr>
          <w:sz w:val="24"/>
        </w:rPr>
        <w:t>个采样时间点，即第</w:t>
      </w:r>
      <w:r>
        <w:rPr>
          <w:sz w:val="24"/>
        </w:rPr>
        <w:t xml:space="preserve"> 0 </w:t>
      </w:r>
      <w:r>
        <w:rPr>
          <w:sz w:val="24"/>
        </w:rPr>
        <w:t>天</w:t>
      </w:r>
      <w:r>
        <w:rPr>
          <w:sz w:val="24"/>
        </w:rPr>
        <w:t>(</w:t>
      </w:r>
      <w:r>
        <w:rPr>
          <w:sz w:val="24"/>
        </w:rPr>
        <w:t>饲喂期结束为第</w:t>
      </w:r>
      <w:r>
        <w:rPr>
          <w:sz w:val="24"/>
        </w:rPr>
        <w:t xml:space="preserve"> 0 </w:t>
      </w:r>
      <w:r>
        <w:rPr>
          <w:sz w:val="24"/>
        </w:rPr>
        <w:t>天</w:t>
      </w:r>
      <w:r>
        <w:rPr>
          <w:sz w:val="24"/>
        </w:rPr>
        <w:t>)</w:t>
      </w:r>
      <w:r>
        <w:rPr>
          <w:sz w:val="24"/>
        </w:rPr>
        <w:t>、第</w:t>
      </w:r>
      <w:r>
        <w:rPr>
          <w:sz w:val="24"/>
        </w:rPr>
        <w:t>10</w:t>
      </w:r>
      <w:r>
        <w:rPr>
          <w:sz w:val="24"/>
        </w:rPr>
        <w:t>天、第</w:t>
      </w:r>
      <w:r>
        <w:rPr>
          <w:sz w:val="24"/>
        </w:rPr>
        <w:t>20</w:t>
      </w:r>
      <w:r>
        <w:rPr>
          <w:sz w:val="24"/>
        </w:rPr>
        <w:t>天、第</w:t>
      </w:r>
      <w:r>
        <w:rPr>
          <w:sz w:val="24"/>
        </w:rPr>
        <w:t xml:space="preserve"> 30 </w:t>
      </w:r>
      <w:r>
        <w:rPr>
          <w:sz w:val="24"/>
        </w:rPr>
        <w:t>天分别随机抽取</w:t>
      </w:r>
      <w:r>
        <w:rPr>
          <w:sz w:val="24"/>
        </w:rPr>
        <w:t xml:space="preserve"> 6 </w:t>
      </w:r>
      <w:r>
        <w:rPr>
          <w:sz w:val="24"/>
        </w:rPr>
        <w:t>尾鱼的肝脏样本。所有采集的组织样本均立即冷冻于液氮中，然后在</w:t>
      </w:r>
      <w:r>
        <w:rPr>
          <w:sz w:val="24"/>
        </w:rPr>
        <w:t xml:space="preserve">-76 ℃ </w:t>
      </w:r>
      <w:r>
        <w:rPr>
          <w:sz w:val="24"/>
        </w:rPr>
        <w:t>保存备用。在整个试验过程中，水温为</w:t>
      </w:r>
      <w:r>
        <w:rPr>
          <w:sz w:val="24"/>
        </w:rPr>
        <w:t>13.2</w:t>
      </w:r>
      <w:r>
        <w:rPr>
          <w:sz w:val="24"/>
        </w:rPr>
        <w:t>～</w:t>
      </w:r>
      <w:r>
        <w:rPr>
          <w:sz w:val="24"/>
        </w:rPr>
        <w:t>15.2 ℃</w:t>
      </w:r>
      <w:r>
        <w:rPr>
          <w:sz w:val="24"/>
        </w:rPr>
        <w:t>，盐度为</w:t>
      </w:r>
      <w:r>
        <w:rPr>
          <w:sz w:val="24"/>
        </w:rPr>
        <w:t>27</w:t>
      </w:r>
      <w:r>
        <w:rPr>
          <w:sz w:val="24"/>
        </w:rPr>
        <w:t>～</w:t>
      </w:r>
      <w:r>
        <w:rPr>
          <w:sz w:val="24"/>
        </w:rPr>
        <w:lastRenderedPageBreak/>
        <w:t>29 g /L</w:t>
      </w:r>
      <w:r>
        <w:rPr>
          <w:sz w:val="24"/>
        </w:rPr>
        <w:t>，</w:t>
      </w:r>
      <w:r>
        <w:rPr>
          <w:sz w:val="24"/>
        </w:rPr>
        <w:t>pH</w:t>
      </w:r>
      <w:r>
        <w:rPr>
          <w:sz w:val="24"/>
        </w:rPr>
        <w:t>为</w:t>
      </w:r>
      <w:r>
        <w:rPr>
          <w:sz w:val="24"/>
        </w:rPr>
        <w:t>7</w:t>
      </w:r>
      <w:r>
        <w:rPr>
          <w:rFonts w:hint="eastAsia"/>
          <w:sz w:val="24"/>
        </w:rPr>
        <w:t>.</w:t>
      </w:r>
      <w:r>
        <w:rPr>
          <w:sz w:val="24"/>
        </w:rPr>
        <w:t>5</w:t>
      </w:r>
      <w:r>
        <w:rPr>
          <w:sz w:val="24"/>
        </w:rPr>
        <w:t>～</w:t>
      </w:r>
      <w:r>
        <w:rPr>
          <w:sz w:val="24"/>
        </w:rPr>
        <w:t>8</w:t>
      </w:r>
      <w:r>
        <w:rPr>
          <w:rFonts w:hint="eastAsia"/>
          <w:sz w:val="24"/>
        </w:rPr>
        <w:t>.</w:t>
      </w:r>
      <w:r>
        <w:rPr>
          <w:sz w:val="24"/>
        </w:rPr>
        <w:t>0</w:t>
      </w:r>
      <w:r>
        <w:rPr>
          <w:sz w:val="24"/>
        </w:rPr>
        <w:t>，溶解氧浓度为</w:t>
      </w:r>
      <w:r>
        <w:rPr>
          <w:sz w:val="24"/>
        </w:rPr>
        <w:t>6</w:t>
      </w:r>
      <w:r>
        <w:rPr>
          <w:sz w:val="24"/>
        </w:rPr>
        <w:t>～</w:t>
      </w:r>
      <w:r>
        <w:rPr>
          <w:sz w:val="24"/>
        </w:rPr>
        <w:t>8 mg /L</w:t>
      </w:r>
      <w:r>
        <w:rPr>
          <w:sz w:val="24"/>
        </w:rPr>
        <w:t>。</w:t>
      </w:r>
    </w:p>
    <w:p w14:paraId="7D0CC762" w14:textId="77777777" w:rsidR="006D73E5" w:rsidRDefault="00000000">
      <w:pPr>
        <w:spacing w:line="360" w:lineRule="auto"/>
        <w:rPr>
          <w:sz w:val="24"/>
        </w:rPr>
      </w:pPr>
      <w:r>
        <w:rPr>
          <w:sz w:val="24"/>
        </w:rPr>
        <w:t xml:space="preserve">1.1.2  </w:t>
      </w:r>
      <w:r>
        <w:rPr>
          <w:sz w:val="24"/>
        </w:rPr>
        <w:t>红鳍东方鲀饲养试验和取样</w:t>
      </w:r>
    </w:p>
    <w:p w14:paraId="6E4A001F" w14:textId="77777777" w:rsidR="006D73E5" w:rsidRDefault="00000000">
      <w:pPr>
        <w:spacing w:line="360" w:lineRule="auto"/>
        <w:ind w:firstLineChars="200" w:firstLine="480"/>
        <w:rPr>
          <w:sz w:val="24"/>
        </w:rPr>
      </w:pPr>
      <w:r>
        <w:rPr>
          <w:sz w:val="24"/>
        </w:rPr>
        <w:t>在红鳍东方鲀</w:t>
      </w:r>
      <w:r>
        <w:rPr>
          <w:sz w:val="24"/>
        </w:rPr>
        <w:t xml:space="preserve"> FATP </w:t>
      </w:r>
      <w:r>
        <w:rPr>
          <w:sz w:val="24"/>
        </w:rPr>
        <w:t>表达的组织分布研究中，取肝脏、肌肉、大脑、肠、心脏、眼睛、皮肤和脾脏</w:t>
      </w:r>
      <w:r>
        <w:rPr>
          <w:sz w:val="24"/>
        </w:rPr>
        <w:t xml:space="preserve"> 8 </w:t>
      </w:r>
      <w:r>
        <w:rPr>
          <w:sz w:val="24"/>
        </w:rPr>
        <w:t>个组织样品，采自烟台市黄海水产养殖有限公司养殖的</w:t>
      </w:r>
      <w:r>
        <w:rPr>
          <w:sz w:val="24"/>
        </w:rPr>
        <w:t xml:space="preserve"> 15 </w:t>
      </w:r>
      <w:r>
        <w:rPr>
          <w:sz w:val="24"/>
        </w:rPr>
        <w:t>只红鳍东方鲀幼鱼</w:t>
      </w:r>
      <w:r>
        <w:rPr>
          <w:sz w:val="24"/>
        </w:rPr>
        <w:t>(</w:t>
      </w:r>
      <w:r>
        <w:rPr>
          <w:sz w:val="24"/>
        </w:rPr>
        <w:t>体重约</w:t>
      </w:r>
      <w:r>
        <w:rPr>
          <w:sz w:val="24"/>
        </w:rPr>
        <w:t xml:space="preserve"> 20 g</w:t>
      </w:r>
      <w:r>
        <w:rPr>
          <w:sz w:val="24"/>
        </w:rPr>
        <w:t>，每组</w:t>
      </w:r>
      <w:r>
        <w:rPr>
          <w:sz w:val="24"/>
        </w:rPr>
        <w:t xml:space="preserve"> 5 </w:t>
      </w:r>
      <w:r>
        <w:rPr>
          <w:sz w:val="24"/>
        </w:rPr>
        <w:t>条鱼</w:t>
      </w:r>
      <w:r>
        <w:rPr>
          <w:sz w:val="24"/>
        </w:rPr>
        <w:t>)</w:t>
      </w:r>
      <w:r>
        <w:rPr>
          <w:sz w:val="24"/>
        </w:rPr>
        <w:t>收集。组织的采样方式与大菱鲆试验一致。</w:t>
      </w:r>
    </w:p>
    <w:p w14:paraId="27F3997A" w14:textId="77777777" w:rsidR="006D73E5" w:rsidRDefault="00000000">
      <w:pPr>
        <w:spacing w:line="360" w:lineRule="auto"/>
        <w:ind w:firstLineChars="200" w:firstLine="480"/>
        <w:rPr>
          <w:sz w:val="24"/>
        </w:rPr>
      </w:pPr>
      <w:r>
        <w:rPr>
          <w:sz w:val="24"/>
        </w:rPr>
        <w:t>饲喂试验选择平均初始体重为</w:t>
      </w:r>
      <w:r>
        <w:rPr>
          <w:sz w:val="24"/>
        </w:rPr>
        <w:t>19</w:t>
      </w:r>
      <w:r>
        <w:rPr>
          <w:rFonts w:hint="eastAsia"/>
          <w:sz w:val="24"/>
        </w:rPr>
        <w:t>.</w:t>
      </w:r>
      <w:r>
        <w:rPr>
          <w:sz w:val="24"/>
        </w:rPr>
        <w:t>5 g</w:t>
      </w:r>
      <w:r>
        <w:rPr>
          <w:sz w:val="24"/>
        </w:rPr>
        <w:t>的红鳍东方鲀幼鱼</w:t>
      </w:r>
      <w:r>
        <w:rPr>
          <w:sz w:val="24"/>
        </w:rPr>
        <w:t>900</w:t>
      </w:r>
      <w:r>
        <w:rPr>
          <w:sz w:val="24"/>
        </w:rPr>
        <w:t>尾，随机分为</w:t>
      </w:r>
      <w:r>
        <w:rPr>
          <w:sz w:val="24"/>
        </w:rPr>
        <w:t xml:space="preserve"> 3 </w:t>
      </w:r>
      <w:r>
        <w:rPr>
          <w:sz w:val="24"/>
        </w:rPr>
        <w:t>组，每组</w:t>
      </w:r>
      <w:r>
        <w:rPr>
          <w:sz w:val="24"/>
        </w:rPr>
        <w:t>6</w:t>
      </w:r>
      <w:r>
        <w:rPr>
          <w:sz w:val="24"/>
        </w:rPr>
        <w:t>个重复</w:t>
      </w:r>
      <w:r>
        <w:rPr>
          <w:sz w:val="24"/>
        </w:rPr>
        <w:t>(</w:t>
      </w:r>
      <w:r>
        <w:rPr>
          <w:sz w:val="24"/>
        </w:rPr>
        <w:t>网箱</w:t>
      </w:r>
      <w:r>
        <w:rPr>
          <w:sz w:val="24"/>
        </w:rPr>
        <w:t>)</w:t>
      </w:r>
      <w:r>
        <w:rPr>
          <w:sz w:val="24"/>
        </w:rPr>
        <w:t>，每个重复</w:t>
      </w:r>
      <w:r>
        <w:rPr>
          <w:sz w:val="24"/>
        </w:rPr>
        <w:t xml:space="preserve"> 50 </w:t>
      </w:r>
      <w:r>
        <w:rPr>
          <w:sz w:val="24"/>
        </w:rPr>
        <w:t>尾，进行</w:t>
      </w:r>
      <w:r>
        <w:rPr>
          <w:sz w:val="24"/>
        </w:rPr>
        <w:t xml:space="preserve"> 9 </w:t>
      </w:r>
      <w:r>
        <w:rPr>
          <w:sz w:val="24"/>
        </w:rPr>
        <w:t>周的饲养试验，然后进行饥饿试验</w:t>
      </w:r>
      <w:r>
        <w:rPr>
          <w:sz w:val="24"/>
        </w:rPr>
        <w:t>(30 d)</w:t>
      </w:r>
      <w:r>
        <w:rPr>
          <w:sz w:val="24"/>
        </w:rPr>
        <w:t>。红鳍东方鲀和大菱鲆的脂肪需求水平相似</w:t>
      </w:r>
      <w:r>
        <w:rPr>
          <w:rFonts w:hint="eastAsia"/>
          <w:sz w:val="24"/>
          <w:vertAlign w:val="superscript"/>
        </w:rPr>
        <w:t>[</w:t>
      </w:r>
      <w:r>
        <w:rPr>
          <w:sz w:val="24"/>
          <w:vertAlign w:val="superscript"/>
        </w:rPr>
        <w:t>15-16]</w:t>
      </w:r>
      <w:r>
        <w:rPr>
          <w:sz w:val="24"/>
        </w:rPr>
        <w:t>，因此试验采用与大菱鲆试验饲料相似的试验饲料。各组试验饲料脂肪水平分别为</w:t>
      </w:r>
      <w:r>
        <w:rPr>
          <w:sz w:val="24"/>
        </w:rPr>
        <w:t>8</w:t>
      </w:r>
      <w:r>
        <w:rPr>
          <w:rFonts w:hint="eastAsia"/>
          <w:sz w:val="24"/>
        </w:rPr>
        <w:t>.</w:t>
      </w:r>
      <w:r>
        <w:rPr>
          <w:sz w:val="24"/>
        </w:rPr>
        <w:t>0%(</w:t>
      </w:r>
      <w:r>
        <w:rPr>
          <w:sz w:val="24"/>
        </w:rPr>
        <w:t>对照组</w:t>
      </w:r>
      <w:r>
        <w:rPr>
          <w:sz w:val="24"/>
        </w:rPr>
        <w:t>)</w:t>
      </w:r>
      <w:r>
        <w:rPr>
          <w:sz w:val="24"/>
        </w:rPr>
        <w:t>、</w:t>
      </w:r>
      <w:r>
        <w:rPr>
          <w:sz w:val="24"/>
        </w:rPr>
        <w:t>12</w:t>
      </w:r>
      <w:r>
        <w:rPr>
          <w:rFonts w:hint="eastAsia"/>
          <w:sz w:val="24"/>
        </w:rPr>
        <w:t>.</w:t>
      </w:r>
      <w:r>
        <w:rPr>
          <w:sz w:val="24"/>
        </w:rPr>
        <w:t>0%</w:t>
      </w:r>
      <w:r>
        <w:rPr>
          <w:sz w:val="24"/>
        </w:rPr>
        <w:t>和</w:t>
      </w:r>
      <w:r>
        <w:rPr>
          <w:sz w:val="24"/>
        </w:rPr>
        <w:t>16</w:t>
      </w:r>
      <w:r>
        <w:rPr>
          <w:rFonts w:hint="eastAsia"/>
          <w:sz w:val="24"/>
        </w:rPr>
        <w:t>.</w:t>
      </w:r>
      <w:r>
        <w:rPr>
          <w:sz w:val="24"/>
        </w:rPr>
        <w:t>0%</w:t>
      </w:r>
      <w:r>
        <w:rPr>
          <w:sz w:val="24"/>
        </w:rPr>
        <w:t>，试验饲料组成及营养水平见表</w:t>
      </w:r>
      <w:r>
        <w:rPr>
          <w:sz w:val="24"/>
        </w:rPr>
        <w:t xml:space="preserve"> 1</w:t>
      </w:r>
      <w:r>
        <w:rPr>
          <w:sz w:val="24"/>
        </w:rPr>
        <w:t>。饲料按照本实验室的标准程序制作</w:t>
      </w:r>
      <w:r>
        <w:rPr>
          <w:rFonts w:hint="eastAsia"/>
          <w:sz w:val="24"/>
          <w:vertAlign w:val="superscript"/>
        </w:rPr>
        <w:t>[</w:t>
      </w:r>
      <w:r>
        <w:rPr>
          <w:sz w:val="24"/>
          <w:vertAlign w:val="superscript"/>
        </w:rPr>
        <w:t>14]</w:t>
      </w:r>
      <w:r>
        <w:rPr>
          <w:sz w:val="24"/>
        </w:rPr>
        <w:t>，使用前于</w:t>
      </w:r>
      <w:r>
        <w:rPr>
          <w:rFonts w:hint="eastAsia"/>
          <w:sz w:val="24"/>
        </w:rPr>
        <w:t>-</w:t>
      </w:r>
      <w:r>
        <w:rPr>
          <w:sz w:val="24"/>
        </w:rPr>
        <w:t>20 ℃</w:t>
      </w:r>
      <w:r>
        <w:rPr>
          <w:sz w:val="24"/>
        </w:rPr>
        <w:t>存放。</w:t>
      </w:r>
    </w:p>
    <w:p w14:paraId="4753ACAB" w14:textId="77777777" w:rsidR="006D73E5" w:rsidRDefault="00000000">
      <w:pPr>
        <w:spacing w:line="360" w:lineRule="auto"/>
        <w:ind w:firstLineChars="200" w:firstLine="480"/>
        <w:rPr>
          <w:sz w:val="24"/>
        </w:rPr>
      </w:pPr>
      <w:r>
        <w:rPr>
          <w:sz w:val="24"/>
        </w:rPr>
        <w:t>饲喂试验在唐山市海都水产养殖有限公司进行，试验鱼亦购自该公司。饲喂试验开始前，在室内水泥池</w:t>
      </w:r>
      <w:r>
        <w:rPr>
          <w:sz w:val="24"/>
        </w:rPr>
        <w:t>(6</w:t>
      </w:r>
      <w:r>
        <w:rPr>
          <w:rFonts w:hint="eastAsia"/>
          <w:sz w:val="24"/>
        </w:rPr>
        <w:t>.</w:t>
      </w:r>
      <w:r>
        <w:rPr>
          <w:sz w:val="24"/>
        </w:rPr>
        <w:t>2 m×6</w:t>
      </w:r>
      <w:r>
        <w:rPr>
          <w:rFonts w:hint="eastAsia"/>
          <w:sz w:val="24"/>
        </w:rPr>
        <w:t>.</w:t>
      </w:r>
      <w:r>
        <w:rPr>
          <w:sz w:val="24"/>
        </w:rPr>
        <w:t>2 m×1</w:t>
      </w:r>
      <w:r>
        <w:rPr>
          <w:rFonts w:hint="eastAsia"/>
          <w:sz w:val="24"/>
        </w:rPr>
        <w:t>.</w:t>
      </w:r>
      <w:r>
        <w:rPr>
          <w:sz w:val="24"/>
        </w:rPr>
        <w:t>8 m)</w:t>
      </w:r>
      <w:r>
        <w:rPr>
          <w:sz w:val="24"/>
        </w:rPr>
        <w:t>中饲养，并投喂商品饲料</w:t>
      </w:r>
      <w:r>
        <w:rPr>
          <w:sz w:val="24"/>
        </w:rPr>
        <w:t>14 d</w:t>
      </w:r>
      <w:r>
        <w:rPr>
          <w:sz w:val="24"/>
        </w:rPr>
        <w:t>，以适应试验条件。在适应期，为了防止同类相食，鱼的下齿尖端被剪掉。在饲喂试验开始时，将试验鱼随机分配到水泥池中的</w:t>
      </w:r>
      <w:r>
        <w:rPr>
          <w:sz w:val="24"/>
        </w:rPr>
        <w:t>18</w:t>
      </w:r>
      <w:r>
        <w:rPr>
          <w:sz w:val="24"/>
        </w:rPr>
        <w:t>个网箱</w:t>
      </w:r>
      <w:r>
        <w:rPr>
          <w:sz w:val="24"/>
        </w:rPr>
        <w:t>(1</w:t>
      </w:r>
      <w:r>
        <w:rPr>
          <w:rFonts w:hint="eastAsia"/>
          <w:sz w:val="24"/>
        </w:rPr>
        <w:t>.</w:t>
      </w:r>
      <w:r>
        <w:rPr>
          <w:sz w:val="24"/>
        </w:rPr>
        <w:t>4 m×1</w:t>
      </w:r>
      <w:r>
        <w:rPr>
          <w:rFonts w:hint="eastAsia"/>
          <w:sz w:val="24"/>
        </w:rPr>
        <w:t>.</w:t>
      </w:r>
      <w:r>
        <w:rPr>
          <w:sz w:val="24"/>
        </w:rPr>
        <w:t>4 m×1</w:t>
      </w:r>
      <w:r>
        <w:rPr>
          <w:rFonts w:hint="eastAsia"/>
          <w:sz w:val="24"/>
        </w:rPr>
        <w:t>.</w:t>
      </w:r>
      <w:r>
        <w:rPr>
          <w:sz w:val="24"/>
        </w:rPr>
        <w:t>0 m)</w:t>
      </w:r>
      <w:r>
        <w:rPr>
          <w:sz w:val="24"/>
        </w:rPr>
        <w:t>中。在大的水体中放置网箱有利于保持鱼所需要的低水温。在试验期间，每天</w:t>
      </w:r>
      <w:r>
        <w:rPr>
          <w:sz w:val="24"/>
        </w:rPr>
        <w:t>2</w:t>
      </w:r>
      <w:r>
        <w:rPr>
          <w:sz w:val="24"/>
        </w:rPr>
        <w:t>次</w:t>
      </w:r>
      <w:r>
        <w:rPr>
          <w:sz w:val="24"/>
        </w:rPr>
        <w:t xml:space="preserve">(06: 00 </w:t>
      </w:r>
      <w:r>
        <w:rPr>
          <w:sz w:val="24"/>
        </w:rPr>
        <w:t>和</w:t>
      </w:r>
      <w:r>
        <w:rPr>
          <w:sz w:val="24"/>
        </w:rPr>
        <w:t>18: 00)</w:t>
      </w:r>
      <w:r>
        <w:rPr>
          <w:sz w:val="24"/>
        </w:rPr>
        <w:t>人工投喂至明显饱食。每次饲喂后更换</w:t>
      </w:r>
      <w:r>
        <w:rPr>
          <w:sz w:val="24"/>
        </w:rPr>
        <w:t>80%</w:t>
      </w:r>
      <w:r>
        <w:rPr>
          <w:sz w:val="24"/>
        </w:rPr>
        <w:t>的饲养水。饲喂试验结束后，在试验鱼禁食</w:t>
      </w:r>
      <w:r>
        <w:rPr>
          <w:sz w:val="24"/>
        </w:rPr>
        <w:t>24 h</w:t>
      </w:r>
      <w:r>
        <w:rPr>
          <w:sz w:val="24"/>
        </w:rPr>
        <w:t>后，每个网箱随机取</w:t>
      </w:r>
      <w:r>
        <w:rPr>
          <w:sz w:val="24"/>
        </w:rPr>
        <w:t>6</w:t>
      </w:r>
      <w:r>
        <w:rPr>
          <w:sz w:val="24"/>
        </w:rPr>
        <w:t>尾鱼的肝脏样本。</w:t>
      </w:r>
    </w:p>
    <w:p w14:paraId="701403AB" w14:textId="77777777" w:rsidR="006D73E5" w:rsidRDefault="00000000">
      <w:pPr>
        <w:spacing w:line="360" w:lineRule="auto"/>
        <w:ind w:firstLineChars="200" w:firstLine="480"/>
        <w:rPr>
          <w:sz w:val="24"/>
        </w:rPr>
      </w:pPr>
      <w:r>
        <w:rPr>
          <w:sz w:val="24"/>
        </w:rPr>
        <w:t>饲喂试验结束后，从对照组的每个网箱中随机抽取</w:t>
      </w:r>
      <w:r>
        <w:rPr>
          <w:sz w:val="24"/>
        </w:rPr>
        <w:t>30</w:t>
      </w:r>
      <w:r>
        <w:rPr>
          <w:sz w:val="24"/>
        </w:rPr>
        <w:t>尾鱼，进行后续的饥饿试验。在接下来的饥饿期，分别在</w:t>
      </w:r>
      <w:r>
        <w:rPr>
          <w:sz w:val="24"/>
        </w:rPr>
        <w:t xml:space="preserve"> 6 </w:t>
      </w:r>
      <w:r>
        <w:rPr>
          <w:sz w:val="24"/>
        </w:rPr>
        <w:t>个采样时间点，即第</w:t>
      </w:r>
      <w:r>
        <w:rPr>
          <w:sz w:val="24"/>
        </w:rPr>
        <w:t xml:space="preserve"> 0 </w:t>
      </w:r>
      <w:r>
        <w:rPr>
          <w:sz w:val="24"/>
        </w:rPr>
        <w:t>天</w:t>
      </w:r>
      <w:r>
        <w:rPr>
          <w:sz w:val="24"/>
        </w:rPr>
        <w:t>(</w:t>
      </w:r>
      <w:r>
        <w:rPr>
          <w:sz w:val="24"/>
        </w:rPr>
        <w:t>饲喂期结束当天为第</w:t>
      </w:r>
      <w:r>
        <w:rPr>
          <w:sz w:val="24"/>
        </w:rPr>
        <w:t>0</w:t>
      </w:r>
      <w:r>
        <w:rPr>
          <w:sz w:val="24"/>
        </w:rPr>
        <w:t>天</w:t>
      </w:r>
      <w:r>
        <w:rPr>
          <w:sz w:val="24"/>
        </w:rPr>
        <w:t>)</w:t>
      </w:r>
      <w:r>
        <w:rPr>
          <w:sz w:val="24"/>
        </w:rPr>
        <w:t>、第</w:t>
      </w:r>
      <w:r>
        <w:rPr>
          <w:sz w:val="24"/>
        </w:rPr>
        <w:t xml:space="preserve"> 1 </w:t>
      </w:r>
      <w:r>
        <w:rPr>
          <w:sz w:val="24"/>
        </w:rPr>
        <w:t>天、第</w:t>
      </w:r>
      <w:r>
        <w:rPr>
          <w:sz w:val="24"/>
        </w:rPr>
        <w:t xml:space="preserve"> 4 </w:t>
      </w:r>
      <w:r>
        <w:rPr>
          <w:sz w:val="24"/>
        </w:rPr>
        <w:t>天、第</w:t>
      </w:r>
      <w:r>
        <w:rPr>
          <w:sz w:val="24"/>
        </w:rPr>
        <w:t xml:space="preserve"> 9 </w:t>
      </w:r>
      <w:r>
        <w:rPr>
          <w:sz w:val="24"/>
        </w:rPr>
        <w:t>天、第</w:t>
      </w:r>
      <w:r>
        <w:rPr>
          <w:sz w:val="24"/>
        </w:rPr>
        <w:t xml:space="preserve"> 16 </w:t>
      </w:r>
      <w:r>
        <w:rPr>
          <w:sz w:val="24"/>
        </w:rPr>
        <w:t>天、第</w:t>
      </w:r>
      <w:r>
        <w:rPr>
          <w:sz w:val="24"/>
        </w:rPr>
        <w:t xml:space="preserve"> 31 </w:t>
      </w:r>
      <w:r>
        <w:rPr>
          <w:sz w:val="24"/>
        </w:rPr>
        <w:t>天分别随机抽取</w:t>
      </w:r>
      <w:r>
        <w:rPr>
          <w:sz w:val="24"/>
        </w:rPr>
        <w:t xml:space="preserve"> 3 </w:t>
      </w:r>
      <w:r>
        <w:rPr>
          <w:sz w:val="24"/>
        </w:rPr>
        <w:t>尾鱼的肝脏样本。所有采集的组织样本均立即冷冻于液氮中，然后在</w:t>
      </w:r>
      <w:r>
        <w:rPr>
          <w:rFonts w:hint="eastAsia"/>
          <w:sz w:val="24"/>
        </w:rPr>
        <w:t>-</w:t>
      </w:r>
      <w:r>
        <w:rPr>
          <w:sz w:val="24"/>
        </w:rPr>
        <w:t>76 ℃</w:t>
      </w:r>
      <w:r>
        <w:rPr>
          <w:sz w:val="24"/>
        </w:rPr>
        <w:t>保存备用。在整个试验过程中，水温为</w:t>
      </w:r>
      <w:r>
        <w:rPr>
          <w:sz w:val="24"/>
        </w:rPr>
        <w:t>20</w:t>
      </w:r>
      <w:r>
        <w:rPr>
          <w:sz w:val="24"/>
        </w:rPr>
        <w:t>～</w:t>
      </w:r>
      <w:r>
        <w:rPr>
          <w:sz w:val="24"/>
        </w:rPr>
        <w:t xml:space="preserve">23 ℃ </w:t>
      </w:r>
      <w:r>
        <w:rPr>
          <w:sz w:val="24"/>
        </w:rPr>
        <w:t>，盐度为</w:t>
      </w:r>
      <w:r>
        <w:rPr>
          <w:sz w:val="24"/>
        </w:rPr>
        <w:t xml:space="preserve"> 22</w:t>
      </w:r>
      <w:r>
        <w:rPr>
          <w:sz w:val="24"/>
        </w:rPr>
        <w:t>～</w:t>
      </w:r>
      <w:r>
        <w:rPr>
          <w:sz w:val="24"/>
        </w:rPr>
        <w:t>30</w:t>
      </w:r>
      <w:r>
        <w:rPr>
          <w:sz w:val="24"/>
        </w:rPr>
        <w:t>，</w:t>
      </w:r>
      <w:r>
        <w:rPr>
          <w:sz w:val="24"/>
        </w:rPr>
        <w:t xml:space="preserve">pH </w:t>
      </w:r>
      <w:r>
        <w:rPr>
          <w:sz w:val="24"/>
        </w:rPr>
        <w:t>为</w:t>
      </w:r>
      <w:r>
        <w:rPr>
          <w:sz w:val="24"/>
        </w:rPr>
        <w:t>7</w:t>
      </w:r>
      <w:r>
        <w:rPr>
          <w:rFonts w:hint="eastAsia"/>
          <w:sz w:val="24"/>
        </w:rPr>
        <w:t>.</w:t>
      </w:r>
      <w:r>
        <w:rPr>
          <w:sz w:val="24"/>
        </w:rPr>
        <w:t>4</w:t>
      </w:r>
      <w:r>
        <w:rPr>
          <w:sz w:val="24"/>
        </w:rPr>
        <w:t>～</w:t>
      </w:r>
      <w:r>
        <w:rPr>
          <w:sz w:val="24"/>
        </w:rPr>
        <w:t xml:space="preserve"> 8</w:t>
      </w:r>
      <w:r>
        <w:rPr>
          <w:rFonts w:hint="eastAsia"/>
          <w:sz w:val="24"/>
        </w:rPr>
        <w:t>.</w:t>
      </w:r>
      <w:r>
        <w:rPr>
          <w:sz w:val="24"/>
        </w:rPr>
        <w:t>2</w:t>
      </w:r>
      <w:r>
        <w:rPr>
          <w:sz w:val="24"/>
        </w:rPr>
        <w:t>，溶解氧为</w:t>
      </w:r>
      <w:r>
        <w:rPr>
          <w:sz w:val="24"/>
        </w:rPr>
        <w:t>5</w:t>
      </w:r>
      <w:r>
        <w:rPr>
          <w:sz w:val="24"/>
        </w:rPr>
        <w:t>～</w:t>
      </w:r>
      <w:r>
        <w:rPr>
          <w:sz w:val="24"/>
        </w:rPr>
        <w:t>7 mg /L</w:t>
      </w:r>
      <w:r>
        <w:rPr>
          <w:sz w:val="24"/>
        </w:rPr>
        <w:t>。</w:t>
      </w:r>
    </w:p>
    <w:p w14:paraId="4ADDB85F" w14:textId="77777777" w:rsidR="006D73E5" w:rsidRDefault="00000000">
      <w:pPr>
        <w:spacing w:line="360" w:lineRule="auto"/>
        <w:rPr>
          <w:sz w:val="24"/>
        </w:rPr>
      </w:pPr>
      <w:r>
        <w:rPr>
          <w:sz w:val="24"/>
        </w:rPr>
        <w:t xml:space="preserve">1.2   </w:t>
      </w:r>
      <w:r>
        <w:rPr>
          <w:rFonts w:hint="eastAsia"/>
          <w:sz w:val="24"/>
        </w:rPr>
        <w:t>R</w:t>
      </w:r>
      <w:r>
        <w:rPr>
          <w:sz w:val="24"/>
        </w:rPr>
        <w:t>NA</w:t>
      </w:r>
      <w:r>
        <w:rPr>
          <w:sz w:val="24"/>
        </w:rPr>
        <w:t>提取、</w:t>
      </w:r>
      <w:r>
        <w:rPr>
          <w:sz w:val="24"/>
        </w:rPr>
        <w:t>cDNA</w:t>
      </w:r>
      <w:r>
        <w:rPr>
          <w:sz w:val="24"/>
        </w:rPr>
        <w:t>合成、实时荧光定量</w:t>
      </w:r>
      <w:r>
        <w:rPr>
          <w:sz w:val="24"/>
        </w:rPr>
        <w:t>PC</w:t>
      </w:r>
      <w:r>
        <w:rPr>
          <w:rFonts w:hint="eastAsia"/>
          <w:sz w:val="24"/>
        </w:rPr>
        <w:t>R</w:t>
      </w:r>
      <w:r>
        <w:rPr>
          <w:sz w:val="24"/>
        </w:rPr>
        <w:t xml:space="preserve"> (real-time fluorescent quantitative PC</w:t>
      </w:r>
      <w:r>
        <w:rPr>
          <w:rFonts w:hint="eastAsia"/>
          <w:sz w:val="24"/>
        </w:rPr>
        <w:t>R</w:t>
      </w:r>
      <w:r>
        <w:rPr>
          <w:sz w:val="24"/>
        </w:rPr>
        <w:t>，</w:t>
      </w:r>
      <w:proofErr w:type="spellStart"/>
      <w:r>
        <w:rPr>
          <w:sz w:val="24"/>
        </w:rPr>
        <w:t>q</w:t>
      </w:r>
      <w:r>
        <w:rPr>
          <w:rFonts w:hint="eastAsia"/>
          <w:sz w:val="24"/>
        </w:rPr>
        <w:t>R</w:t>
      </w:r>
      <w:r>
        <w:rPr>
          <w:sz w:val="24"/>
        </w:rPr>
        <w:t>T</w:t>
      </w:r>
      <w:proofErr w:type="spellEnd"/>
      <w:r>
        <w:rPr>
          <w:sz w:val="24"/>
        </w:rPr>
        <w:t>-PC</w:t>
      </w:r>
      <w:r>
        <w:rPr>
          <w:rFonts w:hint="eastAsia"/>
          <w:sz w:val="24"/>
        </w:rPr>
        <w:t>R</w:t>
      </w:r>
      <w:r>
        <w:rPr>
          <w:sz w:val="24"/>
        </w:rPr>
        <w:t>)</w:t>
      </w:r>
      <w:r>
        <w:rPr>
          <w:sz w:val="24"/>
        </w:rPr>
        <w:t>分析</w:t>
      </w:r>
    </w:p>
    <w:p w14:paraId="36F6FB17" w14:textId="77777777" w:rsidR="006D73E5" w:rsidRDefault="00000000">
      <w:pPr>
        <w:spacing w:line="360" w:lineRule="auto"/>
        <w:ind w:firstLineChars="200" w:firstLine="480"/>
        <w:rPr>
          <w:sz w:val="24"/>
        </w:rPr>
      </w:pPr>
      <w:r>
        <w:rPr>
          <w:sz w:val="24"/>
        </w:rPr>
        <w:t>肝脏样本的总</w:t>
      </w:r>
      <w:r>
        <w:rPr>
          <w:sz w:val="24"/>
        </w:rPr>
        <w:t>RNA</w:t>
      </w:r>
      <w:r>
        <w:rPr>
          <w:sz w:val="24"/>
        </w:rPr>
        <w:t>采用</w:t>
      </w:r>
      <w:r>
        <w:rPr>
          <w:sz w:val="24"/>
        </w:rPr>
        <w:t xml:space="preserve"> </w:t>
      </w:r>
      <w:proofErr w:type="spellStart"/>
      <w:r>
        <w:rPr>
          <w:rFonts w:hint="eastAsia"/>
          <w:sz w:val="24"/>
        </w:rPr>
        <w:t>R</w:t>
      </w:r>
      <w:r>
        <w:rPr>
          <w:sz w:val="24"/>
        </w:rPr>
        <w:t>NAiso</w:t>
      </w:r>
      <w:proofErr w:type="spellEnd"/>
      <w:r>
        <w:rPr>
          <w:sz w:val="24"/>
        </w:rPr>
        <w:t xml:space="preserve"> Plus</w:t>
      </w:r>
      <w:r>
        <w:rPr>
          <w:rFonts w:hint="eastAsia"/>
          <w:sz w:val="24"/>
        </w:rPr>
        <w:t>[</w:t>
      </w:r>
      <w:r>
        <w:rPr>
          <w:sz w:val="24"/>
        </w:rPr>
        <w:t>宝生物工程</w:t>
      </w:r>
      <w:r>
        <w:rPr>
          <w:sz w:val="24"/>
        </w:rPr>
        <w:t>(</w:t>
      </w:r>
      <w:r>
        <w:rPr>
          <w:sz w:val="24"/>
        </w:rPr>
        <w:t>大连</w:t>
      </w:r>
      <w:r>
        <w:rPr>
          <w:sz w:val="24"/>
        </w:rPr>
        <w:t>)</w:t>
      </w:r>
      <w:r>
        <w:rPr>
          <w:sz w:val="24"/>
        </w:rPr>
        <w:t>有限公司</w:t>
      </w:r>
      <w:r>
        <w:rPr>
          <w:rFonts w:hint="eastAsia"/>
          <w:sz w:val="24"/>
        </w:rPr>
        <w:t>]</w:t>
      </w:r>
      <w:r>
        <w:rPr>
          <w:sz w:val="24"/>
        </w:rPr>
        <w:t>提取，并根据使用手册使用</w:t>
      </w:r>
      <w:r>
        <w:rPr>
          <w:sz w:val="24"/>
        </w:rPr>
        <w:t>Evo M-M LV RT Mix Kit with gDNA Clean for qPC</w:t>
      </w:r>
      <w:r>
        <w:rPr>
          <w:rFonts w:hint="eastAsia"/>
          <w:sz w:val="24"/>
        </w:rPr>
        <w:t>R</w:t>
      </w:r>
      <w:r>
        <w:rPr>
          <w:sz w:val="24"/>
        </w:rPr>
        <w:t>试剂盒</w:t>
      </w:r>
      <w:r>
        <w:rPr>
          <w:sz w:val="24"/>
        </w:rPr>
        <w:t>(</w:t>
      </w:r>
      <w:r>
        <w:rPr>
          <w:sz w:val="24"/>
        </w:rPr>
        <w:t>湖南艾科瑞生物工程有限公司</w:t>
      </w:r>
      <w:r>
        <w:rPr>
          <w:sz w:val="24"/>
        </w:rPr>
        <w:t xml:space="preserve">) </w:t>
      </w:r>
      <w:r>
        <w:rPr>
          <w:sz w:val="24"/>
        </w:rPr>
        <w:t>进行反转录。</w:t>
      </w:r>
    </w:p>
    <w:p w14:paraId="3C0B6E62" w14:textId="77777777" w:rsidR="006D73E5" w:rsidRDefault="00000000">
      <w:pPr>
        <w:spacing w:line="360" w:lineRule="auto"/>
        <w:jc w:val="center"/>
        <w:rPr>
          <w:sz w:val="24"/>
        </w:rPr>
      </w:pPr>
      <w:r>
        <w:rPr>
          <w:noProof/>
          <w:sz w:val="24"/>
        </w:rPr>
        <w:lastRenderedPageBreak/>
        <w:drawing>
          <wp:inline distT="0" distB="0" distL="0" distR="0" wp14:anchorId="7EF2C529" wp14:editId="4282BBF1">
            <wp:extent cx="4499610" cy="303530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4563310" cy="3078426"/>
                    </a:xfrm>
                    <a:prstGeom prst="rect">
                      <a:avLst/>
                    </a:prstGeom>
                    <a:noFill/>
                    <a:ln>
                      <a:noFill/>
                    </a:ln>
                  </pic:spPr>
                </pic:pic>
              </a:graphicData>
            </a:graphic>
          </wp:inline>
        </w:drawing>
      </w:r>
    </w:p>
    <w:p w14:paraId="1D9674F4" w14:textId="77777777" w:rsidR="006D73E5" w:rsidRDefault="00000000">
      <w:pPr>
        <w:spacing w:line="360" w:lineRule="auto"/>
        <w:ind w:firstLineChars="200" w:firstLine="480"/>
        <w:rPr>
          <w:sz w:val="24"/>
        </w:rPr>
      </w:pPr>
      <w:r>
        <w:rPr>
          <w:sz w:val="24"/>
        </w:rPr>
        <w:t>采用</w:t>
      </w:r>
      <w:proofErr w:type="spellStart"/>
      <w:r>
        <w:rPr>
          <w:sz w:val="24"/>
        </w:rPr>
        <w:t>q</w:t>
      </w:r>
      <w:r>
        <w:rPr>
          <w:rFonts w:hint="eastAsia"/>
          <w:sz w:val="24"/>
        </w:rPr>
        <w:t>R</w:t>
      </w:r>
      <w:r>
        <w:rPr>
          <w:sz w:val="24"/>
        </w:rPr>
        <w:t>T</w:t>
      </w:r>
      <w:proofErr w:type="spellEnd"/>
      <w:r>
        <w:rPr>
          <w:sz w:val="24"/>
        </w:rPr>
        <w:t>-PC</w:t>
      </w:r>
      <w:r>
        <w:rPr>
          <w:rFonts w:hint="eastAsia"/>
          <w:sz w:val="24"/>
        </w:rPr>
        <w:t>R</w:t>
      </w:r>
      <w:r>
        <w:rPr>
          <w:sz w:val="24"/>
        </w:rPr>
        <w:t>检测不同鱼类组织中以及不同营养状态下</w:t>
      </w:r>
      <w:r>
        <w:rPr>
          <w:sz w:val="24"/>
        </w:rPr>
        <w:t xml:space="preserve"> FATP m</w:t>
      </w:r>
      <w:r>
        <w:rPr>
          <w:rFonts w:hint="eastAsia"/>
          <w:sz w:val="24"/>
        </w:rPr>
        <w:t>R</w:t>
      </w:r>
      <w:r>
        <w:rPr>
          <w:sz w:val="24"/>
        </w:rPr>
        <w:t xml:space="preserve">NA </w:t>
      </w:r>
      <w:r>
        <w:rPr>
          <w:sz w:val="24"/>
        </w:rPr>
        <w:t>的相对表达量。所有被研究的</w:t>
      </w:r>
      <w:r>
        <w:rPr>
          <w:sz w:val="24"/>
        </w:rPr>
        <w:t xml:space="preserve"> FATP </w:t>
      </w:r>
      <w:r>
        <w:rPr>
          <w:sz w:val="24"/>
        </w:rPr>
        <w:t>的完整蛋白质编码区</w:t>
      </w:r>
      <w:r>
        <w:rPr>
          <w:sz w:val="24"/>
        </w:rPr>
        <w:t>(CDS)</w:t>
      </w:r>
      <w:r>
        <w:rPr>
          <w:sz w:val="24"/>
        </w:rPr>
        <w:t>均可在</w:t>
      </w:r>
      <w:r>
        <w:rPr>
          <w:sz w:val="24"/>
        </w:rPr>
        <w:t xml:space="preserve">GenBank </w:t>
      </w:r>
      <w:r>
        <w:rPr>
          <w:sz w:val="24"/>
        </w:rPr>
        <w:t>数据库中获得。根据</w:t>
      </w:r>
      <w:r>
        <w:rPr>
          <w:sz w:val="24"/>
        </w:rPr>
        <w:t>GenBank</w:t>
      </w:r>
      <w:r>
        <w:rPr>
          <w:sz w:val="24"/>
        </w:rPr>
        <w:t>中</w:t>
      </w:r>
      <w:r>
        <w:rPr>
          <w:sz w:val="24"/>
        </w:rPr>
        <w:t xml:space="preserve">FATP </w:t>
      </w:r>
      <w:r>
        <w:rPr>
          <w:sz w:val="24"/>
        </w:rPr>
        <w:t>序列，利用</w:t>
      </w:r>
      <w:r>
        <w:rPr>
          <w:sz w:val="24"/>
        </w:rPr>
        <w:t>Primer 5</w:t>
      </w:r>
      <w:r>
        <w:rPr>
          <w:rFonts w:hint="eastAsia"/>
          <w:sz w:val="24"/>
        </w:rPr>
        <w:t>.</w:t>
      </w:r>
      <w:r>
        <w:rPr>
          <w:sz w:val="24"/>
        </w:rPr>
        <w:t>0</w:t>
      </w:r>
      <w:r>
        <w:rPr>
          <w:sz w:val="24"/>
        </w:rPr>
        <w:t>设计特异性引物，由擎科新业生物技术有限公司合成</w:t>
      </w:r>
      <w:r>
        <w:rPr>
          <w:sz w:val="24"/>
        </w:rPr>
        <w:t>(</w:t>
      </w:r>
      <w:r>
        <w:rPr>
          <w:sz w:val="24"/>
        </w:rPr>
        <w:t>表</w:t>
      </w:r>
      <w:r>
        <w:rPr>
          <w:sz w:val="24"/>
        </w:rPr>
        <w:t xml:space="preserve"> 2)</w:t>
      </w:r>
      <w:r>
        <w:rPr>
          <w:sz w:val="24"/>
        </w:rPr>
        <w:t>。根据我们之前的筛选试验，以</w:t>
      </w:r>
      <w:r>
        <w:rPr>
          <w:sz w:val="24"/>
        </w:rPr>
        <w:t xml:space="preserve">β2 </w:t>
      </w:r>
      <w:r>
        <w:rPr>
          <w:sz w:val="24"/>
        </w:rPr>
        <w:t>微球蛋白</w:t>
      </w:r>
      <w:r>
        <w:rPr>
          <w:sz w:val="24"/>
        </w:rPr>
        <w:t>(B2M)</w:t>
      </w:r>
      <w:r>
        <w:rPr>
          <w:sz w:val="24"/>
        </w:rPr>
        <w:t>、</w:t>
      </w:r>
      <w:r>
        <w:rPr>
          <w:sz w:val="24"/>
        </w:rPr>
        <w:t>β</w:t>
      </w:r>
      <w:r>
        <w:rPr>
          <w:sz w:val="24"/>
        </w:rPr>
        <w:t>－肌动蛋白</w:t>
      </w:r>
      <w:r>
        <w:rPr>
          <w:sz w:val="24"/>
        </w:rPr>
        <w:t>(β-actin)</w:t>
      </w:r>
      <w:r>
        <w:rPr>
          <w:sz w:val="24"/>
        </w:rPr>
        <w:t>和延伸因</w:t>
      </w:r>
      <w:r>
        <w:rPr>
          <w:sz w:val="24"/>
        </w:rPr>
        <w:t>1α(EF1α)</w:t>
      </w:r>
      <w:r>
        <w:rPr>
          <w:sz w:val="24"/>
        </w:rPr>
        <w:t>作为大菱鲆研究的内参</w:t>
      </w:r>
      <w:r>
        <w:rPr>
          <w:sz w:val="24"/>
        </w:rPr>
        <w:t xml:space="preserve"> </w:t>
      </w:r>
      <w:r>
        <w:rPr>
          <w:sz w:val="24"/>
        </w:rPr>
        <w:t>基因，以</w:t>
      </w:r>
      <w:r>
        <w:rPr>
          <w:sz w:val="24"/>
        </w:rPr>
        <w:t>β-actin</w:t>
      </w:r>
      <w:r>
        <w:rPr>
          <w:sz w:val="24"/>
        </w:rPr>
        <w:t>和核糖体蛋白</w:t>
      </w:r>
      <w:r>
        <w:rPr>
          <w:sz w:val="24"/>
        </w:rPr>
        <w:t>L19 (</w:t>
      </w:r>
      <w:r>
        <w:rPr>
          <w:rFonts w:hint="eastAsia"/>
          <w:sz w:val="24"/>
        </w:rPr>
        <w:t>R</w:t>
      </w:r>
      <w:r>
        <w:rPr>
          <w:sz w:val="24"/>
        </w:rPr>
        <w:t>PL19)</w:t>
      </w:r>
      <w:r>
        <w:rPr>
          <w:sz w:val="24"/>
        </w:rPr>
        <w:t>作为红鳍东方鲀研究的内参基因</w:t>
      </w:r>
      <w:r>
        <w:rPr>
          <w:rFonts w:hint="eastAsia"/>
          <w:sz w:val="24"/>
          <w:vertAlign w:val="superscript"/>
        </w:rPr>
        <w:t>[</w:t>
      </w:r>
      <w:r>
        <w:rPr>
          <w:sz w:val="24"/>
          <w:vertAlign w:val="superscript"/>
        </w:rPr>
        <w:t>17]</w:t>
      </w:r>
      <w:r>
        <w:rPr>
          <w:sz w:val="24"/>
        </w:rPr>
        <w:t>。根据目标模板</w:t>
      </w:r>
      <w:r>
        <w:rPr>
          <w:sz w:val="24"/>
        </w:rPr>
        <w:t xml:space="preserve"> 6 </w:t>
      </w:r>
      <w:r>
        <w:rPr>
          <w:sz w:val="24"/>
        </w:rPr>
        <w:t>步</w:t>
      </w:r>
      <w:r>
        <w:rPr>
          <w:sz w:val="24"/>
        </w:rPr>
        <w:t xml:space="preserve"> 4 </w:t>
      </w:r>
      <w:r>
        <w:rPr>
          <w:sz w:val="24"/>
        </w:rPr>
        <w:t>倍稀释系列标准曲线估计，所有引物的扩增效率在</w:t>
      </w:r>
      <w:r>
        <w:rPr>
          <w:sz w:val="24"/>
        </w:rPr>
        <w:t xml:space="preserve"> 95%</w:t>
      </w:r>
      <w:r>
        <w:rPr>
          <w:sz w:val="24"/>
        </w:rPr>
        <w:t>～</w:t>
      </w:r>
      <w:r>
        <w:rPr>
          <w:sz w:val="24"/>
        </w:rPr>
        <w:t>105%</w:t>
      </w:r>
      <w:r>
        <w:rPr>
          <w:sz w:val="24"/>
        </w:rPr>
        <w:t>，线性回归系数</w:t>
      </w:r>
      <w:r>
        <w:rPr>
          <w:sz w:val="24"/>
        </w:rPr>
        <w:t>(</w:t>
      </w:r>
      <w:r>
        <w:rPr>
          <w:rFonts w:hint="eastAsia"/>
          <w:sz w:val="24"/>
        </w:rPr>
        <w:t>R</w:t>
      </w:r>
      <w:r>
        <w:rPr>
          <w:sz w:val="24"/>
        </w:rPr>
        <w:t>2)</w:t>
      </w:r>
      <w:r>
        <w:rPr>
          <w:sz w:val="24"/>
        </w:rPr>
        <w:t>＞</w:t>
      </w:r>
      <w:r>
        <w:rPr>
          <w:sz w:val="24"/>
        </w:rPr>
        <w:t>0</w:t>
      </w:r>
      <w:r>
        <w:rPr>
          <w:rFonts w:hint="eastAsia"/>
          <w:sz w:val="24"/>
        </w:rPr>
        <w:t>.</w:t>
      </w:r>
      <w:r>
        <w:rPr>
          <w:sz w:val="24"/>
        </w:rPr>
        <w:t>99</w:t>
      </w:r>
      <w:r>
        <w:rPr>
          <w:sz w:val="24"/>
        </w:rPr>
        <w:t>。采用</w:t>
      </w:r>
      <w:r>
        <w:rPr>
          <w:sz w:val="24"/>
        </w:rPr>
        <w:t xml:space="preserve"> SYB</w:t>
      </w:r>
      <w:r>
        <w:rPr>
          <w:rFonts w:hint="eastAsia"/>
          <w:sz w:val="24"/>
        </w:rPr>
        <w:t>R</w:t>
      </w:r>
      <w:r>
        <w:rPr>
          <w:sz w:val="24"/>
        </w:rPr>
        <w:t xml:space="preserve"> Green Premix Pro Taq HS qPC</w:t>
      </w:r>
      <w:r>
        <w:rPr>
          <w:rFonts w:hint="eastAsia"/>
          <w:sz w:val="24"/>
        </w:rPr>
        <w:t>R</w:t>
      </w:r>
      <w:r>
        <w:rPr>
          <w:sz w:val="24"/>
        </w:rPr>
        <w:t xml:space="preserve"> Kit Ⅱ</w:t>
      </w:r>
      <w:r>
        <w:rPr>
          <w:sz w:val="24"/>
        </w:rPr>
        <w:t>和定量</w:t>
      </w:r>
      <w:r>
        <w:rPr>
          <w:sz w:val="24"/>
        </w:rPr>
        <w:t>PC</w:t>
      </w:r>
      <w:r>
        <w:rPr>
          <w:rFonts w:hint="eastAsia"/>
          <w:sz w:val="24"/>
        </w:rPr>
        <w:t>R</w:t>
      </w:r>
      <w:r>
        <w:rPr>
          <w:sz w:val="24"/>
        </w:rPr>
        <w:t>仪</w:t>
      </w:r>
      <w:r>
        <w:rPr>
          <w:sz w:val="24"/>
        </w:rPr>
        <w:t xml:space="preserve">( </w:t>
      </w:r>
      <w:r>
        <w:rPr>
          <w:rFonts w:hint="eastAsia"/>
          <w:sz w:val="24"/>
        </w:rPr>
        <w:t>R</w:t>
      </w:r>
      <w:r>
        <w:rPr>
          <w:sz w:val="24"/>
        </w:rPr>
        <w:t xml:space="preserve">oche </w:t>
      </w:r>
      <w:proofErr w:type="spellStart"/>
      <w:r>
        <w:rPr>
          <w:sz w:val="24"/>
        </w:rPr>
        <w:t>LightCycler</w:t>
      </w:r>
      <w:proofErr w:type="spellEnd"/>
      <w:r>
        <w:rPr>
          <w:sz w:val="24"/>
        </w:rPr>
        <w:t xml:space="preserve"> 96</w:t>
      </w:r>
      <w:r>
        <w:rPr>
          <w:sz w:val="24"/>
        </w:rPr>
        <w:t>，瑞士</w:t>
      </w:r>
      <w:r>
        <w:rPr>
          <w:sz w:val="24"/>
        </w:rPr>
        <w:t xml:space="preserve">) </w:t>
      </w:r>
      <w:r>
        <w:rPr>
          <w:sz w:val="24"/>
        </w:rPr>
        <w:t>进行</w:t>
      </w:r>
      <w:proofErr w:type="spellStart"/>
      <w:r>
        <w:rPr>
          <w:sz w:val="24"/>
        </w:rPr>
        <w:t>q</w:t>
      </w:r>
      <w:r>
        <w:rPr>
          <w:rFonts w:hint="eastAsia"/>
          <w:sz w:val="24"/>
        </w:rPr>
        <w:t>R</w:t>
      </w:r>
      <w:r>
        <w:rPr>
          <w:sz w:val="24"/>
        </w:rPr>
        <w:t>T</w:t>
      </w:r>
      <w:proofErr w:type="spellEnd"/>
      <w:r>
        <w:rPr>
          <w:sz w:val="24"/>
        </w:rPr>
        <w:t>-PC</w:t>
      </w:r>
      <w:r>
        <w:rPr>
          <w:rFonts w:hint="eastAsia"/>
          <w:sz w:val="24"/>
        </w:rPr>
        <w:t>R</w:t>
      </w:r>
      <w:r>
        <w:rPr>
          <w:sz w:val="24"/>
        </w:rPr>
        <w:t>分析。反应体系由</w:t>
      </w:r>
      <w:r>
        <w:rPr>
          <w:sz w:val="24"/>
        </w:rPr>
        <w:t xml:space="preserve"> 2 </w:t>
      </w:r>
      <w:proofErr w:type="spellStart"/>
      <w:r>
        <w:rPr>
          <w:sz w:val="24"/>
        </w:rPr>
        <w:t>μL</w:t>
      </w:r>
      <w:proofErr w:type="spellEnd"/>
      <w:r>
        <w:rPr>
          <w:sz w:val="24"/>
        </w:rPr>
        <w:t xml:space="preserve"> cDNA </w:t>
      </w:r>
      <w:r>
        <w:rPr>
          <w:sz w:val="24"/>
        </w:rPr>
        <w:t>模板、</w:t>
      </w:r>
      <w:r>
        <w:rPr>
          <w:sz w:val="24"/>
        </w:rPr>
        <w:t xml:space="preserve">10 </w:t>
      </w:r>
      <w:proofErr w:type="spellStart"/>
      <w:r>
        <w:rPr>
          <w:sz w:val="24"/>
        </w:rPr>
        <w:t>μL</w:t>
      </w:r>
      <w:proofErr w:type="spellEnd"/>
      <w:r>
        <w:rPr>
          <w:sz w:val="24"/>
        </w:rPr>
        <w:t xml:space="preserve"> SYB</w:t>
      </w:r>
      <w:r>
        <w:rPr>
          <w:rFonts w:hint="eastAsia"/>
          <w:sz w:val="24"/>
        </w:rPr>
        <w:t>R</w:t>
      </w:r>
      <w:r>
        <w:rPr>
          <w:sz w:val="24"/>
        </w:rPr>
        <w:t xml:space="preserve"> Green Pro Taq HS Premix Ⅱ</w:t>
      </w:r>
      <w:r>
        <w:rPr>
          <w:sz w:val="24"/>
        </w:rPr>
        <w:t>、</w:t>
      </w:r>
      <w:r>
        <w:rPr>
          <w:sz w:val="24"/>
        </w:rPr>
        <w:t xml:space="preserve">0.8 </w:t>
      </w:r>
      <w:proofErr w:type="spellStart"/>
      <w:r>
        <w:rPr>
          <w:sz w:val="24"/>
        </w:rPr>
        <w:t>μL</w:t>
      </w:r>
      <w:proofErr w:type="spellEnd"/>
      <w:r>
        <w:rPr>
          <w:sz w:val="24"/>
        </w:rPr>
        <w:t xml:space="preserve"> </w:t>
      </w:r>
      <w:r>
        <w:rPr>
          <w:sz w:val="24"/>
        </w:rPr>
        <w:t>正向引物、</w:t>
      </w:r>
      <w:r>
        <w:rPr>
          <w:sz w:val="24"/>
        </w:rPr>
        <w:t>0</w:t>
      </w:r>
      <w:r>
        <w:rPr>
          <w:rFonts w:hint="eastAsia"/>
          <w:sz w:val="24"/>
        </w:rPr>
        <w:t>.</w:t>
      </w:r>
      <w:r>
        <w:rPr>
          <w:sz w:val="24"/>
        </w:rPr>
        <w:t xml:space="preserve">8 </w:t>
      </w:r>
      <w:proofErr w:type="spellStart"/>
      <w:r>
        <w:rPr>
          <w:sz w:val="24"/>
        </w:rPr>
        <w:t>μL</w:t>
      </w:r>
      <w:proofErr w:type="spellEnd"/>
      <w:r>
        <w:rPr>
          <w:sz w:val="24"/>
        </w:rPr>
        <w:t>反向引物和</w:t>
      </w:r>
      <w:r>
        <w:rPr>
          <w:sz w:val="24"/>
        </w:rPr>
        <w:t>6</w:t>
      </w:r>
      <w:r>
        <w:rPr>
          <w:rFonts w:hint="eastAsia"/>
          <w:sz w:val="24"/>
        </w:rPr>
        <w:t>.</w:t>
      </w:r>
      <w:r>
        <w:rPr>
          <w:sz w:val="24"/>
        </w:rPr>
        <w:t xml:space="preserve">4 </w:t>
      </w:r>
      <w:proofErr w:type="spellStart"/>
      <w:r>
        <w:rPr>
          <w:sz w:val="24"/>
        </w:rPr>
        <w:t>μL</w:t>
      </w:r>
      <w:proofErr w:type="spellEnd"/>
      <w:r>
        <w:rPr>
          <w:sz w:val="24"/>
        </w:rPr>
        <w:t>无菌水组成。程序如下</w:t>
      </w:r>
      <w:r>
        <w:rPr>
          <w:sz w:val="24"/>
        </w:rPr>
        <w:t>: 95 ℃ 30 s</w:t>
      </w:r>
      <w:r>
        <w:rPr>
          <w:sz w:val="24"/>
        </w:rPr>
        <w:t>，然后依次进行</w:t>
      </w:r>
      <w:r>
        <w:rPr>
          <w:sz w:val="24"/>
        </w:rPr>
        <w:t xml:space="preserve"> 95 ℃ 5 s</w:t>
      </w:r>
      <w:r>
        <w:rPr>
          <w:sz w:val="24"/>
        </w:rPr>
        <w:t>，</w:t>
      </w:r>
      <w:r>
        <w:rPr>
          <w:sz w:val="24"/>
        </w:rPr>
        <w:t>57 ℃ 30 s</w:t>
      </w:r>
      <w:r>
        <w:rPr>
          <w:sz w:val="24"/>
        </w:rPr>
        <w:t>，</w:t>
      </w:r>
      <w:r>
        <w:rPr>
          <w:sz w:val="24"/>
        </w:rPr>
        <w:t>72 ℃ 30 s</w:t>
      </w:r>
      <w:r>
        <w:rPr>
          <w:sz w:val="24"/>
        </w:rPr>
        <w:t>的</w:t>
      </w:r>
      <w:r>
        <w:rPr>
          <w:sz w:val="24"/>
        </w:rPr>
        <w:t>40</w:t>
      </w:r>
      <w:r>
        <w:rPr>
          <w:sz w:val="24"/>
        </w:rPr>
        <w:t>个循环。在扩增阶段后进行熔化曲线分析</w:t>
      </w:r>
      <w:r>
        <w:rPr>
          <w:sz w:val="24"/>
        </w:rPr>
        <w:t>(</w:t>
      </w:r>
      <w:r>
        <w:rPr>
          <w:sz w:val="24"/>
        </w:rPr>
        <w:t>从</w:t>
      </w:r>
      <w:r>
        <w:rPr>
          <w:sz w:val="24"/>
        </w:rPr>
        <w:t>65 ℃</w:t>
      </w:r>
      <w:r>
        <w:rPr>
          <w:sz w:val="24"/>
        </w:rPr>
        <w:t>增加到</w:t>
      </w:r>
      <w:r>
        <w:rPr>
          <w:sz w:val="24"/>
        </w:rPr>
        <w:t>97 ℃</w:t>
      </w:r>
      <w:r>
        <w:rPr>
          <w:sz w:val="24"/>
        </w:rPr>
        <w:t>，</w:t>
      </w:r>
      <w:r>
        <w:rPr>
          <w:sz w:val="24"/>
        </w:rPr>
        <w:t>6</w:t>
      </w:r>
      <w:r>
        <w:rPr>
          <w:rFonts w:hint="eastAsia"/>
          <w:sz w:val="24"/>
        </w:rPr>
        <w:t>.</w:t>
      </w:r>
      <w:r>
        <w:rPr>
          <w:sz w:val="24"/>
        </w:rPr>
        <w:t>4 ℃ /min)</w:t>
      </w:r>
      <w:r>
        <w:rPr>
          <w:sz w:val="24"/>
        </w:rPr>
        <w:t>，以确认唯一的产物条带。每个样品做</w:t>
      </w:r>
      <w:r>
        <w:rPr>
          <w:sz w:val="24"/>
        </w:rPr>
        <w:t>3</w:t>
      </w:r>
      <w:r>
        <w:rPr>
          <w:sz w:val="24"/>
        </w:rPr>
        <w:t>个重复。根据</w:t>
      </w:r>
      <w:r>
        <w:rPr>
          <w:sz w:val="24"/>
        </w:rPr>
        <w:t xml:space="preserve"> 2</w:t>
      </w:r>
      <w:r>
        <w:rPr>
          <w:sz w:val="24"/>
          <w:vertAlign w:val="superscript"/>
        </w:rPr>
        <w:t>－</w:t>
      </w:r>
      <w:proofErr w:type="spellStart"/>
      <w:r>
        <w:rPr>
          <w:sz w:val="24"/>
          <w:vertAlign w:val="superscript"/>
        </w:rPr>
        <w:t>ΔΔCt</w:t>
      </w:r>
      <w:proofErr w:type="spellEnd"/>
      <w:r>
        <w:rPr>
          <w:sz w:val="24"/>
        </w:rPr>
        <w:t>方法计算</w:t>
      </w:r>
      <w:r>
        <w:rPr>
          <w:sz w:val="24"/>
        </w:rPr>
        <w:t>m</w:t>
      </w:r>
      <w:r>
        <w:rPr>
          <w:rFonts w:hint="eastAsia"/>
          <w:sz w:val="24"/>
        </w:rPr>
        <w:t>R</w:t>
      </w:r>
      <w:r>
        <w:rPr>
          <w:sz w:val="24"/>
        </w:rPr>
        <w:t xml:space="preserve">NA </w:t>
      </w:r>
      <w:r>
        <w:rPr>
          <w:sz w:val="24"/>
        </w:rPr>
        <w:t>相对表达量</w:t>
      </w:r>
      <w:r>
        <w:rPr>
          <w:rFonts w:hint="eastAsia"/>
          <w:sz w:val="24"/>
          <w:vertAlign w:val="superscript"/>
        </w:rPr>
        <w:t>[</w:t>
      </w:r>
      <w:r>
        <w:rPr>
          <w:sz w:val="24"/>
          <w:vertAlign w:val="superscript"/>
        </w:rPr>
        <w:t>18]</w:t>
      </w:r>
      <w:r>
        <w:rPr>
          <w:sz w:val="24"/>
        </w:rPr>
        <w:t>。</w:t>
      </w:r>
    </w:p>
    <w:p w14:paraId="301175D4" w14:textId="77777777" w:rsidR="006D73E5" w:rsidRDefault="00000000">
      <w:pPr>
        <w:spacing w:line="360" w:lineRule="auto"/>
        <w:rPr>
          <w:sz w:val="24"/>
        </w:rPr>
      </w:pPr>
      <w:r>
        <w:rPr>
          <w:sz w:val="24"/>
        </w:rPr>
        <w:t xml:space="preserve">1.3  </w:t>
      </w:r>
      <w:r>
        <w:rPr>
          <w:sz w:val="24"/>
        </w:rPr>
        <w:t>统计分析</w:t>
      </w:r>
    </w:p>
    <w:p w14:paraId="28E220E8" w14:textId="77777777" w:rsidR="006D73E5" w:rsidRDefault="00000000">
      <w:pPr>
        <w:spacing w:line="360" w:lineRule="auto"/>
        <w:ind w:firstLineChars="200" w:firstLine="480"/>
        <w:rPr>
          <w:sz w:val="24"/>
        </w:rPr>
      </w:pPr>
      <w:r>
        <w:rPr>
          <w:sz w:val="24"/>
        </w:rPr>
        <w:t>氨基酸多序列比对采用</w:t>
      </w:r>
      <w:r>
        <w:rPr>
          <w:sz w:val="24"/>
        </w:rPr>
        <w:t xml:space="preserve"> </w:t>
      </w:r>
      <w:proofErr w:type="spellStart"/>
      <w:r>
        <w:rPr>
          <w:sz w:val="24"/>
        </w:rPr>
        <w:t>BioEdit</w:t>
      </w:r>
      <w:proofErr w:type="spellEnd"/>
      <w:r>
        <w:rPr>
          <w:sz w:val="24"/>
        </w:rPr>
        <w:t xml:space="preserve"> </w:t>
      </w:r>
      <w:r>
        <w:rPr>
          <w:sz w:val="24"/>
        </w:rPr>
        <w:t>软件进行。利用</w:t>
      </w:r>
      <w:proofErr w:type="spellStart"/>
      <w:r>
        <w:rPr>
          <w:sz w:val="24"/>
        </w:rPr>
        <w:t>ClustalW</w:t>
      </w:r>
      <w:proofErr w:type="spellEnd"/>
      <w:r>
        <w:rPr>
          <w:sz w:val="24"/>
        </w:rPr>
        <w:t xml:space="preserve"> </w:t>
      </w:r>
      <w:r>
        <w:rPr>
          <w:sz w:val="24"/>
        </w:rPr>
        <w:t>软件对</w:t>
      </w:r>
      <w:r>
        <w:rPr>
          <w:sz w:val="24"/>
        </w:rPr>
        <w:t>FATP cDNA</w:t>
      </w:r>
      <w:r>
        <w:rPr>
          <w:sz w:val="24"/>
        </w:rPr>
        <w:t>列进行相似性分析。用</w:t>
      </w:r>
      <w:r>
        <w:rPr>
          <w:sz w:val="24"/>
        </w:rPr>
        <w:t xml:space="preserve"> </w:t>
      </w:r>
      <w:proofErr w:type="spellStart"/>
      <w:r>
        <w:rPr>
          <w:sz w:val="24"/>
        </w:rPr>
        <w:t>ExPASy</w:t>
      </w:r>
      <w:proofErr w:type="spellEnd"/>
      <w:r>
        <w:rPr>
          <w:sz w:val="24"/>
        </w:rPr>
        <w:t xml:space="preserve"> Compute </w:t>
      </w:r>
      <w:proofErr w:type="spellStart"/>
      <w:r>
        <w:rPr>
          <w:sz w:val="24"/>
        </w:rPr>
        <w:t>pI</w:t>
      </w:r>
      <w:proofErr w:type="spellEnd"/>
      <w:r>
        <w:rPr>
          <w:sz w:val="24"/>
        </w:rPr>
        <w:t>/MW( http: / /web</w:t>
      </w:r>
      <w:r>
        <w:rPr>
          <w:sz w:val="24"/>
        </w:rPr>
        <w:t>．</w:t>
      </w:r>
      <w:proofErr w:type="spellStart"/>
      <w:r>
        <w:rPr>
          <w:sz w:val="24"/>
        </w:rPr>
        <w:t>expasy</w:t>
      </w:r>
      <w:proofErr w:type="spellEnd"/>
      <w:r>
        <w:rPr>
          <w:sz w:val="24"/>
        </w:rPr>
        <w:t>．</w:t>
      </w:r>
      <w:r>
        <w:rPr>
          <w:sz w:val="24"/>
        </w:rPr>
        <w:t>org /</w:t>
      </w:r>
      <w:proofErr w:type="spellStart"/>
      <w:r>
        <w:rPr>
          <w:sz w:val="24"/>
        </w:rPr>
        <w:t>compute_pi</w:t>
      </w:r>
      <w:proofErr w:type="spellEnd"/>
      <w:r>
        <w:rPr>
          <w:sz w:val="24"/>
        </w:rPr>
        <w:t xml:space="preserve"> /) </w:t>
      </w:r>
      <w:r>
        <w:rPr>
          <w:sz w:val="24"/>
        </w:rPr>
        <w:t>对推断出的氨基酸序列特征进行分析。利用</w:t>
      </w:r>
      <w:r>
        <w:rPr>
          <w:sz w:val="24"/>
        </w:rPr>
        <w:t xml:space="preserve"> SMA</w:t>
      </w:r>
      <w:r>
        <w:rPr>
          <w:rFonts w:hint="eastAsia"/>
          <w:sz w:val="24"/>
        </w:rPr>
        <w:t>R</w:t>
      </w:r>
      <w:r>
        <w:rPr>
          <w:sz w:val="24"/>
        </w:rPr>
        <w:t xml:space="preserve">T </w:t>
      </w:r>
      <w:r>
        <w:rPr>
          <w:sz w:val="24"/>
        </w:rPr>
        <w:t>程序</w:t>
      </w:r>
      <w:r>
        <w:rPr>
          <w:sz w:val="24"/>
        </w:rPr>
        <w:t>(http: / /smart</w:t>
      </w:r>
      <w:r>
        <w:rPr>
          <w:sz w:val="24"/>
        </w:rPr>
        <w:t>．</w:t>
      </w:r>
      <w:proofErr w:type="spellStart"/>
      <w:r>
        <w:rPr>
          <w:sz w:val="24"/>
        </w:rPr>
        <w:t>embl-heidelberg</w:t>
      </w:r>
      <w:proofErr w:type="spellEnd"/>
      <w:r>
        <w:rPr>
          <w:sz w:val="24"/>
        </w:rPr>
        <w:t>．</w:t>
      </w:r>
      <w:r>
        <w:rPr>
          <w:sz w:val="24"/>
        </w:rPr>
        <w:t>de /)</w:t>
      </w:r>
      <w:r>
        <w:rPr>
          <w:sz w:val="24"/>
        </w:rPr>
        <w:t>和</w:t>
      </w:r>
      <w:r>
        <w:rPr>
          <w:sz w:val="24"/>
        </w:rPr>
        <w:t>P</w:t>
      </w:r>
      <w:r>
        <w:rPr>
          <w:rFonts w:hint="eastAsia"/>
          <w:sz w:val="24"/>
        </w:rPr>
        <w:t>R</w:t>
      </w:r>
      <w:r>
        <w:rPr>
          <w:sz w:val="24"/>
        </w:rPr>
        <w:t>OSITE</w:t>
      </w:r>
      <w:r>
        <w:rPr>
          <w:sz w:val="24"/>
        </w:rPr>
        <w:t>程序</w:t>
      </w:r>
      <w:r>
        <w:rPr>
          <w:sz w:val="24"/>
        </w:rPr>
        <w:t>( http: / /</w:t>
      </w:r>
      <w:proofErr w:type="spellStart"/>
      <w:r>
        <w:rPr>
          <w:sz w:val="24"/>
        </w:rPr>
        <w:t>kr</w:t>
      </w:r>
      <w:proofErr w:type="spellEnd"/>
      <w:r>
        <w:rPr>
          <w:sz w:val="24"/>
        </w:rPr>
        <w:t>．</w:t>
      </w:r>
      <w:proofErr w:type="spellStart"/>
      <w:r>
        <w:rPr>
          <w:sz w:val="24"/>
        </w:rPr>
        <w:t>expasy</w:t>
      </w:r>
      <w:proofErr w:type="spellEnd"/>
      <w:r>
        <w:rPr>
          <w:sz w:val="24"/>
        </w:rPr>
        <w:t>．</w:t>
      </w:r>
      <w:r>
        <w:rPr>
          <w:sz w:val="24"/>
        </w:rPr>
        <w:t>org /</w:t>
      </w:r>
      <w:proofErr w:type="spellStart"/>
      <w:r>
        <w:rPr>
          <w:sz w:val="24"/>
        </w:rPr>
        <w:t>prosite</w:t>
      </w:r>
      <w:proofErr w:type="spellEnd"/>
      <w:r>
        <w:rPr>
          <w:sz w:val="24"/>
        </w:rPr>
        <w:t xml:space="preserve"> /)</w:t>
      </w:r>
      <w:r>
        <w:rPr>
          <w:sz w:val="24"/>
        </w:rPr>
        <w:t>预测氨基酸序列中的功能位点或结构域。使用邻接法基于氨基酸序列进行系统发育分析，并使用</w:t>
      </w:r>
      <w:r>
        <w:rPr>
          <w:sz w:val="24"/>
        </w:rPr>
        <w:t xml:space="preserve"> MEGA 4</w:t>
      </w:r>
      <w:r>
        <w:rPr>
          <w:rFonts w:hint="eastAsia"/>
          <w:sz w:val="24"/>
        </w:rPr>
        <w:t>.</w:t>
      </w:r>
      <w:r>
        <w:rPr>
          <w:sz w:val="24"/>
        </w:rPr>
        <w:t>1</w:t>
      </w:r>
      <w:r>
        <w:rPr>
          <w:sz w:val="24"/>
        </w:rPr>
        <w:t>软件构建进化树。</w:t>
      </w:r>
    </w:p>
    <w:p w14:paraId="0615246C" w14:textId="77777777" w:rsidR="006D73E5" w:rsidRDefault="00000000">
      <w:pPr>
        <w:spacing w:line="360" w:lineRule="auto"/>
        <w:ind w:firstLineChars="200" w:firstLine="480"/>
        <w:rPr>
          <w:sz w:val="24"/>
        </w:rPr>
      </w:pPr>
      <w:r>
        <w:rPr>
          <w:sz w:val="24"/>
        </w:rPr>
        <w:t>所有</w:t>
      </w:r>
      <w:r>
        <w:rPr>
          <w:sz w:val="24"/>
        </w:rPr>
        <w:t>m</w:t>
      </w:r>
      <w:r>
        <w:rPr>
          <w:rFonts w:hint="eastAsia"/>
          <w:sz w:val="24"/>
        </w:rPr>
        <w:t>R</w:t>
      </w:r>
      <w:r>
        <w:rPr>
          <w:sz w:val="24"/>
        </w:rPr>
        <w:t xml:space="preserve">NA </w:t>
      </w:r>
      <w:r>
        <w:rPr>
          <w:sz w:val="24"/>
        </w:rPr>
        <w:t>表达数据采用</w:t>
      </w:r>
      <w:r>
        <w:rPr>
          <w:sz w:val="24"/>
        </w:rPr>
        <w:t xml:space="preserve"> SPSS 16</w:t>
      </w:r>
      <w:r>
        <w:rPr>
          <w:rFonts w:hint="eastAsia"/>
          <w:sz w:val="24"/>
        </w:rPr>
        <w:t>.</w:t>
      </w:r>
      <w:r>
        <w:rPr>
          <w:sz w:val="24"/>
        </w:rPr>
        <w:t xml:space="preserve">0 </w:t>
      </w:r>
      <w:r>
        <w:rPr>
          <w:sz w:val="24"/>
        </w:rPr>
        <w:t>软件进行单因素方差分析</w:t>
      </w:r>
      <w:r>
        <w:rPr>
          <w:sz w:val="24"/>
        </w:rPr>
        <w:t>(one-way ANOVA)</w:t>
      </w:r>
      <w:r>
        <w:rPr>
          <w:sz w:val="24"/>
        </w:rPr>
        <w:t>，差</w:t>
      </w:r>
      <w:r>
        <w:rPr>
          <w:sz w:val="24"/>
        </w:rPr>
        <w:lastRenderedPageBreak/>
        <w:t>异显著者采用</w:t>
      </w:r>
      <w:r>
        <w:rPr>
          <w:sz w:val="24"/>
        </w:rPr>
        <w:t>Tukey</w:t>
      </w:r>
      <w:r>
        <w:rPr>
          <w:sz w:val="24"/>
        </w:rPr>
        <w:t>氏法进行多重比较。结果以平均值</w:t>
      </w:r>
      <w:r>
        <w:rPr>
          <w:sz w:val="24"/>
        </w:rPr>
        <w:t>±</w:t>
      </w:r>
      <w:r>
        <w:rPr>
          <w:sz w:val="24"/>
        </w:rPr>
        <w:t>标准误表示，</w:t>
      </w:r>
      <w:r>
        <w:rPr>
          <w:i/>
          <w:iCs/>
          <w:sz w:val="24"/>
        </w:rPr>
        <w:t>P</w:t>
      </w:r>
      <w:r>
        <w:rPr>
          <w:sz w:val="24"/>
        </w:rPr>
        <w:t>＜</w:t>
      </w:r>
      <w:r>
        <w:rPr>
          <w:sz w:val="24"/>
        </w:rPr>
        <w:t>0</w:t>
      </w:r>
      <w:r>
        <w:rPr>
          <w:rFonts w:hint="eastAsia"/>
          <w:sz w:val="24"/>
        </w:rPr>
        <w:t>.</w:t>
      </w:r>
      <w:r>
        <w:rPr>
          <w:sz w:val="24"/>
        </w:rPr>
        <w:t>05</w:t>
      </w:r>
      <w:r>
        <w:rPr>
          <w:sz w:val="24"/>
        </w:rPr>
        <w:t>为差异显著。鱼类各组织中</w:t>
      </w:r>
      <w:r>
        <w:rPr>
          <w:sz w:val="24"/>
        </w:rPr>
        <w:t>FATP</w:t>
      </w:r>
      <w:r>
        <w:rPr>
          <w:sz w:val="24"/>
        </w:rPr>
        <w:t>的</w:t>
      </w:r>
      <w:r>
        <w:rPr>
          <w:sz w:val="24"/>
        </w:rPr>
        <w:t xml:space="preserve"> m</w:t>
      </w:r>
      <w:r>
        <w:rPr>
          <w:rFonts w:hint="eastAsia"/>
          <w:sz w:val="24"/>
        </w:rPr>
        <w:t>R</w:t>
      </w:r>
      <w:r>
        <w:rPr>
          <w:sz w:val="24"/>
        </w:rPr>
        <w:t xml:space="preserve">NA </w:t>
      </w:r>
      <w:r>
        <w:rPr>
          <w:sz w:val="24"/>
        </w:rPr>
        <w:t>相对表达量仅用平均值表示，因为不同组织间的组内差异较大</w:t>
      </w:r>
      <w:r>
        <w:rPr>
          <w:sz w:val="24"/>
        </w:rPr>
        <w:t>(</w:t>
      </w:r>
      <w:r>
        <w:rPr>
          <w:sz w:val="24"/>
        </w:rPr>
        <w:t>有时不同组织间的数量级差异太多，数据统计无法通过方差齐性检验</w:t>
      </w:r>
      <w:r>
        <w:rPr>
          <w:sz w:val="24"/>
        </w:rPr>
        <w:t>)</w:t>
      </w:r>
      <w:r>
        <w:rPr>
          <w:sz w:val="24"/>
        </w:rPr>
        <w:t>。</w:t>
      </w:r>
    </w:p>
    <w:p w14:paraId="7423094A" w14:textId="77777777" w:rsidR="006D73E5" w:rsidRDefault="00000000">
      <w:pPr>
        <w:spacing w:line="360" w:lineRule="auto"/>
        <w:rPr>
          <w:sz w:val="24"/>
        </w:rPr>
      </w:pPr>
      <w:r>
        <w:rPr>
          <w:sz w:val="24"/>
        </w:rPr>
        <w:t xml:space="preserve">2  </w:t>
      </w:r>
      <w:r>
        <w:rPr>
          <w:sz w:val="24"/>
        </w:rPr>
        <w:t>结果</w:t>
      </w:r>
    </w:p>
    <w:p w14:paraId="7F2855B6" w14:textId="77777777" w:rsidR="006D73E5" w:rsidRDefault="00000000">
      <w:pPr>
        <w:spacing w:line="360" w:lineRule="auto"/>
        <w:rPr>
          <w:sz w:val="24"/>
        </w:rPr>
      </w:pPr>
      <w:r>
        <w:rPr>
          <w:sz w:val="24"/>
        </w:rPr>
        <w:t xml:space="preserve">2.1  </w:t>
      </w:r>
      <w:r>
        <w:rPr>
          <w:sz w:val="24"/>
        </w:rPr>
        <w:t>序列分析</w:t>
      </w:r>
    </w:p>
    <w:p w14:paraId="496D34CE" w14:textId="41E507C6" w:rsidR="006D73E5" w:rsidRDefault="00000000">
      <w:pPr>
        <w:spacing w:line="360" w:lineRule="auto"/>
        <w:ind w:firstLineChars="200" w:firstLine="480"/>
        <w:rPr>
          <w:sz w:val="24"/>
        </w:rPr>
      </w:pPr>
      <w:r>
        <w:rPr>
          <w:sz w:val="24"/>
        </w:rPr>
        <w:t>由图</w:t>
      </w:r>
      <w:r>
        <w:rPr>
          <w:sz w:val="24"/>
        </w:rPr>
        <w:t xml:space="preserve"> 1 </w:t>
      </w:r>
      <w:r>
        <w:rPr>
          <w:sz w:val="24"/>
        </w:rPr>
        <w:t>可见，大菱鲆</w:t>
      </w:r>
      <w:r>
        <w:rPr>
          <w:sz w:val="24"/>
        </w:rPr>
        <w:t xml:space="preserve"> FATP1</w:t>
      </w:r>
      <w:r>
        <w:rPr>
          <w:sz w:val="24"/>
        </w:rPr>
        <w:t>、</w:t>
      </w:r>
      <w:r>
        <w:rPr>
          <w:sz w:val="24"/>
        </w:rPr>
        <w:t xml:space="preserve">FATP4 </w:t>
      </w:r>
      <w:r>
        <w:rPr>
          <w:sz w:val="24"/>
        </w:rPr>
        <w:t>和</w:t>
      </w:r>
      <w:r>
        <w:rPr>
          <w:sz w:val="24"/>
        </w:rPr>
        <w:t xml:space="preserve">FATP6 </w:t>
      </w:r>
      <w:r>
        <w:rPr>
          <w:sz w:val="24"/>
        </w:rPr>
        <w:t>的完整编码序列分别编码</w:t>
      </w:r>
      <w:r>
        <w:rPr>
          <w:sz w:val="24"/>
        </w:rPr>
        <w:t xml:space="preserve"> 648</w:t>
      </w:r>
      <w:r>
        <w:rPr>
          <w:sz w:val="24"/>
        </w:rPr>
        <w:t>、</w:t>
      </w:r>
      <w:r>
        <w:rPr>
          <w:sz w:val="24"/>
        </w:rPr>
        <w:t>643</w:t>
      </w:r>
      <w:r>
        <w:rPr>
          <w:sz w:val="24"/>
        </w:rPr>
        <w:t>和</w:t>
      </w:r>
      <w:r>
        <w:rPr>
          <w:sz w:val="24"/>
        </w:rPr>
        <w:t>618</w:t>
      </w:r>
      <w:r>
        <w:rPr>
          <w:sz w:val="24"/>
        </w:rPr>
        <w:t>个氨基酸的多肽，红鳍东方鲀</w:t>
      </w:r>
      <w:r>
        <w:rPr>
          <w:sz w:val="24"/>
        </w:rPr>
        <w:t>FATP1</w:t>
      </w:r>
      <w:r>
        <w:rPr>
          <w:sz w:val="24"/>
        </w:rPr>
        <w:t>、</w:t>
      </w:r>
      <w:r>
        <w:rPr>
          <w:sz w:val="24"/>
        </w:rPr>
        <w:t xml:space="preserve">FATP4 </w:t>
      </w:r>
      <w:r>
        <w:rPr>
          <w:sz w:val="24"/>
        </w:rPr>
        <w:t>和</w:t>
      </w:r>
      <w:r>
        <w:rPr>
          <w:sz w:val="24"/>
        </w:rPr>
        <w:t xml:space="preserve"> FATP6 </w:t>
      </w:r>
      <w:r>
        <w:rPr>
          <w:sz w:val="24"/>
        </w:rPr>
        <w:t>的完整编码序列分别编码</w:t>
      </w:r>
      <w:r>
        <w:rPr>
          <w:sz w:val="24"/>
        </w:rPr>
        <w:t>647</w:t>
      </w:r>
      <w:r>
        <w:rPr>
          <w:sz w:val="24"/>
        </w:rPr>
        <w:t>、</w:t>
      </w:r>
      <w:r>
        <w:rPr>
          <w:sz w:val="24"/>
        </w:rPr>
        <w:t>643</w:t>
      </w:r>
      <w:r>
        <w:rPr>
          <w:sz w:val="24"/>
        </w:rPr>
        <w:t>和</w:t>
      </w:r>
      <w:r>
        <w:rPr>
          <w:sz w:val="24"/>
        </w:rPr>
        <w:t>623</w:t>
      </w:r>
      <w:r>
        <w:rPr>
          <w:sz w:val="24"/>
        </w:rPr>
        <w:t>个氨基酸的多肽。预测的分子质量和理论等电点分别为在</w:t>
      </w:r>
      <w:r>
        <w:rPr>
          <w:sz w:val="24"/>
        </w:rPr>
        <w:t>69</w:t>
      </w:r>
      <w:r>
        <w:rPr>
          <w:rFonts w:hint="eastAsia"/>
          <w:sz w:val="24"/>
        </w:rPr>
        <w:t>.</w:t>
      </w:r>
      <w:r>
        <w:rPr>
          <w:sz w:val="24"/>
        </w:rPr>
        <w:t>1</w:t>
      </w:r>
      <w:r>
        <w:rPr>
          <w:sz w:val="24"/>
        </w:rPr>
        <w:t>～</w:t>
      </w:r>
      <w:r>
        <w:rPr>
          <w:sz w:val="24"/>
        </w:rPr>
        <w:t>73</w:t>
      </w:r>
      <w:r>
        <w:rPr>
          <w:rFonts w:hint="eastAsia"/>
          <w:sz w:val="24"/>
        </w:rPr>
        <w:t>.</w:t>
      </w:r>
      <w:r>
        <w:rPr>
          <w:sz w:val="24"/>
        </w:rPr>
        <w:t xml:space="preserve">0 </w:t>
      </w:r>
      <w:proofErr w:type="spellStart"/>
      <w:r>
        <w:rPr>
          <w:sz w:val="24"/>
        </w:rPr>
        <w:t>ku</w:t>
      </w:r>
      <w:proofErr w:type="spellEnd"/>
      <w:r>
        <w:rPr>
          <w:sz w:val="24"/>
        </w:rPr>
        <w:t>和</w:t>
      </w:r>
      <w:r>
        <w:rPr>
          <w:sz w:val="24"/>
        </w:rPr>
        <w:t>7</w:t>
      </w:r>
      <w:r>
        <w:rPr>
          <w:rFonts w:hint="eastAsia"/>
          <w:sz w:val="24"/>
        </w:rPr>
        <w:t>.</w:t>
      </w:r>
      <w:r>
        <w:rPr>
          <w:sz w:val="24"/>
        </w:rPr>
        <w:t>89</w:t>
      </w:r>
      <w:r>
        <w:rPr>
          <w:sz w:val="24"/>
        </w:rPr>
        <w:t>～</w:t>
      </w:r>
      <w:r>
        <w:rPr>
          <w:sz w:val="24"/>
        </w:rPr>
        <w:t>9</w:t>
      </w:r>
      <w:r>
        <w:rPr>
          <w:rFonts w:hint="eastAsia"/>
          <w:sz w:val="24"/>
        </w:rPr>
        <w:t>.</w:t>
      </w:r>
      <w:r>
        <w:rPr>
          <w:sz w:val="24"/>
        </w:rPr>
        <w:t>00</w:t>
      </w:r>
      <w:r>
        <w:rPr>
          <w:sz w:val="24"/>
        </w:rPr>
        <w:t>。大菱鲆和红鳍东方鲀的</w:t>
      </w:r>
      <w:r>
        <w:rPr>
          <w:sz w:val="24"/>
        </w:rPr>
        <w:t xml:space="preserve"> FATP </w:t>
      </w:r>
      <w:r>
        <w:rPr>
          <w:sz w:val="24"/>
        </w:rPr>
        <w:t>序列均有</w:t>
      </w:r>
      <w:r>
        <w:rPr>
          <w:sz w:val="24"/>
        </w:rPr>
        <w:t>1</w:t>
      </w:r>
      <w:r>
        <w:rPr>
          <w:sz w:val="24"/>
        </w:rPr>
        <w:t>个或</w:t>
      </w:r>
      <w:r>
        <w:rPr>
          <w:sz w:val="24"/>
        </w:rPr>
        <w:t>2</w:t>
      </w:r>
      <w:r>
        <w:rPr>
          <w:sz w:val="24"/>
        </w:rPr>
        <w:t>个跨膜结构域。所有的大菱鲆和红鳍东方鲀</w:t>
      </w:r>
      <w:r>
        <w:rPr>
          <w:sz w:val="24"/>
        </w:rPr>
        <w:t xml:space="preserve"> FATP </w:t>
      </w:r>
      <w:r>
        <w:rPr>
          <w:sz w:val="24"/>
        </w:rPr>
        <w:t>都有</w:t>
      </w:r>
      <w:r>
        <w:rPr>
          <w:sz w:val="24"/>
        </w:rPr>
        <w:t>1</w:t>
      </w:r>
      <w:r>
        <w:rPr>
          <w:sz w:val="24"/>
        </w:rPr>
        <w:t>个保守的单磷酸腺苷</w:t>
      </w:r>
      <w:r>
        <w:rPr>
          <w:sz w:val="24"/>
        </w:rPr>
        <w:t>(AMP)</w:t>
      </w:r>
      <w:r>
        <w:rPr>
          <w:sz w:val="24"/>
        </w:rPr>
        <w:t>结合域，位于</w:t>
      </w:r>
      <w:r>
        <w:rPr>
          <w:sz w:val="24"/>
        </w:rPr>
        <w:t>C</w:t>
      </w:r>
      <w:r>
        <w:rPr>
          <w:sz w:val="24"/>
        </w:rPr>
        <w:t>端</w:t>
      </w:r>
      <w:r>
        <w:rPr>
          <w:sz w:val="24"/>
        </w:rPr>
        <w:t>(</w:t>
      </w:r>
      <w:r>
        <w:rPr>
          <w:sz w:val="24"/>
        </w:rPr>
        <w:t>对于</w:t>
      </w:r>
      <w:r>
        <w:rPr>
          <w:sz w:val="24"/>
        </w:rPr>
        <w:t>FATP1</w:t>
      </w:r>
      <w:r>
        <w:rPr>
          <w:sz w:val="24"/>
        </w:rPr>
        <w:t>和</w:t>
      </w:r>
      <w:r>
        <w:rPr>
          <w:sz w:val="24"/>
        </w:rPr>
        <w:t xml:space="preserve">FATP4 </w:t>
      </w:r>
      <w:r>
        <w:rPr>
          <w:sz w:val="24"/>
        </w:rPr>
        <w:t>是</w:t>
      </w:r>
      <w:r>
        <w:rPr>
          <w:sz w:val="24"/>
        </w:rPr>
        <w:t xml:space="preserve"> YIYTSGTTGMPK; </w:t>
      </w:r>
      <w:r>
        <w:rPr>
          <w:sz w:val="24"/>
        </w:rPr>
        <w:t>对于</w:t>
      </w:r>
      <w:r>
        <w:rPr>
          <w:sz w:val="24"/>
        </w:rPr>
        <w:t>FATP6</w:t>
      </w:r>
      <w:r>
        <w:rPr>
          <w:sz w:val="24"/>
        </w:rPr>
        <w:t>是</w:t>
      </w:r>
      <w:r>
        <w:rPr>
          <w:sz w:val="24"/>
        </w:rPr>
        <w:t>YIFTSGTTGLPK)</w:t>
      </w:r>
      <w:r>
        <w:rPr>
          <w:sz w:val="24"/>
        </w:rPr>
        <w:t>，而脂质转运蛋白结构域仅在大菱鲆和红鳍东方鲀</w:t>
      </w:r>
      <w:r>
        <w:rPr>
          <w:sz w:val="24"/>
        </w:rPr>
        <w:t xml:space="preserve"> FATP4 </w:t>
      </w:r>
      <w:r>
        <w:rPr>
          <w:sz w:val="24"/>
        </w:rPr>
        <w:t>中存在，但在</w:t>
      </w:r>
      <w:r>
        <w:rPr>
          <w:sz w:val="24"/>
        </w:rPr>
        <w:t xml:space="preserve"> FATP1 </w:t>
      </w:r>
      <w:r>
        <w:rPr>
          <w:sz w:val="24"/>
        </w:rPr>
        <w:t>和</w:t>
      </w:r>
      <w:r>
        <w:rPr>
          <w:sz w:val="24"/>
        </w:rPr>
        <w:t xml:space="preserve"> FATP6 </w:t>
      </w:r>
      <w:r>
        <w:rPr>
          <w:sz w:val="24"/>
        </w:rPr>
        <w:t>中不存在。大菱鲆和红鳍东方鲀的</w:t>
      </w:r>
      <w:r>
        <w:rPr>
          <w:sz w:val="24"/>
        </w:rPr>
        <w:t>FATP1</w:t>
      </w:r>
      <w:r>
        <w:rPr>
          <w:sz w:val="24"/>
        </w:rPr>
        <w:t>和</w:t>
      </w:r>
      <w:r>
        <w:rPr>
          <w:sz w:val="24"/>
        </w:rPr>
        <w:t>FATP4</w:t>
      </w:r>
      <w:r>
        <w:rPr>
          <w:sz w:val="24"/>
        </w:rPr>
        <w:t>与斑马鱼</w:t>
      </w:r>
      <w:r>
        <w:rPr>
          <w:sz w:val="24"/>
        </w:rPr>
        <w:t>(80</w:t>
      </w:r>
      <w:r>
        <w:rPr>
          <w:rFonts w:hint="eastAsia"/>
          <w:sz w:val="24"/>
        </w:rPr>
        <w:t>.</w:t>
      </w:r>
      <w:r>
        <w:rPr>
          <w:sz w:val="24"/>
        </w:rPr>
        <w:t>3%</w:t>
      </w:r>
      <w:r>
        <w:rPr>
          <w:sz w:val="24"/>
        </w:rPr>
        <w:t>～</w:t>
      </w:r>
      <w:r>
        <w:rPr>
          <w:sz w:val="24"/>
        </w:rPr>
        <w:t>83</w:t>
      </w:r>
      <w:r>
        <w:rPr>
          <w:sz w:val="24"/>
        </w:rPr>
        <w:t>．</w:t>
      </w:r>
      <w:r>
        <w:rPr>
          <w:sz w:val="24"/>
        </w:rPr>
        <w:t>6%)</w:t>
      </w:r>
      <w:r>
        <w:rPr>
          <w:sz w:val="24"/>
        </w:rPr>
        <w:t>和人类</w:t>
      </w:r>
      <w:r>
        <w:rPr>
          <w:sz w:val="24"/>
        </w:rPr>
        <w:t>( 64</w:t>
      </w:r>
      <w:r w:rsidR="006E76F0">
        <w:rPr>
          <w:rFonts w:hint="eastAsia"/>
          <w:sz w:val="24"/>
        </w:rPr>
        <w:t>.</w:t>
      </w:r>
      <w:r>
        <w:rPr>
          <w:sz w:val="24"/>
        </w:rPr>
        <w:t>8%</w:t>
      </w:r>
      <w:r>
        <w:rPr>
          <w:sz w:val="24"/>
        </w:rPr>
        <w:t>～</w:t>
      </w:r>
      <w:r>
        <w:rPr>
          <w:sz w:val="24"/>
        </w:rPr>
        <w:t>70</w:t>
      </w:r>
      <w:r>
        <w:rPr>
          <w:rFonts w:hint="eastAsia"/>
          <w:sz w:val="24"/>
        </w:rPr>
        <w:t>.</w:t>
      </w:r>
      <w:r>
        <w:rPr>
          <w:sz w:val="24"/>
        </w:rPr>
        <w:t>6%)</w:t>
      </w:r>
      <w:r>
        <w:rPr>
          <w:sz w:val="24"/>
        </w:rPr>
        <w:t>的同源性较高，而与尼罗罗非鱼</w:t>
      </w:r>
      <w:r>
        <w:rPr>
          <w:sz w:val="24"/>
        </w:rPr>
        <w:t>( 48</w:t>
      </w:r>
      <w:r>
        <w:rPr>
          <w:rFonts w:hint="eastAsia"/>
          <w:sz w:val="24"/>
        </w:rPr>
        <w:t>.</w:t>
      </w:r>
      <w:r>
        <w:rPr>
          <w:sz w:val="24"/>
        </w:rPr>
        <w:t>7%</w:t>
      </w:r>
      <w:r>
        <w:rPr>
          <w:sz w:val="24"/>
        </w:rPr>
        <w:t>～</w:t>
      </w:r>
      <w:r>
        <w:rPr>
          <w:sz w:val="24"/>
        </w:rPr>
        <w:t>78</w:t>
      </w:r>
      <w:r>
        <w:rPr>
          <w:rFonts w:hint="eastAsia"/>
          <w:sz w:val="24"/>
        </w:rPr>
        <w:t>.</w:t>
      </w:r>
      <w:r>
        <w:rPr>
          <w:sz w:val="24"/>
        </w:rPr>
        <w:t>5%)</w:t>
      </w:r>
      <w:r>
        <w:rPr>
          <w:sz w:val="24"/>
        </w:rPr>
        <w:t>的同源性较低。</w:t>
      </w:r>
    </w:p>
    <w:p w14:paraId="7D8FAF41" w14:textId="77777777" w:rsidR="006D73E5" w:rsidRDefault="00000000">
      <w:pPr>
        <w:spacing w:line="360" w:lineRule="auto"/>
        <w:ind w:firstLineChars="200" w:firstLine="480"/>
        <w:rPr>
          <w:sz w:val="24"/>
        </w:rPr>
      </w:pPr>
      <w:r>
        <w:rPr>
          <w:sz w:val="24"/>
        </w:rPr>
        <w:t>由图</w:t>
      </w:r>
      <w:r>
        <w:rPr>
          <w:sz w:val="24"/>
        </w:rPr>
        <w:t xml:space="preserve"> 2 </w:t>
      </w:r>
      <w:r>
        <w:rPr>
          <w:sz w:val="24"/>
        </w:rPr>
        <w:t>可见，系统进化树显示</w:t>
      </w:r>
      <w:r>
        <w:rPr>
          <w:sz w:val="24"/>
        </w:rPr>
        <w:t xml:space="preserve"> FATP1</w:t>
      </w:r>
      <w:r>
        <w:rPr>
          <w:sz w:val="24"/>
        </w:rPr>
        <w:t>、</w:t>
      </w:r>
      <w:r>
        <w:rPr>
          <w:sz w:val="24"/>
        </w:rPr>
        <w:t xml:space="preserve">FATP4 </w:t>
      </w:r>
      <w:r>
        <w:rPr>
          <w:sz w:val="24"/>
        </w:rPr>
        <w:t>和</w:t>
      </w:r>
      <w:r>
        <w:rPr>
          <w:sz w:val="24"/>
        </w:rPr>
        <w:t xml:space="preserve"> FATP6 </w:t>
      </w:r>
      <w:r>
        <w:rPr>
          <w:sz w:val="24"/>
        </w:rPr>
        <w:t>分别聚类在一起。大菱鲆和红鳍东方鲀的</w:t>
      </w:r>
      <w:r>
        <w:rPr>
          <w:sz w:val="24"/>
        </w:rPr>
        <w:t>FATP1</w:t>
      </w:r>
      <w:r>
        <w:rPr>
          <w:sz w:val="24"/>
        </w:rPr>
        <w:t>与其他硬骨鱼的</w:t>
      </w:r>
      <w:r>
        <w:rPr>
          <w:sz w:val="24"/>
        </w:rPr>
        <w:t>FATP1b</w:t>
      </w:r>
      <w:r>
        <w:rPr>
          <w:sz w:val="24"/>
        </w:rPr>
        <w:t>聚类得更近在鱼类</w:t>
      </w:r>
      <w:r>
        <w:rPr>
          <w:sz w:val="24"/>
        </w:rPr>
        <w:t>/</w:t>
      </w:r>
      <w:r>
        <w:rPr>
          <w:sz w:val="24"/>
        </w:rPr>
        <w:t>哺乳动物分化之前，</w:t>
      </w:r>
      <w:r>
        <w:rPr>
          <w:sz w:val="24"/>
        </w:rPr>
        <w:t>FATP</w:t>
      </w:r>
      <w:r>
        <w:rPr>
          <w:sz w:val="24"/>
        </w:rPr>
        <w:t>亚家族可能已经从一个共同的祖先分化出来，但大菱鲆</w:t>
      </w:r>
      <w:r>
        <w:rPr>
          <w:sz w:val="24"/>
        </w:rPr>
        <w:t xml:space="preserve"> FATP6</w:t>
      </w:r>
      <w:r>
        <w:rPr>
          <w:sz w:val="24"/>
        </w:rPr>
        <w:t>聚类在远离其他硬骨鱼和人类</w:t>
      </w:r>
      <w:r>
        <w:rPr>
          <w:sz w:val="24"/>
        </w:rPr>
        <w:t xml:space="preserve"> FATP6 </w:t>
      </w:r>
      <w:r>
        <w:rPr>
          <w:sz w:val="24"/>
        </w:rPr>
        <w:t>的地方。其他的</w:t>
      </w:r>
      <w:r>
        <w:rPr>
          <w:sz w:val="24"/>
        </w:rPr>
        <w:t xml:space="preserve"> FATP </w:t>
      </w:r>
      <w:r>
        <w:rPr>
          <w:sz w:val="24"/>
        </w:rPr>
        <w:t>亚家族，如</w:t>
      </w:r>
      <w:r>
        <w:rPr>
          <w:sz w:val="24"/>
        </w:rPr>
        <w:t xml:space="preserve"> FATP2</w:t>
      </w:r>
      <w:r>
        <w:rPr>
          <w:sz w:val="24"/>
        </w:rPr>
        <w:t>、</w:t>
      </w:r>
      <w:r>
        <w:rPr>
          <w:sz w:val="24"/>
        </w:rPr>
        <w:t>FATP3</w:t>
      </w:r>
      <w:r>
        <w:rPr>
          <w:sz w:val="24"/>
        </w:rPr>
        <w:t>和</w:t>
      </w:r>
      <w:r>
        <w:rPr>
          <w:sz w:val="24"/>
        </w:rPr>
        <w:t>FATP5</w:t>
      </w:r>
      <w:r>
        <w:rPr>
          <w:sz w:val="24"/>
        </w:rPr>
        <w:t>，需要在后续的研究中进行分析。</w:t>
      </w:r>
    </w:p>
    <w:p w14:paraId="0C434A73" w14:textId="77777777" w:rsidR="006D73E5" w:rsidRDefault="00000000">
      <w:pPr>
        <w:spacing w:line="360" w:lineRule="auto"/>
        <w:jc w:val="center"/>
        <w:rPr>
          <w:sz w:val="24"/>
        </w:rPr>
      </w:pPr>
      <w:r>
        <w:rPr>
          <w:noProof/>
          <w:sz w:val="24"/>
        </w:rPr>
        <w:drawing>
          <wp:inline distT="0" distB="0" distL="0" distR="0" wp14:anchorId="2C70E4BE" wp14:editId="02041ED9">
            <wp:extent cx="5220335" cy="2282190"/>
            <wp:effectExtent l="0" t="0" r="18415" b="381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249694" cy="2282190"/>
                    </a:xfrm>
                    <a:prstGeom prst="rect">
                      <a:avLst/>
                    </a:prstGeom>
                    <a:noFill/>
                    <a:ln>
                      <a:noFill/>
                    </a:ln>
                  </pic:spPr>
                </pic:pic>
              </a:graphicData>
            </a:graphic>
          </wp:inline>
        </w:drawing>
      </w:r>
    </w:p>
    <w:p w14:paraId="0C8BDEBE" w14:textId="77777777" w:rsidR="006D73E5" w:rsidRDefault="00000000">
      <w:pPr>
        <w:spacing w:line="360" w:lineRule="auto"/>
        <w:jc w:val="center"/>
        <w:rPr>
          <w:sz w:val="24"/>
        </w:rPr>
      </w:pPr>
      <w:r>
        <w:rPr>
          <w:noProof/>
          <w:sz w:val="24"/>
        </w:rPr>
        <w:lastRenderedPageBreak/>
        <w:drawing>
          <wp:inline distT="0" distB="0" distL="0" distR="0" wp14:anchorId="73202BCB" wp14:editId="343CF719">
            <wp:extent cx="5273040" cy="2049145"/>
            <wp:effectExtent l="0" t="0" r="3810" b="825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301787" cy="2049145"/>
                    </a:xfrm>
                    <a:prstGeom prst="rect">
                      <a:avLst/>
                    </a:prstGeom>
                    <a:noFill/>
                    <a:ln>
                      <a:noFill/>
                    </a:ln>
                  </pic:spPr>
                </pic:pic>
              </a:graphicData>
            </a:graphic>
          </wp:inline>
        </w:drawing>
      </w:r>
    </w:p>
    <w:p w14:paraId="6CECE501" w14:textId="77777777" w:rsidR="006D73E5" w:rsidRDefault="00000000">
      <w:pPr>
        <w:spacing w:line="360" w:lineRule="auto"/>
        <w:jc w:val="center"/>
        <w:rPr>
          <w:sz w:val="24"/>
        </w:rPr>
      </w:pPr>
      <w:r>
        <w:rPr>
          <w:noProof/>
          <w:sz w:val="24"/>
        </w:rPr>
        <w:drawing>
          <wp:inline distT="0" distB="0" distL="0" distR="0" wp14:anchorId="21E0374D" wp14:editId="31B647CF">
            <wp:extent cx="5272405" cy="2063115"/>
            <wp:effectExtent l="0" t="0" r="444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317484" cy="2080891"/>
                    </a:xfrm>
                    <a:prstGeom prst="rect">
                      <a:avLst/>
                    </a:prstGeom>
                    <a:noFill/>
                    <a:ln>
                      <a:noFill/>
                    </a:ln>
                  </pic:spPr>
                </pic:pic>
              </a:graphicData>
            </a:graphic>
          </wp:inline>
        </w:drawing>
      </w:r>
    </w:p>
    <w:p w14:paraId="571A4A3A" w14:textId="77777777" w:rsidR="006D73E5" w:rsidRDefault="00000000">
      <w:pPr>
        <w:spacing w:line="360" w:lineRule="auto"/>
        <w:jc w:val="center"/>
        <w:rPr>
          <w:sz w:val="24"/>
        </w:rPr>
      </w:pPr>
      <w:r>
        <w:rPr>
          <w:noProof/>
          <w:sz w:val="24"/>
        </w:rPr>
        <w:drawing>
          <wp:inline distT="0" distB="0" distL="0" distR="0" wp14:anchorId="38EDAAF0" wp14:editId="10C391C2">
            <wp:extent cx="5247640" cy="1611630"/>
            <wp:effectExtent l="0" t="0" r="0" b="762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369510" cy="1649167"/>
                    </a:xfrm>
                    <a:prstGeom prst="rect">
                      <a:avLst/>
                    </a:prstGeom>
                    <a:noFill/>
                    <a:ln>
                      <a:noFill/>
                    </a:ln>
                  </pic:spPr>
                </pic:pic>
              </a:graphicData>
            </a:graphic>
          </wp:inline>
        </w:drawing>
      </w:r>
    </w:p>
    <w:p w14:paraId="269E7E72" w14:textId="77777777" w:rsidR="006D73E5" w:rsidRDefault="00000000">
      <w:pPr>
        <w:spacing w:line="360" w:lineRule="auto"/>
        <w:jc w:val="center"/>
        <w:rPr>
          <w:sz w:val="24"/>
        </w:rPr>
      </w:pPr>
      <w:r>
        <w:rPr>
          <w:noProof/>
          <w:sz w:val="24"/>
        </w:rPr>
        <w:drawing>
          <wp:inline distT="0" distB="0" distL="0" distR="0" wp14:anchorId="39BB676A" wp14:editId="657B203A">
            <wp:extent cx="4951730" cy="2521585"/>
            <wp:effectExtent l="0" t="0" r="1270" b="1206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4969704" cy="2521585"/>
                    </a:xfrm>
                    <a:prstGeom prst="rect">
                      <a:avLst/>
                    </a:prstGeom>
                    <a:noFill/>
                    <a:ln>
                      <a:noFill/>
                    </a:ln>
                  </pic:spPr>
                </pic:pic>
              </a:graphicData>
            </a:graphic>
          </wp:inline>
        </w:drawing>
      </w:r>
    </w:p>
    <w:p w14:paraId="29659A0E" w14:textId="77777777" w:rsidR="006D73E5" w:rsidRDefault="00000000">
      <w:pPr>
        <w:spacing w:line="360" w:lineRule="auto"/>
        <w:rPr>
          <w:sz w:val="24"/>
        </w:rPr>
      </w:pPr>
      <w:r>
        <w:rPr>
          <w:sz w:val="24"/>
        </w:rPr>
        <w:lastRenderedPageBreak/>
        <w:t xml:space="preserve">2.2  </w:t>
      </w:r>
      <w:r>
        <w:rPr>
          <w:sz w:val="24"/>
        </w:rPr>
        <w:t>大菱鲆和红鳍东方鲀</w:t>
      </w:r>
      <w:r>
        <w:rPr>
          <w:sz w:val="24"/>
        </w:rPr>
        <w:t xml:space="preserve"> FATP </w:t>
      </w:r>
      <w:r>
        <w:rPr>
          <w:sz w:val="24"/>
        </w:rPr>
        <w:t>的组织分布</w:t>
      </w:r>
    </w:p>
    <w:p w14:paraId="39D3DF3B" w14:textId="77777777" w:rsidR="006D73E5" w:rsidRDefault="00000000">
      <w:pPr>
        <w:spacing w:line="360" w:lineRule="auto"/>
        <w:ind w:firstLineChars="200" w:firstLine="480"/>
        <w:rPr>
          <w:sz w:val="24"/>
        </w:rPr>
      </w:pPr>
      <w:r>
        <w:rPr>
          <w:sz w:val="24"/>
        </w:rPr>
        <w:t>由图</w:t>
      </w:r>
      <w:r>
        <w:rPr>
          <w:sz w:val="24"/>
        </w:rPr>
        <w:t xml:space="preserve"> 3 </w:t>
      </w:r>
      <w:r>
        <w:rPr>
          <w:sz w:val="24"/>
        </w:rPr>
        <w:t>和图</w:t>
      </w:r>
      <w:r>
        <w:rPr>
          <w:sz w:val="24"/>
        </w:rPr>
        <w:t xml:space="preserve"> 4 </w:t>
      </w:r>
      <w:r>
        <w:rPr>
          <w:sz w:val="24"/>
        </w:rPr>
        <w:t>可见，在大菱鲆中，</w:t>
      </w:r>
      <w:r>
        <w:rPr>
          <w:sz w:val="24"/>
        </w:rPr>
        <w:t xml:space="preserve">FATP1 </w:t>
      </w:r>
      <w:r>
        <w:rPr>
          <w:sz w:val="24"/>
        </w:rPr>
        <w:t>在大脑、心脏、肾脏和眼睛中</w:t>
      </w:r>
      <w:r>
        <w:rPr>
          <w:sz w:val="24"/>
        </w:rPr>
        <w:t xml:space="preserve"> m</w:t>
      </w:r>
      <w:r>
        <w:rPr>
          <w:rFonts w:hint="eastAsia"/>
          <w:sz w:val="24"/>
        </w:rPr>
        <w:t>R</w:t>
      </w:r>
      <w:r>
        <w:rPr>
          <w:sz w:val="24"/>
        </w:rPr>
        <w:t xml:space="preserve">NA </w:t>
      </w:r>
      <w:r>
        <w:rPr>
          <w:sz w:val="24"/>
        </w:rPr>
        <w:t>相对表达量较高，在鳍、脾脏、胃和幽门盲肠中</w:t>
      </w:r>
      <w:r>
        <w:rPr>
          <w:sz w:val="24"/>
        </w:rPr>
        <w:t xml:space="preserve"> mRNA </w:t>
      </w:r>
      <w:r>
        <w:rPr>
          <w:sz w:val="24"/>
        </w:rPr>
        <w:t>相对表达量中等，在皮肤中</w:t>
      </w:r>
      <w:r>
        <w:rPr>
          <w:sz w:val="24"/>
        </w:rPr>
        <w:t>m</w:t>
      </w:r>
      <w:r>
        <w:rPr>
          <w:rFonts w:hint="eastAsia"/>
          <w:sz w:val="24"/>
        </w:rPr>
        <w:t>R</w:t>
      </w:r>
      <w:r>
        <w:rPr>
          <w:sz w:val="24"/>
        </w:rPr>
        <w:t>NA</w:t>
      </w:r>
      <w:r>
        <w:rPr>
          <w:sz w:val="24"/>
        </w:rPr>
        <w:t>相对表达量较低</w:t>
      </w:r>
      <w:r>
        <w:rPr>
          <w:sz w:val="24"/>
        </w:rPr>
        <w:t>; FATP4</w:t>
      </w:r>
      <w:r>
        <w:rPr>
          <w:sz w:val="24"/>
        </w:rPr>
        <w:t>和</w:t>
      </w:r>
      <w:r>
        <w:rPr>
          <w:sz w:val="24"/>
        </w:rPr>
        <w:t>FATP6</w:t>
      </w:r>
      <w:r>
        <w:rPr>
          <w:sz w:val="24"/>
        </w:rPr>
        <w:t>主要表达于消化道，在幽门盲肠和前肠中</w:t>
      </w:r>
      <w:r>
        <w:rPr>
          <w:sz w:val="24"/>
        </w:rPr>
        <w:t>m</w:t>
      </w:r>
      <w:r>
        <w:rPr>
          <w:rFonts w:hint="eastAsia"/>
          <w:sz w:val="24"/>
        </w:rPr>
        <w:t>R</w:t>
      </w:r>
      <w:r>
        <w:rPr>
          <w:sz w:val="24"/>
        </w:rPr>
        <w:t>NA</w:t>
      </w:r>
      <w:r>
        <w:rPr>
          <w:sz w:val="24"/>
        </w:rPr>
        <w:t>相对表达量较高，</w:t>
      </w:r>
      <w:r>
        <w:rPr>
          <w:sz w:val="24"/>
        </w:rPr>
        <w:t xml:space="preserve">FATP6 </w:t>
      </w:r>
      <w:r>
        <w:rPr>
          <w:sz w:val="24"/>
        </w:rPr>
        <w:t>在中肠中</w:t>
      </w:r>
      <w:r>
        <w:rPr>
          <w:sz w:val="24"/>
        </w:rPr>
        <w:t xml:space="preserve"> m</w:t>
      </w:r>
      <w:r>
        <w:rPr>
          <w:rFonts w:hint="eastAsia"/>
          <w:sz w:val="24"/>
        </w:rPr>
        <w:t>R</w:t>
      </w:r>
      <w:r>
        <w:rPr>
          <w:sz w:val="24"/>
        </w:rPr>
        <w:t xml:space="preserve">NA </w:t>
      </w:r>
      <w:r>
        <w:rPr>
          <w:sz w:val="24"/>
        </w:rPr>
        <w:t>相对表达量较低。红鳍东方鲀的</w:t>
      </w:r>
      <w:r>
        <w:rPr>
          <w:sz w:val="24"/>
        </w:rPr>
        <w:t>FATP</w:t>
      </w:r>
      <w:r>
        <w:rPr>
          <w:sz w:val="24"/>
        </w:rPr>
        <w:t>也有类似的组织分布，但红鳍东方鲀的</w:t>
      </w:r>
      <w:r>
        <w:rPr>
          <w:sz w:val="24"/>
        </w:rPr>
        <w:t>FATP6</w:t>
      </w:r>
      <w:r>
        <w:rPr>
          <w:sz w:val="24"/>
        </w:rPr>
        <w:t>几乎只在肝脏中表达。</w:t>
      </w:r>
    </w:p>
    <w:p w14:paraId="1027B39A" w14:textId="77777777" w:rsidR="006D73E5" w:rsidRDefault="00000000">
      <w:pPr>
        <w:spacing w:line="360" w:lineRule="auto"/>
        <w:jc w:val="center"/>
        <w:rPr>
          <w:sz w:val="24"/>
        </w:rPr>
      </w:pPr>
      <w:r>
        <w:rPr>
          <w:noProof/>
          <w:sz w:val="24"/>
        </w:rPr>
        <w:drawing>
          <wp:inline distT="0" distB="0" distL="0" distR="0" wp14:anchorId="3F903F4A" wp14:editId="1BD8DB24">
            <wp:extent cx="5273040" cy="2865755"/>
            <wp:effectExtent l="0" t="0" r="381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5285998" cy="2873143"/>
                    </a:xfrm>
                    <a:prstGeom prst="rect">
                      <a:avLst/>
                    </a:prstGeom>
                    <a:noFill/>
                    <a:ln>
                      <a:noFill/>
                    </a:ln>
                  </pic:spPr>
                </pic:pic>
              </a:graphicData>
            </a:graphic>
          </wp:inline>
        </w:drawing>
      </w:r>
    </w:p>
    <w:p w14:paraId="5E21D444" w14:textId="77777777" w:rsidR="006D73E5" w:rsidRDefault="00000000">
      <w:pPr>
        <w:spacing w:line="360" w:lineRule="auto"/>
        <w:jc w:val="center"/>
        <w:rPr>
          <w:sz w:val="24"/>
        </w:rPr>
      </w:pPr>
      <w:r>
        <w:rPr>
          <w:noProof/>
          <w:sz w:val="24"/>
        </w:rPr>
        <w:drawing>
          <wp:inline distT="0" distB="0" distL="0" distR="0" wp14:anchorId="695BC513" wp14:editId="00A4514F">
            <wp:extent cx="5273040" cy="2607945"/>
            <wp:effectExtent l="0" t="0" r="3810" b="190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5298209" cy="2620617"/>
                    </a:xfrm>
                    <a:prstGeom prst="rect">
                      <a:avLst/>
                    </a:prstGeom>
                    <a:noFill/>
                    <a:ln>
                      <a:noFill/>
                    </a:ln>
                  </pic:spPr>
                </pic:pic>
              </a:graphicData>
            </a:graphic>
          </wp:inline>
        </w:drawing>
      </w:r>
    </w:p>
    <w:p w14:paraId="52D90CD1" w14:textId="77777777" w:rsidR="006D73E5" w:rsidRDefault="00000000">
      <w:pPr>
        <w:spacing w:line="360" w:lineRule="auto"/>
        <w:rPr>
          <w:sz w:val="24"/>
        </w:rPr>
      </w:pPr>
      <w:r>
        <w:rPr>
          <w:sz w:val="24"/>
        </w:rPr>
        <w:t xml:space="preserve">2.3  </w:t>
      </w:r>
      <w:r>
        <w:rPr>
          <w:sz w:val="24"/>
        </w:rPr>
        <w:t>饲料脂肪水平对大菱鲆和红鳍东方鲀肝脏</w:t>
      </w:r>
      <w:r>
        <w:rPr>
          <w:sz w:val="24"/>
        </w:rPr>
        <w:t xml:space="preserve"> FATP m</w:t>
      </w:r>
      <w:r>
        <w:rPr>
          <w:rFonts w:hint="eastAsia"/>
          <w:sz w:val="24"/>
        </w:rPr>
        <w:t>R</w:t>
      </w:r>
      <w:r>
        <w:rPr>
          <w:sz w:val="24"/>
        </w:rPr>
        <w:t>NA</w:t>
      </w:r>
      <w:r>
        <w:rPr>
          <w:sz w:val="24"/>
        </w:rPr>
        <w:t>表达的影响</w:t>
      </w:r>
    </w:p>
    <w:p w14:paraId="6BCD9F24" w14:textId="77777777" w:rsidR="006D73E5" w:rsidRDefault="00000000">
      <w:pPr>
        <w:spacing w:line="360" w:lineRule="auto"/>
        <w:ind w:firstLineChars="200" w:firstLine="480"/>
        <w:rPr>
          <w:sz w:val="24"/>
        </w:rPr>
      </w:pPr>
      <w:r>
        <w:rPr>
          <w:sz w:val="24"/>
        </w:rPr>
        <w:t>由图</w:t>
      </w:r>
      <w:r>
        <w:rPr>
          <w:sz w:val="24"/>
        </w:rPr>
        <w:t xml:space="preserve"> 5 </w:t>
      </w:r>
      <w:r>
        <w:rPr>
          <w:sz w:val="24"/>
        </w:rPr>
        <w:t>可见，饲料脂肪水平对大菱鲆和红鳍东方鲀的肝脏</w:t>
      </w:r>
      <w:r>
        <w:rPr>
          <w:sz w:val="24"/>
        </w:rPr>
        <w:t xml:space="preserve"> FATP1</w:t>
      </w:r>
      <w:r>
        <w:rPr>
          <w:sz w:val="24"/>
        </w:rPr>
        <w:t>、</w:t>
      </w:r>
      <w:r>
        <w:rPr>
          <w:sz w:val="24"/>
        </w:rPr>
        <w:t xml:space="preserve">FATP4 </w:t>
      </w:r>
      <w:r>
        <w:rPr>
          <w:sz w:val="24"/>
        </w:rPr>
        <w:t>和</w:t>
      </w:r>
      <w:r>
        <w:rPr>
          <w:sz w:val="24"/>
        </w:rPr>
        <w:t xml:space="preserve"> FATP6</w:t>
      </w:r>
      <w:r>
        <w:rPr>
          <w:sz w:val="24"/>
        </w:rPr>
        <w:t>的</w:t>
      </w:r>
      <w:r>
        <w:rPr>
          <w:sz w:val="24"/>
        </w:rPr>
        <w:t>m</w:t>
      </w:r>
      <w:r>
        <w:rPr>
          <w:rFonts w:hint="eastAsia"/>
          <w:sz w:val="24"/>
        </w:rPr>
        <w:t>R</w:t>
      </w:r>
      <w:r>
        <w:rPr>
          <w:sz w:val="24"/>
        </w:rPr>
        <w:t xml:space="preserve">NA </w:t>
      </w:r>
      <w:r>
        <w:rPr>
          <w:sz w:val="24"/>
        </w:rPr>
        <w:t>相对表达量无显著影响</w:t>
      </w:r>
      <w:r>
        <w:rPr>
          <w:sz w:val="24"/>
        </w:rPr>
        <w:t>(</w:t>
      </w:r>
      <w:r>
        <w:rPr>
          <w:i/>
          <w:iCs/>
          <w:sz w:val="24"/>
        </w:rPr>
        <w:t>P</w:t>
      </w:r>
      <w:r>
        <w:rPr>
          <w:sz w:val="24"/>
        </w:rPr>
        <w:t>＞</w:t>
      </w:r>
      <w:r>
        <w:rPr>
          <w:sz w:val="24"/>
        </w:rPr>
        <w:t>0</w:t>
      </w:r>
      <w:r>
        <w:rPr>
          <w:rFonts w:hint="eastAsia"/>
          <w:sz w:val="24"/>
        </w:rPr>
        <w:t>.</w:t>
      </w:r>
      <w:r>
        <w:rPr>
          <w:sz w:val="24"/>
        </w:rPr>
        <w:t>05)</w:t>
      </w:r>
      <w:r>
        <w:rPr>
          <w:sz w:val="24"/>
        </w:rPr>
        <w:t>。与对照组相比，饲料脂肪水平为</w:t>
      </w:r>
      <w:r>
        <w:rPr>
          <w:sz w:val="24"/>
        </w:rPr>
        <w:t>16</w:t>
      </w:r>
      <w:r>
        <w:rPr>
          <w:rFonts w:hint="eastAsia"/>
          <w:sz w:val="24"/>
        </w:rPr>
        <w:t>.</w:t>
      </w:r>
      <w:r>
        <w:rPr>
          <w:sz w:val="24"/>
        </w:rPr>
        <w:t>0%</w:t>
      </w:r>
      <w:r>
        <w:rPr>
          <w:sz w:val="24"/>
        </w:rPr>
        <w:t>组菱鲆的肝脏</w:t>
      </w:r>
      <w:r>
        <w:rPr>
          <w:sz w:val="24"/>
        </w:rPr>
        <w:t xml:space="preserve"> FATP4 </w:t>
      </w:r>
      <w:r>
        <w:rPr>
          <w:sz w:val="24"/>
        </w:rPr>
        <w:t>和</w:t>
      </w:r>
      <w:r>
        <w:rPr>
          <w:sz w:val="24"/>
        </w:rPr>
        <w:t xml:space="preserve"> FATP6 </w:t>
      </w:r>
      <w:r>
        <w:rPr>
          <w:sz w:val="24"/>
        </w:rPr>
        <w:t>的</w:t>
      </w:r>
      <w:r>
        <w:rPr>
          <w:sz w:val="24"/>
        </w:rPr>
        <w:t xml:space="preserve"> m</w:t>
      </w:r>
      <w:r>
        <w:rPr>
          <w:rFonts w:hint="eastAsia"/>
          <w:sz w:val="24"/>
        </w:rPr>
        <w:t>R</w:t>
      </w:r>
      <w:r>
        <w:rPr>
          <w:sz w:val="24"/>
        </w:rPr>
        <w:t xml:space="preserve">NA </w:t>
      </w:r>
      <w:r>
        <w:rPr>
          <w:sz w:val="24"/>
        </w:rPr>
        <w:t>相对表达量略有升高，饲料脂肪水平为</w:t>
      </w:r>
      <w:r>
        <w:rPr>
          <w:sz w:val="24"/>
        </w:rPr>
        <w:t>16</w:t>
      </w:r>
      <w:r>
        <w:rPr>
          <w:rFonts w:hint="eastAsia"/>
          <w:sz w:val="24"/>
        </w:rPr>
        <w:t>.</w:t>
      </w:r>
      <w:r>
        <w:rPr>
          <w:sz w:val="24"/>
        </w:rPr>
        <w:t xml:space="preserve">0% </w:t>
      </w:r>
      <w:r>
        <w:rPr>
          <w:sz w:val="24"/>
        </w:rPr>
        <w:t>组的红</w:t>
      </w:r>
      <w:r>
        <w:rPr>
          <w:sz w:val="24"/>
        </w:rPr>
        <w:lastRenderedPageBreak/>
        <w:t>鳍东方鲀的肝脏</w:t>
      </w:r>
      <w:r>
        <w:rPr>
          <w:sz w:val="24"/>
        </w:rPr>
        <w:t xml:space="preserve"> FATP1 </w:t>
      </w:r>
      <w:r>
        <w:rPr>
          <w:sz w:val="24"/>
        </w:rPr>
        <w:t>和</w:t>
      </w:r>
      <w:r>
        <w:rPr>
          <w:sz w:val="24"/>
        </w:rPr>
        <w:t xml:space="preserve"> FATP6 </w:t>
      </w:r>
      <w:r>
        <w:rPr>
          <w:sz w:val="24"/>
        </w:rPr>
        <w:t>的</w:t>
      </w:r>
      <w:r>
        <w:rPr>
          <w:sz w:val="24"/>
        </w:rPr>
        <w:t xml:space="preserve"> m</w:t>
      </w:r>
      <w:r>
        <w:rPr>
          <w:rFonts w:hint="eastAsia"/>
          <w:sz w:val="24"/>
        </w:rPr>
        <w:t>R</w:t>
      </w:r>
      <w:r>
        <w:rPr>
          <w:sz w:val="24"/>
        </w:rPr>
        <w:t xml:space="preserve">NA </w:t>
      </w:r>
      <w:r>
        <w:rPr>
          <w:sz w:val="24"/>
        </w:rPr>
        <w:t>相对表达量略有升高。</w:t>
      </w:r>
    </w:p>
    <w:p w14:paraId="4A5F1386" w14:textId="77777777" w:rsidR="006D73E5" w:rsidRDefault="00000000">
      <w:pPr>
        <w:spacing w:line="360" w:lineRule="auto"/>
        <w:jc w:val="center"/>
        <w:rPr>
          <w:sz w:val="24"/>
        </w:rPr>
      </w:pPr>
      <w:r>
        <w:rPr>
          <w:noProof/>
          <w:sz w:val="24"/>
        </w:rPr>
        <w:drawing>
          <wp:inline distT="0" distB="0" distL="0" distR="0" wp14:anchorId="3ACFEA4A" wp14:editId="555BE144">
            <wp:extent cx="5273675" cy="2988945"/>
            <wp:effectExtent l="0" t="0" r="3175" b="190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284927" cy="2995762"/>
                    </a:xfrm>
                    <a:prstGeom prst="rect">
                      <a:avLst/>
                    </a:prstGeom>
                    <a:noFill/>
                    <a:ln>
                      <a:noFill/>
                    </a:ln>
                  </pic:spPr>
                </pic:pic>
              </a:graphicData>
            </a:graphic>
          </wp:inline>
        </w:drawing>
      </w:r>
    </w:p>
    <w:p w14:paraId="3C7CE7CD" w14:textId="77777777" w:rsidR="006D73E5" w:rsidRDefault="00000000">
      <w:pPr>
        <w:spacing w:line="360" w:lineRule="auto"/>
        <w:rPr>
          <w:sz w:val="24"/>
        </w:rPr>
      </w:pPr>
      <w:r>
        <w:rPr>
          <w:sz w:val="24"/>
        </w:rPr>
        <w:t xml:space="preserve">2.4  </w:t>
      </w:r>
      <w:r>
        <w:rPr>
          <w:sz w:val="24"/>
        </w:rPr>
        <w:t>饥饿时间对大菱鲆和红鳍东方鲀肝脏</w:t>
      </w:r>
      <w:r>
        <w:rPr>
          <w:sz w:val="24"/>
        </w:rPr>
        <w:t xml:space="preserve"> FATP m</w:t>
      </w:r>
      <w:r>
        <w:rPr>
          <w:rFonts w:hint="eastAsia"/>
          <w:sz w:val="24"/>
        </w:rPr>
        <w:t>R</w:t>
      </w:r>
      <w:r>
        <w:rPr>
          <w:sz w:val="24"/>
        </w:rPr>
        <w:t xml:space="preserve">NA </w:t>
      </w:r>
      <w:r>
        <w:rPr>
          <w:sz w:val="24"/>
        </w:rPr>
        <w:t>表达的影响</w:t>
      </w:r>
    </w:p>
    <w:p w14:paraId="1ED5816F" w14:textId="77777777" w:rsidR="006D73E5" w:rsidRDefault="00000000">
      <w:pPr>
        <w:spacing w:line="360" w:lineRule="auto"/>
        <w:ind w:firstLineChars="200" w:firstLine="480"/>
        <w:rPr>
          <w:sz w:val="24"/>
        </w:rPr>
      </w:pPr>
      <w:r>
        <w:rPr>
          <w:sz w:val="24"/>
        </w:rPr>
        <w:t>由图</w:t>
      </w:r>
      <w:r>
        <w:rPr>
          <w:sz w:val="24"/>
        </w:rPr>
        <w:t xml:space="preserve"> 5 </w:t>
      </w:r>
      <w:r>
        <w:rPr>
          <w:sz w:val="24"/>
        </w:rPr>
        <w:t>可见，随着饥饿时间的延长，大菱鲆的肝脏</w:t>
      </w:r>
      <w:r>
        <w:rPr>
          <w:sz w:val="24"/>
        </w:rPr>
        <w:t xml:space="preserve"> FATP1</w:t>
      </w:r>
      <w:r>
        <w:rPr>
          <w:sz w:val="24"/>
        </w:rPr>
        <w:t>、</w:t>
      </w:r>
      <w:r>
        <w:rPr>
          <w:sz w:val="24"/>
        </w:rPr>
        <w:t xml:space="preserve">FATP4 </w:t>
      </w:r>
      <w:r>
        <w:rPr>
          <w:sz w:val="24"/>
        </w:rPr>
        <w:t>和</w:t>
      </w:r>
      <w:r>
        <w:rPr>
          <w:sz w:val="24"/>
        </w:rPr>
        <w:t xml:space="preserve"> FATP6</w:t>
      </w:r>
      <w:r>
        <w:rPr>
          <w:sz w:val="24"/>
        </w:rPr>
        <w:t>的</w:t>
      </w:r>
      <w:r>
        <w:rPr>
          <w:sz w:val="24"/>
        </w:rPr>
        <w:t>m</w:t>
      </w:r>
      <w:r>
        <w:rPr>
          <w:rFonts w:hint="eastAsia"/>
          <w:sz w:val="24"/>
        </w:rPr>
        <w:t>R</w:t>
      </w:r>
      <w:r>
        <w:rPr>
          <w:sz w:val="24"/>
        </w:rPr>
        <w:t xml:space="preserve">NA </w:t>
      </w:r>
      <w:r>
        <w:rPr>
          <w:sz w:val="24"/>
        </w:rPr>
        <w:t>相对表达量大致呈上升趋势</w:t>
      </w:r>
      <w:r>
        <w:rPr>
          <w:sz w:val="24"/>
        </w:rPr>
        <w:t>;</w:t>
      </w:r>
      <w:r>
        <w:rPr>
          <w:sz w:val="24"/>
        </w:rPr>
        <w:t>大菱鲆第</w:t>
      </w:r>
      <w:r>
        <w:rPr>
          <w:sz w:val="24"/>
        </w:rPr>
        <w:t xml:space="preserve"> 30 </w:t>
      </w:r>
      <w:r>
        <w:rPr>
          <w:sz w:val="24"/>
        </w:rPr>
        <w:t>天的肝脏</w:t>
      </w:r>
      <w:r>
        <w:rPr>
          <w:sz w:val="24"/>
        </w:rPr>
        <w:t xml:space="preserve">FATP1 </w:t>
      </w:r>
      <w:r>
        <w:rPr>
          <w:sz w:val="24"/>
        </w:rPr>
        <w:t>的</w:t>
      </w:r>
      <w:r>
        <w:rPr>
          <w:sz w:val="24"/>
        </w:rPr>
        <w:t xml:space="preserve"> m</w:t>
      </w:r>
      <w:r>
        <w:rPr>
          <w:rFonts w:hint="eastAsia"/>
          <w:sz w:val="24"/>
        </w:rPr>
        <w:t>R</w:t>
      </w:r>
      <w:r>
        <w:rPr>
          <w:sz w:val="24"/>
        </w:rPr>
        <w:t xml:space="preserve">NA </w:t>
      </w:r>
      <w:r>
        <w:rPr>
          <w:sz w:val="24"/>
        </w:rPr>
        <w:t>相对表达量显著高于第</w:t>
      </w:r>
      <w:r>
        <w:rPr>
          <w:sz w:val="24"/>
        </w:rPr>
        <w:t>0</w:t>
      </w:r>
      <w:r>
        <w:rPr>
          <w:sz w:val="24"/>
        </w:rPr>
        <w:t>天、第</w:t>
      </w:r>
      <w:r>
        <w:rPr>
          <w:sz w:val="24"/>
        </w:rPr>
        <w:t>10</w:t>
      </w:r>
      <w:r>
        <w:rPr>
          <w:sz w:val="24"/>
        </w:rPr>
        <w:t>天和</w:t>
      </w:r>
      <w:r>
        <w:rPr>
          <w:sz w:val="24"/>
        </w:rPr>
        <w:t xml:space="preserve"> </w:t>
      </w:r>
      <w:r>
        <w:rPr>
          <w:sz w:val="24"/>
        </w:rPr>
        <w:t>第</w:t>
      </w:r>
      <w:r>
        <w:rPr>
          <w:sz w:val="24"/>
        </w:rPr>
        <w:t>20</w:t>
      </w:r>
      <w:r>
        <w:rPr>
          <w:sz w:val="24"/>
        </w:rPr>
        <w:t>天</w:t>
      </w:r>
      <w:r>
        <w:rPr>
          <w:sz w:val="24"/>
        </w:rPr>
        <w:t xml:space="preserve">( </w:t>
      </w:r>
      <w:r>
        <w:rPr>
          <w:i/>
          <w:iCs/>
          <w:sz w:val="24"/>
        </w:rPr>
        <w:t>P</w:t>
      </w:r>
      <w:r>
        <w:rPr>
          <w:sz w:val="24"/>
        </w:rPr>
        <w:t>＜</w:t>
      </w:r>
      <w:r>
        <w:rPr>
          <w:sz w:val="24"/>
        </w:rPr>
        <w:t>0</w:t>
      </w:r>
      <w:r>
        <w:rPr>
          <w:rFonts w:hint="eastAsia"/>
          <w:sz w:val="24"/>
        </w:rPr>
        <w:t>.</w:t>
      </w:r>
      <w:r>
        <w:rPr>
          <w:sz w:val="24"/>
        </w:rPr>
        <w:t>05)</w:t>
      </w:r>
      <w:r>
        <w:rPr>
          <w:sz w:val="24"/>
        </w:rPr>
        <w:t>。</w:t>
      </w:r>
    </w:p>
    <w:p w14:paraId="7FD3509E" w14:textId="77777777" w:rsidR="006D73E5" w:rsidRDefault="00000000">
      <w:pPr>
        <w:spacing w:line="360" w:lineRule="auto"/>
        <w:ind w:firstLineChars="200" w:firstLine="480"/>
        <w:rPr>
          <w:sz w:val="24"/>
        </w:rPr>
      </w:pPr>
      <w:r>
        <w:rPr>
          <w:sz w:val="24"/>
        </w:rPr>
        <w:t>随着饥饿时间的延长，红鳍东方鲀第</w:t>
      </w:r>
      <w:r>
        <w:rPr>
          <w:sz w:val="24"/>
        </w:rPr>
        <w:t xml:space="preserve">16 </w:t>
      </w:r>
      <w:r>
        <w:rPr>
          <w:sz w:val="24"/>
        </w:rPr>
        <w:t>天和</w:t>
      </w:r>
      <w:r>
        <w:rPr>
          <w:sz w:val="24"/>
        </w:rPr>
        <w:t xml:space="preserve"> </w:t>
      </w:r>
      <w:r>
        <w:rPr>
          <w:sz w:val="24"/>
        </w:rPr>
        <w:t>第</w:t>
      </w:r>
      <w:r>
        <w:rPr>
          <w:sz w:val="24"/>
        </w:rPr>
        <w:t xml:space="preserve"> 31 </w:t>
      </w:r>
      <w:r>
        <w:rPr>
          <w:sz w:val="24"/>
        </w:rPr>
        <w:t>天的肝脏</w:t>
      </w:r>
      <w:r>
        <w:rPr>
          <w:sz w:val="24"/>
        </w:rPr>
        <w:t xml:space="preserve"> FATP1 </w:t>
      </w:r>
      <w:r>
        <w:rPr>
          <w:sz w:val="24"/>
        </w:rPr>
        <w:t>的</w:t>
      </w:r>
      <w:r>
        <w:rPr>
          <w:sz w:val="24"/>
        </w:rPr>
        <w:t xml:space="preserve"> mRNA</w:t>
      </w:r>
      <w:r>
        <w:rPr>
          <w:sz w:val="24"/>
        </w:rPr>
        <w:t>相对表达量显著高于第</w:t>
      </w:r>
      <w:r>
        <w:rPr>
          <w:sz w:val="24"/>
        </w:rPr>
        <w:t>0</w:t>
      </w:r>
      <w:r>
        <w:rPr>
          <w:sz w:val="24"/>
        </w:rPr>
        <w:t>天、第</w:t>
      </w:r>
      <w:r>
        <w:rPr>
          <w:sz w:val="24"/>
        </w:rPr>
        <w:t>1</w:t>
      </w:r>
      <w:r>
        <w:rPr>
          <w:sz w:val="24"/>
        </w:rPr>
        <w:t>天、第</w:t>
      </w:r>
      <w:r>
        <w:rPr>
          <w:sz w:val="24"/>
        </w:rPr>
        <w:t xml:space="preserve">4 </w:t>
      </w:r>
      <w:r>
        <w:rPr>
          <w:sz w:val="24"/>
        </w:rPr>
        <w:t>和第</w:t>
      </w:r>
      <w:r>
        <w:rPr>
          <w:sz w:val="24"/>
        </w:rPr>
        <w:t>9</w:t>
      </w:r>
      <w:r>
        <w:rPr>
          <w:sz w:val="24"/>
        </w:rPr>
        <w:t>天</w:t>
      </w:r>
      <w:r>
        <w:rPr>
          <w:sz w:val="24"/>
        </w:rPr>
        <w:t xml:space="preserve">( </w:t>
      </w:r>
      <w:r>
        <w:rPr>
          <w:i/>
          <w:iCs/>
          <w:sz w:val="24"/>
        </w:rPr>
        <w:t>P</w:t>
      </w:r>
      <w:r>
        <w:rPr>
          <w:sz w:val="24"/>
        </w:rPr>
        <w:t>＜</w:t>
      </w:r>
      <w:r>
        <w:rPr>
          <w:sz w:val="24"/>
        </w:rPr>
        <w:t>0</w:t>
      </w:r>
      <w:r>
        <w:rPr>
          <w:rFonts w:hint="eastAsia"/>
          <w:sz w:val="24"/>
        </w:rPr>
        <w:t>.</w:t>
      </w:r>
      <w:r>
        <w:rPr>
          <w:sz w:val="24"/>
        </w:rPr>
        <w:t xml:space="preserve">05) </w:t>
      </w:r>
      <w:r>
        <w:rPr>
          <w:sz w:val="24"/>
        </w:rPr>
        <w:t>，</w:t>
      </w:r>
      <w:r>
        <w:rPr>
          <w:sz w:val="24"/>
        </w:rPr>
        <w:t xml:space="preserve"> </w:t>
      </w:r>
      <w:r>
        <w:rPr>
          <w:sz w:val="24"/>
        </w:rPr>
        <w:t>第</w:t>
      </w:r>
      <w:r>
        <w:rPr>
          <w:sz w:val="24"/>
        </w:rPr>
        <w:t>9</w:t>
      </w:r>
      <w:r>
        <w:rPr>
          <w:sz w:val="24"/>
        </w:rPr>
        <w:t>天和第</w:t>
      </w:r>
      <w:r>
        <w:rPr>
          <w:sz w:val="24"/>
        </w:rPr>
        <w:t>31</w:t>
      </w:r>
      <w:r>
        <w:rPr>
          <w:sz w:val="24"/>
        </w:rPr>
        <w:t>天的肝脏</w:t>
      </w:r>
      <w:r>
        <w:rPr>
          <w:sz w:val="24"/>
        </w:rPr>
        <w:t xml:space="preserve"> FATP4 </w:t>
      </w:r>
      <w:r>
        <w:rPr>
          <w:sz w:val="24"/>
        </w:rPr>
        <w:t>的</w:t>
      </w:r>
      <w:r>
        <w:rPr>
          <w:sz w:val="24"/>
        </w:rPr>
        <w:t xml:space="preserve"> m</w:t>
      </w:r>
      <w:r>
        <w:rPr>
          <w:rFonts w:hint="eastAsia"/>
          <w:sz w:val="24"/>
        </w:rPr>
        <w:t>R</w:t>
      </w:r>
      <w:r>
        <w:rPr>
          <w:sz w:val="24"/>
        </w:rPr>
        <w:t xml:space="preserve">NA </w:t>
      </w:r>
      <w:r>
        <w:rPr>
          <w:sz w:val="24"/>
        </w:rPr>
        <w:t>相对表达量显著高于第</w:t>
      </w:r>
      <w:r>
        <w:rPr>
          <w:sz w:val="24"/>
        </w:rPr>
        <w:t>0</w:t>
      </w:r>
      <w:r>
        <w:rPr>
          <w:sz w:val="24"/>
        </w:rPr>
        <w:t>天、第</w:t>
      </w:r>
      <w:r>
        <w:rPr>
          <w:sz w:val="24"/>
        </w:rPr>
        <w:t>1</w:t>
      </w:r>
      <w:r>
        <w:rPr>
          <w:sz w:val="24"/>
        </w:rPr>
        <w:t>天和第</w:t>
      </w:r>
      <w:r>
        <w:rPr>
          <w:sz w:val="24"/>
        </w:rPr>
        <w:t>4</w:t>
      </w:r>
      <w:r>
        <w:rPr>
          <w:sz w:val="24"/>
        </w:rPr>
        <w:t>天</w:t>
      </w:r>
      <w:r>
        <w:rPr>
          <w:sz w:val="24"/>
        </w:rPr>
        <w:t>(</w:t>
      </w:r>
      <w:r>
        <w:rPr>
          <w:i/>
          <w:iCs/>
          <w:sz w:val="24"/>
        </w:rPr>
        <w:t>P</w:t>
      </w:r>
      <w:r>
        <w:rPr>
          <w:sz w:val="24"/>
        </w:rPr>
        <w:t>＜</w:t>
      </w:r>
      <w:r>
        <w:rPr>
          <w:sz w:val="24"/>
        </w:rPr>
        <w:t>0</w:t>
      </w:r>
      <w:r>
        <w:rPr>
          <w:rFonts w:hint="eastAsia"/>
          <w:sz w:val="24"/>
        </w:rPr>
        <w:t>.</w:t>
      </w:r>
      <w:r>
        <w:rPr>
          <w:sz w:val="24"/>
        </w:rPr>
        <w:t>05)</w:t>
      </w:r>
      <w:r>
        <w:rPr>
          <w:sz w:val="24"/>
        </w:rPr>
        <w:t>，</w:t>
      </w:r>
      <w:r>
        <w:rPr>
          <w:sz w:val="24"/>
        </w:rPr>
        <w:t xml:space="preserve"> </w:t>
      </w:r>
      <w:r>
        <w:rPr>
          <w:sz w:val="24"/>
        </w:rPr>
        <w:t>第</w:t>
      </w:r>
      <w:r>
        <w:rPr>
          <w:sz w:val="24"/>
        </w:rPr>
        <w:t>16</w:t>
      </w:r>
      <w:r>
        <w:rPr>
          <w:sz w:val="24"/>
        </w:rPr>
        <w:t>天的肝脏</w:t>
      </w:r>
      <w:r>
        <w:rPr>
          <w:sz w:val="24"/>
        </w:rPr>
        <w:t xml:space="preserve"> FATP6 </w:t>
      </w:r>
      <w:r>
        <w:rPr>
          <w:sz w:val="24"/>
        </w:rPr>
        <w:t>的</w:t>
      </w:r>
      <w:r>
        <w:rPr>
          <w:sz w:val="24"/>
        </w:rPr>
        <w:t xml:space="preserve"> m</w:t>
      </w:r>
      <w:r>
        <w:rPr>
          <w:rFonts w:hint="eastAsia"/>
          <w:sz w:val="24"/>
        </w:rPr>
        <w:t>R</w:t>
      </w:r>
      <w:r>
        <w:rPr>
          <w:sz w:val="24"/>
        </w:rPr>
        <w:t xml:space="preserve">NA </w:t>
      </w:r>
      <w:r>
        <w:rPr>
          <w:sz w:val="24"/>
        </w:rPr>
        <w:t>相对表达量显著高于第</w:t>
      </w:r>
      <w:r>
        <w:rPr>
          <w:sz w:val="24"/>
        </w:rPr>
        <w:t>0</w:t>
      </w:r>
      <w:r>
        <w:rPr>
          <w:sz w:val="24"/>
        </w:rPr>
        <w:t>天、第</w:t>
      </w:r>
      <w:r>
        <w:rPr>
          <w:sz w:val="24"/>
        </w:rPr>
        <w:t>1</w:t>
      </w:r>
      <w:r>
        <w:rPr>
          <w:sz w:val="24"/>
        </w:rPr>
        <w:t>天、第</w:t>
      </w:r>
      <w:r>
        <w:rPr>
          <w:sz w:val="24"/>
        </w:rPr>
        <w:t>4</w:t>
      </w:r>
      <w:r>
        <w:rPr>
          <w:sz w:val="24"/>
        </w:rPr>
        <w:t>天、第</w:t>
      </w:r>
      <w:r>
        <w:rPr>
          <w:sz w:val="24"/>
        </w:rPr>
        <w:t>9</w:t>
      </w:r>
      <w:r>
        <w:rPr>
          <w:sz w:val="24"/>
        </w:rPr>
        <w:t>天</w:t>
      </w:r>
      <w:r>
        <w:rPr>
          <w:sz w:val="24"/>
        </w:rPr>
        <w:t xml:space="preserve"> </w:t>
      </w:r>
      <w:r>
        <w:rPr>
          <w:sz w:val="24"/>
        </w:rPr>
        <w:t>和</w:t>
      </w:r>
      <w:r>
        <w:rPr>
          <w:sz w:val="24"/>
        </w:rPr>
        <w:t xml:space="preserve"> </w:t>
      </w:r>
      <w:r>
        <w:rPr>
          <w:sz w:val="24"/>
        </w:rPr>
        <w:t>第</w:t>
      </w:r>
      <w:r>
        <w:rPr>
          <w:sz w:val="24"/>
        </w:rPr>
        <w:t>31</w:t>
      </w:r>
      <w:r>
        <w:rPr>
          <w:sz w:val="24"/>
        </w:rPr>
        <w:t>天</w:t>
      </w:r>
      <w:r>
        <w:rPr>
          <w:sz w:val="24"/>
        </w:rPr>
        <w:t xml:space="preserve"> (</w:t>
      </w:r>
      <w:r>
        <w:rPr>
          <w:i/>
          <w:iCs/>
          <w:sz w:val="24"/>
        </w:rPr>
        <w:t xml:space="preserve"> P</w:t>
      </w:r>
      <w:r>
        <w:rPr>
          <w:sz w:val="24"/>
        </w:rPr>
        <w:t>＜</w:t>
      </w:r>
      <w:r>
        <w:rPr>
          <w:sz w:val="24"/>
        </w:rPr>
        <w:t>0</w:t>
      </w:r>
      <w:r>
        <w:rPr>
          <w:rFonts w:hint="eastAsia"/>
          <w:sz w:val="24"/>
        </w:rPr>
        <w:t>.</w:t>
      </w:r>
      <w:r>
        <w:rPr>
          <w:sz w:val="24"/>
        </w:rPr>
        <w:t>05)</w:t>
      </w:r>
      <w:r>
        <w:rPr>
          <w:sz w:val="24"/>
        </w:rPr>
        <w:t>。</w:t>
      </w:r>
    </w:p>
    <w:p w14:paraId="68C8C0AC" w14:textId="77777777" w:rsidR="006D73E5" w:rsidRDefault="00000000">
      <w:pPr>
        <w:spacing w:line="360" w:lineRule="auto"/>
        <w:jc w:val="center"/>
        <w:rPr>
          <w:sz w:val="24"/>
        </w:rPr>
      </w:pPr>
      <w:r>
        <w:rPr>
          <w:noProof/>
          <w:sz w:val="24"/>
        </w:rPr>
        <w:drawing>
          <wp:inline distT="0" distB="0" distL="0" distR="0" wp14:anchorId="40DDBE7A" wp14:editId="67A716DB">
            <wp:extent cx="4411846" cy="2461623"/>
            <wp:effectExtent l="0" t="0" r="8255"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4435459" cy="2474798"/>
                    </a:xfrm>
                    <a:prstGeom prst="rect">
                      <a:avLst/>
                    </a:prstGeom>
                    <a:noFill/>
                    <a:ln>
                      <a:noFill/>
                    </a:ln>
                  </pic:spPr>
                </pic:pic>
              </a:graphicData>
            </a:graphic>
          </wp:inline>
        </w:drawing>
      </w:r>
    </w:p>
    <w:p w14:paraId="78946950" w14:textId="77777777" w:rsidR="006D73E5" w:rsidRDefault="00000000">
      <w:pPr>
        <w:spacing w:line="360" w:lineRule="auto"/>
        <w:rPr>
          <w:sz w:val="24"/>
        </w:rPr>
      </w:pPr>
      <w:r>
        <w:rPr>
          <w:sz w:val="24"/>
        </w:rPr>
        <w:lastRenderedPageBreak/>
        <w:t xml:space="preserve">3  </w:t>
      </w:r>
      <w:r>
        <w:rPr>
          <w:sz w:val="24"/>
        </w:rPr>
        <w:t>讨论</w:t>
      </w:r>
    </w:p>
    <w:p w14:paraId="7099124D" w14:textId="77777777" w:rsidR="006D73E5" w:rsidRDefault="00000000">
      <w:pPr>
        <w:spacing w:line="360" w:lineRule="auto"/>
        <w:rPr>
          <w:sz w:val="24"/>
        </w:rPr>
      </w:pPr>
      <w:r>
        <w:rPr>
          <w:sz w:val="24"/>
        </w:rPr>
        <w:t xml:space="preserve">3.1  FATP </w:t>
      </w:r>
      <w:r>
        <w:rPr>
          <w:sz w:val="24"/>
        </w:rPr>
        <w:t>序列特征分析</w:t>
      </w:r>
    </w:p>
    <w:p w14:paraId="3B601812" w14:textId="77777777" w:rsidR="006D73E5" w:rsidRDefault="00000000">
      <w:pPr>
        <w:spacing w:line="360" w:lineRule="auto"/>
        <w:ind w:firstLineChars="200" w:firstLine="480"/>
        <w:rPr>
          <w:sz w:val="24"/>
        </w:rPr>
      </w:pPr>
      <w:r>
        <w:rPr>
          <w:sz w:val="24"/>
        </w:rPr>
        <w:t>大菱鲆和红鳍东方鲀的</w:t>
      </w:r>
      <w:r>
        <w:rPr>
          <w:sz w:val="24"/>
        </w:rPr>
        <w:t xml:space="preserve"> FATP </w:t>
      </w:r>
      <w:r>
        <w:rPr>
          <w:sz w:val="24"/>
        </w:rPr>
        <w:t>序列特征与其他物种相似</w:t>
      </w:r>
      <w:r>
        <w:rPr>
          <w:rFonts w:hint="eastAsia"/>
          <w:sz w:val="24"/>
          <w:vertAlign w:val="superscript"/>
        </w:rPr>
        <w:t>[</w:t>
      </w:r>
      <w:r>
        <w:rPr>
          <w:sz w:val="24"/>
          <w:vertAlign w:val="superscript"/>
        </w:rPr>
        <w:t>19]</w:t>
      </w:r>
      <w:r>
        <w:rPr>
          <w:sz w:val="24"/>
        </w:rPr>
        <w:t>。同时，跨膜结构域普遍存在于</w:t>
      </w:r>
      <w:r>
        <w:rPr>
          <w:sz w:val="24"/>
        </w:rPr>
        <w:t>2</w:t>
      </w:r>
      <w:r>
        <w:rPr>
          <w:sz w:val="24"/>
        </w:rPr>
        <w:t>种鱼的</w:t>
      </w:r>
      <w:r>
        <w:rPr>
          <w:sz w:val="24"/>
        </w:rPr>
        <w:t xml:space="preserve"> FATP </w:t>
      </w:r>
      <w:r>
        <w:rPr>
          <w:sz w:val="24"/>
        </w:rPr>
        <w:t>序列中。尽管由于</w:t>
      </w:r>
      <w:r>
        <w:rPr>
          <w:sz w:val="24"/>
        </w:rPr>
        <w:t xml:space="preserve"> FATP </w:t>
      </w:r>
      <w:r>
        <w:rPr>
          <w:sz w:val="24"/>
        </w:rPr>
        <w:t>蛋白的疏水特性与脂肪酸相互作用强烈导致跨膜结构域的数量难以预测，但大多数</w:t>
      </w:r>
      <w:r>
        <w:rPr>
          <w:sz w:val="24"/>
        </w:rPr>
        <w:t xml:space="preserve"> FATP </w:t>
      </w:r>
      <w:r>
        <w:rPr>
          <w:sz w:val="24"/>
        </w:rPr>
        <w:t>序列都有</w:t>
      </w:r>
      <w:r>
        <w:rPr>
          <w:sz w:val="24"/>
        </w:rPr>
        <w:t xml:space="preserve"> 1</w:t>
      </w:r>
      <w:r>
        <w:rPr>
          <w:sz w:val="24"/>
        </w:rPr>
        <w:t>～</w:t>
      </w:r>
      <w:r>
        <w:rPr>
          <w:sz w:val="24"/>
        </w:rPr>
        <w:t>4</w:t>
      </w:r>
      <w:r>
        <w:rPr>
          <w:sz w:val="24"/>
        </w:rPr>
        <w:t>个跨膜结构域</w:t>
      </w:r>
      <w:r>
        <w:rPr>
          <w:rFonts w:hint="eastAsia"/>
          <w:sz w:val="24"/>
          <w:vertAlign w:val="superscript"/>
        </w:rPr>
        <w:t>[</w:t>
      </w:r>
      <w:r>
        <w:rPr>
          <w:sz w:val="24"/>
          <w:vertAlign w:val="superscript"/>
        </w:rPr>
        <w:t>20]</w:t>
      </w:r>
      <w:r>
        <w:rPr>
          <w:sz w:val="24"/>
        </w:rPr>
        <w:t>。然而，我们之前的一项研究表明，花鲈</w:t>
      </w:r>
      <w:r>
        <w:rPr>
          <w:sz w:val="24"/>
        </w:rPr>
        <w:t xml:space="preserve"> FATP6 </w:t>
      </w:r>
      <w:r>
        <w:rPr>
          <w:sz w:val="24"/>
        </w:rPr>
        <w:t>没有跨膜结构域，因此不能作为脂肪酸转运体</w:t>
      </w:r>
      <w:r>
        <w:rPr>
          <w:rFonts w:hint="eastAsia"/>
          <w:sz w:val="24"/>
          <w:vertAlign w:val="superscript"/>
        </w:rPr>
        <w:t>[</w:t>
      </w:r>
      <w:r>
        <w:rPr>
          <w:sz w:val="24"/>
          <w:vertAlign w:val="superscript"/>
        </w:rPr>
        <w:t>9]</w:t>
      </w:r>
      <w:r>
        <w:rPr>
          <w:sz w:val="24"/>
        </w:rPr>
        <w:t>。类似的结果在大造桥虫</w:t>
      </w:r>
      <w:r>
        <w:rPr>
          <w:sz w:val="24"/>
        </w:rPr>
        <w:t>(</w:t>
      </w:r>
      <w:r>
        <w:rPr>
          <w:i/>
          <w:iCs/>
          <w:sz w:val="24"/>
        </w:rPr>
        <w:t xml:space="preserve"> </w:t>
      </w:r>
      <w:proofErr w:type="spellStart"/>
      <w:r>
        <w:rPr>
          <w:i/>
          <w:iCs/>
          <w:sz w:val="24"/>
        </w:rPr>
        <w:t>Ascotis</w:t>
      </w:r>
      <w:proofErr w:type="spellEnd"/>
      <w:r>
        <w:rPr>
          <w:i/>
          <w:iCs/>
          <w:sz w:val="24"/>
        </w:rPr>
        <w:t xml:space="preserve"> </w:t>
      </w:r>
      <w:proofErr w:type="spellStart"/>
      <w:r>
        <w:rPr>
          <w:i/>
          <w:iCs/>
          <w:sz w:val="24"/>
        </w:rPr>
        <w:t>selenaria</w:t>
      </w:r>
      <w:proofErr w:type="spellEnd"/>
      <w:r>
        <w:rPr>
          <w:sz w:val="24"/>
        </w:rPr>
        <w:t xml:space="preserve">) </w:t>
      </w:r>
      <w:r>
        <w:rPr>
          <w:sz w:val="24"/>
        </w:rPr>
        <w:t>的</w:t>
      </w:r>
      <w:r>
        <w:rPr>
          <w:sz w:val="24"/>
        </w:rPr>
        <w:t xml:space="preserve"> FATP </w:t>
      </w:r>
      <w:r>
        <w:rPr>
          <w:sz w:val="24"/>
        </w:rPr>
        <w:t>也被发现</w:t>
      </w:r>
      <w:r>
        <w:rPr>
          <w:rFonts w:hint="eastAsia"/>
          <w:sz w:val="24"/>
          <w:vertAlign w:val="superscript"/>
        </w:rPr>
        <w:t>[</w:t>
      </w:r>
      <w:r>
        <w:rPr>
          <w:sz w:val="24"/>
          <w:vertAlign w:val="superscript"/>
        </w:rPr>
        <w:t>5]</w:t>
      </w:r>
      <w:r>
        <w:rPr>
          <w:sz w:val="24"/>
        </w:rPr>
        <w:t>。保守的</w:t>
      </w:r>
      <w:r>
        <w:rPr>
          <w:sz w:val="24"/>
        </w:rPr>
        <w:t>AMP</w:t>
      </w:r>
      <w:r>
        <w:rPr>
          <w:sz w:val="24"/>
        </w:rPr>
        <w:t>结合域也普遍存在于</w:t>
      </w:r>
      <w:r>
        <w:rPr>
          <w:sz w:val="24"/>
        </w:rPr>
        <w:t xml:space="preserve"> 2 </w:t>
      </w:r>
      <w:r>
        <w:rPr>
          <w:sz w:val="24"/>
        </w:rPr>
        <w:t>种鱼的</w:t>
      </w:r>
      <w:r>
        <w:rPr>
          <w:sz w:val="24"/>
        </w:rPr>
        <w:t xml:space="preserve"> FATP </w:t>
      </w:r>
      <w:r>
        <w:rPr>
          <w:sz w:val="24"/>
        </w:rPr>
        <w:t>序列中，这些结构域对于运输功能都是必不可少的。</w:t>
      </w:r>
      <w:r>
        <w:rPr>
          <w:sz w:val="24"/>
        </w:rPr>
        <w:t>AMP</w:t>
      </w:r>
      <w:r>
        <w:rPr>
          <w:sz w:val="24"/>
        </w:rPr>
        <w:t>结合域在所有已知的</w:t>
      </w:r>
      <w:r>
        <w:rPr>
          <w:sz w:val="24"/>
        </w:rPr>
        <w:t xml:space="preserve"> FATP </w:t>
      </w:r>
      <w:r>
        <w:rPr>
          <w:sz w:val="24"/>
        </w:rPr>
        <w:t>中都已发现。它能传递酰基辅酶</w:t>
      </w:r>
      <w:r>
        <w:rPr>
          <w:sz w:val="24"/>
        </w:rPr>
        <w:t xml:space="preserve"> A </w:t>
      </w:r>
      <w:r>
        <w:rPr>
          <w:sz w:val="24"/>
        </w:rPr>
        <w:t>合成酶活性，其内部的突变会破坏</w:t>
      </w:r>
      <w:r>
        <w:rPr>
          <w:sz w:val="24"/>
        </w:rPr>
        <w:t xml:space="preserve"> FATP </w:t>
      </w:r>
      <w:r>
        <w:rPr>
          <w:sz w:val="24"/>
        </w:rPr>
        <w:t>的</w:t>
      </w:r>
      <w:r>
        <w:rPr>
          <w:sz w:val="24"/>
        </w:rPr>
        <w:t xml:space="preserve"> LCFA</w:t>
      </w:r>
      <w:r>
        <w:rPr>
          <w:sz w:val="24"/>
        </w:rPr>
        <w:t>转运活性</w:t>
      </w:r>
      <w:r>
        <w:rPr>
          <w:rFonts w:hint="eastAsia"/>
          <w:sz w:val="24"/>
          <w:vertAlign w:val="superscript"/>
        </w:rPr>
        <w:t>[</w:t>
      </w:r>
      <w:r>
        <w:rPr>
          <w:sz w:val="24"/>
          <w:vertAlign w:val="superscript"/>
        </w:rPr>
        <w:t>21-22]</w:t>
      </w:r>
      <w:r>
        <w:rPr>
          <w:sz w:val="24"/>
        </w:rPr>
        <w:t>。与</w:t>
      </w:r>
      <w:r>
        <w:rPr>
          <w:sz w:val="24"/>
        </w:rPr>
        <w:t xml:space="preserve">AMP </w:t>
      </w:r>
      <w:r>
        <w:rPr>
          <w:sz w:val="24"/>
        </w:rPr>
        <w:t>结构域不同的是，脂质转运蛋白结构仅在大菱鲆和红鳍东方鲀</w:t>
      </w:r>
      <w:r>
        <w:rPr>
          <w:sz w:val="24"/>
        </w:rPr>
        <w:t xml:space="preserve"> FATP4</w:t>
      </w:r>
      <w:r>
        <w:rPr>
          <w:sz w:val="24"/>
        </w:rPr>
        <w:t>中存在，在</w:t>
      </w:r>
      <w:r>
        <w:rPr>
          <w:sz w:val="24"/>
        </w:rPr>
        <w:t>FATP1</w:t>
      </w:r>
      <w:r>
        <w:rPr>
          <w:sz w:val="24"/>
        </w:rPr>
        <w:t>和</w:t>
      </w:r>
      <w:r>
        <w:rPr>
          <w:sz w:val="24"/>
        </w:rPr>
        <w:t>FATP6</w:t>
      </w:r>
      <w:r>
        <w:rPr>
          <w:sz w:val="24"/>
        </w:rPr>
        <w:t>中不存在。脂质转运蛋白结构域通常存在于运输疏水小分子的蛋白质中，这种结构域在哺乳动物和斑马鱼之间高度保守</w:t>
      </w:r>
      <w:r>
        <w:rPr>
          <w:rFonts w:hint="eastAsia"/>
          <w:sz w:val="24"/>
          <w:vertAlign w:val="superscript"/>
        </w:rPr>
        <w:t>[</w:t>
      </w:r>
      <w:r>
        <w:rPr>
          <w:sz w:val="24"/>
          <w:vertAlign w:val="superscript"/>
        </w:rPr>
        <w:t>23]</w:t>
      </w:r>
      <w:r>
        <w:rPr>
          <w:sz w:val="24"/>
        </w:rPr>
        <w:t>。是否具有脂质转运蛋白结构域表明不同</w:t>
      </w:r>
      <w:r>
        <w:rPr>
          <w:sz w:val="24"/>
        </w:rPr>
        <w:t xml:space="preserve"> FATP </w:t>
      </w:r>
      <w:r>
        <w:rPr>
          <w:sz w:val="24"/>
        </w:rPr>
        <w:t>亚型之间的功能差异化。与之相对应的是，大菱鲆和红鳍东方鲀</w:t>
      </w:r>
      <w:r>
        <w:rPr>
          <w:sz w:val="24"/>
        </w:rPr>
        <w:t xml:space="preserve">FATP6 </w:t>
      </w:r>
      <w:r>
        <w:rPr>
          <w:sz w:val="24"/>
        </w:rPr>
        <w:t>与其</w:t>
      </w:r>
      <w:r>
        <w:rPr>
          <w:sz w:val="24"/>
        </w:rPr>
        <w:t xml:space="preserve"> FATP1 </w:t>
      </w:r>
      <w:r>
        <w:rPr>
          <w:sz w:val="24"/>
        </w:rPr>
        <w:t>和</w:t>
      </w:r>
      <w:r>
        <w:rPr>
          <w:sz w:val="24"/>
        </w:rPr>
        <w:t xml:space="preserve"> FATP4 </w:t>
      </w:r>
      <w:r>
        <w:rPr>
          <w:sz w:val="24"/>
        </w:rPr>
        <w:t>的同源性较低</w:t>
      </w:r>
      <w:r>
        <w:rPr>
          <w:sz w:val="24"/>
        </w:rPr>
        <w:t>(</w:t>
      </w:r>
      <w:r>
        <w:rPr>
          <w:sz w:val="24"/>
        </w:rPr>
        <w:t>＜</w:t>
      </w:r>
      <w:r>
        <w:rPr>
          <w:sz w:val="24"/>
        </w:rPr>
        <w:t>40%)</w:t>
      </w:r>
      <w:r>
        <w:rPr>
          <w:sz w:val="24"/>
        </w:rPr>
        <w:t>，预示了可能的较大功能差异。</w:t>
      </w:r>
    </w:p>
    <w:p w14:paraId="70884D5E" w14:textId="77777777" w:rsidR="006D73E5" w:rsidRDefault="00000000">
      <w:pPr>
        <w:spacing w:line="360" w:lineRule="auto"/>
        <w:rPr>
          <w:sz w:val="24"/>
        </w:rPr>
      </w:pPr>
      <w:r>
        <w:rPr>
          <w:sz w:val="24"/>
        </w:rPr>
        <w:t xml:space="preserve">3.2  </w:t>
      </w:r>
      <w:r>
        <w:rPr>
          <w:sz w:val="24"/>
        </w:rPr>
        <w:t>大菱鲆和红鳍东方鲀</w:t>
      </w:r>
      <w:r>
        <w:rPr>
          <w:sz w:val="24"/>
        </w:rPr>
        <w:t xml:space="preserve"> FATP </w:t>
      </w:r>
      <w:r>
        <w:rPr>
          <w:sz w:val="24"/>
        </w:rPr>
        <w:t>的组织分布</w:t>
      </w:r>
    </w:p>
    <w:p w14:paraId="380CFF64" w14:textId="77777777" w:rsidR="006D73E5" w:rsidRDefault="00000000">
      <w:pPr>
        <w:spacing w:line="360" w:lineRule="auto"/>
        <w:ind w:firstLineChars="200" w:firstLine="480"/>
        <w:rPr>
          <w:sz w:val="24"/>
        </w:rPr>
      </w:pPr>
      <w:r>
        <w:rPr>
          <w:sz w:val="24"/>
        </w:rPr>
        <w:t>我们之前的一项研究表明，花鲈</w:t>
      </w:r>
      <w:r>
        <w:rPr>
          <w:sz w:val="24"/>
        </w:rPr>
        <w:t xml:space="preserve"> FATP </w:t>
      </w:r>
      <w:r>
        <w:rPr>
          <w:sz w:val="24"/>
        </w:rPr>
        <w:t>的组织分布模式完全不同，</w:t>
      </w:r>
      <w:r>
        <w:rPr>
          <w:sz w:val="24"/>
        </w:rPr>
        <w:t xml:space="preserve">FATP1a </w:t>
      </w:r>
      <w:r>
        <w:rPr>
          <w:sz w:val="24"/>
        </w:rPr>
        <w:t>在大脑、肝脏、眼睛中</w:t>
      </w:r>
      <w:r>
        <w:rPr>
          <w:sz w:val="24"/>
        </w:rPr>
        <w:t xml:space="preserve">mRNA </w:t>
      </w:r>
      <w:r>
        <w:rPr>
          <w:sz w:val="24"/>
        </w:rPr>
        <w:t>相对表达量较高，</w:t>
      </w:r>
      <w:r>
        <w:rPr>
          <w:sz w:val="24"/>
        </w:rPr>
        <w:t xml:space="preserve">FATP1b </w:t>
      </w:r>
      <w:r>
        <w:rPr>
          <w:sz w:val="24"/>
        </w:rPr>
        <w:t>在鳃中</w:t>
      </w:r>
      <w:r>
        <w:rPr>
          <w:sz w:val="24"/>
        </w:rPr>
        <w:t>m</w:t>
      </w:r>
      <w:r>
        <w:rPr>
          <w:rFonts w:hint="eastAsia"/>
          <w:sz w:val="24"/>
        </w:rPr>
        <w:t>R</w:t>
      </w:r>
      <w:r>
        <w:rPr>
          <w:sz w:val="24"/>
        </w:rPr>
        <w:t xml:space="preserve">NA </w:t>
      </w:r>
      <w:r>
        <w:rPr>
          <w:sz w:val="24"/>
        </w:rPr>
        <w:t>相对表达量极高，而</w:t>
      </w:r>
      <w:r>
        <w:rPr>
          <w:sz w:val="24"/>
        </w:rPr>
        <w:t xml:space="preserve"> FATP6 </w:t>
      </w:r>
      <w:r>
        <w:rPr>
          <w:sz w:val="24"/>
        </w:rPr>
        <w:t>在几乎所有组织中</w:t>
      </w:r>
      <w:r>
        <w:rPr>
          <w:sz w:val="24"/>
        </w:rPr>
        <w:t xml:space="preserve"> m</w:t>
      </w:r>
      <w:r>
        <w:rPr>
          <w:rFonts w:hint="eastAsia"/>
          <w:sz w:val="24"/>
        </w:rPr>
        <w:t>R</w:t>
      </w:r>
      <w:r>
        <w:rPr>
          <w:sz w:val="24"/>
        </w:rPr>
        <w:t xml:space="preserve">NA </w:t>
      </w:r>
      <w:r>
        <w:rPr>
          <w:sz w:val="24"/>
        </w:rPr>
        <w:t>相对表达量都很低</w:t>
      </w:r>
      <w:r>
        <w:rPr>
          <w:rFonts w:hint="eastAsia"/>
          <w:sz w:val="24"/>
          <w:vertAlign w:val="superscript"/>
        </w:rPr>
        <w:t>[</w:t>
      </w:r>
      <w:r>
        <w:rPr>
          <w:sz w:val="24"/>
          <w:vertAlign w:val="superscript"/>
        </w:rPr>
        <w:t>9]</w:t>
      </w:r>
      <w:r>
        <w:rPr>
          <w:sz w:val="24"/>
        </w:rPr>
        <w:t>。与花鲈</w:t>
      </w:r>
      <w:r>
        <w:rPr>
          <w:sz w:val="24"/>
        </w:rPr>
        <w:t xml:space="preserve"> FATP1</w:t>
      </w:r>
      <w:r>
        <w:rPr>
          <w:sz w:val="24"/>
        </w:rPr>
        <w:t>相似，大菱鲆和红鳍东方鲀在富含</w:t>
      </w:r>
      <w:r>
        <w:rPr>
          <w:sz w:val="24"/>
        </w:rPr>
        <w:t xml:space="preserve"> LC-PUFA</w:t>
      </w:r>
      <w:r>
        <w:rPr>
          <w:sz w:val="24"/>
        </w:rPr>
        <w:t>的组织，即大脑、眼睛和肝脏中</w:t>
      </w:r>
      <w:r>
        <w:rPr>
          <w:sz w:val="24"/>
        </w:rPr>
        <w:t xml:space="preserve"> m</w:t>
      </w:r>
      <w:r>
        <w:rPr>
          <w:rFonts w:hint="eastAsia"/>
          <w:sz w:val="24"/>
        </w:rPr>
        <w:t>R</w:t>
      </w:r>
      <w:r>
        <w:rPr>
          <w:sz w:val="24"/>
        </w:rPr>
        <w:t xml:space="preserve">NA </w:t>
      </w:r>
      <w:r>
        <w:rPr>
          <w:sz w:val="24"/>
        </w:rPr>
        <w:t>相对表达量较高，表明鱼类</w:t>
      </w:r>
      <w:r>
        <w:rPr>
          <w:sz w:val="24"/>
        </w:rPr>
        <w:t>FATP1</w:t>
      </w:r>
      <w:r>
        <w:rPr>
          <w:sz w:val="24"/>
        </w:rPr>
        <w:t>可能在</w:t>
      </w:r>
      <w:r>
        <w:rPr>
          <w:sz w:val="24"/>
        </w:rPr>
        <w:t xml:space="preserve"> LC-PUFA </w:t>
      </w:r>
      <w:r>
        <w:rPr>
          <w:sz w:val="24"/>
        </w:rPr>
        <w:t>的运输中发挥重要作用。人类和小鼠的研究表明，</w:t>
      </w:r>
      <w:r>
        <w:rPr>
          <w:sz w:val="24"/>
        </w:rPr>
        <w:t xml:space="preserve">FATP1 </w:t>
      </w:r>
      <w:r>
        <w:rPr>
          <w:sz w:val="24"/>
        </w:rPr>
        <w:t>能够促进脂质从骨骼肌和脂肪组织向肝脏的再分配</w:t>
      </w:r>
      <w:r>
        <w:rPr>
          <w:rFonts w:hint="eastAsia"/>
          <w:sz w:val="24"/>
          <w:vertAlign w:val="superscript"/>
        </w:rPr>
        <w:t>[</w:t>
      </w:r>
      <w:r>
        <w:rPr>
          <w:sz w:val="24"/>
          <w:vertAlign w:val="superscript"/>
        </w:rPr>
        <w:t>24-25]</w:t>
      </w:r>
      <w:r>
        <w:rPr>
          <w:sz w:val="24"/>
        </w:rPr>
        <w:t>。在大西洋鲑鱼</w:t>
      </w:r>
      <w:r>
        <w:rPr>
          <w:sz w:val="24"/>
        </w:rPr>
        <w:t>(</w:t>
      </w:r>
      <w:r>
        <w:rPr>
          <w:i/>
          <w:iCs/>
          <w:sz w:val="24"/>
        </w:rPr>
        <w:t xml:space="preserve">Salmo </w:t>
      </w:r>
      <w:proofErr w:type="spellStart"/>
      <w:r>
        <w:rPr>
          <w:i/>
          <w:iCs/>
          <w:sz w:val="24"/>
        </w:rPr>
        <w:t>salar</w:t>
      </w:r>
      <w:proofErr w:type="spellEnd"/>
      <w:r>
        <w:rPr>
          <w:sz w:val="24"/>
        </w:rPr>
        <w:t>)</w:t>
      </w:r>
      <w:r>
        <w:rPr>
          <w:sz w:val="24"/>
        </w:rPr>
        <w:t>中，在内脏脂肪中观察到高表达的</w:t>
      </w:r>
      <w:r>
        <w:rPr>
          <w:sz w:val="24"/>
        </w:rPr>
        <w:t>FATP1</w:t>
      </w:r>
      <w:r>
        <w:rPr>
          <w:sz w:val="24"/>
        </w:rPr>
        <w:t>，其次是红肌、白肌和心脏，但在肝脏中检测不到</w:t>
      </w:r>
      <w:r>
        <w:rPr>
          <w:sz w:val="24"/>
        </w:rPr>
        <w:t xml:space="preserve"> FATP1</w:t>
      </w:r>
      <w:r>
        <w:rPr>
          <w:sz w:val="24"/>
        </w:rPr>
        <w:t>表达</w:t>
      </w:r>
      <w:r>
        <w:rPr>
          <w:rFonts w:hint="eastAsia"/>
          <w:sz w:val="24"/>
          <w:vertAlign w:val="superscript"/>
        </w:rPr>
        <w:t>[</w:t>
      </w:r>
      <w:r>
        <w:rPr>
          <w:sz w:val="24"/>
          <w:vertAlign w:val="superscript"/>
        </w:rPr>
        <w:t>26]</w:t>
      </w:r>
      <w:r>
        <w:rPr>
          <w:sz w:val="24"/>
        </w:rPr>
        <w:t>。这与在红鳍东方鲀身上观察到的情况有很大的不同。这种差异可能与红鳍东方鲀主要用肝脏储存脂肪有关</w:t>
      </w:r>
      <w:r>
        <w:rPr>
          <w:rFonts w:hint="eastAsia"/>
          <w:sz w:val="24"/>
          <w:vertAlign w:val="superscript"/>
        </w:rPr>
        <w:t>[</w:t>
      </w:r>
      <w:r>
        <w:rPr>
          <w:sz w:val="24"/>
          <w:vertAlign w:val="superscript"/>
        </w:rPr>
        <w:t>27]</w:t>
      </w:r>
      <w:r>
        <w:rPr>
          <w:sz w:val="24"/>
        </w:rPr>
        <w:t>。</w:t>
      </w:r>
    </w:p>
    <w:p w14:paraId="65AE7D10" w14:textId="77777777" w:rsidR="006D73E5" w:rsidRDefault="00000000">
      <w:pPr>
        <w:spacing w:line="360" w:lineRule="auto"/>
        <w:ind w:firstLineChars="200" w:firstLine="480"/>
        <w:rPr>
          <w:sz w:val="24"/>
        </w:rPr>
      </w:pPr>
      <w:r>
        <w:rPr>
          <w:sz w:val="24"/>
        </w:rPr>
        <w:t>不同物种肠道中普遍存在高表达的</w:t>
      </w:r>
      <w:r>
        <w:rPr>
          <w:sz w:val="24"/>
        </w:rPr>
        <w:t>FATP4</w:t>
      </w:r>
      <w:r>
        <w:rPr>
          <w:sz w:val="24"/>
        </w:rPr>
        <w:t>，推测</w:t>
      </w:r>
      <w:r>
        <w:rPr>
          <w:sz w:val="24"/>
        </w:rPr>
        <w:t xml:space="preserve"> FATP4 </w:t>
      </w:r>
      <w:r>
        <w:rPr>
          <w:sz w:val="24"/>
        </w:rPr>
        <w:t>在食物脂质吸收中发挥作用</w:t>
      </w:r>
      <w:r>
        <w:rPr>
          <w:rFonts w:hint="eastAsia"/>
          <w:sz w:val="24"/>
          <w:vertAlign w:val="superscript"/>
        </w:rPr>
        <w:t>[</w:t>
      </w:r>
      <w:r>
        <w:rPr>
          <w:sz w:val="24"/>
          <w:vertAlign w:val="superscript"/>
        </w:rPr>
        <w:t>19,28]</w:t>
      </w:r>
      <w:r>
        <w:rPr>
          <w:sz w:val="24"/>
        </w:rPr>
        <w:t>，尽管</w:t>
      </w:r>
      <w:r>
        <w:rPr>
          <w:sz w:val="24"/>
        </w:rPr>
        <w:t xml:space="preserve"> FATP4 </w:t>
      </w:r>
      <w:r>
        <w:rPr>
          <w:sz w:val="24"/>
        </w:rPr>
        <w:t>促进脂肪酸摄取的机制在不同的研究中存在一定的争议</w:t>
      </w:r>
      <w:r>
        <w:rPr>
          <w:rFonts w:hint="eastAsia"/>
          <w:sz w:val="24"/>
          <w:vertAlign w:val="superscript"/>
        </w:rPr>
        <w:t>[</w:t>
      </w:r>
      <w:r>
        <w:rPr>
          <w:sz w:val="24"/>
          <w:vertAlign w:val="superscript"/>
        </w:rPr>
        <w:t>29-30]</w:t>
      </w:r>
      <w:r>
        <w:rPr>
          <w:sz w:val="24"/>
        </w:rPr>
        <w:t>。小鼠</w:t>
      </w:r>
      <w:r>
        <w:rPr>
          <w:sz w:val="24"/>
        </w:rPr>
        <w:t xml:space="preserve"> FATP4 </w:t>
      </w:r>
      <w:r>
        <w:rPr>
          <w:sz w:val="24"/>
        </w:rPr>
        <w:t>在</w:t>
      </w:r>
      <w:r>
        <w:rPr>
          <w:sz w:val="24"/>
        </w:rPr>
        <w:t xml:space="preserve"> LC-PUFA </w:t>
      </w:r>
      <w:r>
        <w:rPr>
          <w:sz w:val="24"/>
        </w:rPr>
        <w:t>激活和酰基辅酶</w:t>
      </w:r>
      <w:r>
        <w:rPr>
          <w:sz w:val="24"/>
        </w:rPr>
        <w:t xml:space="preserve"> A </w:t>
      </w:r>
      <w:r>
        <w:rPr>
          <w:sz w:val="24"/>
        </w:rPr>
        <w:t>合成酶中发挥作用</w:t>
      </w:r>
      <w:r>
        <w:rPr>
          <w:rFonts w:hint="eastAsia"/>
          <w:sz w:val="24"/>
          <w:vertAlign w:val="superscript"/>
        </w:rPr>
        <w:t>[</w:t>
      </w:r>
      <w:r>
        <w:rPr>
          <w:sz w:val="24"/>
          <w:vertAlign w:val="superscript"/>
        </w:rPr>
        <w:t>31]</w:t>
      </w:r>
      <w:r>
        <w:rPr>
          <w:sz w:val="24"/>
        </w:rPr>
        <w:t>。在不同的研究中，除肠外，</w:t>
      </w:r>
      <w:r>
        <w:rPr>
          <w:sz w:val="24"/>
        </w:rPr>
        <w:t xml:space="preserve">FATP4 </w:t>
      </w:r>
      <w:r>
        <w:rPr>
          <w:sz w:val="24"/>
        </w:rPr>
        <w:t>在大脑内的高表达也是一致的</w:t>
      </w:r>
      <w:r>
        <w:rPr>
          <w:rFonts w:hint="eastAsia"/>
          <w:sz w:val="24"/>
          <w:vertAlign w:val="superscript"/>
        </w:rPr>
        <w:t>[</w:t>
      </w:r>
      <w:r>
        <w:rPr>
          <w:sz w:val="24"/>
          <w:vertAlign w:val="superscript"/>
        </w:rPr>
        <w:t>9,32-33]</w:t>
      </w:r>
      <w:r>
        <w:rPr>
          <w:sz w:val="24"/>
        </w:rPr>
        <w:t>，证实了</w:t>
      </w:r>
      <w:r>
        <w:rPr>
          <w:sz w:val="24"/>
        </w:rPr>
        <w:t xml:space="preserve"> FATP4 </w:t>
      </w:r>
      <w:r>
        <w:rPr>
          <w:sz w:val="24"/>
        </w:rPr>
        <w:t>在运输大脑中富含的</w:t>
      </w:r>
      <w:r>
        <w:rPr>
          <w:sz w:val="24"/>
        </w:rPr>
        <w:t xml:space="preserve"> LC-</w:t>
      </w:r>
      <w:r>
        <w:rPr>
          <w:sz w:val="24"/>
        </w:rPr>
        <w:lastRenderedPageBreak/>
        <w:t xml:space="preserve">PUFA </w:t>
      </w:r>
      <w:r>
        <w:rPr>
          <w:sz w:val="24"/>
        </w:rPr>
        <w:t>中的作用</w:t>
      </w:r>
      <w:r>
        <w:rPr>
          <w:rFonts w:hint="eastAsia"/>
          <w:sz w:val="24"/>
          <w:vertAlign w:val="superscript"/>
        </w:rPr>
        <w:t>[</w:t>
      </w:r>
      <w:r>
        <w:rPr>
          <w:sz w:val="24"/>
          <w:vertAlign w:val="superscript"/>
        </w:rPr>
        <w:t>34]</w:t>
      </w:r>
      <w:r>
        <w:rPr>
          <w:sz w:val="24"/>
        </w:rPr>
        <w:t>。</w:t>
      </w:r>
    </w:p>
    <w:p w14:paraId="7200B191" w14:textId="77777777" w:rsidR="006D73E5" w:rsidRDefault="00000000">
      <w:pPr>
        <w:spacing w:line="360" w:lineRule="auto"/>
        <w:ind w:firstLineChars="200" w:firstLine="480"/>
        <w:rPr>
          <w:sz w:val="24"/>
        </w:rPr>
      </w:pPr>
      <w:r>
        <w:rPr>
          <w:sz w:val="24"/>
        </w:rPr>
        <w:t xml:space="preserve">FATP6 </w:t>
      </w:r>
      <w:r>
        <w:rPr>
          <w:sz w:val="24"/>
        </w:rPr>
        <w:t>作为哺乳动物心脏中的脂肪酸转运体，在心脏与另一种</w:t>
      </w:r>
      <w:r>
        <w:rPr>
          <w:sz w:val="24"/>
        </w:rPr>
        <w:t>FATP———CD36</w:t>
      </w:r>
      <w:r>
        <w:rPr>
          <w:sz w:val="24"/>
        </w:rPr>
        <w:t>共定位，增加</w:t>
      </w:r>
      <w:r>
        <w:rPr>
          <w:sz w:val="24"/>
        </w:rPr>
        <w:t xml:space="preserve"> LCFA </w:t>
      </w:r>
      <w:r>
        <w:rPr>
          <w:sz w:val="24"/>
        </w:rPr>
        <w:t>的摄取</w:t>
      </w:r>
      <w:r>
        <w:rPr>
          <w:rFonts w:hint="eastAsia"/>
          <w:sz w:val="24"/>
          <w:vertAlign w:val="superscript"/>
        </w:rPr>
        <w:t>[</w:t>
      </w:r>
      <w:r>
        <w:rPr>
          <w:sz w:val="24"/>
          <w:vertAlign w:val="superscript"/>
        </w:rPr>
        <w:t>35]</w:t>
      </w:r>
      <w:r>
        <w:rPr>
          <w:sz w:val="24"/>
        </w:rPr>
        <w:t>。在大菱鲆消化道和红鳍东方鲀肝脏中</w:t>
      </w:r>
      <w:r>
        <w:rPr>
          <w:sz w:val="24"/>
        </w:rPr>
        <w:t xml:space="preserve"> FATP6</w:t>
      </w:r>
      <w:r>
        <w:rPr>
          <w:sz w:val="24"/>
        </w:rPr>
        <w:t>的高表达表明了</w:t>
      </w:r>
      <w:r>
        <w:rPr>
          <w:sz w:val="24"/>
        </w:rPr>
        <w:t>FATP6</w:t>
      </w:r>
      <w:r>
        <w:rPr>
          <w:sz w:val="24"/>
        </w:rPr>
        <w:t>在不同物种间的功能差异。</w:t>
      </w:r>
    </w:p>
    <w:p w14:paraId="1FA8F0F4" w14:textId="77777777" w:rsidR="006D73E5" w:rsidRDefault="00000000">
      <w:pPr>
        <w:spacing w:line="360" w:lineRule="auto"/>
        <w:rPr>
          <w:sz w:val="24"/>
        </w:rPr>
      </w:pPr>
      <w:r>
        <w:rPr>
          <w:sz w:val="24"/>
        </w:rPr>
        <w:t xml:space="preserve">3.3  </w:t>
      </w:r>
      <w:r>
        <w:rPr>
          <w:sz w:val="24"/>
        </w:rPr>
        <w:t>饲料脂肪水平对大菱鲆和红鳍东方鲀肝脏</w:t>
      </w:r>
      <w:r>
        <w:rPr>
          <w:sz w:val="24"/>
        </w:rPr>
        <w:t xml:space="preserve"> FATP m</w:t>
      </w:r>
      <w:r>
        <w:rPr>
          <w:rFonts w:hint="eastAsia"/>
          <w:sz w:val="24"/>
        </w:rPr>
        <w:t>R</w:t>
      </w:r>
      <w:r>
        <w:rPr>
          <w:sz w:val="24"/>
        </w:rPr>
        <w:t xml:space="preserve">NA </w:t>
      </w:r>
      <w:r>
        <w:rPr>
          <w:sz w:val="24"/>
        </w:rPr>
        <w:t>表达的影响</w:t>
      </w:r>
    </w:p>
    <w:p w14:paraId="2F307C0F" w14:textId="77777777" w:rsidR="006D73E5" w:rsidRDefault="00000000">
      <w:pPr>
        <w:spacing w:line="360" w:lineRule="auto"/>
        <w:ind w:firstLineChars="200" w:firstLine="480"/>
        <w:rPr>
          <w:sz w:val="24"/>
        </w:rPr>
      </w:pPr>
      <w:r>
        <w:rPr>
          <w:sz w:val="24"/>
        </w:rPr>
        <w:t>考虑到</w:t>
      </w:r>
      <w:r>
        <w:rPr>
          <w:sz w:val="24"/>
        </w:rPr>
        <w:t xml:space="preserve"> FATP </w:t>
      </w:r>
      <w:r>
        <w:rPr>
          <w:sz w:val="24"/>
        </w:rPr>
        <w:t>在脂质运输中的作用，通常假设高饲料脂肪水平会上调</w:t>
      </w:r>
      <w:r>
        <w:rPr>
          <w:sz w:val="24"/>
        </w:rPr>
        <w:t xml:space="preserve"> FATP m</w:t>
      </w:r>
      <w:r>
        <w:rPr>
          <w:rFonts w:hint="eastAsia"/>
          <w:sz w:val="24"/>
        </w:rPr>
        <w:t>R</w:t>
      </w:r>
      <w:r>
        <w:rPr>
          <w:sz w:val="24"/>
        </w:rPr>
        <w:t>NA</w:t>
      </w:r>
      <w:r>
        <w:rPr>
          <w:sz w:val="24"/>
        </w:rPr>
        <w:t>的表达。在大鼠肌肉中的</w:t>
      </w:r>
      <w:r>
        <w:rPr>
          <w:sz w:val="24"/>
        </w:rPr>
        <w:t xml:space="preserve"> FATP1</w:t>
      </w:r>
      <w:r>
        <w:rPr>
          <w:sz w:val="24"/>
        </w:rPr>
        <w:t>中确实观察到了这一点</w:t>
      </w:r>
      <w:r>
        <w:rPr>
          <w:rFonts w:hint="eastAsia"/>
          <w:sz w:val="24"/>
          <w:vertAlign w:val="superscript"/>
        </w:rPr>
        <w:t>[</w:t>
      </w:r>
      <w:r>
        <w:rPr>
          <w:sz w:val="24"/>
          <w:vertAlign w:val="superscript"/>
        </w:rPr>
        <w:t>36]</w:t>
      </w:r>
      <w:r>
        <w:rPr>
          <w:sz w:val="24"/>
        </w:rPr>
        <w:t>。在大西洋鲑鱼的前脂肪细胞分化过程中也观察到</w:t>
      </w:r>
      <w:r>
        <w:rPr>
          <w:sz w:val="24"/>
        </w:rPr>
        <w:t xml:space="preserve"> FATP1 </w:t>
      </w:r>
      <w:r>
        <w:rPr>
          <w:sz w:val="24"/>
        </w:rPr>
        <w:t>表达的上调</w:t>
      </w:r>
      <w:r>
        <w:rPr>
          <w:rFonts w:hint="eastAsia"/>
          <w:sz w:val="24"/>
          <w:vertAlign w:val="superscript"/>
        </w:rPr>
        <w:t>[</w:t>
      </w:r>
      <w:r>
        <w:rPr>
          <w:sz w:val="24"/>
          <w:vertAlign w:val="superscript"/>
        </w:rPr>
        <w:t>6]</w:t>
      </w:r>
      <w:r>
        <w:rPr>
          <w:sz w:val="24"/>
        </w:rPr>
        <w:t>。低表达的</w:t>
      </w:r>
      <w:r>
        <w:rPr>
          <w:sz w:val="24"/>
        </w:rPr>
        <w:t>FATP1</w:t>
      </w:r>
      <w:r>
        <w:rPr>
          <w:sz w:val="24"/>
        </w:rPr>
        <w:t>、</w:t>
      </w:r>
      <w:r>
        <w:rPr>
          <w:sz w:val="24"/>
        </w:rPr>
        <w:t>FATP4</w:t>
      </w:r>
      <w:r>
        <w:rPr>
          <w:sz w:val="24"/>
        </w:rPr>
        <w:t>和</w:t>
      </w:r>
      <w:r>
        <w:rPr>
          <w:sz w:val="24"/>
        </w:rPr>
        <w:t xml:space="preserve">FATP6 </w:t>
      </w:r>
      <w:r>
        <w:rPr>
          <w:sz w:val="24"/>
        </w:rPr>
        <w:t>甚至被用来指示饲料添加剂对草鱼的降脂作用</w:t>
      </w:r>
      <w:r>
        <w:rPr>
          <w:rFonts w:hint="eastAsia"/>
          <w:sz w:val="24"/>
          <w:vertAlign w:val="superscript"/>
        </w:rPr>
        <w:t>[</w:t>
      </w:r>
      <w:r>
        <w:rPr>
          <w:sz w:val="24"/>
          <w:vertAlign w:val="superscript"/>
        </w:rPr>
        <w:t>7]</w:t>
      </w:r>
      <w:r>
        <w:rPr>
          <w:sz w:val="24"/>
        </w:rPr>
        <w:t>。然而，本研究中并没有在所有</w:t>
      </w:r>
      <w:r>
        <w:rPr>
          <w:sz w:val="24"/>
        </w:rPr>
        <w:t>FATP</w:t>
      </w:r>
      <w:r>
        <w:rPr>
          <w:sz w:val="24"/>
        </w:rPr>
        <w:t>中观察到高脂饲料对</w:t>
      </w:r>
      <w:r>
        <w:rPr>
          <w:sz w:val="24"/>
        </w:rPr>
        <w:t xml:space="preserve"> FATP </w:t>
      </w:r>
      <w:r>
        <w:rPr>
          <w:sz w:val="24"/>
        </w:rPr>
        <w:t>表达的显著上调。与对照组相比，饲料脂肪水平为</w:t>
      </w:r>
      <w:r>
        <w:rPr>
          <w:sz w:val="24"/>
        </w:rPr>
        <w:t xml:space="preserve"> 16.0% </w:t>
      </w:r>
      <w:r>
        <w:rPr>
          <w:sz w:val="24"/>
        </w:rPr>
        <w:t>组菱鲆的肝脏</w:t>
      </w:r>
      <w:r>
        <w:rPr>
          <w:sz w:val="24"/>
        </w:rPr>
        <w:t xml:space="preserve"> FATP4 </w:t>
      </w:r>
      <w:r>
        <w:rPr>
          <w:sz w:val="24"/>
        </w:rPr>
        <w:t>和</w:t>
      </w:r>
      <w:r>
        <w:rPr>
          <w:sz w:val="24"/>
        </w:rPr>
        <w:t xml:space="preserve"> FATP6 </w:t>
      </w:r>
      <w:r>
        <w:rPr>
          <w:sz w:val="24"/>
        </w:rPr>
        <w:t>的</w:t>
      </w:r>
      <w:r>
        <w:rPr>
          <w:sz w:val="24"/>
        </w:rPr>
        <w:t xml:space="preserve"> m</w:t>
      </w:r>
      <w:r>
        <w:rPr>
          <w:rFonts w:hint="eastAsia"/>
          <w:sz w:val="24"/>
        </w:rPr>
        <w:t>R</w:t>
      </w:r>
      <w:r>
        <w:rPr>
          <w:sz w:val="24"/>
        </w:rPr>
        <w:t xml:space="preserve">NA </w:t>
      </w:r>
      <w:r>
        <w:rPr>
          <w:sz w:val="24"/>
        </w:rPr>
        <w:t>相对表达量略有升高，饲料脂肪水平为</w:t>
      </w:r>
      <w:r>
        <w:rPr>
          <w:sz w:val="24"/>
        </w:rPr>
        <w:t xml:space="preserve"> 16</w:t>
      </w:r>
      <w:r>
        <w:rPr>
          <w:rFonts w:hint="eastAsia"/>
          <w:sz w:val="24"/>
        </w:rPr>
        <w:t>.</w:t>
      </w:r>
      <w:r>
        <w:rPr>
          <w:sz w:val="24"/>
        </w:rPr>
        <w:t xml:space="preserve">0% </w:t>
      </w:r>
      <w:r>
        <w:rPr>
          <w:sz w:val="24"/>
        </w:rPr>
        <w:t>组的红鳍东方鲀的肝脏</w:t>
      </w:r>
      <w:r>
        <w:rPr>
          <w:sz w:val="24"/>
        </w:rPr>
        <w:t xml:space="preserve"> FATP1 </w:t>
      </w:r>
      <w:r>
        <w:rPr>
          <w:sz w:val="24"/>
        </w:rPr>
        <w:t>和</w:t>
      </w:r>
      <w:r>
        <w:rPr>
          <w:sz w:val="24"/>
        </w:rPr>
        <w:t xml:space="preserve"> FATP6 </w:t>
      </w:r>
      <w:r>
        <w:rPr>
          <w:sz w:val="24"/>
        </w:rPr>
        <w:t>的</w:t>
      </w:r>
      <w:r>
        <w:rPr>
          <w:sz w:val="24"/>
        </w:rPr>
        <w:t xml:space="preserve"> m</w:t>
      </w:r>
      <w:r>
        <w:rPr>
          <w:rFonts w:hint="eastAsia"/>
          <w:sz w:val="24"/>
        </w:rPr>
        <w:t>R</w:t>
      </w:r>
      <w:r>
        <w:rPr>
          <w:sz w:val="24"/>
        </w:rPr>
        <w:t xml:space="preserve">NA </w:t>
      </w:r>
      <w:r>
        <w:rPr>
          <w:sz w:val="24"/>
        </w:rPr>
        <w:t>相对表达量略有升高。</w:t>
      </w:r>
    </w:p>
    <w:p w14:paraId="721426DC" w14:textId="77777777" w:rsidR="006D73E5" w:rsidRDefault="00000000">
      <w:pPr>
        <w:spacing w:line="360" w:lineRule="auto"/>
        <w:ind w:firstLineChars="200" w:firstLine="480"/>
        <w:rPr>
          <w:sz w:val="24"/>
        </w:rPr>
      </w:pPr>
      <w:r>
        <w:rPr>
          <w:sz w:val="24"/>
        </w:rPr>
        <w:t>在尼罗罗非鱼的试验中</w:t>
      </w:r>
      <w:r>
        <w:rPr>
          <w:rFonts w:hint="eastAsia"/>
          <w:sz w:val="24"/>
          <w:vertAlign w:val="superscript"/>
        </w:rPr>
        <w:t>[</w:t>
      </w:r>
      <w:r>
        <w:rPr>
          <w:sz w:val="24"/>
          <w:vertAlign w:val="superscript"/>
        </w:rPr>
        <w:t>37]</w:t>
      </w:r>
      <w:r>
        <w:rPr>
          <w:sz w:val="24"/>
        </w:rPr>
        <w:t>，高饲料脂肪水平在</w:t>
      </w:r>
      <w:r>
        <w:rPr>
          <w:sz w:val="24"/>
        </w:rPr>
        <w:t xml:space="preserve"> 60 d </w:t>
      </w:r>
      <w:r>
        <w:rPr>
          <w:sz w:val="24"/>
        </w:rPr>
        <w:t>时上调了肠道中</w:t>
      </w:r>
      <w:r>
        <w:rPr>
          <w:sz w:val="24"/>
        </w:rPr>
        <w:t xml:space="preserve"> FATP1 </w:t>
      </w:r>
      <w:r>
        <w:rPr>
          <w:sz w:val="24"/>
        </w:rPr>
        <w:t>的表达，但在</w:t>
      </w:r>
      <w:r>
        <w:rPr>
          <w:sz w:val="24"/>
        </w:rPr>
        <w:t xml:space="preserve">90 d </w:t>
      </w:r>
      <w:r>
        <w:rPr>
          <w:sz w:val="24"/>
        </w:rPr>
        <w:t>时下调了该基因的表达，表明这种影响具有时间依赖性</w:t>
      </w:r>
      <w:r>
        <w:rPr>
          <w:rFonts w:hint="eastAsia"/>
          <w:sz w:val="24"/>
          <w:vertAlign w:val="superscript"/>
        </w:rPr>
        <w:t>[</w:t>
      </w:r>
      <w:r>
        <w:rPr>
          <w:sz w:val="24"/>
          <w:vertAlign w:val="superscript"/>
        </w:rPr>
        <w:t>38]</w:t>
      </w:r>
      <w:r>
        <w:rPr>
          <w:sz w:val="24"/>
        </w:rPr>
        <w:t>。在大黄鱼饲养</w:t>
      </w:r>
      <w:r>
        <w:rPr>
          <w:sz w:val="24"/>
        </w:rPr>
        <w:t xml:space="preserve"> 10 </w:t>
      </w:r>
      <w:r>
        <w:rPr>
          <w:sz w:val="24"/>
        </w:rPr>
        <w:t>周的试验中，观察到高饲料脂肪水平下调了肌肉中</w:t>
      </w:r>
      <w:r>
        <w:rPr>
          <w:sz w:val="24"/>
        </w:rPr>
        <w:t xml:space="preserve"> FATP1 </w:t>
      </w:r>
      <w:r>
        <w:rPr>
          <w:sz w:val="24"/>
        </w:rPr>
        <w:t>的表达，但对腹膜内脂肪组织中</w:t>
      </w:r>
      <w:r>
        <w:rPr>
          <w:sz w:val="24"/>
        </w:rPr>
        <w:t>FATP1</w:t>
      </w:r>
      <w:r>
        <w:rPr>
          <w:sz w:val="24"/>
        </w:rPr>
        <w:t>的表达无显著影响</w:t>
      </w:r>
      <w:r>
        <w:rPr>
          <w:rFonts w:hint="eastAsia"/>
          <w:sz w:val="24"/>
          <w:vertAlign w:val="superscript"/>
        </w:rPr>
        <w:t>[</w:t>
      </w:r>
      <w:r>
        <w:rPr>
          <w:sz w:val="24"/>
          <w:vertAlign w:val="superscript"/>
        </w:rPr>
        <w:t>39]</w:t>
      </w:r>
      <w:r>
        <w:rPr>
          <w:sz w:val="24"/>
        </w:rPr>
        <w:t>。在斑马鱼中，观察到</w:t>
      </w:r>
      <w:r>
        <w:rPr>
          <w:sz w:val="24"/>
        </w:rPr>
        <w:t xml:space="preserve"> FATP </w:t>
      </w:r>
      <w:r>
        <w:rPr>
          <w:sz w:val="24"/>
        </w:rPr>
        <w:t>表达对高脂饲料的更复杂的反应</w:t>
      </w:r>
      <w:r>
        <w:rPr>
          <w:rFonts w:hint="eastAsia"/>
          <w:sz w:val="24"/>
          <w:vertAlign w:val="superscript"/>
        </w:rPr>
        <w:t>[</w:t>
      </w:r>
      <w:r>
        <w:rPr>
          <w:sz w:val="24"/>
          <w:vertAlign w:val="superscript"/>
        </w:rPr>
        <w:t>40]</w:t>
      </w:r>
      <w:r>
        <w:rPr>
          <w:sz w:val="24"/>
        </w:rPr>
        <w:t>。高饲料脂肪水平上调了肝脏和肠道中</w:t>
      </w:r>
      <w:r>
        <w:rPr>
          <w:sz w:val="24"/>
        </w:rPr>
        <w:t>FATP2</w:t>
      </w:r>
      <w:r>
        <w:rPr>
          <w:sz w:val="24"/>
        </w:rPr>
        <w:t>和</w:t>
      </w:r>
      <w:r>
        <w:rPr>
          <w:sz w:val="24"/>
        </w:rPr>
        <w:t>FATP4</w:t>
      </w:r>
      <w:r>
        <w:rPr>
          <w:sz w:val="24"/>
        </w:rPr>
        <w:t>的表达，下调了肌肉中</w:t>
      </w:r>
      <w:r>
        <w:rPr>
          <w:sz w:val="24"/>
        </w:rPr>
        <w:t xml:space="preserve"> FATP1b</w:t>
      </w:r>
      <w:r>
        <w:rPr>
          <w:sz w:val="24"/>
        </w:rPr>
        <w:t>、</w:t>
      </w:r>
      <w:r>
        <w:rPr>
          <w:sz w:val="24"/>
        </w:rPr>
        <w:t xml:space="preserve">FATP2 </w:t>
      </w:r>
      <w:r>
        <w:rPr>
          <w:sz w:val="24"/>
        </w:rPr>
        <w:t>和</w:t>
      </w:r>
      <w:r>
        <w:rPr>
          <w:sz w:val="24"/>
        </w:rPr>
        <w:t xml:space="preserve"> FATP4 </w:t>
      </w:r>
      <w:r>
        <w:rPr>
          <w:sz w:val="24"/>
        </w:rPr>
        <w:t>的表达</w:t>
      </w:r>
      <w:r>
        <w:rPr>
          <w:rFonts w:hint="eastAsia"/>
          <w:sz w:val="24"/>
          <w:vertAlign w:val="superscript"/>
        </w:rPr>
        <w:t>[</w:t>
      </w:r>
      <w:r>
        <w:rPr>
          <w:sz w:val="24"/>
          <w:vertAlign w:val="superscript"/>
        </w:rPr>
        <w:t>40]</w:t>
      </w:r>
      <w:r>
        <w:rPr>
          <w:sz w:val="24"/>
        </w:rPr>
        <w:t>。</w:t>
      </w:r>
      <w:r>
        <w:rPr>
          <w:sz w:val="24"/>
        </w:rPr>
        <w:t>FATP</w:t>
      </w:r>
      <w:r>
        <w:rPr>
          <w:sz w:val="24"/>
        </w:rPr>
        <w:t>表达对饲料脂肪水平的复杂响应可能与</w:t>
      </w:r>
      <w:r>
        <w:rPr>
          <w:sz w:val="24"/>
        </w:rPr>
        <w:t>FATP</w:t>
      </w:r>
      <w:r>
        <w:rPr>
          <w:sz w:val="24"/>
        </w:rPr>
        <w:t>的双向功能有关。据报道，</w:t>
      </w:r>
      <w:r>
        <w:rPr>
          <w:sz w:val="24"/>
        </w:rPr>
        <w:t>FATP1</w:t>
      </w:r>
      <w:r>
        <w:rPr>
          <w:sz w:val="24"/>
        </w:rPr>
        <w:t>主要参与脂肪酸的摄取，而不是脂肪酸的外排，但其他对小鼠和叙利亚仓鼠的研究表明，脂肪酸转运体也可能介导脂肪酸的外排，即促进向细胞外的脂肪酸转运</w:t>
      </w:r>
      <w:r>
        <w:rPr>
          <w:rFonts w:hint="eastAsia"/>
          <w:sz w:val="24"/>
          <w:vertAlign w:val="superscript"/>
        </w:rPr>
        <w:t>[</w:t>
      </w:r>
      <w:r>
        <w:rPr>
          <w:sz w:val="24"/>
          <w:vertAlign w:val="superscript"/>
        </w:rPr>
        <w:t>41-42]</w:t>
      </w:r>
      <w:r>
        <w:rPr>
          <w:sz w:val="24"/>
        </w:rPr>
        <w:t>。</w:t>
      </w:r>
    </w:p>
    <w:p w14:paraId="0A23B6D8" w14:textId="77777777" w:rsidR="006D73E5" w:rsidRDefault="00000000">
      <w:pPr>
        <w:spacing w:line="360" w:lineRule="auto"/>
        <w:ind w:firstLineChars="200" w:firstLine="480"/>
        <w:rPr>
          <w:sz w:val="24"/>
        </w:rPr>
      </w:pPr>
      <w:r>
        <w:rPr>
          <w:sz w:val="24"/>
        </w:rPr>
        <w:t>与饲料脂肪水平的研究相比，更多的鱼类研究揭示了</w:t>
      </w:r>
      <w:r>
        <w:rPr>
          <w:sz w:val="24"/>
        </w:rPr>
        <w:t>FATP</w:t>
      </w:r>
      <w:r>
        <w:rPr>
          <w:sz w:val="24"/>
        </w:rPr>
        <w:t>表达对饲料中不同脂肪来源或脂肪酸组成的响应</w:t>
      </w:r>
      <w:r>
        <w:rPr>
          <w:rFonts w:hint="eastAsia"/>
          <w:sz w:val="24"/>
          <w:vertAlign w:val="superscript"/>
        </w:rPr>
        <w:t>[</w:t>
      </w:r>
      <w:r>
        <w:rPr>
          <w:sz w:val="24"/>
          <w:vertAlign w:val="superscript"/>
        </w:rPr>
        <w:t>9,43]</w:t>
      </w:r>
      <w:r>
        <w:rPr>
          <w:sz w:val="24"/>
        </w:rPr>
        <w:t>。与鱼油相比，大西洋鲑鱼饲料中的植物油混合物下调了白色肌肉和内脏白色脂肪组织中</w:t>
      </w:r>
      <w:r>
        <w:rPr>
          <w:sz w:val="24"/>
        </w:rPr>
        <w:t xml:space="preserve"> FATP1 </w:t>
      </w:r>
      <w:r>
        <w:rPr>
          <w:sz w:val="24"/>
        </w:rPr>
        <w:t>的表达，但对心脏、红肌和肌隔中</w:t>
      </w:r>
      <w:r>
        <w:rPr>
          <w:sz w:val="24"/>
        </w:rPr>
        <w:t xml:space="preserve"> FATP1 </w:t>
      </w:r>
      <w:r>
        <w:rPr>
          <w:sz w:val="24"/>
        </w:rPr>
        <w:t>的表达没有显著影响</w:t>
      </w:r>
      <w:r>
        <w:rPr>
          <w:rFonts w:hint="eastAsia"/>
          <w:sz w:val="24"/>
          <w:vertAlign w:val="superscript"/>
        </w:rPr>
        <w:t>[</w:t>
      </w:r>
      <w:r>
        <w:rPr>
          <w:sz w:val="24"/>
          <w:vertAlign w:val="superscript"/>
        </w:rPr>
        <w:t>26]</w:t>
      </w:r>
      <w:r>
        <w:rPr>
          <w:sz w:val="24"/>
        </w:rPr>
        <w:t>。最近一项在金头鲷</w:t>
      </w:r>
      <w:r>
        <w:rPr>
          <w:sz w:val="24"/>
        </w:rPr>
        <w:t>(</w:t>
      </w:r>
      <w:r>
        <w:rPr>
          <w:i/>
          <w:iCs/>
          <w:sz w:val="24"/>
        </w:rPr>
        <w:t xml:space="preserve">Sparus </w:t>
      </w:r>
      <w:proofErr w:type="spellStart"/>
      <w:r>
        <w:rPr>
          <w:i/>
          <w:iCs/>
          <w:sz w:val="24"/>
        </w:rPr>
        <w:t>aurata</w:t>
      </w:r>
      <w:proofErr w:type="spellEnd"/>
      <w:r>
        <w:rPr>
          <w:sz w:val="24"/>
        </w:rPr>
        <w:t>)</w:t>
      </w:r>
      <w:r>
        <w:rPr>
          <w:sz w:val="24"/>
        </w:rPr>
        <w:t>骨髓间充质干细胞中的研究显示，亚麻油酸</w:t>
      </w:r>
      <w:r>
        <w:rPr>
          <w:sz w:val="24"/>
        </w:rPr>
        <w:t xml:space="preserve">(LA) </w:t>
      </w:r>
      <w:r>
        <w:rPr>
          <w:sz w:val="24"/>
        </w:rPr>
        <w:t>和亚麻酸</w:t>
      </w:r>
      <w:r>
        <w:rPr>
          <w:sz w:val="24"/>
        </w:rPr>
        <w:t>(ALA)</w:t>
      </w:r>
      <w:r>
        <w:rPr>
          <w:sz w:val="24"/>
        </w:rPr>
        <w:t>以及它们的混合物能够使</w:t>
      </w:r>
      <w:r>
        <w:rPr>
          <w:sz w:val="24"/>
        </w:rPr>
        <w:t>FATP1</w:t>
      </w:r>
      <w:r>
        <w:rPr>
          <w:sz w:val="24"/>
        </w:rPr>
        <w:t>的表达明显上调，这被认为能够使得这些脂肪酸处理过的细胞中的脂质含量能够升高</w:t>
      </w:r>
      <w:r>
        <w:rPr>
          <w:rFonts w:hint="eastAsia"/>
          <w:sz w:val="24"/>
          <w:vertAlign w:val="superscript"/>
        </w:rPr>
        <w:t>[</w:t>
      </w:r>
      <w:r>
        <w:rPr>
          <w:sz w:val="24"/>
          <w:vertAlign w:val="superscript"/>
        </w:rPr>
        <w:t>44]</w:t>
      </w:r>
      <w:r>
        <w:rPr>
          <w:sz w:val="24"/>
        </w:rPr>
        <w:t>。在大黄鱼中，与鱼油相比，饲料中富含亚麻油也能上调肝脏</w:t>
      </w:r>
      <w:r>
        <w:rPr>
          <w:sz w:val="24"/>
        </w:rPr>
        <w:t xml:space="preserve"> FATP1 </w:t>
      </w:r>
      <w:r>
        <w:rPr>
          <w:sz w:val="24"/>
        </w:rPr>
        <w:t>的表达</w:t>
      </w:r>
      <w:r>
        <w:rPr>
          <w:rFonts w:hint="eastAsia"/>
          <w:sz w:val="24"/>
          <w:vertAlign w:val="superscript"/>
        </w:rPr>
        <w:t>[</w:t>
      </w:r>
      <w:r>
        <w:rPr>
          <w:sz w:val="24"/>
          <w:vertAlign w:val="superscript"/>
        </w:rPr>
        <w:t>45]</w:t>
      </w:r>
      <w:r>
        <w:rPr>
          <w:sz w:val="24"/>
        </w:rPr>
        <w:t>。另一项对黄颡鱼</w:t>
      </w:r>
      <w:r>
        <w:rPr>
          <w:sz w:val="24"/>
        </w:rPr>
        <w:t>(</w:t>
      </w:r>
      <w:proofErr w:type="spellStart"/>
      <w:r>
        <w:rPr>
          <w:i/>
          <w:iCs/>
          <w:sz w:val="24"/>
        </w:rPr>
        <w:t>Pelteobagrus</w:t>
      </w:r>
      <w:proofErr w:type="spellEnd"/>
      <w:r>
        <w:rPr>
          <w:i/>
          <w:iCs/>
          <w:sz w:val="24"/>
        </w:rPr>
        <w:t xml:space="preserve"> </w:t>
      </w:r>
      <w:proofErr w:type="spellStart"/>
      <w:r>
        <w:rPr>
          <w:i/>
          <w:iCs/>
          <w:sz w:val="24"/>
        </w:rPr>
        <w:t>Fulvidraco</w:t>
      </w:r>
      <w:proofErr w:type="spellEnd"/>
      <w:r>
        <w:rPr>
          <w:sz w:val="24"/>
        </w:rPr>
        <w:t>)</w:t>
      </w:r>
      <w:r>
        <w:rPr>
          <w:sz w:val="24"/>
        </w:rPr>
        <w:t>原代肝细</w:t>
      </w:r>
      <w:r>
        <w:rPr>
          <w:sz w:val="24"/>
        </w:rPr>
        <w:t xml:space="preserve"> </w:t>
      </w:r>
      <w:r>
        <w:rPr>
          <w:sz w:val="24"/>
        </w:rPr>
        <w:t>胞的研究表明，棕榈酸</w:t>
      </w:r>
      <w:r>
        <w:rPr>
          <w:sz w:val="24"/>
        </w:rPr>
        <w:t>(PA)</w:t>
      </w:r>
      <w:r>
        <w:rPr>
          <w:sz w:val="24"/>
        </w:rPr>
        <w:t>和油酸</w:t>
      </w:r>
      <w:r>
        <w:rPr>
          <w:sz w:val="24"/>
        </w:rPr>
        <w:t>(OA)</w:t>
      </w:r>
      <w:r>
        <w:rPr>
          <w:sz w:val="24"/>
        </w:rPr>
        <w:t>倾向于下调</w:t>
      </w:r>
      <w:r>
        <w:rPr>
          <w:sz w:val="24"/>
        </w:rPr>
        <w:t xml:space="preserve"> FATP4</w:t>
      </w:r>
      <w:r>
        <w:rPr>
          <w:sz w:val="24"/>
        </w:rPr>
        <w:t>的表达</w:t>
      </w:r>
      <w:r>
        <w:rPr>
          <w:rFonts w:hint="eastAsia"/>
          <w:sz w:val="24"/>
          <w:vertAlign w:val="superscript"/>
        </w:rPr>
        <w:t>[</w:t>
      </w:r>
      <w:r>
        <w:rPr>
          <w:sz w:val="24"/>
          <w:vertAlign w:val="superscript"/>
        </w:rPr>
        <w:t>46]</w:t>
      </w:r>
      <w:r>
        <w:rPr>
          <w:sz w:val="24"/>
        </w:rPr>
        <w:t>。在雌性斑马鱼发育卵</w:t>
      </w:r>
      <w:r>
        <w:rPr>
          <w:sz w:val="24"/>
        </w:rPr>
        <w:lastRenderedPageBreak/>
        <w:t>巢和金鲳鱼</w:t>
      </w:r>
      <w:r>
        <w:rPr>
          <w:sz w:val="24"/>
        </w:rPr>
        <w:t>(</w:t>
      </w:r>
      <w:proofErr w:type="spellStart"/>
      <w:r>
        <w:rPr>
          <w:i/>
          <w:iCs/>
          <w:sz w:val="24"/>
        </w:rPr>
        <w:t>Trachinotus</w:t>
      </w:r>
      <w:proofErr w:type="spellEnd"/>
      <w:r>
        <w:rPr>
          <w:i/>
          <w:iCs/>
          <w:sz w:val="24"/>
        </w:rPr>
        <w:t xml:space="preserve"> </w:t>
      </w:r>
      <w:proofErr w:type="spellStart"/>
      <w:r>
        <w:rPr>
          <w:i/>
          <w:iCs/>
          <w:sz w:val="24"/>
        </w:rPr>
        <w:t>ovatus</w:t>
      </w:r>
      <w:proofErr w:type="spellEnd"/>
      <w:r>
        <w:rPr>
          <w:sz w:val="24"/>
        </w:rPr>
        <w:t>)</w:t>
      </w:r>
      <w:r>
        <w:rPr>
          <w:sz w:val="24"/>
        </w:rPr>
        <w:t>肝脏中，</w:t>
      </w:r>
      <w:r>
        <w:rPr>
          <w:sz w:val="24"/>
        </w:rPr>
        <w:t>LC-PUFA</w:t>
      </w:r>
      <w:r>
        <w:rPr>
          <w:sz w:val="24"/>
        </w:rPr>
        <w:t>分别上调</w:t>
      </w:r>
      <w:r>
        <w:rPr>
          <w:sz w:val="24"/>
        </w:rPr>
        <w:t xml:space="preserve"> FATP4 </w:t>
      </w:r>
      <w:r>
        <w:rPr>
          <w:sz w:val="24"/>
        </w:rPr>
        <w:t>和</w:t>
      </w:r>
      <w:r>
        <w:rPr>
          <w:sz w:val="24"/>
        </w:rPr>
        <w:t xml:space="preserve"> FATP6 </w:t>
      </w:r>
      <w:r>
        <w:rPr>
          <w:sz w:val="24"/>
        </w:rPr>
        <w:t>的表达</w:t>
      </w:r>
      <w:r>
        <w:rPr>
          <w:rFonts w:hint="eastAsia"/>
          <w:sz w:val="24"/>
          <w:vertAlign w:val="superscript"/>
        </w:rPr>
        <w:t>[</w:t>
      </w:r>
      <w:r>
        <w:rPr>
          <w:sz w:val="24"/>
          <w:vertAlign w:val="superscript"/>
        </w:rPr>
        <w:t>47-48]</w:t>
      </w:r>
      <w:r>
        <w:rPr>
          <w:sz w:val="24"/>
        </w:rPr>
        <w:t>。</w:t>
      </w:r>
      <w:r>
        <w:rPr>
          <w:sz w:val="24"/>
        </w:rPr>
        <w:t xml:space="preserve">FATP </w:t>
      </w:r>
      <w:r>
        <w:rPr>
          <w:sz w:val="24"/>
        </w:rPr>
        <w:t>表达对饲料的复杂反应也可能与每个</w:t>
      </w:r>
      <w:r>
        <w:rPr>
          <w:sz w:val="24"/>
        </w:rPr>
        <w:t xml:space="preserve"> FATP </w:t>
      </w:r>
      <w:r>
        <w:rPr>
          <w:sz w:val="24"/>
        </w:rPr>
        <w:t>都有特定的配体和亲和力有关。此外，膜</w:t>
      </w:r>
      <w:r>
        <w:rPr>
          <w:sz w:val="24"/>
        </w:rPr>
        <w:t xml:space="preserve"> FATP </w:t>
      </w:r>
      <w:r>
        <w:rPr>
          <w:sz w:val="24"/>
        </w:rPr>
        <w:t>作为代谢活动变化的复杂反应也有很大关系</w:t>
      </w:r>
      <w:r>
        <w:rPr>
          <w:rFonts w:hint="eastAsia"/>
          <w:sz w:val="24"/>
          <w:vertAlign w:val="superscript"/>
        </w:rPr>
        <w:t>[</w:t>
      </w:r>
      <w:r>
        <w:rPr>
          <w:sz w:val="24"/>
          <w:vertAlign w:val="superscript"/>
        </w:rPr>
        <w:t>49]</w:t>
      </w:r>
      <w:r>
        <w:rPr>
          <w:sz w:val="24"/>
        </w:rPr>
        <w:t>。当然，本试验中，因为饲料脂肪水平的上升伴随着饲料中</w:t>
      </w:r>
      <w:r>
        <w:rPr>
          <w:sz w:val="24"/>
        </w:rPr>
        <w:t>α</w:t>
      </w:r>
      <w:r>
        <w:rPr>
          <w:sz w:val="24"/>
        </w:rPr>
        <w:t>－淀粉含量的下降，因此，虽然尚未有研究阐述淀粉对</w:t>
      </w:r>
      <w:r>
        <w:rPr>
          <w:sz w:val="24"/>
        </w:rPr>
        <w:t xml:space="preserve"> FATP </w:t>
      </w:r>
      <w:r>
        <w:rPr>
          <w:sz w:val="24"/>
        </w:rPr>
        <w:t>表达的影响，但是这个影响因素也值得关注。</w:t>
      </w:r>
    </w:p>
    <w:p w14:paraId="172A25C2" w14:textId="77777777" w:rsidR="006D73E5" w:rsidRDefault="00000000">
      <w:pPr>
        <w:spacing w:line="360" w:lineRule="auto"/>
        <w:rPr>
          <w:sz w:val="24"/>
        </w:rPr>
      </w:pPr>
      <w:r>
        <w:rPr>
          <w:sz w:val="24"/>
        </w:rPr>
        <w:t xml:space="preserve">3.4  </w:t>
      </w:r>
      <w:r>
        <w:rPr>
          <w:sz w:val="24"/>
        </w:rPr>
        <w:t>饥饿时间对大菱鲆和红鳍东方鲀肝脏</w:t>
      </w:r>
      <w:r>
        <w:rPr>
          <w:sz w:val="24"/>
        </w:rPr>
        <w:t xml:space="preserve"> FATP m</w:t>
      </w:r>
      <w:r>
        <w:rPr>
          <w:rFonts w:hint="eastAsia"/>
          <w:sz w:val="24"/>
        </w:rPr>
        <w:t>R</w:t>
      </w:r>
      <w:r>
        <w:rPr>
          <w:sz w:val="24"/>
        </w:rPr>
        <w:t>NA</w:t>
      </w:r>
      <w:r>
        <w:rPr>
          <w:sz w:val="24"/>
        </w:rPr>
        <w:t>表达的影响</w:t>
      </w:r>
    </w:p>
    <w:p w14:paraId="46F73A2D" w14:textId="77777777" w:rsidR="006D73E5" w:rsidRDefault="00000000">
      <w:pPr>
        <w:spacing w:line="360" w:lineRule="auto"/>
        <w:ind w:firstLineChars="200" w:firstLine="480"/>
        <w:rPr>
          <w:sz w:val="24"/>
        </w:rPr>
      </w:pPr>
      <w:r>
        <w:rPr>
          <w:sz w:val="24"/>
        </w:rPr>
        <w:t>在脂肪酸被靶向</w:t>
      </w:r>
      <w:r>
        <w:rPr>
          <w:sz w:val="24"/>
        </w:rPr>
        <w:t>β</w:t>
      </w:r>
      <w:r>
        <w:rPr>
          <w:sz w:val="24"/>
        </w:rPr>
        <w:t>－氧化的组织中，需要</w:t>
      </w:r>
      <w:r>
        <w:rPr>
          <w:sz w:val="24"/>
        </w:rPr>
        <w:t xml:space="preserve"> FATP </w:t>
      </w:r>
      <w:r>
        <w:rPr>
          <w:sz w:val="24"/>
        </w:rPr>
        <w:t>来促进脂肪酸的摄取和沉积</w:t>
      </w:r>
      <w:r>
        <w:rPr>
          <w:rFonts w:hint="eastAsia"/>
          <w:sz w:val="24"/>
          <w:vertAlign w:val="superscript"/>
        </w:rPr>
        <w:t>[</w:t>
      </w:r>
      <w:r>
        <w:rPr>
          <w:sz w:val="24"/>
          <w:vertAlign w:val="superscript"/>
        </w:rPr>
        <w:t>50-51]</w:t>
      </w:r>
      <w:r>
        <w:rPr>
          <w:sz w:val="24"/>
        </w:rPr>
        <w:t>。本试验中肝脏相关</w:t>
      </w:r>
      <w:r>
        <w:rPr>
          <w:sz w:val="24"/>
        </w:rPr>
        <w:t xml:space="preserve"> FATP </w:t>
      </w:r>
      <w:r>
        <w:rPr>
          <w:sz w:val="24"/>
        </w:rPr>
        <w:t>表达结果说明大菱鲆和红鳍东方鲀的肝脏是脂肪酸</w:t>
      </w:r>
      <w:r>
        <w:rPr>
          <w:sz w:val="24"/>
        </w:rPr>
        <w:t>β</w:t>
      </w:r>
      <w:r>
        <w:rPr>
          <w:sz w:val="24"/>
        </w:rPr>
        <w:t>－氧化的重要部位。饥饿对</w:t>
      </w:r>
      <w:r>
        <w:rPr>
          <w:sz w:val="24"/>
        </w:rPr>
        <w:t xml:space="preserve"> FATP </w:t>
      </w:r>
      <w:r>
        <w:rPr>
          <w:sz w:val="24"/>
        </w:rPr>
        <w:t>表达的刺激在其他物种中也有观察到。斑马鱼肝脏</w:t>
      </w:r>
      <w:r>
        <w:rPr>
          <w:sz w:val="24"/>
        </w:rPr>
        <w:t xml:space="preserve"> FATP1a</w:t>
      </w:r>
      <w:r>
        <w:rPr>
          <w:sz w:val="24"/>
        </w:rPr>
        <w:t>，肠道</w:t>
      </w:r>
      <w:r>
        <w:rPr>
          <w:sz w:val="24"/>
        </w:rPr>
        <w:t>FATP4</w:t>
      </w:r>
      <w:r>
        <w:rPr>
          <w:sz w:val="24"/>
        </w:rPr>
        <w:t>和</w:t>
      </w:r>
      <w:r>
        <w:rPr>
          <w:sz w:val="24"/>
        </w:rPr>
        <w:t>FATP6</w:t>
      </w:r>
      <w:r>
        <w:rPr>
          <w:sz w:val="24"/>
        </w:rPr>
        <w:t>以及肌肉</w:t>
      </w:r>
      <w:r>
        <w:rPr>
          <w:sz w:val="24"/>
        </w:rPr>
        <w:t xml:space="preserve"> FATP1b</w:t>
      </w:r>
      <w:r>
        <w:rPr>
          <w:sz w:val="24"/>
        </w:rPr>
        <w:t>、</w:t>
      </w:r>
      <w:r>
        <w:rPr>
          <w:sz w:val="24"/>
        </w:rPr>
        <w:t xml:space="preserve">FATP4 </w:t>
      </w:r>
      <w:r>
        <w:rPr>
          <w:sz w:val="24"/>
        </w:rPr>
        <w:t>和</w:t>
      </w:r>
      <w:r>
        <w:rPr>
          <w:sz w:val="24"/>
        </w:rPr>
        <w:t xml:space="preserve"> FATP6 </w:t>
      </w:r>
      <w:r>
        <w:rPr>
          <w:sz w:val="24"/>
        </w:rPr>
        <w:t>的表达在饥饿条件下显著上调</w:t>
      </w:r>
      <w:r>
        <w:rPr>
          <w:rFonts w:hint="eastAsia"/>
          <w:sz w:val="24"/>
          <w:vertAlign w:val="superscript"/>
        </w:rPr>
        <w:t>[</w:t>
      </w:r>
      <w:r>
        <w:rPr>
          <w:sz w:val="24"/>
          <w:vertAlign w:val="superscript"/>
        </w:rPr>
        <w:t>40]</w:t>
      </w:r>
      <w:r>
        <w:rPr>
          <w:sz w:val="24"/>
        </w:rPr>
        <w:t>。在银鲳</w:t>
      </w:r>
      <w:r>
        <w:rPr>
          <w:sz w:val="24"/>
        </w:rPr>
        <w:t>(</w:t>
      </w:r>
      <w:proofErr w:type="spellStart"/>
      <w:r>
        <w:rPr>
          <w:i/>
          <w:iCs/>
          <w:sz w:val="24"/>
        </w:rPr>
        <w:t>Pampus</w:t>
      </w:r>
      <w:proofErr w:type="spellEnd"/>
      <w:r>
        <w:rPr>
          <w:i/>
          <w:iCs/>
          <w:sz w:val="24"/>
        </w:rPr>
        <w:t xml:space="preserve"> </w:t>
      </w:r>
      <w:proofErr w:type="spellStart"/>
      <w:r>
        <w:rPr>
          <w:i/>
          <w:iCs/>
          <w:sz w:val="24"/>
        </w:rPr>
        <w:t>argteus</w:t>
      </w:r>
      <w:proofErr w:type="spellEnd"/>
      <w:r>
        <w:rPr>
          <w:sz w:val="24"/>
        </w:rPr>
        <w:t xml:space="preserve">) </w:t>
      </w:r>
      <w:r>
        <w:rPr>
          <w:sz w:val="24"/>
        </w:rPr>
        <w:t>幼鱼中，即使是短期</w:t>
      </w:r>
      <w:r>
        <w:rPr>
          <w:sz w:val="24"/>
        </w:rPr>
        <w:t>(</w:t>
      </w:r>
      <w:r>
        <w:rPr>
          <w:sz w:val="24"/>
        </w:rPr>
        <w:t>＜</w:t>
      </w:r>
      <w:r>
        <w:rPr>
          <w:sz w:val="24"/>
        </w:rPr>
        <w:t>6 d)</w:t>
      </w:r>
      <w:r>
        <w:rPr>
          <w:sz w:val="24"/>
        </w:rPr>
        <w:t>的饥饿也会上调肝脏中</w:t>
      </w:r>
      <w:r>
        <w:rPr>
          <w:sz w:val="24"/>
        </w:rPr>
        <w:t>FATP1</w:t>
      </w:r>
      <w:r>
        <w:rPr>
          <w:sz w:val="24"/>
        </w:rPr>
        <w:t>的表达</w:t>
      </w:r>
      <w:r>
        <w:rPr>
          <w:rFonts w:hint="eastAsia"/>
          <w:sz w:val="24"/>
          <w:vertAlign w:val="superscript"/>
        </w:rPr>
        <w:t>[</w:t>
      </w:r>
      <w:r>
        <w:rPr>
          <w:sz w:val="24"/>
          <w:vertAlign w:val="superscript"/>
        </w:rPr>
        <w:t>52]</w:t>
      </w:r>
      <w:r>
        <w:rPr>
          <w:sz w:val="24"/>
        </w:rPr>
        <w:t>。另一项对虹鳟</w:t>
      </w:r>
      <w:r>
        <w:rPr>
          <w:sz w:val="24"/>
        </w:rPr>
        <w:t>(</w:t>
      </w:r>
      <w:r>
        <w:rPr>
          <w:i/>
          <w:iCs/>
          <w:sz w:val="24"/>
        </w:rPr>
        <w:t>Oncorhynchus mykiss</w:t>
      </w:r>
      <w:r>
        <w:rPr>
          <w:sz w:val="24"/>
        </w:rPr>
        <w:t>)</w:t>
      </w:r>
      <w:r>
        <w:rPr>
          <w:sz w:val="24"/>
        </w:rPr>
        <w:t>的研究表明，禁食</w:t>
      </w:r>
      <w:r>
        <w:rPr>
          <w:sz w:val="24"/>
        </w:rPr>
        <w:t>( 15</w:t>
      </w:r>
      <w:r>
        <w:rPr>
          <w:sz w:val="24"/>
        </w:rPr>
        <w:t>、</w:t>
      </w:r>
      <w:r>
        <w:rPr>
          <w:sz w:val="24"/>
        </w:rPr>
        <w:t>25</w:t>
      </w:r>
      <w:r>
        <w:rPr>
          <w:sz w:val="24"/>
        </w:rPr>
        <w:t>和</w:t>
      </w:r>
      <w:r>
        <w:rPr>
          <w:sz w:val="24"/>
        </w:rPr>
        <w:t>35 d)</w:t>
      </w:r>
      <w:r>
        <w:rPr>
          <w:sz w:val="24"/>
        </w:rPr>
        <w:t>增加了白肌、红肌和脂肪组织中</w:t>
      </w:r>
      <w:r>
        <w:rPr>
          <w:sz w:val="24"/>
        </w:rPr>
        <w:t>FATP1</w:t>
      </w:r>
      <w:r>
        <w:rPr>
          <w:sz w:val="24"/>
        </w:rPr>
        <w:t>的</w:t>
      </w:r>
      <w:r>
        <w:rPr>
          <w:sz w:val="24"/>
        </w:rPr>
        <w:t xml:space="preserve"> m</w:t>
      </w:r>
      <w:r>
        <w:rPr>
          <w:rFonts w:hint="eastAsia"/>
          <w:sz w:val="24"/>
        </w:rPr>
        <w:t>R</w:t>
      </w:r>
      <w:r>
        <w:rPr>
          <w:sz w:val="24"/>
        </w:rPr>
        <w:t>NA</w:t>
      </w:r>
      <w:r>
        <w:rPr>
          <w:sz w:val="24"/>
        </w:rPr>
        <w:t>相对表达量</w:t>
      </w:r>
      <w:r>
        <w:rPr>
          <w:rFonts w:hint="eastAsia"/>
          <w:sz w:val="24"/>
          <w:vertAlign w:val="superscript"/>
        </w:rPr>
        <w:t>[</w:t>
      </w:r>
      <w:r>
        <w:rPr>
          <w:sz w:val="24"/>
          <w:vertAlign w:val="superscript"/>
        </w:rPr>
        <w:t>53]</w:t>
      </w:r>
      <w:r>
        <w:rPr>
          <w:sz w:val="24"/>
        </w:rPr>
        <w:t>。然而，在大西洋鲑鱼中，禁食</w:t>
      </w:r>
      <w:r>
        <w:rPr>
          <w:sz w:val="24"/>
        </w:rPr>
        <w:t xml:space="preserve"> 2 </w:t>
      </w:r>
      <w:r>
        <w:rPr>
          <w:sz w:val="24"/>
        </w:rPr>
        <w:t>周后，脂肪组织中</w:t>
      </w:r>
      <w:r>
        <w:rPr>
          <w:sz w:val="24"/>
        </w:rPr>
        <w:t xml:space="preserve"> FATP1 </w:t>
      </w:r>
      <w:r>
        <w:rPr>
          <w:sz w:val="24"/>
        </w:rPr>
        <w:t>的</w:t>
      </w:r>
      <w:r>
        <w:rPr>
          <w:sz w:val="24"/>
        </w:rPr>
        <w:t xml:space="preserve"> m</w:t>
      </w:r>
      <w:r>
        <w:rPr>
          <w:rFonts w:hint="eastAsia"/>
          <w:sz w:val="24"/>
        </w:rPr>
        <w:t>R</w:t>
      </w:r>
      <w:r>
        <w:rPr>
          <w:sz w:val="24"/>
        </w:rPr>
        <w:t>NA</w:t>
      </w:r>
      <w:r>
        <w:rPr>
          <w:sz w:val="24"/>
        </w:rPr>
        <w:t>相对表达量减少，表明脂肪酸摄取和沉积减少</w:t>
      </w:r>
      <w:r>
        <w:rPr>
          <w:rFonts w:hint="eastAsia"/>
          <w:sz w:val="24"/>
          <w:vertAlign w:val="superscript"/>
        </w:rPr>
        <w:t>[</w:t>
      </w:r>
      <w:r>
        <w:rPr>
          <w:sz w:val="24"/>
          <w:vertAlign w:val="superscript"/>
        </w:rPr>
        <w:t>54]</w:t>
      </w:r>
      <w:r>
        <w:rPr>
          <w:sz w:val="24"/>
        </w:rPr>
        <w:t>。不同研究中</w:t>
      </w:r>
      <w:r>
        <w:rPr>
          <w:sz w:val="24"/>
        </w:rPr>
        <w:t xml:space="preserve"> FATP1 </w:t>
      </w:r>
      <w:r>
        <w:rPr>
          <w:sz w:val="24"/>
        </w:rPr>
        <w:t>对饥饿的不同反应可能是由于不同物种和组织间的</w:t>
      </w:r>
      <w:r>
        <w:rPr>
          <w:sz w:val="24"/>
        </w:rPr>
        <w:t xml:space="preserve"> FATP </w:t>
      </w:r>
      <w:r>
        <w:rPr>
          <w:sz w:val="24"/>
        </w:rPr>
        <w:t>功能多样化所致。例如，增加小鼠骨骼肌</w:t>
      </w:r>
      <w:r>
        <w:rPr>
          <w:sz w:val="24"/>
        </w:rPr>
        <w:t xml:space="preserve"> FATP1 </w:t>
      </w:r>
      <w:r>
        <w:rPr>
          <w:sz w:val="24"/>
        </w:rPr>
        <w:t>表达的目标是氧化脂肪酸，但鱼类组织的情况可能不同</w:t>
      </w:r>
      <w:r>
        <w:rPr>
          <w:rFonts w:hint="eastAsia"/>
          <w:sz w:val="24"/>
          <w:vertAlign w:val="superscript"/>
        </w:rPr>
        <w:t>[</w:t>
      </w:r>
      <w:r>
        <w:rPr>
          <w:sz w:val="24"/>
          <w:vertAlign w:val="superscript"/>
        </w:rPr>
        <w:t>50]</w:t>
      </w:r>
      <w:r>
        <w:rPr>
          <w:sz w:val="24"/>
        </w:rPr>
        <w:t>。令人遗憾的是，本研究没有包括其他</w:t>
      </w:r>
      <w:r>
        <w:rPr>
          <w:sz w:val="24"/>
        </w:rPr>
        <w:t xml:space="preserve"> FATP </w:t>
      </w:r>
      <w:r>
        <w:rPr>
          <w:sz w:val="24"/>
        </w:rPr>
        <w:t>亚型，即</w:t>
      </w:r>
      <w:r>
        <w:rPr>
          <w:sz w:val="24"/>
        </w:rPr>
        <w:t xml:space="preserve"> FATP2</w:t>
      </w:r>
      <w:r>
        <w:rPr>
          <w:sz w:val="24"/>
        </w:rPr>
        <w:t>、</w:t>
      </w:r>
      <w:r>
        <w:rPr>
          <w:sz w:val="24"/>
        </w:rPr>
        <w:t xml:space="preserve">FATP3 </w:t>
      </w:r>
      <w:r>
        <w:rPr>
          <w:sz w:val="24"/>
        </w:rPr>
        <w:t>和</w:t>
      </w:r>
      <w:r>
        <w:rPr>
          <w:sz w:val="24"/>
        </w:rPr>
        <w:t xml:space="preserve"> FATP5</w:t>
      </w:r>
      <w:r>
        <w:rPr>
          <w:sz w:val="24"/>
        </w:rPr>
        <w:t>。未来的研究需要致力于这些</w:t>
      </w:r>
      <w:r>
        <w:rPr>
          <w:sz w:val="24"/>
        </w:rPr>
        <w:t xml:space="preserve"> FATP </w:t>
      </w:r>
      <w:r>
        <w:rPr>
          <w:sz w:val="24"/>
        </w:rPr>
        <w:t>亚型在鱼体中的特征研究。</w:t>
      </w:r>
    </w:p>
    <w:p w14:paraId="157F9AC1" w14:textId="77777777" w:rsidR="006D73E5" w:rsidRDefault="00000000">
      <w:pPr>
        <w:spacing w:line="360" w:lineRule="auto"/>
        <w:rPr>
          <w:sz w:val="24"/>
        </w:rPr>
      </w:pPr>
      <w:r>
        <w:rPr>
          <w:sz w:val="24"/>
        </w:rPr>
        <w:t xml:space="preserve">4  </w:t>
      </w:r>
      <w:r>
        <w:rPr>
          <w:sz w:val="24"/>
        </w:rPr>
        <w:t>结论</w:t>
      </w:r>
    </w:p>
    <w:p w14:paraId="5B609FC0" w14:textId="77777777" w:rsidR="006D73E5" w:rsidRDefault="00000000">
      <w:pPr>
        <w:spacing w:line="360" w:lineRule="auto"/>
        <w:ind w:firstLineChars="200" w:firstLine="480"/>
        <w:rPr>
          <w:sz w:val="24"/>
        </w:rPr>
      </w:pPr>
      <w:r>
        <w:rPr>
          <w:rFonts w:ascii="宋体" w:hAnsi="宋体" w:cs="宋体" w:hint="eastAsia"/>
          <w:sz w:val="24"/>
        </w:rPr>
        <w:t>①</w:t>
      </w:r>
      <w:r>
        <w:rPr>
          <w:sz w:val="24"/>
        </w:rPr>
        <w:t xml:space="preserve"> </w:t>
      </w:r>
      <w:r>
        <w:rPr>
          <w:sz w:val="24"/>
        </w:rPr>
        <w:t>大菱鲆和红鳍东方鲀</w:t>
      </w:r>
      <w:r>
        <w:rPr>
          <w:sz w:val="24"/>
        </w:rPr>
        <w:t xml:space="preserve"> FATP </w:t>
      </w:r>
      <w:r>
        <w:rPr>
          <w:sz w:val="24"/>
        </w:rPr>
        <w:t>表达的组织分布模式不同，但</w:t>
      </w:r>
      <w:r>
        <w:rPr>
          <w:sz w:val="24"/>
        </w:rPr>
        <w:t xml:space="preserve"> FATP </w:t>
      </w:r>
      <w:r>
        <w:rPr>
          <w:sz w:val="24"/>
        </w:rPr>
        <w:t>表达对饲料脂肪水平和饥饿时间的响应相似。</w:t>
      </w:r>
    </w:p>
    <w:p w14:paraId="24DD6716" w14:textId="77777777" w:rsidR="006D73E5" w:rsidRDefault="00000000">
      <w:pPr>
        <w:spacing w:line="360" w:lineRule="auto"/>
        <w:ind w:firstLineChars="200" w:firstLine="480"/>
        <w:rPr>
          <w:sz w:val="24"/>
        </w:rPr>
      </w:pPr>
      <w:r>
        <w:rPr>
          <w:rFonts w:ascii="宋体" w:hAnsi="宋体" w:cs="宋体" w:hint="eastAsia"/>
          <w:sz w:val="24"/>
        </w:rPr>
        <w:t>②</w:t>
      </w:r>
      <w:r>
        <w:rPr>
          <w:sz w:val="24"/>
        </w:rPr>
        <w:t xml:space="preserve"> </w:t>
      </w:r>
      <w:r>
        <w:rPr>
          <w:sz w:val="24"/>
        </w:rPr>
        <w:t>大菱鲆</w:t>
      </w:r>
      <w:r>
        <w:rPr>
          <w:sz w:val="24"/>
        </w:rPr>
        <w:t xml:space="preserve"> FATP1 </w:t>
      </w:r>
      <w:r>
        <w:rPr>
          <w:sz w:val="24"/>
        </w:rPr>
        <w:t>在大脑、心脏、眼睛和肾脏中高表达，而红鳍东方鲀</w:t>
      </w:r>
      <w:r>
        <w:rPr>
          <w:sz w:val="24"/>
        </w:rPr>
        <w:t xml:space="preserve"> FATP1 </w:t>
      </w:r>
      <w:r>
        <w:rPr>
          <w:sz w:val="24"/>
        </w:rPr>
        <w:t>在肝脏中高表达。大菱鲆</w:t>
      </w:r>
      <w:r>
        <w:rPr>
          <w:sz w:val="24"/>
        </w:rPr>
        <w:t xml:space="preserve"> FATP6 </w:t>
      </w:r>
      <w:r>
        <w:rPr>
          <w:sz w:val="24"/>
        </w:rPr>
        <w:t>在幽门盲肠和前肠中高表达，而红鳍东方鲀</w:t>
      </w:r>
      <w:r>
        <w:rPr>
          <w:sz w:val="24"/>
        </w:rPr>
        <w:t xml:space="preserve"> FATP6 </w:t>
      </w:r>
      <w:r>
        <w:rPr>
          <w:sz w:val="24"/>
        </w:rPr>
        <w:t>仅在肝脏中高表达。</w:t>
      </w:r>
    </w:p>
    <w:p w14:paraId="5CC884C4" w14:textId="77777777" w:rsidR="006D73E5" w:rsidRDefault="00000000">
      <w:pPr>
        <w:spacing w:line="360" w:lineRule="auto"/>
        <w:ind w:firstLineChars="200" w:firstLine="480"/>
        <w:rPr>
          <w:sz w:val="24"/>
        </w:rPr>
      </w:pPr>
      <w:r>
        <w:rPr>
          <w:rFonts w:ascii="宋体" w:hAnsi="宋体" w:cs="宋体" w:hint="eastAsia"/>
          <w:sz w:val="24"/>
        </w:rPr>
        <w:t>③</w:t>
      </w:r>
      <w:r>
        <w:rPr>
          <w:sz w:val="24"/>
        </w:rPr>
        <w:t xml:space="preserve"> </w:t>
      </w:r>
      <w:r>
        <w:rPr>
          <w:sz w:val="24"/>
        </w:rPr>
        <w:t>在大菱鲆和红鳍东方鲀中，饲料脂肪水平对肝脏</w:t>
      </w:r>
      <w:r>
        <w:rPr>
          <w:sz w:val="24"/>
        </w:rPr>
        <w:t xml:space="preserve"> FATP </w:t>
      </w:r>
      <w:r>
        <w:rPr>
          <w:sz w:val="24"/>
        </w:rPr>
        <w:t>的表达均无显著影响。饥饿可上调红鳍东方鲀肝脏</w:t>
      </w:r>
      <w:r>
        <w:rPr>
          <w:sz w:val="24"/>
        </w:rPr>
        <w:t xml:space="preserve"> FATP1</w:t>
      </w:r>
      <w:r>
        <w:rPr>
          <w:sz w:val="24"/>
        </w:rPr>
        <w:t>、</w:t>
      </w:r>
      <w:r>
        <w:rPr>
          <w:sz w:val="24"/>
        </w:rPr>
        <w:t xml:space="preserve">FATP4 </w:t>
      </w:r>
      <w:r>
        <w:rPr>
          <w:sz w:val="24"/>
        </w:rPr>
        <w:t>和</w:t>
      </w:r>
      <w:r>
        <w:rPr>
          <w:sz w:val="24"/>
        </w:rPr>
        <w:t xml:space="preserve"> FATP6 </w:t>
      </w:r>
      <w:r>
        <w:rPr>
          <w:sz w:val="24"/>
        </w:rPr>
        <w:t>以及大菱鲆肝脏</w:t>
      </w:r>
      <w:r>
        <w:rPr>
          <w:sz w:val="24"/>
        </w:rPr>
        <w:t xml:space="preserve"> FATP1</w:t>
      </w:r>
      <w:r>
        <w:rPr>
          <w:sz w:val="24"/>
        </w:rPr>
        <w:t>的表达。</w:t>
      </w:r>
    </w:p>
    <w:p w14:paraId="139A41E0" w14:textId="77777777" w:rsidR="006D73E5" w:rsidRDefault="00000000">
      <w:pPr>
        <w:spacing w:line="360" w:lineRule="auto"/>
        <w:rPr>
          <w:sz w:val="24"/>
        </w:rPr>
      </w:pPr>
      <w:r>
        <w:rPr>
          <w:rFonts w:hint="eastAsia"/>
          <w:sz w:val="24"/>
        </w:rPr>
        <w:t>参考文献：略</w:t>
      </w:r>
    </w:p>
    <w:p w14:paraId="1FDDECB8" w14:textId="77777777" w:rsidR="006D73E5" w:rsidRDefault="00000000">
      <w:pPr>
        <w:spacing w:line="360" w:lineRule="auto"/>
        <w:ind w:right="840" w:firstLineChars="800" w:firstLine="1680"/>
        <w:jc w:val="right"/>
        <w:rPr>
          <w:szCs w:val="21"/>
        </w:rPr>
      </w:pPr>
      <w:r>
        <w:rPr>
          <w:rFonts w:hint="eastAsia"/>
          <w:szCs w:val="21"/>
        </w:rPr>
        <w:t>原文刊登在《动物营养学报》，</w:t>
      </w:r>
      <w:r>
        <w:rPr>
          <w:szCs w:val="21"/>
        </w:rPr>
        <w:t>网络首发时间：</w:t>
      </w:r>
      <w:r>
        <w:rPr>
          <w:szCs w:val="21"/>
        </w:rPr>
        <w:t>2022-08-17 09:01:04</w:t>
      </w:r>
    </w:p>
    <w:p w14:paraId="1FCF071E" w14:textId="77777777" w:rsidR="006D73E5" w:rsidRDefault="006D73E5">
      <w:pPr>
        <w:spacing w:line="360" w:lineRule="auto"/>
        <w:ind w:right="840" w:firstLineChars="800" w:firstLine="1680"/>
        <w:jc w:val="right"/>
        <w:rPr>
          <w:szCs w:val="21"/>
        </w:rPr>
      </w:pPr>
    </w:p>
    <w:p w14:paraId="6450CD2F" w14:textId="77777777" w:rsidR="006D73E5" w:rsidRPr="00971756" w:rsidRDefault="00000000">
      <w:pPr>
        <w:spacing w:line="276" w:lineRule="auto"/>
        <w:jc w:val="left"/>
        <w:outlineLvl w:val="0"/>
        <w:rPr>
          <w:rFonts w:eastAsia="黑体"/>
          <w:b/>
          <w:bCs/>
          <w:sz w:val="32"/>
          <w:szCs w:val="32"/>
          <w:bdr w:val="single" w:sz="4" w:space="0" w:color="auto"/>
        </w:rPr>
      </w:pPr>
      <w:bookmarkStart w:id="28" w:name="_Toc114077819"/>
      <w:bookmarkEnd w:id="24"/>
      <w:r w:rsidRPr="00971756">
        <w:rPr>
          <w:rFonts w:eastAsia="黑体" w:hint="eastAsia"/>
          <w:b/>
          <w:bCs/>
          <w:sz w:val="32"/>
          <w:szCs w:val="32"/>
          <w:bdr w:val="single" w:sz="4" w:space="0" w:color="auto"/>
        </w:rPr>
        <w:lastRenderedPageBreak/>
        <w:t>科学研究</w:t>
      </w:r>
      <w:bookmarkEnd w:id="28"/>
    </w:p>
    <w:p w14:paraId="0ADC6243" w14:textId="77777777" w:rsidR="006D73E5" w:rsidRDefault="00000000">
      <w:pPr>
        <w:jc w:val="center"/>
        <w:outlineLvl w:val="1"/>
        <w:rPr>
          <w:rFonts w:eastAsia="黑体"/>
          <w:b/>
          <w:bCs/>
          <w:sz w:val="32"/>
          <w:szCs w:val="32"/>
        </w:rPr>
      </w:pPr>
      <w:bookmarkStart w:id="29" w:name="_Toc114077820"/>
      <w:r>
        <w:rPr>
          <w:rFonts w:eastAsia="黑体"/>
          <w:b/>
          <w:bCs/>
          <w:sz w:val="32"/>
          <w:szCs w:val="32"/>
        </w:rPr>
        <w:t>胍基乙酸对斑点叉尾鮰生长、肝脏抗氧化和肌肉能量代谢的影响</w:t>
      </w:r>
      <w:bookmarkEnd w:id="29"/>
    </w:p>
    <w:p w14:paraId="43B2642E" w14:textId="77777777" w:rsidR="006D73E5" w:rsidRDefault="00000000">
      <w:pPr>
        <w:jc w:val="center"/>
        <w:rPr>
          <w:szCs w:val="22"/>
        </w:rPr>
      </w:pPr>
      <w:r>
        <w:rPr>
          <w:szCs w:val="22"/>
        </w:rPr>
        <w:t>于海罗</w:t>
      </w:r>
      <w:r>
        <w:rPr>
          <w:szCs w:val="22"/>
          <w:vertAlign w:val="superscript"/>
        </w:rPr>
        <w:t>1,2</w:t>
      </w:r>
      <w:r>
        <w:rPr>
          <w:szCs w:val="22"/>
        </w:rPr>
        <w:t>，肖调义</w:t>
      </w:r>
      <w:r>
        <w:rPr>
          <w:szCs w:val="22"/>
          <w:vertAlign w:val="superscript"/>
        </w:rPr>
        <w:t>1</w:t>
      </w:r>
      <w:r>
        <w:rPr>
          <w:szCs w:val="22"/>
        </w:rPr>
        <w:t xml:space="preserve"> </w:t>
      </w:r>
      <w:r>
        <w:rPr>
          <w:szCs w:val="22"/>
        </w:rPr>
        <w:t>，骆艺文</w:t>
      </w:r>
      <w:r>
        <w:rPr>
          <w:szCs w:val="22"/>
          <w:vertAlign w:val="superscript"/>
        </w:rPr>
        <w:t>2</w:t>
      </w:r>
      <w:r>
        <w:rPr>
          <w:szCs w:val="22"/>
        </w:rPr>
        <w:t>，王红权</w:t>
      </w:r>
      <w:r>
        <w:rPr>
          <w:szCs w:val="22"/>
          <w:vertAlign w:val="superscript"/>
        </w:rPr>
        <w:t>1</w:t>
      </w:r>
      <w:r>
        <w:rPr>
          <w:szCs w:val="22"/>
        </w:rPr>
        <w:t>，任为</w:t>
      </w:r>
      <w:r>
        <w:rPr>
          <w:szCs w:val="22"/>
          <w:vertAlign w:val="superscript"/>
        </w:rPr>
        <w:t>2</w:t>
      </w:r>
      <w:r>
        <w:rPr>
          <w:szCs w:val="22"/>
        </w:rPr>
        <w:t>，叶利海</w:t>
      </w:r>
      <w:r>
        <w:rPr>
          <w:szCs w:val="22"/>
          <w:vertAlign w:val="superscript"/>
        </w:rPr>
        <w:t>2</w:t>
      </w:r>
      <w:r>
        <w:rPr>
          <w:szCs w:val="22"/>
        </w:rPr>
        <w:t>，章燕铃</w:t>
      </w:r>
      <w:r>
        <w:rPr>
          <w:szCs w:val="22"/>
          <w:vertAlign w:val="superscript"/>
        </w:rPr>
        <w:t>1</w:t>
      </w:r>
    </w:p>
    <w:p w14:paraId="2DBA0943" w14:textId="77777777" w:rsidR="006D73E5" w:rsidRDefault="00000000">
      <w:pPr>
        <w:jc w:val="center"/>
        <w:rPr>
          <w:szCs w:val="22"/>
        </w:rPr>
      </w:pPr>
      <w:r>
        <w:rPr>
          <w:szCs w:val="22"/>
        </w:rPr>
        <w:t>（</w:t>
      </w:r>
      <w:r>
        <w:rPr>
          <w:szCs w:val="22"/>
        </w:rPr>
        <w:t xml:space="preserve">1. </w:t>
      </w:r>
      <w:r>
        <w:rPr>
          <w:szCs w:val="22"/>
        </w:rPr>
        <w:t>湖南农业大学，湖南省特色水产资源利用工程技术研究中心，湖南</w:t>
      </w:r>
      <w:r>
        <w:rPr>
          <w:szCs w:val="22"/>
        </w:rPr>
        <w:t xml:space="preserve"> </w:t>
      </w:r>
      <w:r>
        <w:rPr>
          <w:szCs w:val="22"/>
        </w:rPr>
        <w:t>长沙</w:t>
      </w:r>
      <w:r>
        <w:rPr>
          <w:szCs w:val="22"/>
        </w:rPr>
        <w:t xml:space="preserve"> 410128</w:t>
      </w:r>
      <w:r>
        <w:rPr>
          <w:szCs w:val="22"/>
        </w:rPr>
        <w:t>；</w:t>
      </w:r>
    </w:p>
    <w:p w14:paraId="55020CEE" w14:textId="77777777" w:rsidR="006D73E5" w:rsidRDefault="00000000">
      <w:pPr>
        <w:jc w:val="center"/>
        <w:rPr>
          <w:szCs w:val="22"/>
        </w:rPr>
      </w:pPr>
      <w:r>
        <w:rPr>
          <w:szCs w:val="22"/>
        </w:rPr>
        <w:t xml:space="preserve">2. </w:t>
      </w:r>
      <w:r>
        <w:rPr>
          <w:szCs w:val="22"/>
        </w:rPr>
        <w:t>武汉正大水产有限公司，湖北</w:t>
      </w:r>
      <w:r>
        <w:rPr>
          <w:szCs w:val="22"/>
        </w:rPr>
        <w:t xml:space="preserve"> </w:t>
      </w:r>
      <w:r>
        <w:rPr>
          <w:szCs w:val="22"/>
        </w:rPr>
        <w:t>武汉</w:t>
      </w:r>
      <w:r>
        <w:rPr>
          <w:szCs w:val="22"/>
        </w:rPr>
        <w:t xml:space="preserve"> 430070b)</w:t>
      </w:r>
    </w:p>
    <w:p w14:paraId="4AB6EC23" w14:textId="77777777" w:rsidR="006D73E5" w:rsidRDefault="00000000">
      <w:pPr>
        <w:rPr>
          <w:szCs w:val="22"/>
        </w:rPr>
      </w:pPr>
      <w:r>
        <w:rPr>
          <w:b/>
          <w:bCs/>
          <w:szCs w:val="22"/>
        </w:rPr>
        <w:t>摘要：</w:t>
      </w:r>
      <w:r>
        <w:rPr>
          <w:szCs w:val="22"/>
        </w:rPr>
        <w:t>为研究饲料中添加胍基乙酸（</w:t>
      </w:r>
      <w:r>
        <w:rPr>
          <w:szCs w:val="22"/>
        </w:rPr>
        <w:t>GAA</w:t>
      </w:r>
      <w:r>
        <w:rPr>
          <w:szCs w:val="22"/>
        </w:rPr>
        <w:t>）对斑点叉尾鮰生长、肝脏抗氧化以及肌肉能量代谢的影响。本实验共设计</w:t>
      </w:r>
      <w:r>
        <w:rPr>
          <w:szCs w:val="22"/>
        </w:rPr>
        <w:t>4</w:t>
      </w:r>
      <w:r>
        <w:rPr>
          <w:szCs w:val="22"/>
        </w:rPr>
        <w:t>个实验组，分别投喂含</w:t>
      </w:r>
      <w:r>
        <w:rPr>
          <w:szCs w:val="22"/>
        </w:rPr>
        <w:t xml:space="preserve"> 0</w:t>
      </w:r>
      <w:r>
        <w:rPr>
          <w:szCs w:val="22"/>
        </w:rPr>
        <w:t>（对照组）、</w:t>
      </w:r>
      <w:r>
        <w:rPr>
          <w:szCs w:val="22"/>
        </w:rPr>
        <w:t>300</w:t>
      </w:r>
      <w:r>
        <w:rPr>
          <w:szCs w:val="22"/>
        </w:rPr>
        <w:t>、</w:t>
      </w:r>
      <w:r>
        <w:rPr>
          <w:szCs w:val="22"/>
        </w:rPr>
        <w:t xml:space="preserve">600 </w:t>
      </w:r>
      <w:r>
        <w:rPr>
          <w:szCs w:val="22"/>
        </w:rPr>
        <w:t>和</w:t>
      </w:r>
      <w:r>
        <w:rPr>
          <w:szCs w:val="22"/>
        </w:rPr>
        <w:t xml:space="preserve"> 900 mg/kg GAA</w:t>
      </w:r>
      <w:r>
        <w:rPr>
          <w:szCs w:val="22"/>
        </w:rPr>
        <w:t>（</w:t>
      </w:r>
      <w:r>
        <w:rPr>
          <w:szCs w:val="22"/>
        </w:rPr>
        <w:t>GAA0</w:t>
      </w:r>
      <w:r>
        <w:rPr>
          <w:szCs w:val="22"/>
        </w:rPr>
        <w:t>、</w:t>
      </w:r>
      <w:r>
        <w:rPr>
          <w:szCs w:val="22"/>
        </w:rPr>
        <w:t>GAA300</w:t>
      </w:r>
      <w:r>
        <w:rPr>
          <w:szCs w:val="22"/>
        </w:rPr>
        <w:t>、</w:t>
      </w:r>
      <w:r>
        <w:rPr>
          <w:szCs w:val="22"/>
        </w:rPr>
        <w:t xml:space="preserve">GAA600 </w:t>
      </w:r>
      <w:r>
        <w:rPr>
          <w:szCs w:val="22"/>
        </w:rPr>
        <w:t>和</w:t>
      </w:r>
      <w:r>
        <w:rPr>
          <w:szCs w:val="22"/>
        </w:rPr>
        <w:t xml:space="preserve"> GAA900</w:t>
      </w:r>
      <w:r>
        <w:rPr>
          <w:szCs w:val="22"/>
        </w:rPr>
        <w:t>）的等能等氮饲料。实验鱼初始体质量为（</w:t>
      </w:r>
      <w:r>
        <w:rPr>
          <w:szCs w:val="22"/>
        </w:rPr>
        <w:t>36.67±0.00</w:t>
      </w:r>
      <w:r>
        <w:rPr>
          <w:szCs w:val="22"/>
        </w:rPr>
        <w:t>）</w:t>
      </w:r>
      <w:r>
        <w:rPr>
          <w:szCs w:val="22"/>
        </w:rPr>
        <w:t>g</w:t>
      </w:r>
      <w:r>
        <w:rPr>
          <w:szCs w:val="22"/>
        </w:rPr>
        <w:t>，实验周期</w:t>
      </w:r>
      <w:r>
        <w:rPr>
          <w:szCs w:val="22"/>
        </w:rPr>
        <w:t xml:space="preserve"> 8 </w:t>
      </w:r>
      <w:r>
        <w:rPr>
          <w:szCs w:val="22"/>
        </w:rPr>
        <w:t>周。结果显示，各添加</w:t>
      </w:r>
      <w:r>
        <w:rPr>
          <w:szCs w:val="22"/>
        </w:rPr>
        <w:t xml:space="preserve"> GAA </w:t>
      </w:r>
      <w:r>
        <w:rPr>
          <w:szCs w:val="22"/>
        </w:rPr>
        <w:t>组末均重（</w:t>
      </w:r>
      <w:r>
        <w:rPr>
          <w:szCs w:val="22"/>
        </w:rPr>
        <w:t>FBW</w:t>
      </w:r>
      <w:r>
        <w:rPr>
          <w:szCs w:val="22"/>
        </w:rPr>
        <w:t>）和增重率（</w:t>
      </w:r>
      <w:r>
        <w:rPr>
          <w:szCs w:val="22"/>
        </w:rPr>
        <w:t>WGR</w:t>
      </w:r>
      <w:r>
        <w:rPr>
          <w:szCs w:val="22"/>
        </w:rPr>
        <w:t>）较对照组均有提高趋势，但差异不显著；添加</w:t>
      </w:r>
      <w:r>
        <w:rPr>
          <w:szCs w:val="22"/>
        </w:rPr>
        <w:t xml:space="preserve"> GAA </w:t>
      </w:r>
      <w:r>
        <w:rPr>
          <w:szCs w:val="22"/>
        </w:rPr>
        <w:t>显著影响脏体比（</w:t>
      </w:r>
      <w:r>
        <w:rPr>
          <w:szCs w:val="22"/>
        </w:rPr>
        <w:t>VSI</w:t>
      </w:r>
      <w:r>
        <w:rPr>
          <w:szCs w:val="22"/>
        </w:rPr>
        <w:t>）和腹脂率（</w:t>
      </w:r>
      <w:r>
        <w:rPr>
          <w:szCs w:val="22"/>
        </w:rPr>
        <w:t>IPF</w:t>
      </w:r>
      <w:r>
        <w:rPr>
          <w:szCs w:val="22"/>
        </w:rPr>
        <w:t>），在</w:t>
      </w:r>
      <w:r>
        <w:rPr>
          <w:szCs w:val="22"/>
        </w:rPr>
        <w:t xml:space="preserve"> GAA300</w:t>
      </w:r>
      <w:r>
        <w:rPr>
          <w:szCs w:val="22"/>
        </w:rPr>
        <w:t>组</w:t>
      </w:r>
      <w:r>
        <w:rPr>
          <w:szCs w:val="22"/>
        </w:rPr>
        <w:t xml:space="preserve">VSI </w:t>
      </w:r>
      <w:r>
        <w:rPr>
          <w:szCs w:val="22"/>
        </w:rPr>
        <w:t>和</w:t>
      </w:r>
      <w:r>
        <w:rPr>
          <w:szCs w:val="22"/>
        </w:rPr>
        <w:t xml:space="preserve"> IPF </w:t>
      </w:r>
      <w:r>
        <w:rPr>
          <w:szCs w:val="22"/>
        </w:rPr>
        <w:t>最低；以</w:t>
      </w:r>
      <w:r>
        <w:rPr>
          <w:szCs w:val="22"/>
        </w:rPr>
        <w:t xml:space="preserve"> IPF </w:t>
      </w:r>
      <w:r>
        <w:rPr>
          <w:szCs w:val="22"/>
        </w:rPr>
        <w:t>和</w:t>
      </w:r>
      <w:r>
        <w:rPr>
          <w:szCs w:val="22"/>
        </w:rPr>
        <w:t xml:space="preserve"> VSI </w:t>
      </w:r>
      <w:r>
        <w:rPr>
          <w:szCs w:val="22"/>
        </w:rPr>
        <w:t>为评价指标，通过二次函数分析获得</w:t>
      </w:r>
      <w:r>
        <w:rPr>
          <w:szCs w:val="22"/>
        </w:rPr>
        <w:t xml:space="preserve"> GAA </w:t>
      </w:r>
      <w:r>
        <w:rPr>
          <w:szCs w:val="22"/>
        </w:rPr>
        <w:t>最适量分别为</w:t>
      </w:r>
      <w:r>
        <w:rPr>
          <w:szCs w:val="22"/>
        </w:rPr>
        <w:t xml:space="preserve"> 275 </w:t>
      </w:r>
      <w:r>
        <w:rPr>
          <w:szCs w:val="22"/>
        </w:rPr>
        <w:t>和</w:t>
      </w:r>
      <w:r>
        <w:rPr>
          <w:szCs w:val="22"/>
        </w:rPr>
        <w:t xml:space="preserve"> 150 mg/kg</w:t>
      </w:r>
      <w:r>
        <w:rPr>
          <w:szCs w:val="22"/>
        </w:rPr>
        <w:t>。添加</w:t>
      </w:r>
      <w:r>
        <w:rPr>
          <w:szCs w:val="22"/>
        </w:rPr>
        <w:t xml:space="preserve"> GAA</w:t>
      </w:r>
      <w:r>
        <w:rPr>
          <w:szCs w:val="22"/>
        </w:rPr>
        <w:t>对全鱼水分、粗蛋白、粗脂肪和灰分均无显著影响，对肌肉中游离氨基酸和脂肪酸均无显著影响，但能显著提高肌肉中羟脯氨酸（</w:t>
      </w:r>
      <w:r>
        <w:rPr>
          <w:szCs w:val="22"/>
        </w:rPr>
        <w:t>HYP</w:t>
      </w:r>
      <w:r>
        <w:rPr>
          <w:szCs w:val="22"/>
        </w:rPr>
        <w:t>）含量，改善肌肉品质。添加</w:t>
      </w:r>
      <w:r>
        <w:rPr>
          <w:szCs w:val="22"/>
        </w:rPr>
        <w:t xml:space="preserve"> GAA </w:t>
      </w:r>
      <w:r>
        <w:rPr>
          <w:szCs w:val="22"/>
        </w:rPr>
        <w:t>可提高肝脏抗氧化能力，其中</w:t>
      </w:r>
      <w:r>
        <w:rPr>
          <w:szCs w:val="22"/>
        </w:rPr>
        <w:t xml:space="preserve"> GAA300 </w:t>
      </w:r>
      <w:r>
        <w:rPr>
          <w:szCs w:val="22"/>
        </w:rPr>
        <w:t>组的总抗氧化能力（</w:t>
      </w:r>
      <w:r>
        <w:rPr>
          <w:szCs w:val="22"/>
        </w:rPr>
        <w:t>TAOC</w:t>
      </w:r>
      <w:r>
        <w:rPr>
          <w:szCs w:val="22"/>
        </w:rPr>
        <w:t>）和超氧化物歧化酶（</w:t>
      </w:r>
      <w:r>
        <w:rPr>
          <w:szCs w:val="22"/>
        </w:rPr>
        <w:t>SOD</w:t>
      </w:r>
      <w:r>
        <w:rPr>
          <w:szCs w:val="22"/>
        </w:rPr>
        <w:t>）活性显著高于对照组。添加</w:t>
      </w:r>
      <w:r>
        <w:rPr>
          <w:szCs w:val="22"/>
        </w:rPr>
        <w:t xml:space="preserve"> GAA </w:t>
      </w:r>
      <w:r>
        <w:rPr>
          <w:szCs w:val="22"/>
        </w:rPr>
        <w:t>可改善肌肉能量代谢，其中</w:t>
      </w:r>
      <w:r>
        <w:rPr>
          <w:szCs w:val="22"/>
        </w:rPr>
        <w:t xml:space="preserve"> GAA300 </w:t>
      </w:r>
      <w:r>
        <w:rPr>
          <w:szCs w:val="22"/>
        </w:rPr>
        <w:t>组的琥珀酸脱氢酶（</w:t>
      </w:r>
      <w:r>
        <w:rPr>
          <w:szCs w:val="22"/>
        </w:rPr>
        <w:t>SDH</w:t>
      </w:r>
      <w:r>
        <w:rPr>
          <w:szCs w:val="22"/>
        </w:rPr>
        <w:t>）和丙酮酸激酶（</w:t>
      </w:r>
      <w:r>
        <w:rPr>
          <w:szCs w:val="22"/>
        </w:rPr>
        <w:t>PK</w:t>
      </w:r>
      <w:r>
        <w:rPr>
          <w:szCs w:val="22"/>
        </w:rPr>
        <w:t>）活性显著高于对照组。研究表明，饲料中添加</w:t>
      </w:r>
      <w:r>
        <w:rPr>
          <w:szCs w:val="22"/>
        </w:rPr>
        <w:t xml:space="preserve"> GAA </w:t>
      </w:r>
      <w:r>
        <w:rPr>
          <w:szCs w:val="22"/>
        </w:rPr>
        <w:t>对斑点叉尾鮰生长及饲料利用无显著促进作用，但添加</w:t>
      </w:r>
      <w:r>
        <w:rPr>
          <w:szCs w:val="22"/>
        </w:rPr>
        <w:t xml:space="preserve"> 150~300 mg/kg GAA </w:t>
      </w:r>
      <w:r>
        <w:rPr>
          <w:szCs w:val="22"/>
        </w:rPr>
        <w:t>能降低斑点叉尾鮰腹部脂肪含量和脏体比，并能提高肝脏抗氧化能力和肌肉能量代谢。</w:t>
      </w:r>
    </w:p>
    <w:p w14:paraId="668DE735" w14:textId="77777777" w:rsidR="006D73E5" w:rsidRDefault="00000000">
      <w:r>
        <w:rPr>
          <w:b/>
          <w:bCs/>
          <w:szCs w:val="22"/>
        </w:rPr>
        <w:t>关键词：</w:t>
      </w:r>
      <w:r>
        <w:rPr>
          <w:szCs w:val="22"/>
        </w:rPr>
        <w:t>斑点叉尾鮰；胍基乙酸</w:t>
      </w:r>
      <w:r>
        <w:rPr>
          <w:szCs w:val="22"/>
        </w:rPr>
        <w:t>(GAA)</w:t>
      </w:r>
      <w:r>
        <w:rPr>
          <w:szCs w:val="22"/>
        </w:rPr>
        <w:t>；生长；肝脏抗氧化性能；肌肉能量代谢</w:t>
      </w:r>
    </w:p>
    <w:p w14:paraId="6CEBDD0E" w14:textId="77777777" w:rsidR="006D73E5" w:rsidRDefault="00000000">
      <w:pPr>
        <w:jc w:val="center"/>
        <w:rPr>
          <w:b/>
          <w:bCs/>
          <w:sz w:val="24"/>
        </w:rPr>
      </w:pPr>
      <w:r>
        <w:rPr>
          <w:b/>
          <w:bCs/>
          <w:sz w:val="24"/>
        </w:rPr>
        <w:t xml:space="preserve">Effects of feeding different diets on survival, nutritional composition, </w:t>
      </w:r>
      <w:proofErr w:type="spellStart"/>
      <w:r>
        <w:rPr>
          <w:b/>
          <w:bCs/>
          <w:sz w:val="24"/>
        </w:rPr>
        <w:t>digestionand</w:t>
      </w:r>
      <w:proofErr w:type="spellEnd"/>
      <w:r>
        <w:rPr>
          <w:b/>
          <w:bCs/>
          <w:sz w:val="24"/>
        </w:rPr>
        <w:t xml:space="preserve"> immunity of the juvenile Chinese mitten crab (</w:t>
      </w:r>
      <w:proofErr w:type="spellStart"/>
      <w:r>
        <w:rPr>
          <w:b/>
          <w:bCs/>
          <w:i/>
          <w:iCs/>
          <w:sz w:val="24"/>
        </w:rPr>
        <w:t>Eriocheir</w:t>
      </w:r>
      <w:proofErr w:type="spellEnd"/>
      <w:r>
        <w:rPr>
          <w:b/>
          <w:bCs/>
          <w:i/>
          <w:iCs/>
          <w:sz w:val="24"/>
        </w:rPr>
        <w:t xml:space="preserve"> sinensis</w:t>
      </w:r>
      <w:r>
        <w:rPr>
          <w:b/>
          <w:bCs/>
          <w:sz w:val="24"/>
        </w:rPr>
        <w:t>) during overwintering</w:t>
      </w:r>
    </w:p>
    <w:p w14:paraId="2F8C4524" w14:textId="77777777" w:rsidR="006D73E5" w:rsidRDefault="00000000">
      <w:pPr>
        <w:jc w:val="center"/>
        <w:rPr>
          <w:szCs w:val="22"/>
        </w:rPr>
      </w:pPr>
      <w:r>
        <w:rPr>
          <w:szCs w:val="22"/>
        </w:rPr>
        <w:t>YU Hailuo12</w:t>
      </w:r>
      <w:r>
        <w:rPr>
          <w:szCs w:val="22"/>
        </w:rPr>
        <w:t>，</w:t>
      </w:r>
      <w:r>
        <w:rPr>
          <w:szCs w:val="22"/>
        </w:rPr>
        <w:t xml:space="preserve">XIAO </w:t>
      </w:r>
      <w:proofErr w:type="spellStart"/>
      <w:r>
        <w:rPr>
          <w:szCs w:val="22"/>
        </w:rPr>
        <w:t>Tiaoyi</w:t>
      </w:r>
      <w:proofErr w:type="spellEnd"/>
      <w:r>
        <w:rPr>
          <w:szCs w:val="22"/>
        </w:rPr>
        <w:t xml:space="preserve"> , LUO </w:t>
      </w:r>
      <w:proofErr w:type="spellStart"/>
      <w:r>
        <w:rPr>
          <w:szCs w:val="22"/>
        </w:rPr>
        <w:t>Yiwen</w:t>
      </w:r>
      <w:proofErr w:type="spellEnd"/>
      <w:r>
        <w:rPr>
          <w:szCs w:val="22"/>
        </w:rPr>
        <w:t xml:space="preserve">’ , WANG </w:t>
      </w:r>
      <w:proofErr w:type="spellStart"/>
      <w:r>
        <w:rPr>
          <w:szCs w:val="22"/>
        </w:rPr>
        <w:t>Hongquan</w:t>
      </w:r>
      <w:proofErr w:type="spellEnd"/>
      <w:r>
        <w:rPr>
          <w:szCs w:val="22"/>
        </w:rPr>
        <w:t>'</w:t>
      </w:r>
      <w:r>
        <w:rPr>
          <w:szCs w:val="22"/>
        </w:rPr>
        <w:t>，</w:t>
      </w:r>
      <w:r>
        <w:rPr>
          <w:szCs w:val="22"/>
        </w:rPr>
        <w:t>REN Wei'</w:t>
      </w:r>
      <w:r>
        <w:rPr>
          <w:szCs w:val="22"/>
        </w:rPr>
        <w:t>，</w:t>
      </w:r>
      <w:r>
        <w:rPr>
          <w:szCs w:val="22"/>
        </w:rPr>
        <w:t xml:space="preserve">YE </w:t>
      </w:r>
      <w:proofErr w:type="spellStart"/>
      <w:r>
        <w:rPr>
          <w:szCs w:val="22"/>
        </w:rPr>
        <w:t>Lihai</w:t>
      </w:r>
      <w:proofErr w:type="spellEnd"/>
      <w:r>
        <w:rPr>
          <w:szCs w:val="22"/>
        </w:rPr>
        <w:t>'</w:t>
      </w:r>
      <w:r>
        <w:rPr>
          <w:szCs w:val="22"/>
        </w:rPr>
        <w:t>，</w:t>
      </w:r>
      <w:r>
        <w:rPr>
          <w:szCs w:val="22"/>
        </w:rPr>
        <w:t xml:space="preserve">ZHANG </w:t>
      </w:r>
      <w:proofErr w:type="spellStart"/>
      <w:r>
        <w:rPr>
          <w:szCs w:val="22"/>
        </w:rPr>
        <w:t>Yanling</w:t>
      </w:r>
      <w:proofErr w:type="spellEnd"/>
      <w:r>
        <w:rPr>
          <w:szCs w:val="22"/>
          <w:vertAlign w:val="superscript"/>
        </w:rPr>
        <w:t>, 3 *</w:t>
      </w:r>
    </w:p>
    <w:p w14:paraId="33455503" w14:textId="77777777" w:rsidR="006D73E5" w:rsidRDefault="00000000">
      <w:pPr>
        <w:widowControl/>
        <w:rPr>
          <w:szCs w:val="22"/>
        </w:rPr>
      </w:pPr>
      <w:r>
        <w:rPr>
          <w:szCs w:val="22"/>
        </w:rPr>
        <w:t>（</w:t>
      </w:r>
      <w:r>
        <w:rPr>
          <w:i/>
          <w:iCs/>
          <w:szCs w:val="22"/>
        </w:rPr>
        <w:t xml:space="preserve">1.Hunan Engineering Technology Research Center of Featured Aquatic Resources </w:t>
      </w:r>
      <w:proofErr w:type="spellStart"/>
      <w:r>
        <w:rPr>
          <w:i/>
          <w:iCs/>
          <w:szCs w:val="22"/>
        </w:rPr>
        <w:t>Uitilization,Hunan</w:t>
      </w:r>
      <w:proofErr w:type="spellEnd"/>
      <w:r>
        <w:rPr>
          <w:i/>
          <w:iCs/>
          <w:szCs w:val="22"/>
        </w:rPr>
        <w:t xml:space="preserve"> Agricultural </w:t>
      </w:r>
      <w:proofErr w:type="spellStart"/>
      <w:r>
        <w:rPr>
          <w:i/>
          <w:iCs/>
          <w:szCs w:val="22"/>
        </w:rPr>
        <w:t>lniversit,Changsha</w:t>
      </w:r>
      <w:proofErr w:type="spellEnd"/>
      <w:r>
        <w:rPr>
          <w:i/>
          <w:iCs/>
          <w:szCs w:val="22"/>
        </w:rPr>
        <w:t xml:space="preserve"> 410128,China;</w:t>
      </w:r>
      <w:r>
        <w:t xml:space="preserve"> </w:t>
      </w:r>
      <w:r>
        <w:rPr>
          <w:i/>
          <w:iCs/>
          <w:szCs w:val="22"/>
        </w:rPr>
        <w:t xml:space="preserve">2. Wuhan CP Aquatic </w:t>
      </w:r>
      <w:proofErr w:type="spellStart"/>
      <w:r>
        <w:rPr>
          <w:i/>
          <w:iCs/>
          <w:szCs w:val="22"/>
        </w:rPr>
        <w:t>Co.,Ltd</w:t>
      </w:r>
      <w:proofErr w:type="spellEnd"/>
      <w:r>
        <w:rPr>
          <w:i/>
          <w:iCs/>
          <w:szCs w:val="22"/>
        </w:rPr>
        <w:t>，</w:t>
      </w:r>
      <w:r>
        <w:rPr>
          <w:i/>
          <w:iCs/>
          <w:szCs w:val="22"/>
        </w:rPr>
        <w:t>Wuhan 430070</w:t>
      </w:r>
      <w:r>
        <w:rPr>
          <w:i/>
          <w:iCs/>
          <w:szCs w:val="22"/>
        </w:rPr>
        <w:t>，</w:t>
      </w:r>
      <w:r>
        <w:rPr>
          <w:i/>
          <w:iCs/>
          <w:szCs w:val="22"/>
        </w:rPr>
        <w:t>China</w:t>
      </w:r>
      <w:r>
        <w:rPr>
          <w:szCs w:val="22"/>
        </w:rPr>
        <w:t>）</w:t>
      </w:r>
    </w:p>
    <w:p w14:paraId="05DB3341" w14:textId="77777777" w:rsidR="006D73E5" w:rsidRDefault="00000000">
      <w:pPr>
        <w:widowControl/>
        <w:rPr>
          <w:color w:val="000000"/>
          <w:kern w:val="0"/>
          <w:szCs w:val="21"/>
          <w:lang w:bidi="ar"/>
        </w:rPr>
      </w:pPr>
      <w:r>
        <w:rPr>
          <w:b/>
          <w:bCs/>
          <w:color w:val="000000"/>
          <w:kern w:val="0"/>
          <w:szCs w:val="21"/>
          <w:lang w:bidi="ar"/>
        </w:rPr>
        <w:t>Abstract</w:t>
      </w:r>
      <w:r>
        <w:rPr>
          <w:b/>
          <w:bCs/>
          <w:color w:val="000000"/>
          <w:kern w:val="0"/>
          <w:szCs w:val="21"/>
          <w:lang w:bidi="ar"/>
        </w:rPr>
        <w:t>：</w:t>
      </w:r>
      <w:r>
        <w:rPr>
          <w:color w:val="000000"/>
          <w:kern w:val="0"/>
          <w:szCs w:val="21"/>
          <w:lang w:bidi="ar"/>
        </w:rPr>
        <w:t xml:space="preserve">A 8-week feeding trial was conducted to study the effect of dietary </w:t>
      </w:r>
      <w:proofErr w:type="spellStart"/>
      <w:r>
        <w:rPr>
          <w:color w:val="000000"/>
          <w:kern w:val="0"/>
          <w:szCs w:val="21"/>
          <w:lang w:bidi="ar"/>
        </w:rPr>
        <w:t>guanidinoacetic</w:t>
      </w:r>
      <w:proofErr w:type="spellEnd"/>
      <w:r>
        <w:rPr>
          <w:color w:val="000000"/>
          <w:kern w:val="0"/>
          <w:szCs w:val="21"/>
          <w:lang w:bidi="ar"/>
        </w:rPr>
        <w:t xml:space="preserve"> acid (GAA) on the growth performance, hepatic anti-oxidative capacity  and muscle energy metabolism of channel catfish (</w:t>
      </w:r>
      <w:proofErr w:type="spellStart"/>
      <w:r>
        <w:rPr>
          <w:i/>
          <w:iCs/>
          <w:color w:val="000000"/>
          <w:kern w:val="0"/>
          <w:szCs w:val="21"/>
          <w:lang w:bidi="ar"/>
        </w:rPr>
        <w:t>Ictalurus</w:t>
      </w:r>
      <w:proofErr w:type="spellEnd"/>
      <w:r>
        <w:rPr>
          <w:i/>
          <w:iCs/>
          <w:color w:val="000000"/>
          <w:kern w:val="0"/>
          <w:szCs w:val="21"/>
          <w:lang w:bidi="ar"/>
        </w:rPr>
        <w:t xml:space="preserve"> punctatus</w:t>
      </w:r>
      <w:r>
        <w:rPr>
          <w:color w:val="000000"/>
          <w:kern w:val="0"/>
          <w:szCs w:val="21"/>
          <w:lang w:bidi="ar"/>
        </w:rPr>
        <w:t xml:space="preserve">). Four isonitrogenous and isocaloric experimental diets with 0 (control diet), 300, 600, and 900 mg/kg GAA (GAA0, GAA300, GAA600, and GAA900) were formulated. The initial body weight (IBW) of </w:t>
      </w:r>
      <w:proofErr w:type="spellStart"/>
      <w:r>
        <w:rPr>
          <w:color w:val="000000"/>
          <w:kern w:val="0"/>
          <w:szCs w:val="21"/>
          <w:lang w:bidi="ar"/>
        </w:rPr>
        <w:t>experiemental</w:t>
      </w:r>
      <w:proofErr w:type="spellEnd"/>
      <w:r>
        <w:rPr>
          <w:color w:val="000000"/>
          <w:kern w:val="0"/>
          <w:szCs w:val="21"/>
          <w:lang w:bidi="ar"/>
        </w:rPr>
        <w:t xml:space="preserve"> </w:t>
      </w:r>
      <w:proofErr w:type="spellStart"/>
      <w:r>
        <w:rPr>
          <w:i/>
          <w:iCs/>
          <w:color w:val="000000"/>
          <w:kern w:val="0"/>
          <w:szCs w:val="21"/>
          <w:lang w:bidi="ar"/>
        </w:rPr>
        <w:t>I.punctatus</w:t>
      </w:r>
      <w:proofErr w:type="spellEnd"/>
      <w:r>
        <w:rPr>
          <w:color w:val="000000"/>
          <w:kern w:val="0"/>
          <w:szCs w:val="21"/>
          <w:lang w:bidi="ar"/>
        </w:rPr>
        <w:t xml:space="preserve"> was (36.67±0.00) g. The results showed that appropriate dietary GAA could improve the average final body weight (FBW) and weight gain rate (WGR), but not significantly. While the </w:t>
      </w:r>
      <w:proofErr w:type="spellStart"/>
      <w:r>
        <w:rPr>
          <w:color w:val="000000"/>
          <w:kern w:val="0"/>
          <w:szCs w:val="21"/>
          <w:lang w:bidi="ar"/>
        </w:rPr>
        <w:t>viscerosomatic</w:t>
      </w:r>
      <w:proofErr w:type="spellEnd"/>
      <w:r>
        <w:rPr>
          <w:color w:val="000000"/>
          <w:kern w:val="0"/>
          <w:szCs w:val="21"/>
          <w:lang w:bidi="ar"/>
        </w:rPr>
        <w:t xml:space="preserve"> index (VSI) and intraperitoneal fat ratio (IPF) of </w:t>
      </w:r>
      <w:proofErr w:type="spellStart"/>
      <w:r>
        <w:rPr>
          <w:color w:val="000000"/>
          <w:kern w:val="0"/>
          <w:szCs w:val="21"/>
          <w:lang w:bidi="ar"/>
        </w:rPr>
        <w:t>experiemental</w:t>
      </w:r>
      <w:proofErr w:type="spellEnd"/>
      <w:r>
        <w:rPr>
          <w:i/>
          <w:iCs/>
          <w:color w:val="000000"/>
          <w:kern w:val="0"/>
          <w:szCs w:val="21"/>
          <w:lang w:bidi="ar"/>
        </w:rPr>
        <w:t xml:space="preserve"> </w:t>
      </w:r>
      <w:proofErr w:type="spellStart"/>
      <w:r>
        <w:rPr>
          <w:i/>
          <w:iCs/>
          <w:color w:val="000000"/>
          <w:kern w:val="0"/>
          <w:szCs w:val="21"/>
          <w:lang w:bidi="ar"/>
        </w:rPr>
        <w:t>I.punctatus</w:t>
      </w:r>
      <w:proofErr w:type="spellEnd"/>
      <w:r>
        <w:rPr>
          <w:i/>
          <w:iCs/>
          <w:color w:val="000000"/>
          <w:kern w:val="0"/>
          <w:szCs w:val="21"/>
          <w:lang w:bidi="ar"/>
        </w:rPr>
        <w:t xml:space="preserve"> </w:t>
      </w:r>
      <w:r>
        <w:rPr>
          <w:color w:val="000000"/>
          <w:kern w:val="0"/>
          <w:szCs w:val="21"/>
          <w:lang w:bidi="ar"/>
        </w:rPr>
        <w:t xml:space="preserve">were significantly affected by dietary GAA levels, with the lowest values in GAA300 group. Based on the quadratic regression analysis of IFP and VSI, the optimal dietary GAA level for </w:t>
      </w:r>
      <w:proofErr w:type="spellStart"/>
      <w:r>
        <w:rPr>
          <w:i/>
          <w:iCs/>
          <w:color w:val="000000"/>
          <w:kern w:val="0"/>
          <w:szCs w:val="21"/>
          <w:lang w:bidi="ar"/>
        </w:rPr>
        <w:t>I.punctatus</w:t>
      </w:r>
      <w:proofErr w:type="spellEnd"/>
      <w:r>
        <w:rPr>
          <w:color w:val="000000"/>
          <w:kern w:val="0"/>
          <w:szCs w:val="21"/>
          <w:lang w:bidi="ar"/>
        </w:rPr>
        <w:t xml:space="preserve"> was 275 mg/kg and 150 mg/kg, respectively. The addition of GAA in diet had no significant effect on moisture content, crude protein, crude fat and ash content of whole fish, as well as the free amino acids and fatty acids in muscle. While the hydroxyproline (HYP) in muscle was significantly increased with the increase of dietary GAA for better muscle quality. Additionally, dietary GAA can improve hepatic anti-oxidative capacity. The total antioxidative capacity (T-AOC) and superoxide </w:t>
      </w:r>
      <w:proofErr w:type="spellStart"/>
      <w:r>
        <w:rPr>
          <w:color w:val="000000"/>
          <w:kern w:val="0"/>
          <w:szCs w:val="21"/>
          <w:lang w:bidi="ar"/>
        </w:rPr>
        <w:t>dismutases</w:t>
      </w:r>
      <w:proofErr w:type="spellEnd"/>
      <w:r>
        <w:rPr>
          <w:color w:val="000000"/>
          <w:kern w:val="0"/>
          <w:szCs w:val="21"/>
          <w:lang w:bidi="ar"/>
        </w:rPr>
        <w:t xml:space="preserve"> (SOD) activities of fish in GAA300 group were significantly higher than those of the control group. GAA can also improve muscle energy metabolism, and the succinate dehydrogenase (SDH) and pyruvate kinase (PK) activities of fish in GAA300 group were significantly higher than those of the control group. Conclusively, dietary GAA has no significant effect on growth performance and feed utilization of </w:t>
      </w:r>
      <w:proofErr w:type="spellStart"/>
      <w:r>
        <w:rPr>
          <w:i/>
          <w:iCs/>
          <w:color w:val="000000"/>
          <w:kern w:val="0"/>
          <w:szCs w:val="21"/>
          <w:lang w:bidi="ar"/>
        </w:rPr>
        <w:t>I.punctatus</w:t>
      </w:r>
      <w:proofErr w:type="spellEnd"/>
      <w:r>
        <w:rPr>
          <w:i/>
          <w:iCs/>
          <w:color w:val="000000"/>
          <w:kern w:val="0"/>
          <w:szCs w:val="21"/>
          <w:lang w:bidi="ar"/>
        </w:rPr>
        <w:t>.</w:t>
      </w:r>
      <w:r>
        <w:rPr>
          <w:color w:val="000000"/>
          <w:kern w:val="0"/>
          <w:szCs w:val="21"/>
          <w:lang w:bidi="ar"/>
        </w:rPr>
        <w:t xml:space="preserve"> While 150-300 mg/kg GAA in diet can reduce intraperitoneal fat content and </w:t>
      </w:r>
      <w:proofErr w:type="spellStart"/>
      <w:r>
        <w:rPr>
          <w:color w:val="000000"/>
          <w:kern w:val="0"/>
          <w:szCs w:val="21"/>
          <w:lang w:bidi="ar"/>
        </w:rPr>
        <w:t>viscerosomatic</w:t>
      </w:r>
      <w:proofErr w:type="spellEnd"/>
      <w:r>
        <w:rPr>
          <w:color w:val="000000"/>
          <w:kern w:val="0"/>
          <w:szCs w:val="21"/>
          <w:lang w:bidi="ar"/>
        </w:rPr>
        <w:t xml:space="preserve"> index, and improve hepatic anti-oxidative capacity and muscle energy metabolism of </w:t>
      </w:r>
      <w:proofErr w:type="spellStart"/>
      <w:r>
        <w:rPr>
          <w:i/>
          <w:iCs/>
          <w:color w:val="000000"/>
          <w:kern w:val="0"/>
          <w:szCs w:val="21"/>
          <w:lang w:bidi="ar"/>
        </w:rPr>
        <w:t>I.punctatus</w:t>
      </w:r>
      <w:proofErr w:type="spellEnd"/>
      <w:r>
        <w:rPr>
          <w:color w:val="000000"/>
          <w:kern w:val="0"/>
          <w:szCs w:val="21"/>
          <w:lang w:bidi="ar"/>
        </w:rPr>
        <w:t>.</w:t>
      </w:r>
    </w:p>
    <w:p w14:paraId="4549EBF3" w14:textId="77777777" w:rsidR="006D73E5" w:rsidRDefault="006D73E5">
      <w:pPr>
        <w:widowControl/>
        <w:rPr>
          <w:szCs w:val="21"/>
        </w:rPr>
      </w:pPr>
    </w:p>
    <w:p w14:paraId="3FEDB0FA" w14:textId="77777777" w:rsidR="006D73E5" w:rsidRDefault="00000000">
      <w:pPr>
        <w:widowControl/>
        <w:rPr>
          <w:color w:val="000000"/>
          <w:kern w:val="0"/>
          <w:szCs w:val="21"/>
          <w:lang w:bidi="ar"/>
        </w:rPr>
      </w:pPr>
      <w:r>
        <w:rPr>
          <w:b/>
          <w:bCs/>
          <w:color w:val="000000"/>
          <w:kern w:val="0"/>
          <w:szCs w:val="21"/>
          <w:lang w:bidi="ar"/>
        </w:rPr>
        <w:t>Key words</w:t>
      </w:r>
      <w:r>
        <w:rPr>
          <w:b/>
          <w:bCs/>
          <w:color w:val="000000"/>
          <w:kern w:val="0"/>
          <w:szCs w:val="21"/>
          <w:lang w:bidi="ar"/>
        </w:rPr>
        <w:t>：</w:t>
      </w:r>
      <w:proofErr w:type="spellStart"/>
      <w:r>
        <w:rPr>
          <w:i/>
          <w:iCs/>
          <w:color w:val="000000"/>
          <w:kern w:val="0"/>
          <w:szCs w:val="21"/>
          <w:lang w:bidi="ar"/>
        </w:rPr>
        <w:t>Eriocheir</w:t>
      </w:r>
      <w:proofErr w:type="spellEnd"/>
      <w:r>
        <w:rPr>
          <w:i/>
          <w:iCs/>
          <w:color w:val="000000"/>
          <w:kern w:val="0"/>
          <w:szCs w:val="21"/>
          <w:lang w:bidi="ar"/>
        </w:rPr>
        <w:t xml:space="preserve"> sinensis</w:t>
      </w:r>
      <w:r>
        <w:rPr>
          <w:color w:val="000000"/>
          <w:kern w:val="0"/>
          <w:szCs w:val="21"/>
          <w:lang w:bidi="ar"/>
        </w:rPr>
        <w:t>; Overwintering period; Nutrients; Fatty acid; Antioxidant capacity</w:t>
      </w:r>
    </w:p>
    <w:p w14:paraId="1CAB4FA6" w14:textId="77777777" w:rsidR="006D73E5" w:rsidRDefault="006D73E5">
      <w:pPr>
        <w:widowControl/>
        <w:jc w:val="center"/>
        <w:rPr>
          <w:color w:val="000000"/>
          <w:kern w:val="0"/>
          <w:sz w:val="18"/>
          <w:szCs w:val="18"/>
          <w:lang w:bidi="ar"/>
        </w:rPr>
      </w:pPr>
    </w:p>
    <w:p w14:paraId="731B4B33" w14:textId="77777777" w:rsidR="006D73E5" w:rsidRDefault="00000000">
      <w:pPr>
        <w:widowControl/>
        <w:spacing w:line="360" w:lineRule="auto"/>
        <w:ind w:firstLineChars="200" w:firstLine="480"/>
        <w:rPr>
          <w:color w:val="000000"/>
          <w:kern w:val="0"/>
          <w:sz w:val="24"/>
          <w:lang w:bidi="ar"/>
        </w:rPr>
      </w:pPr>
      <w:r>
        <w:rPr>
          <w:color w:val="000000"/>
          <w:kern w:val="0"/>
          <w:sz w:val="24"/>
          <w:lang w:bidi="ar"/>
        </w:rPr>
        <w:t>肌酸在机体能量代谢中发挥重要作用，其磷酸肌酸形式可提供高能磷酸键供二磷酸腺苷</w:t>
      </w:r>
      <w:r>
        <w:rPr>
          <w:color w:val="000000"/>
          <w:kern w:val="0"/>
          <w:sz w:val="24"/>
          <w:lang w:bidi="ar"/>
        </w:rPr>
        <w:t>(ADP)</w:t>
      </w:r>
      <w:r>
        <w:rPr>
          <w:color w:val="000000"/>
          <w:kern w:val="0"/>
          <w:sz w:val="24"/>
          <w:lang w:bidi="ar"/>
        </w:rPr>
        <w:t>生成三磷酸腺苷</w:t>
      </w:r>
      <w:r>
        <w:rPr>
          <w:color w:val="000000"/>
          <w:kern w:val="0"/>
          <w:sz w:val="24"/>
          <w:lang w:bidi="ar"/>
        </w:rPr>
        <w:t>(ATP)</w:t>
      </w:r>
      <w:r>
        <w:rPr>
          <w:color w:val="000000"/>
          <w:kern w:val="0"/>
          <w:sz w:val="24"/>
          <w:lang w:bidi="ar"/>
        </w:rPr>
        <w:t>，维持</w:t>
      </w:r>
      <w:r>
        <w:rPr>
          <w:color w:val="000000"/>
          <w:kern w:val="0"/>
          <w:sz w:val="24"/>
          <w:lang w:bidi="ar"/>
        </w:rPr>
        <w:t xml:space="preserve"> ATP </w:t>
      </w:r>
      <w:r>
        <w:rPr>
          <w:color w:val="000000"/>
          <w:kern w:val="0"/>
          <w:sz w:val="24"/>
          <w:lang w:bidi="ar"/>
        </w:rPr>
        <w:t>动态平衡。肌酸可在机体内自行合成，也可外源添加，但肌酸在饲料添加过程中存在不稳定性。甘氨酸与</w:t>
      </w:r>
      <w:r>
        <w:rPr>
          <w:color w:val="000000"/>
          <w:kern w:val="0"/>
          <w:sz w:val="24"/>
          <w:lang w:bidi="ar"/>
        </w:rPr>
        <w:t>L-</w:t>
      </w:r>
      <w:r>
        <w:rPr>
          <w:color w:val="000000"/>
          <w:kern w:val="0"/>
          <w:sz w:val="24"/>
          <w:lang w:bidi="ar"/>
        </w:rPr>
        <w:t>精氨酸在精氨酸</w:t>
      </w:r>
      <w:r>
        <w:rPr>
          <w:color w:val="000000"/>
          <w:kern w:val="0"/>
          <w:sz w:val="24"/>
          <w:lang w:bidi="ar"/>
        </w:rPr>
        <w:t>-</w:t>
      </w:r>
      <w:r>
        <w:rPr>
          <w:color w:val="000000"/>
          <w:kern w:val="0"/>
          <w:sz w:val="24"/>
          <w:lang w:bidi="ar"/>
        </w:rPr>
        <w:t>甘氨酸脒基转移酶（</w:t>
      </w:r>
      <w:r>
        <w:rPr>
          <w:color w:val="000000"/>
          <w:kern w:val="0"/>
          <w:sz w:val="24"/>
          <w:lang w:bidi="ar"/>
        </w:rPr>
        <w:t>AGAT</w:t>
      </w:r>
      <w:r>
        <w:rPr>
          <w:color w:val="000000"/>
          <w:kern w:val="0"/>
          <w:sz w:val="24"/>
          <w:lang w:bidi="ar"/>
        </w:rPr>
        <w:t>）作用下生成胍基乙酸（</w:t>
      </w:r>
      <w:r>
        <w:rPr>
          <w:color w:val="000000"/>
          <w:kern w:val="0"/>
          <w:sz w:val="24"/>
          <w:lang w:bidi="ar"/>
        </w:rPr>
        <w:t>GAA</w:t>
      </w:r>
      <w:r>
        <w:rPr>
          <w:color w:val="000000"/>
          <w:kern w:val="0"/>
          <w:sz w:val="24"/>
          <w:lang w:bidi="ar"/>
        </w:rPr>
        <w:t>）和鸟氨酸。</w:t>
      </w:r>
      <w:r>
        <w:rPr>
          <w:color w:val="000000"/>
          <w:kern w:val="0"/>
          <w:sz w:val="24"/>
          <w:lang w:bidi="ar"/>
        </w:rPr>
        <w:t xml:space="preserve">GAA </w:t>
      </w:r>
      <w:r>
        <w:rPr>
          <w:color w:val="000000"/>
          <w:kern w:val="0"/>
          <w:sz w:val="24"/>
          <w:lang w:bidi="ar"/>
        </w:rPr>
        <w:t>是肌酸的合成前体物质，</w:t>
      </w:r>
      <w:r>
        <w:rPr>
          <w:color w:val="000000"/>
          <w:kern w:val="0"/>
          <w:sz w:val="24"/>
          <w:lang w:bidi="ar"/>
        </w:rPr>
        <w:t xml:space="preserve">GAA </w:t>
      </w:r>
      <w:r>
        <w:rPr>
          <w:color w:val="000000"/>
          <w:kern w:val="0"/>
          <w:sz w:val="24"/>
          <w:lang w:bidi="ar"/>
        </w:rPr>
        <w:t>在胍基乙酸脒基转移酶（</w:t>
      </w:r>
      <w:r>
        <w:rPr>
          <w:color w:val="000000"/>
          <w:kern w:val="0"/>
          <w:sz w:val="24"/>
          <w:lang w:bidi="ar"/>
        </w:rPr>
        <w:t>GAMT</w:t>
      </w:r>
      <w:r>
        <w:rPr>
          <w:color w:val="000000"/>
          <w:kern w:val="0"/>
          <w:sz w:val="24"/>
          <w:lang w:bidi="ar"/>
        </w:rPr>
        <w:t>）作用下生成肌酸</w:t>
      </w:r>
      <w:r>
        <w:rPr>
          <w:color w:val="000000"/>
          <w:kern w:val="0"/>
          <w:sz w:val="24"/>
          <w:vertAlign w:val="superscript"/>
          <w:lang w:bidi="ar"/>
        </w:rPr>
        <w:t>[1]</w:t>
      </w:r>
      <w:r>
        <w:rPr>
          <w:color w:val="000000"/>
          <w:kern w:val="0"/>
          <w:sz w:val="24"/>
          <w:lang w:bidi="ar"/>
        </w:rPr>
        <w:t>。</w:t>
      </w:r>
      <w:r>
        <w:rPr>
          <w:color w:val="000000"/>
          <w:kern w:val="0"/>
          <w:sz w:val="24"/>
          <w:lang w:bidi="ar"/>
        </w:rPr>
        <w:t xml:space="preserve">GAA </w:t>
      </w:r>
      <w:r>
        <w:rPr>
          <w:color w:val="000000"/>
          <w:kern w:val="0"/>
          <w:sz w:val="24"/>
          <w:lang w:bidi="ar"/>
        </w:rPr>
        <w:t>性质稳定，因此常用</w:t>
      </w:r>
      <w:r>
        <w:rPr>
          <w:color w:val="000000"/>
          <w:kern w:val="0"/>
          <w:sz w:val="24"/>
          <w:lang w:bidi="ar"/>
        </w:rPr>
        <w:t xml:space="preserve"> GAA </w:t>
      </w:r>
      <w:r>
        <w:rPr>
          <w:color w:val="000000"/>
          <w:kern w:val="0"/>
          <w:sz w:val="24"/>
          <w:lang w:bidi="ar"/>
        </w:rPr>
        <w:t>作为肌酸的补充源</w:t>
      </w:r>
      <w:r>
        <w:rPr>
          <w:color w:val="000000"/>
          <w:kern w:val="0"/>
          <w:sz w:val="24"/>
          <w:vertAlign w:val="superscript"/>
          <w:lang w:bidi="ar"/>
        </w:rPr>
        <w:t>[2]</w:t>
      </w:r>
      <w:r>
        <w:rPr>
          <w:color w:val="000000"/>
          <w:kern w:val="0"/>
          <w:sz w:val="24"/>
          <w:lang w:bidi="ar"/>
        </w:rPr>
        <w:t>。饲料中添加</w:t>
      </w:r>
      <w:r>
        <w:rPr>
          <w:color w:val="000000"/>
          <w:kern w:val="0"/>
          <w:sz w:val="24"/>
          <w:lang w:bidi="ar"/>
        </w:rPr>
        <w:t xml:space="preserve"> GAA </w:t>
      </w:r>
      <w:r>
        <w:rPr>
          <w:color w:val="000000"/>
          <w:kern w:val="0"/>
          <w:sz w:val="24"/>
          <w:lang w:bidi="ar"/>
        </w:rPr>
        <w:t>在畜禽上应用广泛，大量研究表明</w:t>
      </w:r>
      <w:r>
        <w:rPr>
          <w:color w:val="000000"/>
          <w:kern w:val="0"/>
          <w:sz w:val="24"/>
          <w:lang w:bidi="ar"/>
        </w:rPr>
        <w:t xml:space="preserve"> GAA </w:t>
      </w:r>
      <w:r>
        <w:rPr>
          <w:color w:val="000000"/>
          <w:kern w:val="0"/>
          <w:sz w:val="24"/>
          <w:lang w:bidi="ar"/>
        </w:rPr>
        <w:t>可以提高动物的生长性能</w:t>
      </w:r>
      <w:r>
        <w:rPr>
          <w:color w:val="000000"/>
          <w:kern w:val="0"/>
          <w:sz w:val="24"/>
          <w:vertAlign w:val="superscript"/>
          <w:lang w:bidi="ar"/>
        </w:rPr>
        <w:t>[3-5]</w:t>
      </w:r>
      <w:r>
        <w:rPr>
          <w:color w:val="000000"/>
          <w:kern w:val="0"/>
          <w:sz w:val="24"/>
          <w:lang w:bidi="ar"/>
        </w:rPr>
        <w:t>，改善肌肉品质和提高抗氧化能力</w:t>
      </w:r>
      <w:r>
        <w:rPr>
          <w:color w:val="000000"/>
          <w:kern w:val="0"/>
          <w:sz w:val="24"/>
          <w:vertAlign w:val="superscript"/>
          <w:lang w:bidi="ar"/>
        </w:rPr>
        <w:t>[6-7]</w:t>
      </w:r>
      <w:r>
        <w:rPr>
          <w:color w:val="000000"/>
          <w:kern w:val="0"/>
          <w:sz w:val="24"/>
          <w:lang w:bidi="ar"/>
        </w:rPr>
        <w:t>。目前</w:t>
      </w:r>
      <w:r>
        <w:rPr>
          <w:color w:val="000000"/>
          <w:kern w:val="0"/>
          <w:sz w:val="24"/>
          <w:lang w:bidi="ar"/>
        </w:rPr>
        <w:t xml:space="preserve"> GAA </w:t>
      </w:r>
      <w:r>
        <w:rPr>
          <w:color w:val="000000"/>
          <w:kern w:val="0"/>
          <w:sz w:val="24"/>
          <w:lang w:bidi="ar"/>
        </w:rPr>
        <w:t>在水产方面的研究报道相对较少，集中在红鼓鱼（</w:t>
      </w:r>
      <w:r>
        <w:rPr>
          <w:i/>
          <w:iCs/>
          <w:color w:val="000000"/>
          <w:kern w:val="0"/>
          <w:sz w:val="24"/>
          <w:lang w:bidi="ar"/>
        </w:rPr>
        <w:t>Sciaenops ocellatus</w:t>
      </w:r>
      <w:r>
        <w:rPr>
          <w:color w:val="000000"/>
          <w:kern w:val="0"/>
          <w:sz w:val="24"/>
          <w:lang w:bidi="ar"/>
        </w:rPr>
        <w:t>）、牛蛙（</w:t>
      </w:r>
      <w:proofErr w:type="spellStart"/>
      <w:r>
        <w:rPr>
          <w:i/>
          <w:iCs/>
          <w:color w:val="000000"/>
          <w:kern w:val="0"/>
          <w:sz w:val="24"/>
          <w:lang w:bidi="ar"/>
        </w:rPr>
        <w:t>Lithobates</w:t>
      </w:r>
      <w:proofErr w:type="spellEnd"/>
      <w:r>
        <w:rPr>
          <w:i/>
          <w:iCs/>
          <w:color w:val="000000"/>
          <w:kern w:val="0"/>
          <w:sz w:val="24"/>
          <w:lang w:bidi="ar"/>
        </w:rPr>
        <w:t xml:space="preserve"> </w:t>
      </w:r>
      <w:proofErr w:type="spellStart"/>
      <w:r>
        <w:rPr>
          <w:i/>
          <w:iCs/>
          <w:color w:val="000000"/>
          <w:kern w:val="0"/>
          <w:sz w:val="24"/>
          <w:lang w:bidi="ar"/>
        </w:rPr>
        <w:t>catesbeianus</w:t>
      </w:r>
      <w:proofErr w:type="spellEnd"/>
      <w:r>
        <w:rPr>
          <w:color w:val="000000"/>
          <w:kern w:val="0"/>
          <w:sz w:val="24"/>
          <w:lang w:bidi="ar"/>
        </w:rPr>
        <w:t>）、草鱼（</w:t>
      </w:r>
      <w:proofErr w:type="spellStart"/>
      <w:r>
        <w:rPr>
          <w:i/>
          <w:iCs/>
          <w:color w:val="000000"/>
          <w:kern w:val="0"/>
          <w:sz w:val="24"/>
          <w:lang w:bidi="ar"/>
        </w:rPr>
        <w:t>Ctenopharygodon</w:t>
      </w:r>
      <w:proofErr w:type="spellEnd"/>
      <w:r>
        <w:rPr>
          <w:i/>
          <w:iCs/>
          <w:color w:val="000000"/>
          <w:kern w:val="0"/>
          <w:sz w:val="24"/>
          <w:lang w:bidi="ar"/>
        </w:rPr>
        <w:t xml:space="preserve"> </w:t>
      </w:r>
      <w:proofErr w:type="spellStart"/>
      <w:r>
        <w:rPr>
          <w:i/>
          <w:iCs/>
          <w:color w:val="000000"/>
          <w:kern w:val="0"/>
          <w:sz w:val="24"/>
          <w:lang w:bidi="ar"/>
        </w:rPr>
        <w:t>idella</w:t>
      </w:r>
      <w:proofErr w:type="spellEnd"/>
      <w:r>
        <w:rPr>
          <w:color w:val="000000"/>
          <w:kern w:val="0"/>
          <w:sz w:val="24"/>
          <w:lang w:bidi="ar"/>
        </w:rPr>
        <w:t>）和尼罗罗非鱼（</w:t>
      </w:r>
      <w:r>
        <w:rPr>
          <w:i/>
          <w:iCs/>
          <w:color w:val="000000"/>
          <w:kern w:val="0"/>
          <w:sz w:val="24"/>
          <w:lang w:bidi="ar"/>
        </w:rPr>
        <w:t xml:space="preserve">Oreochromis </w:t>
      </w:r>
      <w:proofErr w:type="spellStart"/>
      <w:r>
        <w:rPr>
          <w:i/>
          <w:iCs/>
          <w:color w:val="000000"/>
          <w:kern w:val="0"/>
          <w:sz w:val="24"/>
          <w:lang w:bidi="ar"/>
        </w:rPr>
        <w:t>niloticus</w:t>
      </w:r>
      <w:proofErr w:type="spellEnd"/>
      <w:r>
        <w:rPr>
          <w:color w:val="000000"/>
          <w:kern w:val="0"/>
          <w:sz w:val="24"/>
          <w:lang w:bidi="ar"/>
        </w:rPr>
        <w:t>）</w:t>
      </w:r>
      <w:r>
        <w:rPr>
          <w:color w:val="000000"/>
          <w:kern w:val="0"/>
          <w:sz w:val="24"/>
          <w:vertAlign w:val="superscript"/>
          <w:lang w:bidi="ar"/>
        </w:rPr>
        <w:t>[8-12]</w:t>
      </w:r>
      <w:r>
        <w:rPr>
          <w:color w:val="000000"/>
          <w:kern w:val="0"/>
          <w:sz w:val="24"/>
          <w:lang w:bidi="ar"/>
        </w:rPr>
        <w:t>等种类，未见有关于</w:t>
      </w:r>
      <w:r>
        <w:rPr>
          <w:color w:val="000000"/>
          <w:kern w:val="0"/>
          <w:sz w:val="24"/>
          <w:lang w:bidi="ar"/>
        </w:rPr>
        <w:t>GAA</w:t>
      </w:r>
      <w:r>
        <w:rPr>
          <w:color w:val="000000"/>
          <w:kern w:val="0"/>
          <w:sz w:val="24"/>
          <w:lang w:bidi="ar"/>
        </w:rPr>
        <w:t>对斑点叉尾鮰（</w:t>
      </w:r>
      <w:proofErr w:type="spellStart"/>
      <w:r>
        <w:rPr>
          <w:i/>
          <w:iCs/>
          <w:color w:val="000000"/>
          <w:kern w:val="0"/>
          <w:sz w:val="24"/>
          <w:lang w:bidi="ar"/>
        </w:rPr>
        <w:t>Ictalurus</w:t>
      </w:r>
      <w:proofErr w:type="spellEnd"/>
      <w:r>
        <w:rPr>
          <w:i/>
          <w:iCs/>
          <w:color w:val="000000"/>
          <w:kern w:val="0"/>
          <w:sz w:val="24"/>
          <w:lang w:bidi="ar"/>
        </w:rPr>
        <w:t xml:space="preserve"> punctatus</w:t>
      </w:r>
      <w:r>
        <w:rPr>
          <w:color w:val="000000"/>
          <w:kern w:val="0"/>
          <w:sz w:val="24"/>
          <w:lang w:bidi="ar"/>
        </w:rPr>
        <w:t>）生长、抗氧化能力及能量代谢影响的报道。</w:t>
      </w:r>
    </w:p>
    <w:p w14:paraId="7920D0B2" w14:textId="77777777" w:rsidR="006D73E5" w:rsidRDefault="00000000">
      <w:pPr>
        <w:widowControl/>
        <w:spacing w:line="360" w:lineRule="auto"/>
        <w:ind w:firstLineChars="200" w:firstLine="480"/>
        <w:rPr>
          <w:color w:val="000000"/>
          <w:kern w:val="0"/>
          <w:sz w:val="24"/>
          <w:lang w:bidi="ar"/>
        </w:rPr>
      </w:pPr>
      <w:r>
        <w:rPr>
          <w:color w:val="000000"/>
          <w:kern w:val="0"/>
          <w:sz w:val="24"/>
          <w:lang w:bidi="ar"/>
        </w:rPr>
        <w:t>斑点叉尾鮰属鲇形目（</w:t>
      </w:r>
      <w:proofErr w:type="spellStart"/>
      <w:r>
        <w:rPr>
          <w:i/>
          <w:iCs/>
          <w:color w:val="000000"/>
          <w:kern w:val="0"/>
          <w:sz w:val="24"/>
          <w:lang w:bidi="ar"/>
        </w:rPr>
        <w:t>Siluriformes</w:t>
      </w:r>
      <w:proofErr w:type="spellEnd"/>
      <w:r>
        <w:rPr>
          <w:color w:val="000000"/>
          <w:kern w:val="0"/>
          <w:sz w:val="24"/>
          <w:lang w:bidi="ar"/>
        </w:rPr>
        <w:t>）鮰科（</w:t>
      </w:r>
      <w:proofErr w:type="spellStart"/>
      <w:r>
        <w:rPr>
          <w:i/>
          <w:iCs/>
          <w:color w:val="000000"/>
          <w:kern w:val="0"/>
          <w:sz w:val="24"/>
          <w:lang w:bidi="ar"/>
        </w:rPr>
        <w:t>Ictaluridae</w:t>
      </w:r>
      <w:proofErr w:type="spellEnd"/>
      <w:r>
        <w:rPr>
          <w:color w:val="000000"/>
          <w:kern w:val="0"/>
          <w:sz w:val="24"/>
          <w:lang w:bidi="ar"/>
        </w:rPr>
        <w:t>），原产于北美洲大陆，分布范围从加拿大南部到墨西哥北部，</w:t>
      </w:r>
      <w:r>
        <w:rPr>
          <w:color w:val="000000"/>
          <w:kern w:val="0"/>
          <w:sz w:val="24"/>
          <w:lang w:bidi="ar"/>
        </w:rPr>
        <w:t xml:space="preserve">1984 </w:t>
      </w:r>
      <w:r>
        <w:rPr>
          <w:color w:val="000000"/>
          <w:kern w:val="0"/>
          <w:sz w:val="24"/>
          <w:lang w:bidi="ar"/>
        </w:rPr>
        <w:t>年由湖北省水产科学研究所引进至中国</w:t>
      </w:r>
      <w:r>
        <w:rPr>
          <w:color w:val="000000"/>
          <w:kern w:val="0"/>
          <w:sz w:val="24"/>
          <w:vertAlign w:val="superscript"/>
          <w:lang w:bidi="ar"/>
        </w:rPr>
        <w:t>[13]</w:t>
      </w:r>
      <w:r>
        <w:rPr>
          <w:color w:val="000000"/>
          <w:kern w:val="0"/>
          <w:sz w:val="24"/>
          <w:lang w:bidi="ar"/>
        </w:rPr>
        <w:t>。据</w:t>
      </w:r>
      <w:r>
        <w:rPr>
          <w:color w:val="000000"/>
          <w:kern w:val="0"/>
          <w:sz w:val="24"/>
          <w:lang w:bidi="ar"/>
        </w:rPr>
        <w:t xml:space="preserve"> 2021 </w:t>
      </w:r>
      <w:r>
        <w:rPr>
          <w:color w:val="000000"/>
          <w:kern w:val="0"/>
          <w:sz w:val="24"/>
          <w:lang w:bidi="ar"/>
        </w:rPr>
        <w:t>中国渔业统计年鉴数据显示，斑点叉尾鮰</w:t>
      </w:r>
      <w:r>
        <w:rPr>
          <w:color w:val="000000"/>
          <w:kern w:val="0"/>
          <w:sz w:val="24"/>
          <w:lang w:bidi="ar"/>
        </w:rPr>
        <w:t xml:space="preserve"> 2020 </w:t>
      </w:r>
      <w:r>
        <w:rPr>
          <w:color w:val="000000"/>
          <w:kern w:val="0"/>
          <w:sz w:val="24"/>
          <w:lang w:bidi="ar"/>
        </w:rPr>
        <w:t>年养殖产量约</w:t>
      </w:r>
      <w:r>
        <w:rPr>
          <w:color w:val="000000"/>
          <w:kern w:val="0"/>
          <w:sz w:val="24"/>
          <w:lang w:bidi="ar"/>
        </w:rPr>
        <w:t xml:space="preserve"> 30.85 </w:t>
      </w:r>
      <w:r>
        <w:rPr>
          <w:color w:val="000000"/>
          <w:kern w:val="0"/>
          <w:sz w:val="24"/>
          <w:lang w:bidi="ar"/>
        </w:rPr>
        <w:t>万</w:t>
      </w:r>
      <w:r>
        <w:rPr>
          <w:color w:val="000000"/>
          <w:kern w:val="0"/>
          <w:sz w:val="24"/>
          <w:lang w:bidi="ar"/>
        </w:rPr>
        <w:t xml:space="preserve"> t</w:t>
      </w:r>
      <w:r>
        <w:rPr>
          <w:color w:val="000000"/>
          <w:kern w:val="0"/>
          <w:sz w:val="24"/>
          <w:lang w:bidi="ar"/>
        </w:rPr>
        <w:t>，加工量约为</w:t>
      </w:r>
      <w:r>
        <w:rPr>
          <w:color w:val="000000"/>
          <w:kern w:val="0"/>
          <w:sz w:val="24"/>
          <w:lang w:bidi="ar"/>
        </w:rPr>
        <w:t xml:space="preserve"> 4.65 </w:t>
      </w:r>
      <w:r>
        <w:rPr>
          <w:color w:val="000000"/>
          <w:kern w:val="0"/>
          <w:sz w:val="24"/>
          <w:lang w:bidi="ar"/>
        </w:rPr>
        <w:t>万</w:t>
      </w:r>
      <w:r>
        <w:rPr>
          <w:color w:val="000000"/>
          <w:kern w:val="0"/>
          <w:sz w:val="24"/>
          <w:lang w:bidi="ar"/>
        </w:rPr>
        <w:t>t</w:t>
      </w:r>
      <w:r>
        <w:rPr>
          <w:color w:val="000000"/>
          <w:kern w:val="0"/>
          <w:sz w:val="24"/>
          <w:lang w:bidi="ar"/>
        </w:rPr>
        <w:t>，斑点叉尾鮰已逐渐成为消费者喜爱的经济鱼类。但近年来消费者对鱼肉品质要求在不断提高，而不同养殖模式</w:t>
      </w:r>
      <w:r>
        <w:rPr>
          <w:color w:val="000000"/>
          <w:kern w:val="0"/>
          <w:sz w:val="24"/>
          <w:vertAlign w:val="superscript"/>
          <w:lang w:bidi="ar"/>
        </w:rPr>
        <w:t>[14]</w:t>
      </w:r>
      <w:r>
        <w:rPr>
          <w:color w:val="000000"/>
          <w:kern w:val="0"/>
          <w:sz w:val="24"/>
          <w:lang w:bidi="ar"/>
        </w:rPr>
        <w:t>、饲料料型</w:t>
      </w:r>
      <w:r>
        <w:rPr>
          <w:color w:val="000000"/>
          <w:kern w:val="0"/>
          <w:sz w:val="24"/>
          <w:vertAlign w:val="superscript"/>
          <w:lang w:bidi="ar"/>
        </w:rPr>
        <w:t>[15]</w:t>
      </w:r>
      <w:r>
        <w:rPr>
          <w:color w:val="000000"/>
          <w:kern w:val="0"/>
          <w:sz w:val="24"/>
          <w:lang w:bidi="ar"/>
        </w:rPr>
        <w:t>以及暂养环境</w:t>
      </w:r>
      <w:r>
        <w:rPr>
          <w:color w:val="000000"/>
          <w:kern w:val="0"/>
          <w:sz w:val="24"/>
          <w:vertAlign w:val="superscript"/>
          <w:lang w:bidi="ar"/>
        </w:rPr>
        <w:t>[16]</w:t>
      </w:r>
      <w:r>
        <w:rPr>
          <w:color w:val="000000"/>
          <w:kern w:val="0"/>
          <w:sz w:val="24"/>
          <w:lang w:bidi="ar"/>
        </w:rPr>
        <w:t>等都会对斑点叉尾鮰肌肉品质产生影响，因此改善斑点叉尾鮰肌肉品质尤为重要。因此，本实验将验证</w:t>
      </w:r>
      <w:r>
        <w:rPr>
          <w:color w:val="000000"/>
          <w:kern w:val="0"/>
          <w:sz w:val="24"/>
          <w:lang w:bidi="ar"/>
        </w:rPr>
        <w:t xml:space="preserve"> GAA </w:t>
      </w:r>
      <w:r>
        <w:rPr>
          <w:color w:val="000000"/>
          <w:kern w:val="0"/>
          <w:sz w:val="24"/>
          <w:lang w:bidi="ar"/>
        </w:rPr>
        <w:t>对斑点叉尾鮰的生长性能、肌肉品质、抗氧化能力和能量代谢的影响，以期为</w:t>
      </w:r>
      <w:r>
        <w:rPr>
          <w:color w:val="000000"/>
          <w:kern w:val="0"/>
          <w:sz w:val="24"/>
          <w:lang w:bidi="ar"/>
        </w:rPr>
        <w:t xml:space="preserve"> GAA </w:t>
      </w:r>
      <w:r>
        <w:rPr>
          <w:color w:val="000000"/>
          <w:kern w:val="0"/>
          <w:sz w:val="24"/>
          <w:lang w:bidi="ar"/>
        </w:rPr>
        <w:t>在水产上应用提供更多参考依据。</w:t>
      </w:r>
    </w:p>
    <w:p w14:paraId="7AF32F87" w14:textId="77777777" w:rsidR="006D73E5" w:rsidRDefault="00000000">
      <w:pPr>
        <w:widowControl/>
        <w:spacing w:line="360" w:lineRule="auto"/>
        <w:rPr>
          <w:color w:val="000000"/>
          <w:kern w:val="0"/>
          <w:sz w:val="24"/>
          <w:lang w:bidi="ar"/>
        </w:rPr>
      </w:pPr>
      <w:r>
        <w:rPr>
          <w:sz w:val="24"/>
        </w:rPr>
        <w:t xml:space="preserve">1.  </w:t>
      </w:r>
      <w:r>
        <w:rPr>
          <w:sz w:val="24"/>
        </w:rPr>
        <w:t>材料与方法</w:t>
      </w:r>
      <w:r>
        <w:rPr>
          <w:sz w:val="24"/>
        </w:rPr>
        <w:t xml:space="preserve"> </w:t>
      </w:r>
    </w:p>
    <w:p w14:paraId="5E73396A" w14:textId="77777777" w:rsidR="006D73E5" w:rsidRDefault="00000000">
      <w:pPr>
        <w:spacing w:line="360" w:lineRule="auto"/>
        <w:rPr>
          <w:sz w:val="24"/>
        </w:rPr>
      </w:pPr>
      <w:r>
        <w:rPr>
          <w:sz w:val="24"/>
        </w:rPr>
        <w:t xml:space="preserve">1.1  </w:t>
      </w:r>
      <w:r>
        <w:rPr>
          <w:sz w:val="24"/>
        </w:rPr>
        <w:t>饲料配方与制作</w:t>
      </w:r>
      <w:r>
        <w:rPr>
          <w:sz w:val="24"/>
        </w:rPr>
        <w:t xml:space="preserve">  </w:t>
      </w:r>
    </w:p>
    <w:p w14:paraId="056E7C97" w14:textId="77777777" w:rsidR="006D73E5" w:rsidRDefault="00000000">
      <w:pPr>
        <w:widowControl/>
        <w:spacing w:line="360" w:lineRule="auto"/>
        <w:ind w:firstLineChars="200" w:firstLine="480"/>
        <w:rPr>
          <w:color w:val="000000"/>
          <w:kern w:val="0"/>
          <w:sz w:val="24"/>
          <w:lang w:bidi="ar"/>
        </w:rPr>
      </w:pPr>
      <w:r>
        <w:rPr>
          <w:color w:val="000000"/>
          <w:kern w:val="0"/>
          <w:sz w:val="24"/>
          <w:lang w:bidi="ar"/>
        </w:rPr>
        <w:t>实验饲料以国产鱼粉、猪肉粉、豆粕和菜粕为蛋白源，豆油和鱼油为脂肪源，面粉为糖源（原料均由武汉正大水产有限公司提供）。在基础饲料中添加</w:t>
      </w:r>
      <w:r>
        <w:rPr>
          <w:color w:val="000000"/>
          <w:kern w:val="0"/>
          <w:sz w:val="24"/>
          <w:lang w:bidi="ar"/>
        </w:rPr>
        <w:t xml:space="preserve"> 0</w:t>
      </w:r>
      <w:r>
        <w:rPr>
          <w:color w:val="000000"/>
          <w:kern w:val="0"/>
          <w:sz w:val="24"/>
          <w:lang w:bidi="ar"/>
        </w:rPr>
        <w:t>、</w:t>
      </w:r>
      <w:r>
        <w:rPr>
          <w:color w:val="000000"/>
          <w:kern w:val="0"/>
          <w:sz w:val="24"/>
          <w:lang w:bidi="ar"/>
        </w:rPr>
        <w:t>300</w:t>
      </w:r>
      <w:r>
        <w:rPr>
          <w:color w:val="000000"/>
          <w:kern w:val="0"/>
          <w:sz w:val="24"/>
          <w:lang w:bidi="ar"/>
        </w:rPr>
        <w:t>、</w:t>
      </w:r>
      <w:r>
        <w:rPr>
          <w:color w:val="000000"/>
          <w:kern w:val="0"/>
          <w:sz w:val="24"/>
          <w:lang w:bidi="ar"/>
        </w:rPr>
        <w:t xml:space="preserve">600 </w:t>
      </w:r>
      <w:r>
        <w:rPr>
          <w:color w:val="000000"/>
          <w:kern w:val="0"/>
          <w:sz w:val="24"/>
          <w:lang w:bidi="ar"/>
        </w:rPr>
        <w:t>和</w:t>
      </w:r>
      <w:r>
        <w:rPr>
          <w:color w:val="000000"/>
          <w:kern w:val="0"/>
          <w:sz w:val="24"/>
          <w:lang w:bidi="ar"/>
        </w:rPr>
        <w:t xml:space="preserve"> 900 mg/kg GAA</w:t>
      </w:r>
      <w:r>
        <w:rPr>
          <w:color w:val="000000"/>
          <w:kern w:val="0"/>
          <w:sz w:val="24"/>
          <w:lang w:bidi="ar"/>
        </w:rPr>
        <w:t>（有效含量</w:t>
      </w:r>
      <w:r>
        <w:rPr>
          <w:color w:val="000000"/>
          <w:kern w:val="0"/>
          <w:sz w:val="24"/>
          <w:lang w:bidi="ar"/>
        </w:rPr>
        <w:t xml:space="preserve"> ≥95%</w:t>
      </w:r>
      <w:r>
        <w:rPr>
          <w:color w:val="000000"/>
          <w:kern w:val="0"/>
          <w:sz w:val="24"/>
          <w:lang w:bidi="ar"/>
        </w:rPr>
        <w:t>，湖北景瑞天恒生物科技有限公司），配制成</w:t>
      </w:r>
      <w:r>
        <w:rPr>
          <w:color w:val="000000"/>
          <w:kern w:val="0"/>
          <w:sz w:val="24"/>
          <w:lang w:bidi="ar"/>
        </w:rPr>
        <w:t xml:space="preserve"> 4 </w:t>
      </w:r>
      <w:r>
        <w:rPr>
          <w:color w:val="000000"/>
          <w:kern w:val="0"/>
          <w:sz w:val="24"/>
          <w:lang w:bidi="ar"/>
        </w:rPr>
        <w:t>种等能等氮的实验饲料，基础饲料组成及营养成分见表</w:t>
      </w:r>
      <w:r>
        <w:rPr>
          <w:color w:val="000000"/>
          <w:kern w:val="0"/>
          <w:sz w:val="24"/>
          <w:lang w:bidi="ar"/>
        </w:rPr>
        <w:t>1</w:t>
      </w:r>
      <w:r>
        <w:rPr>
          <w:color w:val="000000"/>
          <w:kern w:val="0"/>
          <w:sz w:val="24"/>
          <w:lang w:bidi="ar"/>
        </w:rPr>
        <w:t>。实验饲料在武汉正大水产有限公司研发中心实验室制作，所有原料粉碎后经</w:t>
      </w:r>
      <w:r>
        <w:rPr>
          <w:color w:val="000000"/>
          <w:kern w:val="0"/>
          <w:sz w:val="24"/>
          <w:lang w:bidi="ar"/>
        </w:rPr>
        <w:t xml:space="preserve"> 60 </w:t>
      </w:r>
      <w:r>
        <w:rPr>
          <w:color w:val="000000"/>
          <w:kern w:val="0"/>
          <w:sz w:val="24"/>
          <w:lang w:bidi="ar"/>
        </w:rPr>
        <w:t>目分级筛，按配比混匀，少量组分逐级扩大法混合，经熟化和烘干制成直径</w:t>
      </w:r>
      <w:r>
        <w:rPr>
          <w:color w:val="000000"/>
          <w:kern w:val="0"/>
          <w:sz w:val="24"/>
          <w:lang w:bidi="ar"/>
        </w:rPr>
        <w:t xml:space="preserve"> 1.8 mm</w:t>
      </w:r>
      <w:r>
        <w:rPr>
          <w:color w:val="000000"/>
          <w:kern w:val="0"/>
          <w:sz w:val="24"/>
          <w:lang w:bidi="ar"/>
        </w:rPr>
        <w:t>的实验饲料，置于</w:t>
      </w:r>
      <w:r>
        <w:rPr>
          <w:color w:val="000000"/>
          <w:kern w:val="0"/>
          <w:sz w:val="24"/>
          <w:lang w:bidi="ar"/>
        </w:rPr>
        <w:t>4℃</w:t>
      </w:r>
      <w:r>
        <w:rPr>
          <w:color w:val="000000"/>
          <w:kern w:val="0"/>
          <w:sz w:val="24"/>
          <w:lang w:bidi="ar"/>
        </w:rPr>
        <w:t>冰箱保存备用。</w:t>
      </w:r>
    </w:p>
    <w:p w14:paraId="7AAE619A" w14:textId="77777777" w:rsidR="006D73E5" w:rsidRDefault="00000000">
      <w:pPr>
        <w:jc w:val="center"/>
        <w:rPr>
          <w:sz w:val="24"/>
        </w:rPr>
      </w:pPr>
      <w:r>
        <w:rPr>
          <w:noProof/>
        </w:rPr>
        <w:lastRenderedPageBreak/>
        <w:drawing>
          <wp:inline distT="0" distB="0" distL="0" distR="0" wp14:anchorId="78B4CB3D" wp14:editId="4AE5D0C8">
            <wp:extent cx="6369050" cy="4732020"/>
            <wp:effectExtent l="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icPr>
                  <pic:blipFill>
                    <a:blip r:embed="rId28"/>
                    <a:srcRect t="-1" b="1883"/>
                    <a:stretch>
                      <a:fillRect/>
                    </a:stretch>
                  </pic:blipFill>
                  <pic:spPr>
                    <a:xfrm>
                      <a:off x="0" y="0"/>
                      <a:ext cx="6382917" cy="4741901"/>
                    </a:xfrm>
                    <a:prstGeom prst="rect">
                      <a:avLst/>
                    </a:prstGeom>
                    <a:ln>
                      <a:noFill/>
                    </a:ln>
                  </pic:spPr>
                </pic:pic>
              </a:graphicData>
            </a:graphic>
          </wp:inline>
        </w:drawing>
      </w:r>
    </w:p>
    <w:p w14:paraId="0EE34C5B" w14:textId="77777777" w:rsidR="006D73E5" w:rsidRDefault="00000000">
      <w:pPr>
        <w:spacing w:line="360" w:lineRule="auto"/>
        <w:rPr>
          <w:sz w:val="24"/>
        </w:rPr>
      </w:pPr>
      <w:r>
        <w:rPr>
          <w:sz w:val="24"/>
        </w:rPr>
        <w:t xml:space="preserve">1.2  </w:t>
      </w:r>
      <w:r>
        <w:rPr>
          <w:sz w:val="24"/>
        </w:rPr>
        <w:t>实验管理</w:t>
      </w:r>
      <w:r>
        <w:rPr>
          <w:sz w:val="24"/>
        </w:rPr>
        <w:t xml:space="preserve"> </w:t>
      </w:r>
    </w:p>
    <w:p w14:paraId="40F4F8D4" w14:textId="77777777" w:rsidR="006D73E5" w:rsidRDefault="00000000">
      <w:pPr>
        <w:widowControl/>
        <w:spacing w:line="360" w:lineRule="auto"/>
        <w:ind w:firstLineChars="200" w:firstLine="480"/>
        <w:rPr>
          <w:color w:val="000000"/>
          <w:kern w:val="0"/>
          <w:sz w:val="24"/>
          <w:lang w:bidi="ar"/>
        </w:rPr>
      </w:pPr>
      <w:r>
        <w:rPr>
          <w:color w:val="000000"/>
          <w:kern w:val="0"/>
          <w:sz w:val="24"/>
          <w:lang w:bidi="ar"/>
        </w:rPr>
        <w:t>实验斑点叉尾鮰由武汉正大水产有限公司提供，养殖地点为武汉正大水产有限公司实验车间。将实验斑点叉尾鮰置于网箱（</w:t>
      </w:r>
      <w:r>
        <w:rPr>
          <w:color w:val="000000"/>
          <w:kern w:val="0"/>
          <w:sz w:val="24"/>
          <w:lang w:bidi="ar"/>
        </w:rPr>
        <w:t>2 m×2 m×1.6 m</w:t>
      </w:r>
      <w:r>
        <w:rPr>
          <w:color w:val="000000"/>
          <w:kern w:val="0"/>
          <w:sz w:val="24"/>
          <w:lang w:bidi="ar"/>
        </w:rPr>
        <w:t>）中暂养</w:t>
      </w:r>
      <w:r>
        <w:rPr>
          <w:color w:val="000000"/>
          <w:kern w:val="0"/>
          <w:sz w:val="24"/>
          <w:lang w:bidi="ar"/>
        </w:rPr>
        <w:t xml:space="preserve"> 2 </w:t>
      </w:r>
      <w:r>
        <w:rPr>
          <w:color w:val="000000"/>
          <w:kern w:val="0"/>
          <w:sz w:val="24"/>
          <w:lang w:bidi="ar"/>
        </w:rPr>
        <w:t>周，暂养期间使用武汉正大水产有限公司专用斑点叉尾鮰料，每天分别在</w:t>
      </w:r>
      <w:r>
        <w:rPr>
          <w:color w:val="000000"/>
          <w:kern w:val="0"/>
          <w:sz w:val="24"/>
          <w:lang w:bidi="ar"/>
        </w:rPr>
        <w:t xml:space="preserve"> 6:30 </w:t>
      </w:r>
      <w:r>
        <w:rPr>
          <w:color w:val="000000"/>
          <w:kern w:val="0"/>
          <w:sz w:val="24"/>
          <w:lang w:bidi="ar"/>
        </w:rPr>
        <w:t>和</w:t>
      </w:r>
      <w:r>
        <w:rPr>
          <w:color w:val="000000"/>
          <w:kern w:val="0"/>
          <w:sz w:val="24"/>
          <w:lang w:bidi="ar"/>
        </w:rPr>
        <w:t xml:space="preserve"> 18:00 </w:t>
      </w:r>
      <w:r>
        <w:rPr>
          <w:color w:val="000000"/>
          <w:kern w:val="0"/>
          <w:sz w:val="24"/>
          <w:lang w:bidi="ar"/>
        </w:rPr>
        <w:t>饱食投喂进行驯食。驯食完成后禁食</w:t>
      </w:r>
      <w:r>
        <w:rPr>
          <w:color w:val="000000"/>
          <w:kern w:val="0"/>
          <w:sz w:val="24"/>
          <w:lang w:bidi="ar"/>
        </w:rPr>
        <w:t xml:space="preserve"> 24 h</w:t>
      </w:r>
      <w:r>
        <w:rPr>
          <w:color w:val="000000"/>
          <w:kern w:val="0"/>
          <w:sz w:val="24"/>
          <w:lang w:bidi="ar"/>
        </w:rPr>
        <w:t>，挑选初重规格为（</w:t>
      </w:r>
      <w:r>
        <w:rPr>
          <w:color w:val="000000"/>
          <w:kern w:val="0"/>
          <w:sz w:val="24"/>
          <w:lang w:bidi="ar"/>
        </w:rPr>
        <w:t>36.67±0.00</w:t>
      </w:r>
      <w:r>
        <w:rPr>
          <w:color w:val="000000"/>
          <w:kern w:val="0"/>
          <w:sz w:val="24"/>
          <w:lang w:bidi="ar"/>
        </w:rPr>
        <w:t>）</w:t>
      </w:r>
      <w:r>
        <w:rPr>
          <w:color w:val="000000"/>
          <w:kern w:val="0"/>
          <w:sz w:val="24"/>
          <w:lang w:bidi="ar"/>
        </w:rPr>
        <w:t xml:space="preserve">g </w:t>
      </w:r>
      <w:r>
        <w:rPr>
          <w:color w:val="000000"/>
          <w:kern w:val="0"/>
          <w:sz w:val="24"/>
          <w:lang w:bidi="ar"/>
        </w:rPr>
        <w:t>的健康斑点叉尾鮰至体积为</w:t>
      </w:r>
      <w:r>
        <w:rPr>
          <w:color w:val="000000"/>
          <w:kern w:val="0"/>
          <w:sz w:val="24"/>
          <w:lang w:bidi="ar"/>
        </w:rPr>
        <w:t xml:space="preserve"> 1 000 L </w:t>
      </w:r>
      <w:r>
        <w:rPr>
          <w:color w:val="000000"/>
          <w:kern w:val="0"/>
          <w:sz w:val="24"/>
          <w:lang w:bidi="ar"/>
        </w:rPr>
        <w:t>的实验桶中，</w:t>
      </w:r>
      <w:r>
        <w:rPr>
          <w:color w:val="000000"/>
          <w:kern w:val="0"/>
          <w:sz w:val="24"/>
          <w:lang w:bidi="ar"/>
        </w:rPr>
        <w:t xml:space="preserve">24 h </w:t>
      </w:r>
      <w:r>
        <w:rPr>
          <w:color w:val="000000"/>
          <w:kern w:val="0"/>
          <w:sz w:val="24"/>
          <w:lang w:bidi="ar"/>
        </w:rPr>
        <w:t>后开始投喂实验料。实验共设</w:t>
      </w:r>
      <w:r>
        <w:rPr>
          <w:color w:val="000000"/>
          <w:kern w:val="0"/>
          <w:sz w:val="24"/>
          <w:lang w:bidi="ar"/>
        </w:rPr>
        <w:t xml:space="preserve"> 4 </w:t>
      </w:r>
      <w:r>
        <w:rPr>
          <w:color w:val="000000"/>
          <w:kern w:val="0"/>
          <w:sz w:val="24"/>
          <w:lang w:bidi="ar"/>
        </w:rPr>
        <w:t>个处理组，每组</w:t>
      </w:r>
      <w:r>
        <w:rPr>
          <w:color w:val="000000"/>
          <w:kern w:val="0"/>
          <w:sz w:val="24"/>
          <w:lang w:bidi="ar"/>
        </w:rPr>
        <w:t xml:space="preserve"> 5 </w:t>
      </w:r>
      <w:r>
        <w:rPr>
          <w:color w:val="000000"/>
          <w:kern w:val="0"/>
          <w:sz w:val="24"/>
          <w:lang w:bidi="ar"/>
        </w:rPr>
        <w:t>个重复，每个重复</w:t>
      </w:r>
      <w:r>
        <w:rPr>
          <w:color w:val="000000"/>
          <w:kern w:val="0"/>
          <w:sz w:val="24"/>
          <w:lang w:bidi="ar"/>
        </w:rPr>
        <w:t xml:space="preserve"> 30 </w:t>
      </w:r>
      <w:r>
        <w:rPr>
          <w:color w:val="000000"/>
          <w:kern w:val="0"/>
          <w:sz w:val="24"/>
          <w:lang w:bidi="ar"/>
        </w:rPr>
        <w:t>尾斑点叉尾鮰。养殖期间每天分别在</w:t>
      </w:r>
      <w:r>
        <w:rPr>
          <w:color w:val="000000"/>
          <w:kern w:val="0"/>
          <w:sz w:val="24"/>
          <w:lang w:bidi="ar"/>
        </w:rPr>
        <w:t xml:space="preserve"> 6:30 </w:t>
      </w:r>
      <w:r>
        <w:rPr>
          <w:color w:val="000000"/>
          <w:kern w:val="0"/>
          <w:sz w:val="24"/>
          <w:lang w:bidi="ar"/>
        </w:rPr>
        <w:t>和</w:t>
      </w:r>
      <w:r>
        <w:rPr>
          <w:color w:val="000000"/>
          <w:kern w:val="0"/>
          <w:sz w:val="24"/>
          <w:lang w:bidi="ar"/>
        </w:rPr>
        <w:t xml:space="preserve"> 18:00</w:t>
      </w:r>
      <w:r>
        <w:rPr>
          <w:color w:val="000000"/>
          <w:kern w:val="0"/>
          <w:sz w:val="24"/>
          <w:lang w:bidi="ar"/>
        </w:rPr>
        <w:t>饱食投喂；采用连续流水养殖，水源经沙滤、曝气和消毒，连续增氧保持溶解氧</w:t>
      </w:r>
      <w:r>
        <w:rPr>
          <w:color w:val="000000"/>
          <w:kern w:val="0"/>
          <w:sz w:val="24"/>
          <w:lang w:bidi="ar"/>
        </w:rPr>
        <w:t xml:space="preserve"> 7.0 mg/L </w:t>
      </w:r>
      <w:r>
        <w:rPr>
          <w:color w:val="000000"/>
          <w:kern w:val="0"/>
          <w:sz w:val="24"/>
          <w:lang w:bidi="ar"/>
        </w:rPr>
        <w:t>以上；</w:t>
      </w:r>
      <w:r>
        <w:rPr>
          <w:color w:val="000000"/>
          <w:kern w:val="0"/>
          <w:sz w:val="24"/>
          <w:lang w:bidi="ar"/>
        </w:rPr>
        <w:t>pH7.5</w:t>
      </w:r>
      <w:r>
        <w:rPr>
          <w:color w:val="000000"/>
          <w:kern w:val="0"/>
          <w:sz w:val="24"/>
          <w:lang w:bidi="ar"/>
        </w:rPr>
        <w:t>～</w:t>
      </w:r>
      <w:r>
        <w:rPr>
          <w:color w:val="000000"/>
          <w:kern w:val="0"/>
          <w:sz w:val="24"/>
          <w:lang w:bidi="ar"/>
        </w:rPr>
        <w:t>8.2</w:t>
      </w:r>
      <w:r>
        <w:rPr>
          <w:color w:val="000000"/>
          <w:kern w:val="0"/>
          <w:sz w:val="24"/>
          <w:lang w:bidi="ar"/>
        </w:rPr>
        <w:t>，水温</w:t>
      </w:r>
      <w:r>
        <w:rPr>
          <w:color w:val="000000"/>
          <w:kern w:val="0"/>
          <w:sz w:val="24"/>
          <w:lang w:bidi="ar"/>
        </w:rPr>
        <w:t xml:space="preserve"> 25</w:t>
      </w:r>
      <w:r>
        <w:rPr>
          <w:color w:val="000000"/>
          <w:kern w:val="0"/>
          <w:sz w:val="24"/>
          <w:lang w:bidi="ar"/>
        </w:rPr>
        <w:t>～</w:t>
      </w:r>
      <w:r>
        <w:rPr>
          <w:color w:val="000000"/>
          <w:kern w:val="0"/>
          <w:sz w:val="24"/>
          <w:lang w:bidi="ar"/>
        </w:rPr>
        <w:t>30℃</w:t>
      </w:r>
      <w:r>
        <w:rPr>
          <w:color w:val="000000"/>
          <w:kern w:val="0"/>
          <w:sz w:val="24"/>
          <w:lang w:bidi="ar"/>
        </w:rPr>
        <w:t>；水质氨氮低于</w:t>
      </w:r>
      <w:r>
        <w:rPr>
          <w:color w:val="000000"/>
          <w:kern w:val="0"/>
          <w:sz w:val="24"/>
          <w:lang w:bidi="ar"/>
        </w:rPr>
        <w:t xml:space="preserve"> 0.02 mg/L</w:t>
      </w:r>
      <w:r>
        <w:rPr>
          <w:color w:val="000000"/>
          <w:kern w:val="0"/>
          <w:sz w:val="24"/>
          <w:lang w:bidi="ar"/>
        </w:rPr>
        <w:t>，亚硝酸盐低于</w:t>
      </w:r>
      <w:r>
        <w:rPr>
          <w:color w:val="000000"/>
          <w:kern w:val="0"/>
          <w:sz w:val="24"/>
          <w:lang w:bidi="ar"/>
        </w:rPr>
        <w:t xml:space="preserve"> 0.01 mg/L</w:t>
      </w:r>
      <w:r>
        <w:rPr>
          <w:color w:val="000000"/>
          <w:kern w:val="0"/>
          <w:sz w:val="24"/>
          <w:lang w:bidi="ar"/>
        </w:rPr>
        <w:t>。光照为自然光源，养殖周期为</w:t>
      </w:r>
      <w:r>
        <w:rPr>
          <w:color w:val="000000"/>
          <w:kern w:val="0"/>
          <w:sz w:val="24"/>
          <w:lang w:bidi="ar"/>
        </w:rPr>
        <w:t xml:space="preserve"> 8 </w:t>
      </w:r>
      <w:r>
        <w:rPr>
          <w:color w:val="000000"/>
          <w:kern w:val="0"/>
          <w:sz w:val="24"/>
          <w:lang w:bidi="ar"/>
        </w:rPr>
        <w:t>周。</w:t>
      </w:r>
    </w:p>
    <w:p w14:paraId="10FAB895" w14:textId="77777777" w:rsidR="006D73E5" w:rsidRDefault="00000000">
      <w:pPr>
        <w:widowControl/>
        <w:rPr>
          <w:sz w:val="24"/>
        </w:rPr>
      </w:pPr>
      <w:r>
        <w:rPr>
          <w:sz w:val="24"/>
        </w:rPr>
        <w:t xml:space="preserve">1.3  </w:t>
      </w:r>
      <w:r>
        <w:rPr>
          <w:sz w:val="24"/>
        </w:rPr>
        <w:t>样品制备与分析</w:t>
      </w:r>
      <w:r>
        <w:rPr>
          <w:sz w:val="24"/>
        </w:rPr>
        <w:t xml:space="preserve"> </w:t>
      </w:r>
    </w:p>
    <w:p w14:paraId="7D87DE41" w14:textId="77777777" w:rsidR="006D73E5" w:rsidRDefault="00000000">
      <w:pPr>
        <w:widowControl/>
        <w:ind w:firstLineChars="200" w:firstLine="480"/>
        <w:rPr>
          <w:sz w:val="24"/>
        </w:rPr>
      </w:pPr>
      <w:r>
        <w:rPr>
          <w:sz w:val="24"/>
        </w:rPr>
        <w:t>生长性能与饲料利用</w:t>
      </w:r>
      <w:r>
        <w:rPr>
          <w:rFonts w:hint="eastAsia"/>
          <w:sz w:val="24"/>
        </w:rPr>
        <w:t>。</w:t>
      </w:r>
      <w:r>
        <w:rPr>
          <w:sz w:val="24"/>
        </w:rPr>
        <w:t>养殖结束时将斑点叉尾鮰饥饿</w:t>
      </w:r>
      <w:r>
        <w:rPr>
          <w:sz w:val="24"/>
        </w:rPr>
        <w:t xml:space="preserve"> 24 h</w:t>
      </w:r>
      <w:r>
        <w:rPr>
          <w:sz w:val="24"/>
        </w:rPr>
        <w:t>，对所有斑点叉尾鮰称重并计数，计算增重率、成活率和饲料系数；每桶随机取</w:t>
      </w:r>
      <w:r>
        <w:rPr>
          <w:sz w:val="24"/>
        </w:rPr>
        <w:t xml:space="preserve"> 14 </w:t>
      </w:r>
      <w:r>
        <w:rPr>
          <w:sz w:val="24"/>
        </w:rPr>
        <w:t>尾吸干体表水分测量体重和体长，计算肥满度；其中</w:t>
      </w:r>
      <w:r>
        <w:rPr>
          <w:sz w:val="24"/>
        </w:rPr>
        <w:t xml:space="preserve"> 10 </w:t>
      </w:r>
      <w:r>
        <w:rPr>
          <w:sz w:val="24"/>
        </w:rPr>
        <w:t>尾解剖取内脏和肌肉，分别计重后将肝脏和肌肉保存于</w:t>
      </w:r>
      <w:r>
        <w:rPr>
          <w:sz w:val="24"/>
        </w:rPr>
        <w:t>-80℃</w:t>
      </w:r>
      <w:r>
        <w:rPr>
          <w:sz w:val="24"/>
        </w:rPr>
        <w:t>备用；剩余</w:t>
      </w:r>
      <w:r>
        <w:rPr>
          <w:sz w:val="24"/>
        </w:rPr>
        <w:t xml:space="preserve"> 4 </w:t>
      </w:r>
      <w:r>
        <w:rPr>
          <w:sz w:val="24"/>
        </w:rPr>
        <w:t>尾用于分析体常规营养成分。</w:t>
      </w:r>
    </w:p>
    <w:p w14:paraId="6066514F" w14:textId="77777777" w:rsidR="006D73E5" w:rsidRDefault="00000000">
      <w:pPr>
        <w:widowControl/>
        <w:ind w:firstLineChars="200" w:firstLine="480"/>
        <w:rPr>
          <w:sz w:val="24"/>
        </w:rPr>
      </w:pPr>
      <w:r>
        <w:rPr>
          <w:sz w:val="24"/>
        </w:rPr>
        <w:lastRenderedPageBreak/>
        <w:t>全鱼和饲料常规营养成分测定</w:t>
      </w:r>
      <w:r>
        <w:rPr>
          <w:rFonts w:hint="eastAsia"/>
          <w:sz w:val="24"/>
        </w:rPr>
        <w:t>。</w:t>
      </w:r>
      <w:r>
        <w:rPr>
          <w:sz w:val="24"/>
        </w:rPr>
        <w:t>采用乙醚抽提法（</w:t>
      </w:r>
      <w:r>
        <w:rPr>
          <w:sz w:val="24"/>
        </w:rPr>
        <w:t>GB/T6433—1994</w:t>
      </w:r>
      <w:r>
        <w:rPr>
          <w:sz w:val="24"/>
        </w:rPr>
        <w:t>）测定全鱼的粗脂肪，采用凯氏定氮法（</w:t>
      </w:r>
      <w:r>
        <w:rPr>
          <w:sz w:val="24"/>
        </w:rPr>
        <w:t>GB/T 6432—1994</w:t>
      </w:r>
      <w:r>
        <w:rPr>
          <w:sz w:val="24"/>
        </w:rPr>
        <w:t>）测定粗蛋白，采用马弗炉</w:t>
      </w:r>
      <w:r>
        <w:rPr>
          <w:sz w:val="24"/>
        </w:rPr>
        <w:t xml:space="preserve"> 550℃</w:t>
      </w:r>
      <w:r>
        <w:rPr>
          <w:sz w:val="24"/>
        </w:rPr>
        <w:t>灼烧法（</w:t>
      </w:r>
      <w:r>
        <w:rPr>
          <w:sz w:val="24"/>
        </w:rPr>
        <w:t>GB/T6438—1992</w:t>
      </w:r>
      <w:r>
        <w:rPr>
          <w:sz w:val="24"/>
        </w:rPr>
        <w:t>）测定粗灰分，采用</w:t>
      </w:r>
      <w:r>
        <w:rPr>
          <w:sz w:val="24"/>
        </w:rPr>
        <w:t xml:space="preserve"> 105℃</w:t>
      </w:r>
      <w:r>
        <w:rPr>
          <w:sz w:val="24"/>
        </w:rPr>
        <w:t>烘干恒重法测定水分含量。</w:t>
      </w:r>
      <w:r>
        <w:rPr>
          <w:sz w:val="24"/>
        </w:rPr>
        <w:t xml:space="preserve"> </w:t>
      </w:r>
    </w:p>
    <w:p w14:paraId="504A1A8A" w14:textId="77777777" w:rsidR="006D73E5" w:rsidRDefault="00000000">
      <w:pPr>
        <w:widowControl/>
        <w:ind w:firstLineChars="200" w:firstLine="480"/>
        <w:rPr>
          <w:sz w:val="24"/>
        </w:rPr>
      </w:pPr>
      <w:r>
        <w:rPr>
          <w:sz w:val="24"/>
        </w:rPr>
        <w:t>组织的酶活性和肌糖原含量测定</w:t>
      </w:r>
      <w:r>
        <w:rPr>
          <w:rFonts w:hint="eastAsia"/>
          <w:sz w:val="24"/>
        </w:rPr>
        <w:t>。</w:t>
      </w:r>
      <w:r>
        <w:rPr>
          <w:sz w:val="24"/>
        </w:rPr>
        <w:t>肝脏或肌肉酶活性指标和肌糖原含量测定，均使用南京建成生物工程研究所试剂盒测定。测定方法：肝脏总抗氧化能力</w:t>
      </w:r>
      <w:r>
        <w:rPr>
          <w:sz w:val="24"/>
        </w:rPr>
        <w:t xml:space="preserve"> T-AOC</w:t>
      </w:r>
      <w:r>
        <w:rPr>
          <w:sz w:val="24"/>
        </w:rPr>
        <w:t>（</w:t>
      </w:r>
      <w:r>
        <w:rPr>
          <w:sz w:val="24"/>
        </w:rPr>
        <w:t xml:space="preserve">ABTS </w:t>
      </w:r>
      <w:r>
        <w:rPr>
          <w:sz w:val="24"/>
        </w:rPr>
        <w:t>法）、谷胱甘肽过氧化物酶</w:t>
      </w:r>
      <w:r>
        <w:rPr>
          <w:sz w:val="24"/>
        </w:rPr>
        <w:t>GSH-</w:t>
      </w:r>
      <w:proofErr w:type="spellStart"/>
      <w:r>
        <w:rPr>
          <w:sz w:val="24"/>
        </w:rPr>
        <w:t>Px</w:t>
      </w:r>
      <w:proofErr w:type="spellEnd"/>
      <w:r>
        <w:rPr>
          <w:sz w:val="24"/>
        </w:rPr>
        <w:t>（比色法）、丙二醛</w:t>
      </w:r>
      <w:r>
        <w:rPr>
          <w:sz w:val="24"/>
        </w:rPr>
        <w:t xml:space="preserve"> MDA</w:t>
      </w:r>
      <w:r>
        <w:rPr>
          <w:sz w:val="24"/>
        </w:rPr>
        <w:t>（</w:t>
      </w:r>
      <w:r>
        <w:rPr>
          <w:sz w:val="24"/>
        </w:rPr>
        <w:t xml:space="preserve">TBA </w:t>
      </w:r>
      <w:r>
        <w:rPr>
          <w:sz w:val="24"/>
        </w:rPr>
        <w:t>法）、超氧化物歧化酶</w:t>
      </w:r>
      <w:r>
        <w:rPr>
          <w:sz w:val="24"/>
        </w:rPr>
        <w:t xml:space="preserve"> SOD</w:t>
      </w:r>
      <w:r>
        <w:rPr>
          <w:sz w:val="24"/>
        </w:rPr>
        <w:t>（羟胺法）、过氧化氢酶</w:t>
      </w:r>
      <w:r>
        <w:rPr>
          <w:sz w:val="24"/>
        </w:rPr>
        <w:t xml:space="preserve"> CAT(</w:t>
      </w:r>
      <w:r>
        <w:rPr>
          <w:sz w:val="24"/>
        </w:rPr>
        <w:t>比色法）、丙酮酸激酶</w:t>
      </w:r>
      <w:r>
        <w:rPr>
          <w:sz w:val="24"/>
        </w:rPr>
        <w:t xml:space="preserve"> PK</w:t>
      </w:r>
      <w:r>
        <w:rPr>
          <w:sz w:val="24"/>
        </w:rPr>
        <w:t>（紫外比色法）、琥珀酸脱氢酶</w:t>
      </w:r>
      <w:r>
        <w:rPr>
          <w:sz w:val="24"/>
        </w:rPr>
        <w:t xml:space="preserve"> SDH</w:t>
      </w:r>
      <w:r>
        <w:rPr>
          <w:sz w:val="24"/>
        </w:rPr>
        <w:t>（比色法）、肌酸激酶</w:t>
      </w:r>
      <w:r>
        <w:rPr>
          <w:sz w:val="24"/>
        </w:rPr>
        <w:t xml:space="preserve"> CK</w:t>
      </w:r>
      <w:r>
        <w:rPr>
          <w:sz w:val="24"/>
        </w:rPr>
        <w:t>（比色法）、羟脯氨酸</w:t>
      </w:r>
      <w:r>
        <w:rPr>
          <w:sz w:val="24"/>
        </w:rPr>
        <w:t xml:space="preserve"> HYP</w:t>
      </w:r>
      <w:r>
        <w:rPr>
          <w:sz w:val="24"/>
        </w:rPr>
        <w:t>（碱水解法）、肌糖原（比色法），具体操作步骤参照说明书进行。</w:t>
      </w:r>
      <w:r>
        <w:rPr>
          <w:sz w:val="24"/>
        </w:rPr>
        <w:t xml:space="preserve"> </w:t>
      </w:r>
    </w:p>
    <w:p w14:paraId="45E90DFA" w14:textId="77777777" w:rsidR="006D73E5" w:rsidRDefault="00000000">
      <w:pPr>
        <w:widowControl/>
        <w:ind w:firstLineChars="200" w:firstLine="480"/>
        <w:rPr>
          <w:sz w:val="24"/>
        </w:rPr>
      </w:pPr>
      <w:r>
        <w:rPr>
          <w:sz w:val="24"/>
        </w:rPr>
        <w:t>肌肉氨基酸和脂肪酸测定</w:t>
      </w:r>
      <w:r>
        <w:rPr>
          <w:rFonts w:hint="eastAsia"/>
          <w:sz w:val="24"/>
        </w:rPr>
        <w:t>。</w:t>
      </w:r>
      <w:r>
        <w:rPr>
          <w:sz w:val="24"/>
        </w:rPr>
        <w:t>取肌肉样品</w:t>
      </w:r>
      <w:r>
        <w:rPr>
          <w:sz w:val="24"/>
        </w:rPr>
        <w:t xml:space="preserve"> 2.5 g</w:t>
      </w:r>
      <w:r>
        <w:rPr>
          <w:sz w:val="24"/>
        </w:rPr>
        <w:t>，用盐酸匀浆、超声浸提等方法，使用氨基酸分析仪（</w:t>
      </w:r>
      <w:r>
        <w:rPr>
          <w:sz w:val="24"/>
        </w:rPr>
        <w:t>L8900</w:t>
      </w:r>
      <w:r>
        <w:rPr>
          <w:sz w:val="24"/>
        </w:rPr>
        <w:t>日立）测定肌肉氨基酸组成。取肌肉样品</w:t>
      </w:r>
      <w:r>
        <w:rPr>
          <w:sz w:val="24"/>
        </w:rPr>
        <w:t xml:space="preserve"> 0.5 g </w:t>
      </w:r>
      <w:r>
        <w:rPr>
          <w:sz w:val="24"/>
        </w:rPr>
        <w:t>置于</w:t>
      </w:r>
      <w:r>
        <w:rPr>
          <w:sz w:val="24"/>
        </w:rPr>
        <w:t xml:space="preserve"> 50 mL </w:t>
      </w:r>
      <w:r>
        <w:rPr>
          <w:sz w:val="24"/>
        </w:rPr>
        <w:t>离心管中，加入苯</w:t>
      </w:r>
      <w:r>
        <w:rPr>
          <w:sz w:val="24"/>
        </w:rPr>
        <w:t>-</w:t>
      </w:r>
      <w:r>
        <w:rPr>
          <w:sz w:val="24"/>
        </w:rPr>
        <w:t>石油醚混合溶剂密闭浸提，用气相色谱质谱联用仪（安捷伦</w:t>
      </w:r>
      <w:r>
        <w:rPr>
          <w:sz w:val="24"/>
        </w:rPr>
        <w:t xml:space="preserve"> 7890A/5975C</w:t>
      </w:r>
      <w:r>
        <w:rPr>
          <w:sz w:val="24"/>
        </w:rPr>
        <w:t>）测定脂肪酸组成。</w:t>
      </w:r>
    </w:p>
    <w:p w14:paraId="18CA149A" w14:textId="77777777" w:rsidR="006D73E5" w:rsidRDefault="00000000">
      <w:pPr>
        <w:widowControl/>
        <w:rPr>
          <w:sz w:val="24"/>
        </w:rPr>
      </w:pPr>
      <w:r>
        <w:rPr>
          <w:sz w:val="24"/>
        </w:rPr>
        <w:t xml:space="preserve">1.4 </w:t>
      </w:r>
      <w:r>
        <w:rPr>
          <w:sz w:val="24"/>
        </w:rPr>
        <w:t>计算公式</w:t>
      </w:r>
    </w:p>
    <w:p w14:paraId="1B851730" w14:textId="77777777" w:rsidR="006D73E5" w:rsidRDefault="006D73E5">
      <w:pPr>
        <w:widowControl/>
        <w:rPr>
          <w:sz w:val="24"/>
        </w:rPr>
      </w:pPr>
    </w:p>
    <w:p w14:paraId="5BD74B9A" w14:textId="77777777" w:rsidR="006D73E5" w:rsidRDefault="00000000">
      <w:pPr>
        <w:widowControl/>
        <w:spacing w:line="360" w:lineRule="auto"/>
        <w:ind w:firstLineChars="200" w:firstLine="480"/>
        <w:rPr>
          <w:color w:val="000000"/>
          <w:kern w:val="0"/>
          <w:sz w:val="24"/>
          <w:lang w:bidi="ar"/>
        </w:rPr>
      </w:pPr>
      <w:r>
        <w:rPr>
          <w:color w:val="000000"/>
          <w:kern w:val="0"/>
          <w:sz w:val="24"/>
          <w:lang w:bidi="ar"/>
        </w:rPr>
        <w:t>各个指标计算公式：</w:t>
      </w:r>
      <w:r>
        <w:rPr>
          <w:color w:val="000000"/>
          <w:kern w:val="0"/>
          <w:sz w:val="24"/>
          <w:lang w:bidi="ar"/>
        </w:rPr>
        <w:t xml:space="preserve"> </w:t>
      </w:r>
    </w:p>
    <w:p w14:paraId="6D7C3181" w14:textId="77777777" w:rsidR="006D73E5" w:rsidRDefault="00000000">
      <w:pPr>
        <w:widowControl/>
        <w:spacing w:line="360" w:lineRule="auto"/>
        <w:ind w:firstLineChars="200" w:firstLine="480"/>
        <w:rPr>
          <w:color w:val="000000"/>
          <w:kern w:val="0"/>
          <w:sz w:val="24"/>
          <w:lang w:bidi="ar"/>
        </w:rPr>
      </w:pPr>
      <w:r>
        <w:rPr>
          <w:color w:val="000000"/>
          <w:kern w:val="0"/>
          <w:sz w:val="24"/>
          <w:lang w:bidi="ar"/>
        </w:rPr>
        <w:t>增重率</w:t>
      </w:r>
      <w:r>
        <w:rPr>
          <w:color w:val="000000"/>
          <w:kern w:val="0"/>
          <w:sz w:val="24"/>
          <w:lang w:bidi="ar"/>
        </w:rPr>
        <w:t xml:space="preserve"> (weight growth rate, WGR, %)=(</w:t>
      </w:r>
      <w:r>
        <w:rPr>
          <w:i/>
          <w:iCs/>
          <w:color w:val="000000"/>
          <w:kern w:val="0"/>
          <w:sz w:val="24"/>
          <w:lang w:bidi="ar"/>
        </w:rPr>
        <w:t>W</w:t>
      </w:r>
      <w:r>
        <w:rPr>
          <w:i/>
          <w:iCs/>
          <w:color w:val="000000"/>
          <w:kern w:val="0"/>
          <w:sz w:val="24"/>
          <w:vertAlign w:val="subscript"/>
          <w:lang w:bidi="ar"/>
        </w:rPr>
        <w:t>2</w:t>
      </w:r>
      <w:r>
        <w:rPr>
          <w:color w:val="000000"/>
          <w:kern w:val="0"/>
          <w:sz w:val="24"/>
          <w:lang w:bidi="ar"/>
        </w:rPr>
        <w:t>－</w:t>
      </w:r>
      <w:r>
        <w:rPr>
          <w:i/>
          <w:iCs/>
          <w:color w:val="000000"/>
          <w:kern w:val="0"/>
          <w:sz w:val="24"/>
          <w:lang w:bidi="ar"/>
        </w:rPr>
        <w:t>W</w:t>
      </w:r>
      <w:r>
        <w:rPr>
          <w:i/>
          <w:iCs/>
          <w:color w:val="000000"/>
          <w:kern w:val="0"/>
          <w:sz w:val="24"/>
          <w:vertAlign w:val="subscript"/>
          <w:lang w:bidi="ar"/>
        </w:rPr>
        <w:t>1</w:t>
      </w:r>
      <w:r>
        <w:rPr>
          <w:color w:val="000000"/>
          <w:kern w:val="0"/>
          <w:sz w:val="24"/>
          <w:lang w:bidi="ar"/>
        </w:rPr>
        <w:t>)/</w:t>
      </w:r>
      <w:r>
        <w:rPr>
          <w:i/>
          <w:iCs/>
          <w:color w:val="000000"/>
          <w:kern w:val="0"/>
          <w:sz w:val="24"/>
          <w:lang w:bidi="ar"/>
        </w:rPr>
        <w:t>W</w:t>
      </w:r>
      <w:r>
        <w:rPr>
          <w:i/>
          <w:iCs/>
          <w:color w:val="000000"/>
          <w:kern w:val="0"/>
          <w:sz w:val="24"/>
          <w:vertAlign w:val="subscript"/>
          <w:lang w:bidi="ar"/>
        </w:rPr>
        <w:t>1</w:t>
      </w:r>
      <w:r>
        <w:rPr>
          <w:color w:val="000000"/>
          <w:kern w:val="0"/>
          <w:sz w:val="24"/>
          <w:lang w:bidi="ar"/>
        </w:rPr>
        <w:t xml:space="preserve">×100% </w:t>
      </w:r>
    </w:p>
    <w:p w14:paraId="5084048B" w14:textId="77777777" w:rsidR="006D73E5" w:rsidRDefault="00000000">
      <w:pPr>
        <w:widowControl/>
        <w:spacing w:line="360" w:lineRule="auto"/>
        <w:ind w:firstLineChars="200" w:firstLine="480"/>
        <w:rPr>
          <w:color w:val="000000"/>
          <w:kern w:val="0"/>
          <w:sz w:val="24"/>
          <w:lang w:bidi="ar"/>
        </w:rPr>
      </w:pPr>
      <w:r>
        <w:rPr>
          <w:color w:val="000000"/>
          <w:kern w:val="0"/>
          <w:sz w:val="24"/>
          <w:lang w:bidi="ar"/>
        </w:rPr>
        <w:t>特定生长率</w:t>
      </w:r>
      <w:r>
        <w:rPr>
          <w:color w:val="000000"/>
          <w:kern w:val="0"/>
          <w:sz w:val="24"/>
          <w:lang w:bidi="ar"/>
        </w:rPr>
        <w:t xml:space="preserve"> (specific growth rate, SGR, %)=(ln</w:t>
      </w:r>
      <w:r>
        <w:rPr>
          <w:i/>
          <w:iCs/>
          <w:color w:val="000000"/>
          <w:kern w:val="0"/>
          <w:sz w:val="24"/>
          <w:lang w:bidi="ar"/>
        </w:rPr>
        <w:t>W</w:t>
      </w:r>
      <w:r>
        <w:rPr>
          <w:i/>
          <w:iCs/>
          <w:color w:val="000000"/>
          <w:kern w:val="0"/>
          <w:sz w:val="24"/>
          <w:vertAlign w:val="subscript"/>
          <w:lang w:bidi="ar"/>
        </w:rPr>
        <w:t>2</w:t>
      </w:r>
      <w:r>
        <w:rPr>
          <w:color w:val="000000"/>
          <w:kern w:val="0"/>
          <w:sz w:val="24"/>
          <w:lang w:bidi="ar"/>
        </w:rPr>
        <w:t>－</w:t>
      </w:r>
      <w:r>
        <w:rPr>
          <w:color w:val="000000"/>
          <w:kern w:val="0"/>
          <w:sz w:val="24"/>
          <w:lang w:bidi="ar"/>
        </w:rPr>
        <w:t>ln</w:t>
      </w:r>
      <w:r>
        <w:rPr>
          <w:i/>
          <w:iCs/>
          <w:color w:val="000000"/>
          <w:kern w:val="0"/>
          <w:sz w:val="24"/>
          <w:lang w:bidi="ar"/>
        </w:rPr>
        <w:t>W</w:t>
      </w:r>
      <w:r>
        <w:rPr>
          <w:i/>
          <w:iCs/>
          <w:color w:val="000000"/>
          <w:kern w:val="0"/>
          <w:sz w:val="24"/>
          <w:vertAlign w:val="subscript"/>
          <w:lang w:bidi="ar"/>
        </w:rPr>
        <w:t>1</w:t>
      </w:r>
      <w:r>
        <w:rPr>
          <w:color w:val="000000"/>
          <w:kern w:val="0"/>
          <w:sz w:val="24"/>
          <w:lang w:bidi="ar"/>
        </w:rPr>
        <w:t xml:space="preserve">)/t×100% </w:t>
      </w:r>
    </w:p>
    <w:p w14:paraId="73AF2AE0" w14:textId="77777777" w:rsidR="006D73E5" w:rsidRDefault="00000000">
      <w:pPr>
        <w:widowControl/>
        <w:spacing w:line="360" w:lineRule="auto"/>
        <w:ind w:firstLineChars="200" w:firstLine="480"/>
        <w:rPr>
          <w:color w:val="000000"/>
          <w:kern w:val="0"/>
          <w:sz w:val="24"/>
          <w:lang w:bidi="ar"/>
        </w:rPr>
      </w:pPr>
      <w:r>
        <w:rPr>
          <w:color w:val="000000"/>
          <w:kern w:val="0"/>
          <w:sz w:val="24"/>
          <w:lang w:bidi="ar"/>
        </w:rPr>
        <w:t>饲料系数</w:t>
      </w:r>
      <w:r>
        <w:rPr>
          <w:color w:val="000000"/>
          <w:kern w:val="0"/>
          <w:sz w:val="24"/>
          <w:lang w:bidi="ar"/>
        </w:rPr>
        <w:t xml:space="preserve"> (feed coefficient ratio, FCR)=</w:t>
      </w:r>
      <w:r>
        <w:rPr>
          <w:i/>
          <w:iCs/>
          <w:color w:val="000000"/>
          <w:kern w:val="0"/>
          <w:sz w:val="24"/>
          <w:lang w:bidi="ar"/>
        </w:rPr>
        <w:t>Ct</w:t>
      </w:r>
      <w:r>
        <w:rPr>
          <w:color w:val="000000"/>
          <w:kern w:val="0"/>
          <w:sz w:val="24"/>
          <w:lang w:bidi="ar"/>
        </w:rPr>
        <w:t>/(</w:t>
      </w:r>
      <w:r>
        <w:rPr>
          <w:i/>
          <w:iCs/>
          <w:color w:val="000000"/>
          <w:kern w:val="0"/>
          <w:sz w:val="24"/>
          <w:lang w:bidi="ar"/>
        </w:rPr>
        <w:t>W</w:t>
      </w:r>
      <w:r>
        <w:rPr>
          <w:i/>
          <w:iCs/>
          <w:color w:val="000000"/>
          <w:kern w:val="0"/>
          <w:sz w:val="24"/>
          <w:vertAlign w:val="subscript"/>
          <w:lang w:bidi="ar"/>
        </w:rPr>
        <w:t>2</w:t>
      </w:r>
      <w:r>
        <w:rPr>
          <w:color w:val="000000"/>
          <w:kern w:val="0"/>
          <w:sz w:val="24"/>
          <w:lang w:bidi="ar"/>
        </w:rPr>
        <w:t>－</w:t>
      </w:r>
      <w:r>
        <w:rPr>
          <w:i/>
          <w:iCs/>
          <w:color w:val="000000"/>
          <w:kern w:val="0"/>
          <w:sz w:val="24"/>
          <w:lang w:bidi="ar"/>
        </w:rPr>
        <w:t>W</w:t>
      </w:r>
      <w:r>
        <w:rPr>
          <w:i/>
          <w:iCs/>
          <w:color w:val="000000"/>
          <w:kern w:val="0"/>
          <w:sz w:val="24"/>
          <w:vertAlign w:val="subscript"/>
          <w:lang w:bidi="ar"/>
        </w:rPr>
        <w:t>1</w:t>
      </w:r>
      <w:r>
        <w:rPr>
          <w:color w:val="000000"/>
          <w:kern w:val="0"/>
          <w:sz w:val="24"/>
          <w:lang w:bidi="ar"/>
        </w:rPr>
        <w:t xml:space="preserve">) </w:t>
      </w:r>
    </w:p>
    <w:p w14:paraId="220CC02C" w14:textId="77777777" w:rsidR="006D73E5" w:rsidRDefault="00000000">
      <w:pPr>
        <w:widowControl/>
        <w:spacing w:line="360" w:lineRule="auto"/>
        <w:ind w:firstLineChars="200" w:firstLine="480"/>
        <w:rPr>
          <w:color w:val="000000"/>
          <w:kern w:val="0"/>
          <w:sz w:val="24"/>
          <w:lang w:bidi="ar"/>
        </w:rPr>
      </w:pPr>
      <w:r>
        <w:rPr>
          <w:color w:val="000000"/>
          <w:kern w:val="0"/>
          <w:sz w:val="24"/>
          <w:lang w:bidi="ar"/>
        </w:rPr>
        <w:t>肥满度</w:t>
      </w:r>
      <w:r>
        <w:rPr>
          <w:color w:val="000000"/>
          <w:kern w:val="0"/>
          <w:sz w:val="24"/>
          <w:lang w:bidi="ar"/>
        </w:rPr>
        <w:t xml:space="preserve"> (condition factor, CF, g/cm</w:t>
      </w:r>
      <w:r>
        <w:rPr>
          <w:color w:val="000000"/>
          <w:kern w:val="0"/>
          <w:sz w:val="24"/>
          <w:vertAlign w:val="superscript"/>
          <w:lang w:bidi="ar"/>
        </w:rPr>
        <w:t>3</w:t>
      </w:r>
      <w:r>
        <w:rPr>
          <w:color w:val="000000"/>
          <w:kern w:val="0"/>
          <w:sz w:val="24"/>
          <w:lang w:bidi="ar"/>
        </w:rPr>
        <w:t>)=</w:t>
      </w:r>
      <w:r>
        <w:rPr>
          <w:i/>
          <w:iCs/>
          <w:color w:val="000000"/>
          <w:kern w:val="0"/>
          <w:sz w:val="24"/>
          <w:lang w:bidi="ar"/>
        </w:rPr>
        <w:t>W</w:t>
      </w:r>
      <w:r>
        <w:rPr>
          <w:i/>
          <w:iCs/>
          <w:color w:val="000000"/>
          <w:kern w:val="0"/>
          <w:sz w:val="24"/>
          <w:vertAlign w:val="subscript"/>
          <w:lang w:bidi="ar"/>
        </w:rPr>
        <w:t>0</w:t>
      </w:r>
      <w:r>
        <w:rPr>
          <w:color w:val="000000"/>
          <w:kern w:val="0"/>
          <w:sz w:val="24"/>
          <w:lang w:bidi="ar"/>
        </w:rPr>
        <w:t>/</w:t>
      </w:r>
      <w:r>
        <w:rPr>
          <w:i/>
          <w:iCs/>
          <w:color w:val="000000"/>
          <w:kern w:val="0"/>
          <w:sz w:val="24"/>
          <w:lang w:bidi="ar"/>
        </w:rPr>
        <w:t>L</w:t>
      </w:r>
      <w:r>
        <w:rPr>
          <w:i/>
          <w:iCs/>
          <w:color w:val="000000"/>
          <w:kern w:val="0"/>
          <w:sz w:val="24"/>
          <w:vertAlign w:val="subscript"/>
          <w:lang w:bidi="ar"/>
        </w:rPr>
        <w:t>b</w:t>
      </w:r>
      <w:r>
        <w:rPr>
          <w:i/>
          <w:iCs/>
          <w:color w:val="000000"/>
          <w:kern w:val="0"/>
          <w:sz w:val="24"/>
          <w:vertAlign w:val="superscript"/>
          <w:lang w:bidi="ar"/>
        </w:rPr>
        <w:t>3</w:t>
      </w:r>
      <w:r>
        <w:rPr>
          <w:color w:val="000000"/>
          <w:kern w:val="0"/>
          <w:sz w:val="24"/>
          <w:lang w:bidi="ar"/>
        </w:rPr>
        <w:t xml:space="preserve">×100 </w:t>
      </w:r>
    </w:p>
    <w:p w14:paraId="5E3527EE" w14:textId="77777777" w:rsidR="006D73E5" w:rsidRDefault="00000000">
      <w:pPr>
        <w:widowControl/>
        <w:spacing w:line="360" w:lineRule="auto"/>
        <w:ind w:firstLineChars="200" w:firstLine="480"/>
        <w:rPr>
          <w:i/>
          <w:iCs/>
          <w:color w:val="000000"/>
          <w:kern w:val="0"/>
          <w:sz w:val="24"/>
          <w:lang w:bidi="ar"/>
        </w:rPr>
      </w:pPr>
      <w:r>
        <w:rPr>
          <w:color w:val="000000"/>
          <w:kern w:val="0"/>
          <w:sz w:val="24"/>
          <w:lang w:bidi="ar"/>
        </w:rPr>
        <w:t>肝体比</w:t>
      </w:r>
      <w:r>
        <w:rPr>
          <w:i/>
          <w:iCs/>
          <w:color w:val="000000"/>
          <w:kern w:val="0"/>
          <w:sz w:val="24"/>
          <w:lang w:bidi="ar"/>
        </w:rPr>
        <w:t xml:space="preserve"> </w:t>
      </w:r>
      <w:r>
        <w:rPr>
          <w:color w:val="000000"/>
          <w:kern w:val="0"/>
          <w:sz w:val="24"/>
          <w:lang w:bidi="ar"/>
        </w:rPr>
        <w:t>(</w:t>
      </w:r>
      <w:proofErr w:type="spellStart"/>
      <w:r>
        <w:rPr>
          <w:color w:val="000000"/>
          <w:kern w:val="0"/>
          <w:sz w:val="24"/>
          <w:lang w:bidi="ar"/>
        </w:rPr>
        <w:t>hePatosomatic</w:t>
      </w:r>
      <w:proofErr w:type="spellEnd"/>
      <w:r>
        <w:rPr>
          <w:color w:val="000000"/>
          <w:kern w:val="0"/>
          <w:sz w:val="24"/>
          <w:lang w:bidi="ar"/>
        </w:rPr>
        <w:t xml:space="preserve"> index, HSI, %)</w:t>
      </w:r>
      <w:r>
        <w:rPr>
          <w:i/>
          <w:iCs/>
          <w:color w:val="000000"/>
          <w:kern w:val="0"/>
          <w:sz w:val="24"/>
          <w:lang w:bidi="ar"/>
        </w:rPr>
        <w:t>=</w:t>
      </w:r>
      <w:proofErr w:type="spellStart"/>
      <w:r>
        <w:rPr>
          <w:i/>
          <w:iCs/>
          <w:color w:val="000000"/>
          <w:kern w:val="0"/>
          <w:sz w:val="24"/>
          <w:lang w:bidi="ar"/>
        </w:rPr>
        <w:t>Lw</w:t>
      </w:r>
      <w:proofErr w:type="spellEnd"/>
      <w:r>
        <w:rPr>
          <w:i/>
          <w:iCs/>
          <w:color w:val="000000"/>
          <w:kern w:val="0"/>
          <w:sz w:val="24"/>
          <w:lang w:bidi="ar"/>
        </w:rPr>
        <w:t>/W</w:t>
      </w:r>
      <w:r>
        <w:rPr>
          <w:i/>
          <w:iCs/>
          <w:color w:val="000000"/>
          <w:kern w:val="0"/>
          <w:sz w:val="24"/>
          <w:vertAlign w:val="subscript"/>
          <w:lang w:bidi="ar"/>
        </w:rPr>
        <w:t>0</w:t>
      </w:r>
      <w:r>
        <w:rPr>
          <w:i/>
          <w:iCs/>
          <w:color w:val="000000"/>
          <w:kern w:val="0"/>
          <w:sz w:val="24"/>
          <w:lang w:bidi="ar"/>
        </w:rPr>
        <w:t xml:space="preserve">×100% </w:t>
      </w:r>
    </w:p>
    <w:p w14:paraId="3849CE65" w14:textId="77777777" w:rsidR="006D73E5" w:rsidRDefault="00000000">
      <w:pPr>
        <w:widowControl/>
        <w:spacing w:line="360" w:lineRule="auto"/>
        <w:ind w:firstLineChars="200" w:firstLine="480"/>
        <w:rPr>
          <w:i/>
          <w:iCs/>
          <w:color w:val="000000"/>
          <w:kern w:val="0"/>
          <w:sz w:val="24"/>
          <w:lang w:bidi="ar"/>
        </w:rPr>
      </w:pPr>
      <w:r>
        <w:rPr>
          <w:color w:val="000000"/>
          <w:kern w:val="0"/>
          <w:sz w:val="24"/>
          <w:lang w:bidi="ar"/>
        </w:rPr>
        <w:t>脏体比</w:t>
      </w:r>
      <w:r>
        <w:rPr>
          <w:color w:val="000000"/>
          <w:kern w:val="0"/>
          <w:sz w:val="24"/>
          <w:lang w:bidi="ar"/>
        </w:rPr>
        <w:t xml:space="preserve"> (</w:t>
      </w:r>
      <w:proofErr w:type="spellStart"/>
      <w:r>
        <w:rPr>
          <w:color w:val="000000"/>
          <w:kern w:val="0"/>
          <w:sz w:val="24"/>
          <w:lang w:bidi="ar"/>
        </w:rPr>
        <w:t>viscerosomatic</w:t>
      </w:r>
      <w:proofErr w:type="spellEnd"/>
      <w:r>
        <w:rPr>
          <w:color w:val="000000"/>
          <w:kern w:val="0"/>
          <w:sz w:val="24"/>
          <w:lang w:bidi="ar"/>
        </w:rPr>
        <w:t xml:space="preserve"> index, VSI, %)</w:t>
      </w:r>
      <w:r>
        <w:rPr>
          <w:i/>
          <w:iCs/>
          <w:color w:val="000000"/>
          <w:kern w:val="0"/>
          <w:sz w:val="24"/>
          <w:lang w:bidi="ar"/>
        </w:rPr>
        <w:t>=</w:t>
      </w:r>
      <w:proofErr w:type="spellStart"/>
      <w:r>
        <w:rPr>
          <w:i/>
          <w:iCs/>
          <w:color w:val="000000"/>
          <w:kern w:val="0"/>
          <w:sz w:val="24"/>
          <w:lang w:bidi="ar"/>
        </w:rPr>
        <w:t>Cw</w:t>
      </w:r>
      <w:proofErr w:type="spellEnd"/>
      <w:r>
        <w:rPr>
          <w:i/>
          <w:iCs/>
          <w:color w:val="000000"/>
          <w:kern w:val="0"/>
          <w:sz w:val="24"/>
          <w:lang w:bidi="ar"/>
        </w:rPr>
        <w:t xml:space="preserve"> /W</w:t>
      </w:r>
      <w:r>
        <w:rPr>
          <w:i/>
          <w:iCs/>
          <w:color w:val="000000"/>
          <w:kern w:val="0"/>
          <w:sz w:val="24"/>
          <w:vertAlign w:val="subscript"/>
          <w:lang w:bidi="ar"/>
        </w:rPr>
        <w:t>0</w:t>
      </w:r>
      <w:r>
        <w:rPr>
          <w:i/>
          <w:iCs/>
          <w:color w:val="000000"/>
          <w:kern w:val="0"/>
          <w:sz w:val="24"/>
          <w:lang w:bidi="ar"/>
        </w:rPr>
        <w:t xml:space="preserve">×100% </w:t>
      </w:r>
    </w:p>
    <w:p w14:paraId="027FD8FA" w14:textId="77777777" w:rsidR="006D73E5" w:rsidRDefault="00000000">
      <w:pPr>
        <w:widowControl/>
        <w:spacing w:line="360" w:lineRule="auto"/>
        <w:ind w:firstLineChars="200" w:firstLine="480"/>
        <w:rPr>
          <w:color w:val="000000"/>
          <w:kern w:val="0"/>
          <w:sz w:val="24"/>
          <w:lang w:bidi="ar"/>
        </w:rPr>
      </w:pPr>
      <w:r>
        <w:rPr>
          <w:color w:val="000000"/>
          <w:kern w:val="0"/>
          <w:sz w:val="24"/>
          <w:lang w:bidi="ar"/>
        </w:rPr>
        <w:t>腹脂率</w:t>
      </w:r>
      <w:r>
        <w:rPr>
          <w:color w:val="000000"/>
          <w:kern w:val="0"/>
          <w:sz w:val="24"/>
          <w:lang w:bidi="ar"/>
        </w:rPr>
        <w:t xml:space="preserve"> (</w:t>
      </w:r>
      <w:proofErr w:type="spellStart"/>
      <w:r>
        <w:rPr>
          <w:color w:val="000000"/>
          <w:kern w:val="0"/>
          <w:sz w:val="24"/>
          <w:lang w:bidi="ar"/>
        </w:rPr>
        <w:t>intraperitioneal</w:t>
      </w:r>
      <w:proofErr w:type="spellEnd"/>
      <w:r>
        <w:rPr>
          <w:color w:val="000000"/>
          <w:kern w:val="0"/>
          <w:sz w:val="24"/>
          <w:lang w:bidi="ar"/>
        </w:rPr>
        <w:t xml:space="preserve"> fat ratio, IPF,%)=</w:t>
      </w:r>
      <w:proofErr w:type="spellStart"/>
      <w:r>
        <w:rPr>
          <w:i/>
          <w:iCs/>
          <w:color w:val="000000"/>
          <w:kern w:val="0"/>
          <w:sz w:val="24"/>
          <w:lang w:bidi="ar"/>
        </w:rPr>
        <w:t>W</w:t>
      </w:r>
      <w:r>
        <w:rPr>
          <w:i/>
          <w:iCs/>
          <w:color w:val="000000"/>
          <w:kern w:val="0"/>
          <w:sz w:val="24"/>
          <w:vertAlign w:val="subscript"/>
          <w:lang w:bidi="ar"/>
        </w:rPr>
        <w:t>f</w:t>
      </w:r>
      <w:proofErr w:type="spellEnd"/>
      <w:r>
        <w:rPr>
          <w:i/>
          <w:iCs/>
          <w:color w:val="000000"/>
          <w:kern w:val="0"/>
          <w:sz w:val="24"/>
          <w:vertAlign w:val="subscript"/>
          <w:lang w:bidi="ar"/>
        </w:rPr>
        <w:t xml:space="preserve"> </w:t>
      </w:r>
      <w:r>
        <w:rPr>
          <w:color w:val="000000"/>
          <w:kern w:val="0"/>
          <w:sz w:val="24"/>
          <w:lang w:bidi="ar"/>
        </w:rPr>
        <w:t>/</w:t>
      </w:r>
      <w:r>
        <w:rPr>
          <w:i/>
          <w:iCs/>
          <w:color w:val="000000"/>
          <w:kern w:val="0"/>
          <w:sz w:val="24"/>
          <w:lang w:bidi="ar"/>
        </w:rPr>
        <w:t>W</w:t>
      </w:r>
      <w:r>
        <w:rPr>
          <w:i/>
          <w:iCs/>
          <w:color w:val="000000"/>
          <w:kern w:val="0"/>
          <w:sz w:val="24"/>
          <w:vertAlign w:val="subscript"/>
          <w:lang w:bidi="ar"/>
        </w:rPr>
        <w:t>0</w:t>
      </w:r>
      <w:r>
        <w:rPr>
          <w:color w:val="000000"/>
          <w:kern w:val="0"/>
          <w:sz w:val="24"/>
          <w:lang w:bidi="ar"/>
        </w:rPr>
        <w:t xml:space="preserve">×100% </w:t>
      </w:r>
    </w:p>
    <w:p w14:paraId="7DB3B1F4" w14:textId="77777777" w:rsidR="006D73E5" w:rsidRDefault="00000000">
      <w:pPr>
        <w:widowControl/>
        <w:spacing w:line="360" w:lineRule="auto"/>
        <w:ind w:firstLineChars="200" w:firstLine="480"/>
        <w:rPr>
          <w:color w:val="000000"/>
          <w:kern w:val="0"/>
          <w:sz w:val="24"/>
          <w:lang w:bidi="ar"/>
        </w:rPr>
      </w:pPr>
      <w:r>
        <w:rPr>
          <w:color w:val="000000"/>
          <w:kern w:val="0"/>
          <w:sz w:val="24"/>
          <w:lang w:bidi="ar"/>
        </w:rPr>
        <w:t>式中，</w:t>
      </w:r>
      <w:r>
        <w:rPr>
          <w:color w:val="000000"/>
          <w:kern w:val="0"/>
          <w:sz w:val="24"/>
          <w:lang w:bidi="ar"/>
        </w:rPr>
        <w:t xml:space="preserve">W0 </w:t>
      </w:r>
      <w:r>
        <w:rPr>
          <w:color w:val="000000"/>
          <w:kern w:val="0"/>
          <w:sz w:val="24"/>
          <w:lang w:bidi="ar"/>
        </w:rPr>
        <w:t>为体质量（</w:t>
      </w:r>
      <w:r>
        <w:rPr>
          <w:color w:val="000000"/>
          <w:kern w:val="0"/>
          <w:sz w:val="24"/>
          <w:lang w:bidi="ar"/>
        </w:rPr>
        <w:t>g</w:t>
      </w:r>
      <w:r>
        <w:rPr>
          <w:color w:val="000000"/>
          <w:kern w:val="0"/>
          <w:sz w:val="24"/>
          <w:lang w:bidi="ar"/>
        </w:rPr>
        <w:t>），</w:t>
      </w:r>
      <w:r>
        <w:rPr>
          <w:color w:val="000000"/>
          <w:kern w:val="0"/>
          <w:sz w:val="24"/>
          <w:lang w:bidi="ar"/>
        </w:rPr>
        <w:t xml:space="preserve">W1 </w:t>
      </w:r>
      <w:r>
        <w:rPr>
          <w:color w:val="000000"/>
          <w:kern w:val="0"/>
          <w:sz w:val="24"/>
          <w:lang w:bidi="ar"/>
        </w:rPr>
        <w:t>为初始体质量（</w:t>
      </w:r>
      <w:r>
        <w:rPr>
          <w:color w:val="000000"/>
          <w:kern w:val="0"/>
          <w:sz w:val="24"/>
          <w:lang w:bidi="ar"/>
        </w:rPr>
        <w:t>g</w:t>
      </w:r>
      <w:r>
        <w:rPr>
          <w:color w:val="000000"/>
          <w:kern w:val="0"/>
          <w:sz w:val="24"/>
          <w:lang w:bidi="ar"/>
        </w:rPr>
        <w:t>），</w:t>
      </w:r>
      <w:r>
        <w:rPr>
          <w:color w:val="000000"/>
          <w:kern w:val="0"/>
          <w:sz w:val="24"/>
          <w:lang w:bidi="ar"/>
        </w:rPr>
        <w:t xml:space="preserve">W2 </w:t>
      </w:r>
      <w:r>
        <w:rPr>
          <w:color w:val="000000"/>
          <w:kern w:val="0"/>
          <w:sz w:val="24"/>
          <w:lang w:bidi="ar"/>
        </w:rPr>
        <w:t>为终末体质量（</w:t>
      </w:r>
      <w:r>
        <w:rPr>
          <w:color w:val="000000"/>
          <w:kern w:val="0"/>
          <w:sz w:val="24"/>
          <w:lang w:bidi="ar"/>
        </w:rPr>
        <w:t>g</w:t>
      </w:r>
      <w:r>
        <w:rPr>
          <w:color w:val="000000"/>
          <w:kern w:val="0"/>
          <w:sz w:val="24"/>
          <w:lang w:bidi="ar"/>
        </w:rPr>
        <w:t>），</w:t>
      </w:r>
      <w:r>
        <w:rPr>
          <w:color w:val="000000"/>
          <w:kern w:val="0"/>
          <w:sz w:val="24"/>
          <w:lang w:bidi="ar"/>
        </w:rPr>
        <w:t xml:space="preserve">Ct </w:t>
      </w:r>
      <w:r>
        <w:rPr>
          <w:color w:val="000000"/>
          <w:kern w:val="0"/>
          <w:sz w:val="24"/>
          <w:lang w:bidi="ar"/>
        </w:rPr>
        <w:t>为每桶累计耗用饲料总重（</w:t>
      </w:r>
      <w:r>
        <w:rPr>
          <w:color w:val="000000"/>
          <w:kern w:val="0"/>
          <w:sz w:val="24"/>
          <w:lang w:bidi="ar"/>
        </w:rPr>
        <w:t>g</w:t>
      </w:r>
      <w:r>
        <w:rPr>
          <w:color w:val="000000"/>
          <w:kern w:val="0"/>
          <w:sz w:val="24"/>
          <w:lang w:bidi="ar"/>
        </w:rPr>
        <w:t>），</w:t>
      </w:r>
      <w:proofErr w:type="spellStart"/>
      <w:r>
        <w:rPr>
          <w:color w:val="000000"/>
          <w:kern w:val="0"/>
          <w:sz w:val="24"/>
          <w:lang w:bidi="ar"/>
        </w:rPr>
        <w:t>Lb</w:t>
      </w:r>
      <w:proofErr w:type="spellEnd"/>
      <w:r>
        <w:rPr>
          <w:color w:val="000000"/>
          <w:kern w:val="0"/>
          <w:sz w:val="24"/>
          <w:lang w:bidi="ar"/>
        </w:rPr>
        <w:t xml:space="preserve"> </w:t>
      </w:r>
      <w:r>
        <w:rPr>
          <w:color w:val="000000"/>
          <w:kern w:val="0"/>
          <w:sz w:val="24"/>
          <w:lang w:bidi="ar"/>
        </w:rPr>
        <w:t>为体长（</w:t>
      </w:r>
      <w:r>
        <w:rPr>
          <w:color w:val="000000"/>
          <w:kern w:val="0"/>
          <w:sz w:val="24"/>
          <w:lang w:bidi="ar"/>
        </w:rPr>
        <w:t>cm</w:t>
      </w:r>
      <w:r>
        <w:rPr>
          <w:color w:val="000000"/>
          <w:kern w:val="0"/>
          <w:sz w:val="24"/>
          <w:lang w:bidi="ar"/>
        </w:rPr>
        <w:t>），</w:t>
      </w:r>
      <w:proofErr w:type="spellStart"/>
      <w:r>
        <w:rPr>
          <w:color w:val="000000"/>
          <w:kern w:val="0"/>
          <w:sz w:val="24"/>
          <w:lang w:bidi="ar"/>
        </w:rPr>
        <w:t>Lw</w:t>
      </w:r>
      <w:proofErr w:type="spellEnd"/>
      <w:r>
        <w:rPr>
          <w:color w:val="000000"/>
          <w:kern w:val="0"/>
          <w:sz w:val="24"/>
          <w:lang w:bidi="ar"/>
        </w:rPr>
        <w:t xml:space="preserve"> </w:t>
      </w:r>
      <w:r>
        <w:rPr>
          <w:color w:val="000000"/>
          <w:kern w:val="0"/>
          <w:sz w:val="24"/>
          <w:lang w:bidi="ar"/>
        </w:rPr>
        <w:t>为肝脏重量（</w:t>
      </w:r>
      <w:r>
        <w:rPr>
          <w:color w:val="000000"/>
          <w:kern w:val="0"/>
          <w:sz w:val="24"/>
          <w:lang w:bidi="ar"/>
        </w:rPr>
        <w:t>g</w:t>
      </w:r>
      <w:r>
        <w:rPr>
          <w:color w:val="000000"/>
          <w:kern w:val="0"/>
          <w:sz w:val="24"/>
          <w:lang w:bidi="ar"/>
        </w:rPr>
        <w:t>），</w:t>
      </w:r>
      <w:proofErr w:type="spellStart"/>
      <w:r>
        <w:rPr>
          <w:color w:val="000000"/>
          <w:kern w:val="0"/>
          <w:sz w:val="24"/>
          <w:lang w:bidi="ar"/>
        </w:rPr>
        <w:t>Cw</w:t>
      </w:r>
      <w:proofErr w:type="spellEnd"/>
      <w:r>
        <w:rPr>
          <w:color w:val="000000"/>
          <w:kern w:val="0"/>
          <w:sz w:val="24"/>
          <w:lang w:bidi="ar"/>
        </w:rPr>
        <w:t xml:space="preserve"> </w:t>
      </w:r>
      <w:r>
        <w:rPr>
          <w:color w:val="000000"/>
          <w:kern w:val="0"/>
          <w:sz w:val="24"/>
          <w:lang w:bidi="ar"/>
        </w:rPr>
        <w:t>为内脏重量（</w:t>
      </w:r>
      <w:r>
        <w:rPr>
          <w:color w:val="000000"/>
          <w:kern w:val="0"/>
          <w:sz w:val="24"/>
          <w:lang w:bidi="ar"/>
        </w:rPr>
        <w:t>g</w:t>
      </w:r>
      <w:r>
        <w:rPr>
          <w:color w:val="000000"/>
          <w:kern w:val="0"/>
          <w:sz w:val="24"/>
          <w:lang w:bidi="ar"/>
        </w:rPr>
        <w:t>），</w:t>
      </w:r>
      <w:proofErr w:type="spellStart"/>
      <w:r>
        <w:rPr>
          <w:color w:val="000000"/>
          <w:kern w:val="0"/>
          <w:sz w:val="24"/>
          <w:lang w:bidi="ar"/>
        </w:rPr>
        <w:t>Wf</w:t>
      </w:r>
      <w:proofErr w:type="spellEnd"/>
      <w:r>
        <w:rPr>
          <w:color w:val="000000"/>
          <w:kern w:val="0"/>
          <w:sz w:val="24"/>
          <w:lang w:bidi="ar"/>
        </w:rPr>
        <w:t xml:space="preserve"> </w:t>
      </w:r>
      <w:r>
        <w:rPr>
          <w:color w:val="000000"/>
          <w:kern w:val="0"/>
          <w:sz w:val="24"/>
          <w:lang w:bidi="ar"/>
        </w:rPr>
        <w:t>为腹部脂肪重量（</w:t>
      </w:r>
      <w:r>
        <w:rPr>
          <w:color w:val="000000"/>
          <w:kern w:val="0"/>
          <w:sz w:val="24"/>
          <w:lang w:bidi="ar"/>
        </w:rPr>
        <w:t>g</w:t>
      </w:r>
      <w:r>
        <w:rPr>
          <w:color w:val="000000"/>
          <w:kern w:val="0"/>
          <w:sz w:val="24"/>
          <w:lang w:bidi="ar"/>
        </w:rPr>
        <w:t>），</w:t>
      </w:r>
      <w:r>
        <w:rPr>
          <w:color w:val="000000"/>
          <w:kern w:val="0"/>
          <w:sz w:val="24"/>
          <w:lang w:bidi="ar"/>
        </w:rPr>
        <w:t xml:space="preserve">t </w:t>
      </w:r>
      <w:r>
        <w:rPr>
          <w:color w:val="000000"/>
          <w:kern w:val="0"/>
          <w:sz w:val="24"/>
          <w:lang w:bidi="ar"/>
        </w:rPr>
        <w:t>为养殖周期（</w:t>
      </w:r>
      <w:r>
        <w:rPr>
          <w:color w:val="000000"/>
          <w:kern w:val="0"/>
          <w:sz w:val="24"/>
          <w:lang w:bidi="ar"/>
        </w:rPr>
        <w:t>d</w:t>
      </w:r>
      <w:r>
        <w:rPr>
          <w:color w:val="000000"/>
          <w:kern w:val="0"/>
          <w:sz w:val="24"/>
          <w:lang w:bidi="ar"/>
        </w:rPr>
        <w:t>）。</w:t>
      </w:r>
    </w:p>
    <w:p w14:paraId="71BED440" w14:textId="77777777" w:rsidR="006D73E5" w:rsidRDefault="00000000">
      <w:pPr>
        <w:widowControl/>
        <w:spacing w:line="360" w:lineRule="auto"/>
        <w:rPr>
          <w:color w:val="000000"/>
          <w:kern w:val="0"/>
          <w:sz w:val="24"/>
          <w:lang w:bidi="ar"/>
        </w:rPr>
      </w:pPr>
      <w:r>
        <w:rPr>
          <w:color w:val="000000"/>
          <w:kern w:val="0"/>
          <w:sz w:val="24"/>
          <w:lang w:bidi="ar"/>
        </w:rPr>
        <w:t xml:space="preserve">1.5 </w:t>
      </w:r>
      <w:r>
        <w:rPr>
          <w:color w:val="000000"/>
          <w:kern w:val="0"/>
          <w:sz w:val="24"/>
          <w:lang w:bidi="ar"/>
        </w:rPr>
        <w:t>数据分析</w:t>
      </w:r>
      <w:r>
        <w:rPr>
          <w:color w:val="000000"/>
          <w:kern w:val="0"/>
          <w:sz w:val="24"/>
          <w:lang w:bidi="ar"/>
        </w:rPr>
        <w:t xml:space="preserve"> </w:t>
      </w:r>
    </w:p>
    <w:p w14:paraId="40E1A0B3" w14:textId="77777777" w:rsidR="006D73E5" w:rsidRDefault="00000000">
      <w:pPr>
        <w:widowControl/>
        <w:spacing w:line="360" w:lineRule="auto"/>
        <w:ind w:firstLineChars="200" w:firstLine="480"/>
        <w:rPr>
          <w:color w:val="000000"/>
          <w:kern w:val="0"/>
          <w:sz w:val="24"/>
          <w:lang w:bidi="ar"/>
        </w:rPr>
      </w:pPr>
      <w:r>
        <w:rPr>
          <w:color w:val="000000"/>
          <w:kern w:val="0"/>
          <w:sz w:val="24"/>
          <w:lang w:bidi="ar"/>
        </w:rPr>
        <w:t>数据用</w:t>
      </w:r>
      <w:r>
        <w:rPr>
          <w:color w:val="000000"/>
          <w:kern w:val="0"/>
          <w:sz w:val="24"/>
          <w:lang w:bidi="ar"/>
        </w:rPr>
        <w:t xml:space="preserve"> IBM SPSS 22.0 </w:t>
      </w:r>
      <w:r>
        <w:rPr>
          <w:color w:val="000000"/>
          <w:kern w:val="0"/>
          <w:sz w:val="24"/>
          <w:lang w:bidi="ar"/>
        </w:rPr>
        <w:t>软件进行单因素方差分析（</w:t>
      </w:r>
      <w:r>
        <w:rPr>
          <w:color w:val="000000"/>
          <w:kern w:val="0"/>
          <w:sz w:val="24"/>
          <w:lang w:bidi="ar"/>
        </w:rPr>
        <w:t>One-Way ANOVA</w:t>
      </w:r>
      <w:r>
        <w:rPr>
          <w:color w:val="000000"/>
          <w:kern w:val="0"/>
          <w:sz w:val="24"/>
          <w:lang w:bidi="ar"/>
        </w:rPr>
        <w:t>），用</w:t>
      </w:r>
      <w:r>
        <w:rPr>
          <w:color w:val="000000"/>
          <w:kern w:val="0"/>
          <w:sz w:val="24"/>
          <w:lang w:bidi="ar"/>
        </w:rPr>
        <w:t xml:space="preserve"> Tukey </w:t>
      </w:r>
      <w:r>
        <w:rPr>
          <w:color w:val="000000"/>
          <w:kern w:val="0"/>
          <w:sz w:val="24"/>
          <w:lang w:bidi="ar"/>
        </w:rPr>
        <w:t>多重比较组间均值差异，</w:t>
      </w:r>
      <w:r>
        <w:rPr>
          <w:i/>
          <w:iCs/>
          <w:color w:val="000000"/>
          <w:kern w:val="0"/>
          <w:sz w:val="24"/>
          <w:lang w:bidi="ar"/>
        </w:rPr>
        <w:t>P</w:t>
      </w:r>
      <w:r>
        <w:rPr>
          <w:color w:val="000000"/>
          <w:kern w:val="0"/>
          <w:sz w:val="24"/>
          <w:lang w:bidi="ar"/>
        </w:rPr>
        <w:t xml:space="preserve"> &lt; 0.05 </w:t>
      </w:r>
      <w:r>
        <w:rPr>
          <w:color w:val="000000"/>
          <w:kern w:val="0"/>
          <w:sz w:val="24"/>
          <w:lang w:bidi="ar"/>
        </w:rPr>
        <w:t>表示差异显著；数据以平均值</w:t>
      </w:r>
      <w:r>
        <w:rPr>
          <w:color w:val="000000"/>
          <w:kern w:val="0"/>
          <w:sz w:val="24"/>
          <w:lang w:bidi="ar"/>
        </w:rPr>
        <w:t>±</w:t>
      </w:r>
      <w:r>
        <w:rPr>
          <w:color w:val="000000"/>
          <w:kern w:val="0"/>
          <w:sz w:val="24"/>
          <w:lang w:bidi="ar"/>
        </w:rPr>
        <w:t>标准误（</w:t>
      </w:r>
      <w:proofErr w:type="spellStart"/>
      <w:r>
        <w:rPr>
          <w:color w:val="000000"/>
          <w:kern w:val="0"/>
          <w:sz w:val="24"/>
          <w:lang w:bidi="ar"/>
        </w:rPr>
        <w:t>mean±SE</w:t>
      </w:r>
      <w:proofErr w:type="spellEnd"/>
      <w:r>
        <w:rPr>
          <w:color w:val="000000"/>
          <w:kern w:val="0"/>
          <w:sz w:val="24"/>
          <w:lang w:bidi="ar"/>
        </w:rPr>
        <w:t>）表示。</w:t>
      </w:r>
    </w:p>
    <w:p w14:paraId="2ADEB9D6" w14:textId="77777777" w:rsidR="006D73E5" w:rsidRDefault="00000000">
      <w:pPr>
        <w:widowControl/>
        <w:spacing w:line="360" w:lineRule="auto"/>
        <w:rPr>
          <w:color w:val="000000"/>
          <w:kern w:val="0"/>
          <w:sz w:val="24"/>
          <w:lang w:bidi="ar"/>
        </w:rPr>
      </w:pPr>
      <w:r>
        <w:rPr>
          <w:color w:val="000000"/>
          <w:kern w:val="0"/>
          <w:sz w:val="24"/>
          <w:lang w:bidi="ar"/>
        </w:rPr>
        <w:t xml:space="preserve">2. </w:t>
      </w:r>
      <w:r>
        <w:rPr>
          <w:color w:val="000000"/>
          <w:kern w:val="0"/>
          <w:sz w:val="24"/>
          <w:lang w:bidi="ar"/>
        </w:rPr>
        <w:t>结果</w:t>
      </w:r>
    </w:p>
    <w:p w14:paraId="3D8C132B" w14:textId="77777777" w:rsidR="006D73E5" w:rsidRDefault="00000000">
      <w:pPr>
        <w:widowControl/>
        <w:spacing w:line="360" w:lineRule="auto"/>
        <w:rPr>
          <w:color w:val="000000"/>
          <w:kern w:val="0"/>
          <w:sz w:val="24"/>
          <w:lang w:bidi="ar"/>
        </w:rPr>
      </w:pPr>
      <w:r>
        <w:rPr>
          <w:color w:val="000000"/>
          <w:kern w:val="0"/>
          <w:sz w:val="24"/>
          <w:lang w:bidi="ar"/>
        </w:rPr>
        <w:t xml:space="preserve">2.1 </w:t>
      </w:r>
      <w:r>
        <w:rPr>
          <w:color w:val="000000"/>
          <w:kern w:val="0"/>
          <w:sz w:val="24"/>
          <w:lang w:bidi="ar"/>
        </w:rPr>
        <w:t>饲料中</w:t>
      </w:r>
      <w:r>
        <w:rPr>
          <w:color w:val="000000"/>
          <w:kern w:val="0"/>
          <w:sz w:val="24"/>
          <w:lang w:bidi="ar"/>
        </w:rPr>
        <w:t xml:space="preserve"> GAA </w:t>
      </w:r>
      <w:r>
        <w:rPr>
          <w:color w:val="000000"/>
          <w:kern w:val="0"/>
          <w:sz w:val="24"/>
          <w:lang w:bidi="ar"/>
        </w:rPr>
        <w:t>水平对斑点叉尾鮰生长及饲料利用的影响</w:t>
      </w:r>
      <w:r>
        <w:rPr>
          <w:color w:val="000000"/>
          <w:kern w:val="0"/>
          <w:sz w:val="24"/>
          <w:lang w:bidi="ar"/>
        </w:rPr>
        <w:t xml:space="preserve"> </w:t>
      </w:r>
    </w:p>
    <w:p w14:paraId="41C83CF3" w14:textId="77777777" w:rsidR="006D73E5" w:rsidRDefault="00000000">
      <w:pPr>
        <w:widowControl/>
        <w:spacing w:line="360" w:lineRule="auto"/>
        <w:rPr>
          <w:color w:val="000000"/>
          <w:kern w:val="0"/>
          <w:sz w:val="24"/>
          <w:lang w:bidi="ar"/>
        </w:rPr>
      </w:pPr>
      <w:r>
        <w:rPr>
          <w:color w:val="000000"/>
          <w:kern w:val="0"/>
          <w:sz w:val="24"/>
          <w:lang w:bidi="ar"/>
        </w:rPr>
        <w:t>添加</w:t>
      </w:r>
      <w:r>
        <w:rPr>
          <w:color w:val="000000"/>
          <w:kern w:val="0"/>
          <w:sz w:val="24"/>
          <w:lang w:bidi="ar"/>
        </w:rPr>
        <w:t xml:space="preserve"> GAA </w:t>
      </w:r>
      <w:r>
        <w:rPr>
          <w:color w:val="000000"/>
          <w:kern w:val="0"/>
          <w:sz w:val="24"/>
          <w:lang w:bidi="ar"/>
        </w:rPr>
        <w:t>可显著影响斑点叉尾鮰的形体指标，与对照组相比，</w:t>
      </w:r>
      <w:r>
        <w:rPr>
          <w:color w:val="000000"/>
          <w:kern w:val="0"/>
          <w:sz w:val="24"/>
          <w:lang w:bidi="ar"/>
        </w:rPr>
        <w:t xml:space="preserve">VSI </w:t>
      </w:r>
      <w:r>
        <w:rPr>
          <w:color w:val="000000"/>
          <w:kern w:val="0"/>
          <w:sz w:val="24"/>
          <w:lang w:bidi="ar"/>
        </w:rPr>
        <w:t>和</w:t>
      </w:r>
      <w:r>
        <w:rPr>
          <w:color w:val="000000"/>
          <w:kern w:val="0"/>
          <w:sz w:val="24"/>
          <w:lang w:bidi="ar"/>
        </w:rPr>
        <w:t xml:space="preserve"> IPF </w:t>
      </w:r>
      <w:r>
        <w:rPr>
          <w:color w:val="000000"/>
          <w:kern w:val="0"/>
          <w:sz w:val="24"/>
          <w:lang w:bidi="ar"/>
        </w:rPr>
        <w:t>在</w:t>
      </w:r>
      <w:r>
        <w:rPr>
          <w:color w:val="000000"/>
          <w:kern w:val="0"/>
          <w:sz w:val="24"/>
          <w:lang w:bidi="ar"/>
        </w:rPr>
        <w:t xml:space="preserve"> GAA300 </w:t>
      </w:r>
      <w:r>
        <w:rPr>
          <w:color w:val="000000"/>
          <w:kern w:val="0"/>
          <w:sz w:val="24"/>
          <w:lang w:bidi="ar"/>
        </w:rPr>
        <w:t>组有下降趋势（</w:t>
      </w:r>
      <w:r>
        <w:rPr>
          <w:i/>
          <w:iCs/>
          <w:color w:val="000000"/>
          <w:kern w:val="0"/>
          <w:sz w:val="24"/>
          <w:lang w:bidi="ar"/>
        </w:rPr>
        <w:t>P</w:t>
      </w:r>
      <w:r>
        <w:rPr>
          <w:color w:val="000000"/>
          <w:kern w:val="0"/>
          <w:sz w:val="24"/>
          <w:lang w:bidi="ar"/>
        </w:rPr>
        <w:t xml:space="preserve"> &gt; 0.05</w:t>
      </w:r>
      <w:r>
        <w:rPr>
          <w:color w:val="000000"/>
          <w:kern w:val="0"/>
          <w:sz w:val="24"/>
          <w:lang w:bidi="ar"/>
        </w:rPr>
        <w:t>），之后随着</w:t>
      </w:r>
      <w:r>
        <w:rPr>
          <w:color w:val="000000"/>
          <w:kern w:val="0"/>
          <w:sz w:val="24"/>
          <w:lang w:bidi="ar"/>
        </w:rPr>
        <w:t xml:space="preserve"> GAA </w:t>
      </w:r>
      <w:r>
        <w:rPr>
          <w:color w:val="000000"/>
          <w:kern w:val="0"/>
          <w:sz w:val="24"/>
          <w:lang w:bidi="ar"/>
        </w:rPr>
        <w:t>添加水平的增加而升高，与</w:t>
      </w:r>
      <w:r>
        <w:rPr>
          <w:color w:val="000000"/>
          <w:kern w:val="0"/>
          <w:sz w:val="24"/>
          <w:lang w:bidi="ar"/>
        </w:rPr>
        <w:t xml:space="preserve"> GAA300 </w:t>
      </w:r>
      <w:r>
        <w:rPr>
          <w:color w:val="000000"/>
          <w:kern w:val="0"/>
          <w:sz w:val="24"/>
          <w:lang w:bidi="ar"/>
        </w:rPr>
        <w:t>组相比，</w:t>
      </w:r>
      <w:r>
        <w:rPr>
          <w:color w:val="000000"/>
          <w:kern w:val="0"/>
          <w:sz w:val="24"/>
          <w:lang w:bidi="ar"/>
        </w:rPr>
        <w:t xml:space="preserve">GAA900 </w:t>
      </w:r>
      <w:r>
        <w:rPr>
          <w:color w:val="000000"/>
          <w:kern w:val="0"/>
          <w:sz w:val="24"/>
          <w:lang w:bidi="ar"/>
        </w:rPr>
        <w:t>组斑点叉尾鮰的</w:t>
      </w:r>
      <w:r>
        <w:rPr>
          <w:color w:val="000000"/>
          <w:kern w:val="0"/>
          <w:sz w:val="24"/>
          <w:lang w:bidi="ar"/>
        </w:rPr>
        <w:t xml:space="preserve">VSI </w:t>
      </w:r>
      <w:r>
        <w:rPr>
          <w:color w:val="000000"/>
          <w:kern w:val="0"/>
          <w:sz w:val="24"/>
          <w:lang w:bidi="ar"/>
        </w:rPr>
        <w:t>和</w:t>
      </w:r>
      <w:r>
        <w:rPr>
          <w:color w:val="000000"/>
          <w:kern w:val="0"/>
          <w:sz w:val="24"/>
          <w:lang w:bidi="ar"/>
        </w:rPr>
        <w:t xml:space="preserve"> IPF </w:t>
      </w:r>
      <w:r>
        <w:rPr>
          <w:color w:val="000000"/>
          <w:kern w:val="0"/>
          <w:sz w:val="24"/>
          <w:lang w:bidi="ar"/>
        </w:rPr>
        <w:t>显著升高（</w:t>
      </w:r>
      <w:r>
        <w:rPr>
          <w:i/>
          <w:iCs/>
          <w:color w:val="000000"/>
          <w:kern w:val="0"/>
          <w:sz w:val="24"/>
          <w:lang w:bidi="ar"/>
        </w:rPr>
        <w:t xml:space="preserve">P </w:t>
      </w:r>
      <w:r>
        <w:rPr>
          <w:color w:val="000000"/>
          <w:kern w:val="0"/>
          <w:sz w:val="24"/>
          <w:lang w:bidi="ar"/>
        </w:rPr>
        <w:t>&lt; 0.05</w:t>
      </w:r>
      <w:r>
        <w:rPr>
          <w:color w:val="000000"/>
          <w:kern w:val="0"/>
          <w:sz w:val="24"/>
          <w:lang w:bidi="ar"/>
        </w:rPr>
        <w:t>）（表</w:t>
      </w:r>
      <w:r>
        <w:rPr>
          <w:color w:val="000000"/>
          <w:kern w:val="0"/>
          <w:sz w:val="24"/>
          <w:lang w:bidi="ar"/>
        </w:rPr>
        <w:t xml:space="preserve"> 2</w:t>
      </w:r>
      <w:r>
        <w:rPr>
          <w:color w:val="000000"/>
          <w:kern w:val="0"/>
          <w:sz w:val="24"/>
          <w:lang w:bidi="ar"/>
        </w:rPr>
        <w:t>）。饲料中添加</w:t>
      </w:r>
      <w:r>
        <w:rPr>
          <w:color w:val="000000"/>
          <w:kern w:val="0"/>
          <w:sz w:val="24"/>
          <w:lang w:bidi="ar"/>
        </w:rPr>
        <w:t xml:space="preserve"> GAA </w:t>
      </w:r>
      <w:r>
        <w:rPr>
          <w:color w:val="000000"/>
          <w:kern w:val="0"/>
          <w:sz w:val="24"/>
          <w:lang w:bidi="ar"/>
        </w:rPr>
        <w:lastRenderedPageBreak/>
        <w:t>对</w:t>
      </w:r>
      <w:r>
        <w:rPr>
          <w:color w:val="000000"/>
          <w:kern w:val="0"/>
          <w:sz w:val="24"/>
          <w:lang w:bidi="ar"/>
        </w:rPr>
        <w:t xml:space="preserve"> FBW</w:t>
      </w:r>
      <w:r>
        <w:rPr>
          <w:color w:val="000000"/>
          <w:kern w:val="0"/>
          <w:sz w:val="24"/>
          <w:lang w:bidi="ar"/>
        </w:rPr>
        <w:t>、</w:t>
      </w:r>
      <w:r>
        <w:rPr>
          <w:color w:val="000000"/>
          <w:kern w:val="0"/>
          <w:sz w:val="24"/>
          <w:lang w:bidi="ar"/>
        </w:rPr>
        <w:t>WGR</w:t>
      </w:r>
      <w:r>
        <w:rPr>
          <w:color w:val="000000"/>
          <w:kern w:val="0"/>
          <w:sz w:val="24"/>
          <w:lang w:bidi="ar"/>
        </w:rPr>
        <w:t>、</w:t>
      </w:r>
      <w:r>
        <w:rPr>
          <w:color w:val="000000"/>
          <w:kern w:val="0"/>
          <w:sz w:val="24"/>
          <w:lang w:bidi="ar"/>
        </w:rPr>
        <w:t>SGR</w:t>
      </w:r>
      <w:r>
        <w:rPr>
          <w:color w:val="000000"/>
          <w:kern w:val="0"/>
          <w:sz w:val="24"/>
          <w:lang w:bidi="ar"/>
        </w:rPr>
        <w:t>、</w:t>
      </w:r>
      <w:r>
        <w:rPr>
          <w:color w:val="000000"/>
          <w:kern w:val="0"/>
          <w:sz w:val="24"/>
          <w:lang w:bidi="ar"/>
        </w:rPr>
        <w:t>FCR</w:t>
      </w:r>
      <w:r>
        <w:rPr>
          <w:color w:val="000000"/>
          <w:kern w:val="0"/>
          <w:sz w:val="24"/>
          <w:lang w:bidi="ar"/>
        </w:rPr>
        <w:t>、</w:t>
      </w:r>
      <w:r>
        <w:rPr>
          <w:color w:val="000000"/>
          <w:kern w:val="0"/>
          <w:sz w:val="24"/>
          <w:lang w:bidi="ar"/>
        </w:rPr>
        <w:t>HSI</w:t>
      </w:r>
      <w:r>
        <w:rPr>
          <w:color w:val="000000"/>
          <w:kern w:val="0"/>
          <w:sz w:val="24"/>
          <w:lang w:bidi="ar"/>
        </w:rPr>
        <w:t>、</w:t>
      </w:r>
      <w:r>
        <w:rPr>
          <w:color w:val="000000"/>
          <w:kern w:val="0"/>
          <w:sz w:val="24"/>
          <w:lang w:bidi="ar"/>
        </w:rPr>
        <w:t xml:space="preserve">CF </w:t>
      </w:r>
      <w:r>
        <w:rPr>
          <w:color w:val="000000"/>
          <w:kern w:val="0"/>
          <w:sz w:val="24"/>
          <w:lang w:bidi="ar"/>
        </w:rPr>
        <w:t>和</w:t>
      </w:r>
      <w:r>
        <w:rPr>
          <w:color w:val="000000"/>
          <w:kern w:val="0"/>
          <w:sz w:val="24"/>
          <w:lang w:bidi="ar"/>
        </w:rPr>
        <w:t xml:space="preserve"> SR</w:t>
      </w:r>
      <w:r>
        <w:rPr>
          <w:color w:val="000000"/>
          <w:kern w:val="0"/>
          <w:sz w:val="24"/>
          <w:lang w:bidi="ar"/>
        </w:rPr>
        <w:t>无显著影响（</w:t>
      </w:r>
      <w:r>
        <w:rPr>
          <w:color w:val="000000"/>
          <w:kern w:val="0"/>
          <w:sz w:val="24"/>
          <w:lang w:bidi="ar"/>
        </w:rPr>
        <w:t>P &gt; 0.05</w:t>
      </w:r>
      <w:r>
        <w:rPr>
          <w:color w:val="000000"/>
          <w:kern w:val="0"/>
          <w:sz w:val="24"/>
          <w:lang w:bidi="ar"/>
        </w:rPr>
        <w:t>），</w:t>
      </w:r>
      <w:r>
        <w:rPr>
          <w:color w:val="000000"/>
          <w:kern w:val="0"/>
          <w:sz w:val="24"/>
          <w:lang w:bidi="ar"/>
        </w:rPr>
        <w:t xml:space="preserve">FBW </w:t>
      </w:r>
      <w:r>
        <w:rPr>
          <w:color w:val="000000"/>
          <w:kern w:val="0"/>
          <w:sz w:val="24"/>
          <w:lang w:bidi="ar"/>
        </w:rPr>
        <w:t>和</w:t>
      </w:r>
      <w:r>
        <w:rPr>
          <w:color w:val="000000"/>
          <w:kern w:val="0"/>
          <w:sz w:val="24"/>
          <w:lang w:bidi="ar"/>
        </w:rPr>
        <w:t xml:space="preserve"> WGR </w:t>
      </w:r>
      <w:r>
        <w:rPr>
          <w:color w:val="000000"/>
          <w:kern w:val="0"/>
          <w:sz w:val="24"/>
          <w:lang w:bidi="ar"/>
        </w:rPr>
        <w:t>在</w:t>
      </w:r>
      <w:r>
        <w:rPr>
          <w:color w:val="000000"/>
          <w:kern w:val="0"/>
          <w:sz w:val="24"/>
          <w:lang w:bidi="ar"/>
        </w:rPr>
        <w:t xml:space="preserve"> GAA300 </w:t>
      </w:r>
      <w:r>
        <w:rPr>
          <w:color w:val="000000"/>
          <w:kern w:val="0"/>
          <w:sz w:val="24"/>
          <w:lang w:bidi="ar"/>
        </w:rPr>
        <w:t>组最高（表</w:t>
      </w:r>
      <w:r>
        <w:rPr>
          <w:color w:val="000000"/>
          <w:kern w:val="0"/>
          <w:sz w:val="24"/>
          <w:lang w:bidi="ar"/>
        </w:rPr>
        <w:t xml:space="preserve"> 2</w:t>
      </w:r>
      <w:r>
        <w:rPr>
          <w:color w:val="000000"/>
          <w:kern w:val="0"/>
          <w:sz w:val="24"/>
          <w:lang w:bidi="ar"/>
        </w:rPr>
        <w:t>）。以</w:t>
      </w:r>
      <w:r>
        <w:rPr>
          <w:color w:val="000000"/>
          <w:kern w:val="0"/>
          <w:sz w:val="24"/>
          <w:lang w:bidi="ar"/>
        </w:rPr>
        <w:t xml:space="preserve"> IPF </w:t>
      </w:r>
      <w:r>
        <w:rPr>
          <w:color w:val="000000"/>
          <w:kern w:val="0"/>
          <w:sz w:val="24"/>
          <w:lang w:bidi="ar"/>
        </w:rPr>
        <w:t>为指标通过二次函数分析，获得最适</w:t>
      </w:r>
      <w:r>
        <w:rPr>
          <w:color w:val="000000"/>
          <w:kern w:val="0"/>
          <w:sz w:val="24"/>
          <w:lang w:bidi="ar"/>
        </w:rPr>
        <w:t xml:space="preserve"> IPF </w:t>
      </w:r>
      <w:r>
        <w:rPr>
          <w:color w:val="000000"/>
          <w:kern w:val="0"/>
          <w:sz w:val="24"/>
          <w:lang w:bidi="ar"/>
        </w:rPr>
        <w:t>的</w:t>
      </w:r>
      <w:r>
        <w:rPr>
          <w:color w:val="000000"/>
          <w:kern w:val="0"/>
          <w:sz w:val="24"/>
          <w:lang w:bidi="ar"/>
        </w:rPr>
        <w:t xml:space="preserve"> GAA </w:t>
      </w:r>
      <w:r>
        <w:rPr>
          <w:color w:val="000000"/>
          <w:kern w:val="0"/>
          <w:sz w:val="24"/>
          <w:lang w:bidi="ar"/>
        </w:rPr>
        <w:t>添加量为</w:t>
      </w:r>
      <w:r>
        <w:rPr>
          <w:color w:val="000000"/>
          <w:kern w:val="0"/>
          <w:sz w:val="24"/>
          <w:lang w:bidi="ar"/>
        </w:rPr>
        <w:t xml:space="preserve"> 275 mg/kg</w:t>
      </w:r>
      <w:r>
        <w:rPr>
          <w:color w:val="000000"/>
          <w:kern w:val="0"/>
          <w:sz w:val="24"/>
          <w:lang w:bidi="ar"/>
        </w:rPr>
        <w:t>（图</w:t>
      </w:r>
      <w:r>
        <w:rPr>
          <w:color w:val="000000"/>
          <w:kern w:val="0"/>
          <w:sz w:val="24"/>
          <w:lang w:bidi="ar"/>
        </w:rPr>
        <w:t xml:space="preserve"> 1</w:t>
      </w:r>
      <w:r>
        <w:rPr>
          <w:color w:val="000000"/>
          <w:kern w:val="0"/>
          <w:sz w:val="24"/>
          <w:lang w:bidi="ar"/>
        </w:rPr>
        <w:t>）；以</w:t>
      </w:r>
      <w:r>
        <w:rPr>
          <w:color w:val="000000"/>
          <w:kern w:val="0"/>
          <w:sz w:val="24"/>
          <w:lang w:bidi="ar"/>
        </w:rPr>
        <w:t xml:space="preserve"> VSI </w:t>
      </w:r>
      <w:r>
        <w:rPr>
          <w:color w:val="000000"/>
          <w:kern w:val="0"/>
          <w:sz w:val="24"/>
          <w:lang w:bidi="ar"/>
        </w:rPr>
        <w:t>为指标通过二次函数分析，获得最适</w:t>
      </w:r>
      <w:r>
        <w:rPr>
          <w:color w:val="000000"/>
          <w:kern w:val="0"/>
          <w:sz w:val="24"/>
          <w:lang w:bidi="ar"/>
        </w:rPr>
        <w:t xml:space="preserve"> VSI</w:t>
      </w:r>
      <w:r>
        <w:rPr>
          <w:color w:val="000000"/>
          <w:kern w:val="0"/>
          <w:sz w:val="24"/>
          <w:lang w:bidi="ar"/>
        </w:rPr>
        <w:t>的</w:t>
      </w:r>
      <w:r>
        <w:rPr>
          <w:color w:val="000000"/>
          <w:kern w:val="0"/>
          <w:sz w:val="24"/>
          <w:lang w:bidi="ar"/>
        </w:rPr>
        <w:t xml:space="preserve"> GAA </w:t>
      </w:r>
      <w:r>
        <w:rPr>
          <w:color w:val="000000"/>
          <w:kern w:val="0"/>
          <w:sz w:val="24"/>
          <w:lang w:bidi="ar"/>
        </w:rPr>
        <w:t>添加量为</w:t>
      </w:r>
      <w:r>
        <w:rPr>
          <w:color w:val="000000"/>
          <w:kern w:val="0"/>
          <w:sz w:val="24"/>
          <w:lang w:bidi="ar"/>
        </w:rPr>
        <w:t xml:space="preserve"> 150mg/kg</w:t>
      </w:r>
      <w:r>
        <w:rPr>
          <w:color w:val="000000"/>
          <w:kern w:val="0"/>
          <w:sz w:val="24"/>
          <w:lang w:bidi="ar"/>
        </w:rPr>
        <w:t>（图</w:t>
      </w:r>
      <w:r>
        <w:rPr>
          <w:color w:val="000000"/>
          <w:kern w:val="0"/>
          <w:sz w:val="24"/>
          <w:lang w:bidi="ar"/>
        </w:rPr>
        <w:t xml:space="preserve"> 2</w:t>
      </w:r>
      <w:r>
        <w:rPr>
          <w:color w:val="000000"/>
          <w:kern w:val="0"/>
          <w:sz w:val="24"/>
          <w:lang w:bidi="ar"/>
        </w:rPr>
        <w:t>）。</w:t>
      </w:r>
    </w:p>
    <w:p w14:paraId="39D7186F" w14:textId="77777777" w:rsidR="006D73E5" w:rsidRDefault="00000000">
      <w:pPr>
        <w:widowControl/>
        <w:spacing w:line="360" w:lineRule="auto"/>
        <w:jc w:val="center"/>
        <w:rPr>
          <w:color w:val="000000"/>
          <w:kern w:val="0"/>
          <w:sz w:val="24"/>
          <w:lang w:bidi="ar"/>
        </w:rPr>
      </w:pPr>
      <w:r>
        <w:rPr>
          <w:noProof/>
          <w:color w:val="000000"/>
          <w:kern w:val="0"/>
          <w:sz w:val="24"/>
          <w:lang w:bidi="ar"/>
        </w:rPr>
        <w:drawing>
          <wp:inline distT="0" distB="0" distL="0" distR="0" wp14:anchorId="6D87589A" wp14:editId="7C5F04E0">
            <wp:extent cx="6485255" cy="3684905"/>
            <wp:effectExtent l="0" t="0" r="0" b="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6488221" cy="3686677"/>
                    </a:xfrm>
                    <a:prstGeom prst="rect">
                      <a:avLst/>
                    </a:prstGeom>
                    <a:noFill/>
                    <a:ln>
                      <a:noFill/>
                    </a:ln>
                  </pic:spPr>
                </pic:pic>
              </a:graphicData>
            </a:graphic>
          </wp:inline>
        </w:drawing>
      </w:r>
    </w:p>
    <w:p w14:paraId="0BD13238" w14:textId="77777777" w:rsidR="006D73E5" w:rsidRDefault="006D73E5">
      <w:pPr>
        <w:widowControl/>
        <w:spacing w:line="360" w:lineRule="auto"/>
        <w:ind w:firstLineChars="200" w:firstLine="480"/>
        <w:jc w:val="center"/>
        <w:rPr>
          <w:color w:val="000000"/>
          <w:kern w:val="0"/>
          <w:sz w:val="24"/>
          <w:lang w:bidi="ar"/>
        </w:rPr>
      </w:pPr>
    </w:p>
    <w:p w14:paraId="7380444A" w14:textId="77777777" w:rsidR="006D73E5" w:rsidRDefault="00000000">
      <w:pPr>
        <w:widowControl/>
        <w:spacing w:line="360" w:lineRule="auto"/>
        <w:ind w:firstLineChars="200" w:firstLine="420"/>
        <w:jc w:val="center"/>
        <w:rPr>
          <w:color w:val="000000"/>
          <w:kern w:val="0"/>
          <w:sz w:val="24"/>
          <w:lang w:bidi="ar"/>
        </w:rPr>
      </w:pPr>
      <w:r>
        <w:rPr>
          <w:noProof/>
        </w:rPr>
        <w:drawing>
          <wp:inline distT="0" distB="0" distL="0" distR="0" wp14:anchorId="644B0C2B" wp14:editId="2E1EC522">
            <wp:extent cx="4983480" cy="3102610"/>
            <wp:effectExtent l="0" t="0" r="7620" b="254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icPr>
                  <pic:blipFill>
                    <a:blip r:embed="rId30"/>
                    <a:stretch>
                      <a:fillRect/>
                    </a:stretch>
                  </pic:blipFill>
                  <pic:spPr>
                    <a:xfrm>
                      <a:off x="0" y="0"/>
                      <a:ext cx="4988660" cy="3105987"/>
                    </a:xfrm>
                    <a:prstGeom prst="rect">
                      <a:avLst/>
                    </a:prstGeom>
                  </pic:spPr>
                </pic:pic>
              </a:graphicData>
            </a:graphic>
          </wp:inline>
        </w:drawing>
      </w:r>
    </w:p>
    <w:p w14:paraId="1AC8C2B2" w14:textId="77777777" w:rsidR="006D73E5" w:rsidRDefault="00000000">
      <w:pPr>
        <w:widowControl/>
        <w:spacing w:line="360" w:lineRule="auto"/>
        <w:rPr>
          <w:color w:val="000000"/>
          <w:kern w:val="0"/>
          <w:sz w:val="24"/>
          <w:lang w:bidi="ar"/>
        </w:rPr>
      </w:pPr>
      <w:r>
        <w:rPr>
          <w:noProof/>
          <w:color w:val="000000"/>
          <w:kern w:val="0"/>
          <w:sz w:val="24"/>
          <w:lang w:bidi="ar"/>
        </w:rPr>
        <w:lastRenderedPageBreak/>
        <w:drawing>
          <wp:inline distT="0" distB="0" distL="0" distR="0" wp14:anchorId="6D7D7853" wp14:editId="017DF33B">
            <wp:extent cx="5989320" cy="3011805"/>
            <wp:effectExtent l="0" t="0" r="11430" b="1714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995511" cy="3011805"/>
                    </a:xfrm>
                    <a:prstGeom prst="rect">
                      <a:avLst/>
                    </a:prstGeom>
                    <a:noFill/>
                    <a:ln>
                      <a:noFill/>
                    </a:ln>
                  </pic:spPr>
                </pic:pic>
              </a:graphicData>
            </a:graphic>
          </wp:inline>
        </w:drawing>
      </w:r>
    </w:p>
    <w:p w14:paraId="22E1EB3A" w14:textId="77777777" w:rsidR="006D73E5" w:rsidRDefault="006D73E5">
      <w:pPr>
        <w:widowControl/>
        <w:spacing w:line="360" w:lineRule="auto"/>
        <w:rPr>
          <w:color w:val="000000"/>
          <w:kern w:val="0"/>
          <w:sz w:val="24"/>
          <w:lang w:bidi="ar"/>
        </w:rPr>
      </w:pPr>
    </w:p>
    <w:p w14:paraId="5009CB43" w14:textId="77777777" w:rsidR="006D73E5" w:rsidRDefault="00000000">
      <w:pPr>
        <w:widowControl/>
        <w:spacing w:line="360" w:lineRule="auto"/>
        <w:rPr>
          <w:color w:val="000000"/>
          <w:kern w:val="0"/>
          <w:sz w:val="24"/>
          <w:lang w:bidi="ar"/>
        </w:rPr>
      </w:pPr>
      <w:r>
        <w:rPr>
          <w:color w:val="000000"/>
          <w:kern w:val="0"/>
          <w:sz w:val="24"/>
          <w:lang w:bidi="ar"/>
        </w:rPr>
        <w:t xml:space="preserve">2.2 </w:t>
      </w:r>
      <w:r>
        <w:rPr>
          <w:color w:val="000000"/>
          <w:kern w:val="0"/>
          <w:sz w:val="24"/>
          <w:lang w:bidi="ar"/>
        </w:rPr>
        <w:t>饲料中</w:t>
      </w:r>
      <w:r>
        <w:rPr>
          <w:color w:val="000000"/>
          <w:kern w:val="0"/>
          <w:sz w:val="24"/>
          <w:lang w:bidi="ar"/>
        </w:rPr>
        <w:t xml:space="preserve"> GAA </w:t>
      </w:r>
      <w:r>
        <w:rPr>
          <w:color w:val="000000"/>
          <w:kern w:val="0"/>
          <w:sz w:val="24"/>
          <w:lang w:bidi="ar"/>
        </w:rPr>
        <w:t>水平对斑点叉尾鮰肌肉品质的影响</w:t>
      </w:r>
      <w:r>
        <w:rPr>
          <w:color w:val="000000"/>
          <w:kern w:val="0"/>
          <w:sz w:val="24"/>
          <w:lang w:bidi="ar"/>
        </w:rPr>
        <w:t xml:space="preserve"> </w:t>
      </w:r>
    </w:p>
    <w:p w14:paraId="22C7B636" w14:textId="77777777" w:rsidR="006D73E5" w:rsidRDefault="00000000">
      <w:pPr>
        <w:widowControl/>
        <w:spacing w:line="360" w:lineRule="auto"/>
        <w:ind w:firstLineChars="200" w:firstLine="480"/>
        <w:rPr>
          <w:color w:val="000000"/>
          <w:kern w:val="0"/>
          <w:sz w:val="24"/>
          <w:lang w:bidi="ar"/>
        </w:rPr>
      </w:pPr>
      <w:r>
        <w:rPr>
          <w:color w:val="000000"/>
          <w:kern w:val="0"/>
          <w:sz w:val="24"/>
          <w:lang w:bidi="ar"/>
        </w:rPr>
        <w:t>添加</w:t>
      </w:r>
      <w:r>
        <w:rPr>
          <w:color w:val="000000"/>
          <w:kern w:val="0"/>
          <w:sz w:val="24"/>
          <w:lang w:bidi="ar"/>
        </w:rPr>
        <w:t xml:space="preserve"> GAA </w:t>
      </w:r>
      <w:r>
        <w:rPr>
          <w:color w:val="000000"/>
          <w:kern w:val="0"/>
          <w:sz w:val="24"/>
          <w:lang w:bidi="ar"/>
        </w:rPr>
        <w:t>对斑点叉尾鮰全鱼水分、粗蛋白、粗脂肪和粗灰分含量均无显著影响（</w:t>
      </w:r>
      <w:r>
        <w:rPr>
          <w:i/>
          <w:iCs/>
          <w:color w:val="000000"/>
          <w:kern w:val="0"/>
          <w:sz w:val="24"/>
          <w:lang w:bidi="ar"/>
        </w:rPr>
        <w:t>P</w:t>
      </w:r>
      <w:r>
        <w:rPr>
          <w:color w:val="000000"/>
          <w:kern w:val="0"/>
          <w:sz w:val="24"/>
          <w:lang w:bidi="ar"/>
        </w:rPr>
        <w:t xml:space="preserve"> &gt; 0.05</w:t>
      </w:r>
      <w:r>
        <w:rPr>
          <w:color w:val="000000"/>
          <w:kern w:val="0"/>
          <w:sz w:val="24"/>
          <w:lang w:bidi="ar"/>
        </w:rPr>
        <w:t>）（表</w:t>
      </w:r>
      <w:r>
        <w:rPr>
          <w:color w:val="000000"/>
          <w:kern w:val="0"/>
          <w:sz w:val="24"/>
          <w:lang w:bidi="ar"/>
        </w:rPr>
        <w:t>3</w:t>
      </w:r>
      <w:r>
        <w:rPr>
          <w:color w:val="000000"/>
          <w:kern w:val="0"/>
          <w:sz w:val="24"/>
          <w:lang w:bidi="ar"/>
        </w:rPr>
        <w:t>）。肌糖原含量随着</w:t>
      </w:r>
      <w:r>
        <w:rPr>
          <w:color w:val="000000"/>
          <w:kern w:val="0"/>
          <w:sz w:val="24"/>
          <w:lang w:bidi="ar"/>
        </w:rPr>
        <w:t xml:space="preserve"> GAA </w:t>
      </w:r>
      <w:r>
        <w:rPr>
          <w:color w:val="000000"/>
          <w:kern w:val="0"/>
          <w:sz w:val="24"/>
          <w:lang w:bidi="ar"/>
        </w:rPr>
        <w:t>添加水平的增加有升高趋势（</w:t>
      </w:r>
      <w:r>
        <w:rPr>
          <w:i/>
          <w:iCs/>
          <w:color w:val="000000"/>
          <w:kern w:val="0"/>
          <w:sz w:val="24"/>
          <w:lang w:bidi="ar"/>
        </w:rPr>
        <w:t xml:space="preserve">P </w:t>
      </w:r>
      <w:r>
        <w:rPr>
          <w:color w:val="000000"/>
          <w:kern w:val="0"/>
          <w:sz w:val="24"/>
          <w:lang w:bidi="ar"/>
        </w:rPr>
        <w:t>&gt; 0.05</w:t>
      </w:r>
      <w:r>
        <w:rPr>
          <w:color w:val="000000"/>
          <w:kern w:val="0"/>
          <w:sz w:val="24"/>
          <w:lang w:bidi="ar"/>
        </w:rPr>
        <w:t>）；各添加组羟脯氨酸（</w:t>
      </w:r>
      <w:r>
        <w:rPr>
          <w:color w:val="000000"/>
          <w:kern w:val="0"/>
          <w:sz w:val="24"/>
          <w:lang w:bidi="ar"/>
        </w:rPr>
        <w:t>HYP</w:t>
      </w:r>
      <w:r>
        <w:rPr>
          <w:color w:val="000000"/>
          <w:kern w:val="0"/>
          <w:sz w:val="24"/>
          <w:lang w:bidi="ar"/>
        </w:rPr>
        <w:t>）含量显著高于对照组（</w:t>
      </w:r>
      <w:r>
        <w:rPr>
          <w:i/>
          <w:iCs/>
          <w:color w:val="000000"/>
          <w:kern w:val="0"/>
          <w:sz w:val="24"/>
          <w:lang w:bidi="ar"/>
        </w:rPr>
        <w:t>P</w:t>
      </w:r>
      <w:r>
        <w:rPr>
          <w:color w:val="000000"/>
          <w:kern w:val="0"/>
          <w:sz w:val="24"/>
          <w:lang w:bidi="ar"/>
        </w:rPr>
        <w:t xml:space="preserve"> &lt; 0.05</w:t>
      </w:r>
      <w:r>
        <w:rPr>
          <w:color w:val="000000"/>
          <w:kern w:val="0"/>
          <w:sz w:val="24"/>
          <w:lang w:bidi="ar"/>
        </w:rPr>
        <w:t>）（表</w:t>
      </w:r>
      <w:r>
        <w:rPr>
          <w:color w:val="000000"/>
          <w:kern w:val="0"/>
          <w:sz w:val="24"/>
          <w:lang w:bidi="ar"/>
        </w:rPr>
        <w:t xml:space="preserve"> 4</w:t>
      </w:r>
      <w:r>
        <w:rPr>
          <w:color w:val="000000"/>
          <w:kern w:val="0"/>
          <w:sz w:val="24"/>
          <w:lang w:bidi="ar"/>
        </w:rPr>
        <w:t>）。饲料</w:t>
      </w:r>
      <w:r>
        <w:rPr>
          <w:color w:val="000000"/>
          <w:kern w:val="0"/>
          <w:sz w:val="24"/>
          <w:lang w:bidi="ar"/>
        </w:rPr>
        <w:t xml:space="preserve"> GAA </w:t>
      </w:r>
      <w:r>
        <w:rPr>
          <w:color w:val="000000"/>
          <w:kern w:val="0"/>
          <w:sz w:val="24"/>
          <w:lang w:bidi="ar"/>
        </w:rPr>
        <w:t>水平对斑点叉尾鮰肌肉中游离氨基酸（表</w:t>
      </w:r>
      <w:r>
        <w:rPr>
          <w:color w:val="000000"/>
          <w:kern w:val="0"/>
          <w:sz w:val="24"/>
          <w:lang w:bidi="ar"/>
        </w:rPr>
        <w:t xml:space="preserve"> 5</w:t>
      </w:r>
      <w:r>
        <w:rPr>
          <w:color w:val="000000"/>
          <w:kern w:val="0"/>
          <w:sz w:val="24"/>
          <w:lang w:bidi="ar"/>
        </w:rPr>
        <w:t>）和脂肪酸（表</w:t>
      </w:r>
      <w:r>
        <w:rPr>
          <w:color w:val="000000"/>
          <w:kern w:val="0"/>
          <w:sz w:val="24"/>
          <w:lang w:bidi="ar"/>
        </w:rPr>
        <w:t xml:space="preserve"> 6</w:t>
      </w:r>
      <w:r>
        <w:rPr>
          <w:color w:val="000000"/>
          <w:kern w:val="0"/>
          <w:sz w:val="24"/>
          <w:lang w:bidi="ar"/>
        </w:rPr>
        <w:t>）含量均无显著影响（</w:t>
      </w:r>
      <w:r>
        <w:rPr>
          <w:i/>
          <w:iCs/>
          <w:color w:val="000000"/>
          <w:kern w:val="0"/>
          <w:sz w:val="24"/>
          <w:lang w:bidi="ar"/>
        </w:rPr>
        <w:t>P</w:t>
      </w:r>
      <w:r>
        <w:rPr>
          <w:color w:val="000000"/>
          <w:kern w:val="0"/>
          <w:sz w:val="24"/>
          <w:lang w:bidi="ar"/>
        </w:rPr>
        <w:t xml:space="preserve"> &gt; 0.05</w:t>
      </w:r>
      <w:r>
        <w:rPr>
          <w:color w:val="000000"/>
          <w:kern w:val="0"/>
          <w:sz w:val="24"/>
          <w:lang w:bidi="ar"/>
        </w:rPr>
        <w:t>）。</w:t>
      </w:r>
    </w:p>
    <w:p w14:paraId="62A60C88" w14:textId="77777777" w:rsidR="006D73E5" w:rsidRDefault="006D73E5">
      <w:pPr>
        <w:widowControl/>
        <w:spacing w:line="360" w:lineRule="auto"/>
        <w:rPr>
          <w:color w:val="000000"/>
          <w:kern w:val="0"/>
          <w:sz w:val="24"/>
          <w:lang w:bidi="ar"/>
        </w:rPr>
      </w:pPr>
    </w:p>
    <w:p w14:paraId="173BB239" w14:textId="77777777" w:rsidR="006D73E5" w:rsidRDefault="00000000">
      <w:pPr>
        <w:widowControl/>
        <w:spacing w:line="360" w:lineRule="auto"/>
        <w:rPr>
          <w:color w:val="000000"/>
          <w:kern w:val="0"/>
          <w:sz w:val="24"/>
          <w:lang w:bidi="ar"/>
        </w:rPr>
      </w:pPr>
      <w:r>
        <w:rPr>
          <w:noProof/>
          <w:color w:val="000000"/>
          <w:kern w:val="0"/>
          <w:sz w:val="24"/>
          <w:lang w:bidi="ar"/>
        </w:rPr>
        <w:drawing>
          <wp:inline distT="0" distB="0" distL="0" distR="0" wp14:anchorId="57E8C146" wp14:editId="174B8608">
            <wp:extent cx="6627495" cy="3012440"/>
            <wp:effectExtent l="0" t="0" r="1905"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6643022" cy="3019992"/>
                    </a:xfrm>
                    <a:prstGeom prst="rect">
                      <a:avLst/>
                    </a:prstGeom>
                    <a:noFill/>
                    <a:ln>
                      <a:noFill/>
                    </a:ln>
                  </pic:spPr>
                </pic:pic>
              </a:graphicData>
            </a:graphic>
          </wp:inline>
        </w:drawing>
      </w:r>
    </w:p>
    <w:p w14:paraId="6830EF00" w14:textId="77777777" w:rsidR="006D73E5" w:rsidRDefault="00000000">
      <w:pPr>
        <w:widowControl/>
        <w:spacing w:line="360" w:lineRule="auto"/>
        <w:jc w:val="center"/>
        <w:rPr>
          <w:color w:val="000000"/>
          <w:kern w:val="0"/>
          <w:sz w:val="24"/>
          <w:lang w:bidi="ar"/>
        </w:rPr>
      </w:pPr>
      <w:r>
        <w:rPr>
          <w:noProof/>
          <w:color w:val="000000"/>
          <w:kern w:val="0"/>
          <w:sz w:val="24"/>
          <w:lang w:bidi="ar"/>
        </w:rPr>
        <w:lastRenderedPageBreak/>
        <w:drawing>
          <wp:inline distT="0" distB="0" distL="0" distR="0" wp14:anchorId="4761998D" wp14:editId="064C9C5B">
            <wp:extent cx="6122035" cy="4923790"/>
            <wp:effectExtent l="0" t="0" r="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6129534" cy="4929603"/>
                    </a:xfrm>
                    <a:prstGeom prst="rect">
                      <a:avLst/>
                    </a:prstGeom>
                    <a:noFill/>
                    <a:ln>
                      <a:noFill/>
                    </a:ln>
                  </pic:spPr>
                </pic:pic>
              </a:graphicData>
            </a:graphic>
          </wp:inline>
        </w:drawing>
      </w:r>
    </w:p>
    <w:p w14:paraId="384DB8FA" w14:textId="77777777" w:rsidR="006D73E5" w:rsidRDefault="00000000">
      <w:pPr>
        <w:widowControl/>
        <w:spacing w:line="360" w:lineRule="auto"/>
        <w:jc w:val="center"/>
        <w:rPr>
          <w:color w:val="000000"/>
          <w:kern w:val="0"/>
          <w:sz w:val="24"/>
          <w:lang w:bidi="ar"/>
        </w:rPr>
      </w:pPr>
      <w:r>
        <w:rPr>
          <w:noProof/>
          <w:color w:val="000000"/>
          <w:kern w:val="0"/>
          <w:sz w:val="24"/>
          <w:lang w:bidi="ar"/>
        </w:rPr>
        <w:drawing>
          <wp:inline distT="0" distB="0" distL="0" distR="0" wp14:anchorId="4416F246" wp14:editId="3F594F81">
            <wp:extent cx="6167120" cy="3229610"/>
            <wp:effectExtent l="0" t="0" r="5080" b="889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6181602" cy="3229610"/>
                    </a:xfrm>
                    <a:prstGeom prst="rect">
                      <a:avLst/>
                    </a:prstGeom>
                    <a:noFill/>
                    <a:ln>
                      <a:noFill/>
                    </a:ln>
                  </pic:spPr>
                </pic:pic>
              </a:graphicData>
            </a:graphic>
          </wp:inline>
        </w:drawing>
      </w:r>
    </w:p>
    <w:p w14:paraId="18BE30D4" w14:textId="77777777" w:rsidR="006D73E5" w:rsidRDefault="00000000">
      <w:pPr>
        <w:widowControl/>
        <w:spacing w:line="360" w:lineRule="auto"/>
        <w:jc w:val="center"/>
        <w:rPr>
          <w:color w:val="000000"/>
          <w:kern w:val="0"/>
          <w:sz w:val="24"/>
          <w:lang w:bidi="ar"/>
        </w:rPr>
      </w:pPr>
      <w:r>
        <w:rPr>
          <w:noProof/>
          <w:color w:val="000000"/>
          <w:kern w:val="0"/>
          <w:sz w:val="24"/>
          <w:lang w:bidi="ar"/>
        </w:rPr>
        <w:lastRenderedPageBreak/>
        <w:drawing>
          <wp:inline distT="0" distB="0" distL="0" distR="0" wp14:anchorId="604BED2A" wp14:editId="5BD65446">
            <wp:extent cx="5823585" cy="3215640"/>
            <wp:effectExtent l="0" t="0" r="5715" b="381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5828832" cy="3215640"/>
                    </a:xfrm>
                    <a:prstGeom prst="rect">
                      <a:avLst/>
                    </a:prstGeom>
                    <a:noFill/>
                    <a:ln>
                      <a:noFill/>
                    </a:ln>
                  </pic:spPr>
                </pic:pic>
              </a:graphicData>
            </a:graphic>
          </wp:inline>
        </w:drawing>
      </w:r>
    </w:p>
    <w:p w14:paraId="5363FEF8" w14:textId="77777777" w:rsidR="006D73E5" w:rsidRDefault="00000000">
      <w:pPr>
        <w:spacing w:line="360" w:lineRule="auto"/>
        <w:rPr>
          <w:color w:val="000000"/>
          <w:kern w:val="0"/>
          <w:sz w:val="24"/>
          <w:lang w:bidi="ar"/>
        </w:rPr>
      </w:pPr>
      <w:r>
        <w:rPr>
          <w:color w:val="000000"/>
          <w:kern w:val="0"/>
          <w:sz w:val="24"/>
          <w:lang w:bidi="ar"/>
        </w:rPr>
        <w:t xml:space="preserve">2.3 </w:t>
      </w:r>
      <w:r>
        <w:rPr>
          <w:color w:val="000000"/>
          <w:kern w:val="0"/>
          <w:sz w:val="24"/>
          <w:lang w:bidi="ar"/>
        </w:rPr>
        <w:t>饲料中</w:t>
      </w:r>
      <w:r>
        <w:rPr>
          <w:color w:val="000000"/>
          <w:kern w:val="0"/>
          <w:sz w:val="24"/>
          <w:lang w:bidi="ar"/>
        </w:rPr>
        <w:t xml:space="preserve"> GAA </w:t>
      </w:r>
      <w:r>
        <w:rPr>
          <w:color w:val="000000"/>
          <w:kern w:val="0"/>
          <w:sz w:val="24"/>
          <w:lang w:bidi="ar"/>
        </w:rPr>
        <w:t>水平对斑点叉尾鮰肝脏抗氧化指标的影响</w:t>
      </w:r>
      <w:r>
        <w:rPr>
          <w:color w:val="000000"/>
          <w:kern w:val="0"/>
          <w:sz w:val="24"/>
          <w:lang w:bidi="ar"/>
        </w:rPr>
        <w:t xml:space="preserve"> </w:t>
      </w:r>
    </w:p>
    <w:p w14:paraId="3E3954A6" w14:textId="77777777" w:rsidR="006D73E5" w:rsidRDefault="00000000">
      <w:pPr>
        <w:spacing w:line="360" w:lineRule="auto"/>
        <w:ind w:firstLineChars="200" w:firstLine="480"/>
        <w:rPr>
          <w:color w:val="000000"/>
          <w:kern w:val="0"/>
          <w:sz w:val="24"/>
          <w:lang w:bidi="ar"/>
        </w:rPr>
      </w:pPr>
      <w:r>
        <w:rPr>
          <w:color w:val="000000"/>
          <w:kern w:val="0"/>
          <w:sz w:val="24"/>
          <w:lang w:bidi="ar"/>
        </w:rPr>
        <w:t>添加</w:t>
      </w:r>
      <w:r>
        <w:rPr>
          <w:color w:val="000000"/>
          <w:kern w:val="0"/>
          <w:sz w:val="24"/>
          <w:lang w:bidi="ar"/>
        </w:rPr>
        <w:t xml:space="preserve"> GAA </w:t>
      </w:r>
      <w:r>
        <w:rPr>
          <w:color w:val="000000"/>
          <w:kern w:val="0"/>
          <w:sz w:val="24"/>
          <w:lang w:bidi="ar"/>
        </w:rPr>
        <w:t>显著影响斑点叉尾鮰肝脏</w:t>
      </w:r>
      <w:r>
        <w:rPr>
          <w:color w:val="000000"/>
          <w:kern w:val="0"/>
          <w:sz w:val="24"/>
          <w:lang w:bidi="ar"/>
        </w:rPr>
        <w:t xml:space="preserve"> T-AOC</w:t>
      </w:r>
      <w:r>
        <w:rPr>
          <w:color w:val="000000"/>
          <w:kern w:val="0"/>
          <w:sz w:val="24"/>
          <w:lang w:bidi="ar"/>
        </w:rPr>
        <w:t>、</w:t>
      </w:r>
      <w:r>
        <w:rPr>
          <w:color w:val="000000"/>
          <w:kern w:val="0"/>
          <w:sz w:val="24"/>
          <w:lang w:bidi="ar"/>
        </w:rPr>
        <w:t xml:space="preserve">MDA </w:t>
      </w:r>
      <w:r>
        <w:rPr>
          <w:color w:val="000000"/>
          <w:kern w:val="0"/>
          <w:sz w:val="24"/>
          <w:lang w:bidi="ar"/>
        </w:rPr>
        <w:t>和</w:t>
      </w:r>
      <w:r>
        <w:rPr>
          <w:color w:val="000000"/>
          <w:kern w:val="0"/>
          <w:sz w:val="24"/>
          <w:lang w:bidi="ar"/>
        </w:rPr>
        <w:t xml:space="preserve"> SOD </w:t>
      </w:r>
      <w:r>
        <w:rPr>
          <w:color w:val="000000"/>
          <w:kern w:val="0"/>
          <w:sz w:val="24"/>
          <w:lang w:bidi="ar"/>
        </w:rPr>
        <w:t>抗氧化指标（</w:t>
      </w:r>
      <w:r>
        <w:rPr>
          <w:i/>
          <w:iCs/>
          <w:color w:val="000000"/>
          <w:kern w:val="0"/>
          <w:sz w:val="24"/>
          <w:lang w:bidi="ar"/>
        </w:rPr>
        <w:t xml:space="preserve">P </w:t>
      </w:r>
      <w:r>
        <w:rPr>
          <w:color w:val="000000"/>
          <w:kern w:val="0"/>
          <w:sz w:val="24"/>
          <w:lang w:bidi="ar"/>
        </w:rPr>
        <w:t>&lt; 0.05</w:t>
      </w:r>
      <w:r>
        <w:rPr>
          <w:color w:val="000000"/>
          <w:kern w:val="0"/>
          <w:sz w:val="24"/>
          <w:lang w:bidi="ar"/>
        </w:rPr>
        <w:t>）。</w:t>
      </w:r>
      <w:r>
        <w:rPr>
          <w:color w:val="000000"/>
          <w:kern w:val="0"/>
          <w:sz w:val="24"/>
          <w:lang w:bidi="ar"/>
        </w:rPr>
        <w:t xml:space="preserve">GAA300 </w:t>
      </w:r>
      <w:r>
        <w:rPr>
          <w:color w:val="000000"/>
          <w:kern w:val="0"/>
          <w:sz w:val="24"/>
          <w:lang w:bidi="ar"/>
        </w:rPr>
        <w:t>组</w:t>
      </w:r>
      <w:r>
        <w:rPr>
          <w:color w:val="000000"/>
          <w:kern w:val="0"/>
          <w:sz w:val="24"/>
          <w:lang w:bidi="ar"/>
        </w:rPr>
        <w:t xml:space="preserve"> T-AOC </w:t>
      </w:r>
      <w:r>
        <w:rPr>
          <w:color w:val="000000"/>
          <w:kern w:val="0"/>
          <w:sz w:val="24"/>
          <w:lang w:bidi="ar"/>
        </w:rPr>
        <w:t>显著高于其他组（</w:t>
      </w:r>
      <w:r>
        <w:rPr>
          <w:i/>
          <w:iCs/>
          <w:color w:val="000000"/>
          <w:kern w:val="0"/>
          <w:sz w:val="24"/>
          <w:lang w:bidi="ar"/>
        </w:rPr>
        <w:t>P</w:t>
      </w:r>
      <w:r>
        <w:rPr>
          <w:color w:val="000000"/>
          <w:kern w:val="0"/>
          <w:sz w:val="24"/>
          <w:lang w:bidi="ar"/>
        </w:rPr>
        <w:t xml:space="preserve"> &lt; 0.05</w:t>
      </w:r>
      <w:r>
        <w:rPr>
          <w:color w:val="000000"/>
          <w:kern w:val="0"/>
          <w:sz w:val="24"/>
          <w:lang w:bidi="ar"/>
        </w:rPr>
        <w:t>），其他组间无显著差异（</w:t>
      </w:r>
      <w:r>
        <w:rPr>
          <w:i/>
          <w:iCs/>
          <w:color w:val="000000"/>
          <w:kern w:val="0"/>
          <w:sz w:val="24"/>
          <w:lang w:bidi="ar"/>
        </w:rPr>
        <w:t>P</w:t>
      </w:r>
      <w:r>
        <w:rPr>
          <w:color w:val="000000"/>
          <w:kern w:val="0"/>
          <w:sz w:val="24"/>
          <w:lang w:bidi="ar"/>
        </w:rPr>
        <w:t xml:space="preserve"> &gt; 0.05</w:t>
      </w:r>
      <w:r>
        <w:rPr>
          <w:color w:val="000000"/>
          <w:kern w:val="0"/>
          <w:sz w:val="24"/>
          <w:lang w:bidi="ar"/>
        </w:rPr>
        <w:t>）；与对照组相比，</w:t>
      </w:r>
      <w:r>
        <w:rPr>
          <w:color w:val="000000"/>
          <w:kern w:val="0"/>
          <w:sz w:val="24"/>
          <w:lang w:bidi="ar"/>
        </w:rPr>
        <w:t xml:space="preserve">MDA </w:t>
      </w:r>
      <w:r>
        <w:rPr>
          <w:color w:val="000000"/>
          <w:kern w:val="0"/>
          <w:sz w:val="24"/>
          <w:lang w:bidi="ar"/>
        </w:rPr>
        <w:t>含量在</w:t>
      </w:r>
      <w:r>
        <w:rPr>
          <w:color w:val="000000"/>
          <w:kern w:val="0"/>
          <w:sz w:val="24"/>
          <w:lang w:bidi="ar"/>
        </w:rPr>
        <w:t xml:space="preserve">GAA600 </w:t>
      </w:r>
      <w:r>
        <w:rPr>
          <w:color w:val="000000"/>
          <w:kern w:val="0"/>
          <w:sz w:val="24"/>
          <w:lang w:bidi="ar"/>
        </w:rPr>
        <w:t>组显著升高，在</w:t>
      </w:r>
      <w:r>
        <w:rPr>
          <w:color w:val="000000"/>
          <w:kern w:val="0"/>
          <w:sz w:val="24"/>
          <w:lang w:bidi="ar"/>
        </w:rPr>
        <w:t xml:space="preserve"> GAA900 </w:t>
      </w:r>
      <w:r>
        <w:rPr>
          <w:color w:val="000000"/>
          <w:kern w:val="0"/>
          <w:sz w:val="24"/>
          <w:lang w:bidi="ar"/>
        </w:rPr>
        <w:t>组达到最大（</w:t>
      </w:r>
      <w:r>
        <w:rPr>
          <w:i/>
          <w:iCs/>
          <w:color w:val="000000"/>
          <w:kern w:val="0"/>
          <w:sz w:val="24"/>
          <w:lang w:bidi="ar"/>
        </w:rPr>
        <w:t xml:space="preserve">P </w:t>
      </w:r>
      <w:r>
        <w:rPr>
          <w:color w:val="000000"/>
          <w:kern w:val="0"/>
          <w:sz w:val="24"/>
          <w:lang w:bidi="ar"/>
        </w:rPr>
        <w:t>&lt; 0.05</w:t>
      </w:r>
      <w:r>
        <w:rPr>
          <w:color w:val="000000"/>
          <w:kern w:val="0"/>
          <w:sz w:val="24"/>
          <w:lang w:bidi="ar"/>
        </w:rPr>
        <w:t>）；与对照组相比，</w:t>
      </w:r>
      <w:r>
        <w:rPr>
          <w:color w:val="000000"/>
          <w:kern w:val="0"/>
          <w:sz w:val="24"/>
          <w:lang w:bidi="ar"/>
        </w:rPr>
        <w:t xml:space="preserve">GAA300 </w:t>
      </w:r>
      <w:r>
        <w:rPr>
          <w:color w:val="000000"/>
          <w:kern w:val="0"/>
          <w:sz w:val="24"/>
          <w:lang w:bidi="ar"/>
        </w:rPr>
        <w:t>组和</w:t>
      </w:r>
      <w:r>
        <w:rPr>
          <w:color w:val="000000"/>
          <w:kern w:val="0"/>
          <w:sz w:val="24"/>
          <w:lang w:bidi="ar"/>
        </w:rPr>
        <w:t xml:space="preserve"> GAA600 </w:t>
      </w:r>
      <w:r>
        <w:rPr>
          <w:color w:val="000000"/>
          <w:kern w:val="0"/>
          <w:sz w:val="24"/>
          <w:lang w:bidi="ar"/>
        </w:rPr>
        <w:t>组的</w:t>
      </w:r>
      <w:r>
        <w:rPr>
          <w:color w:val="000000"/>
          <w:kern w:val="0"/>
          <w:sz w:val="24"/>
          <w:lang w:bidi="ar"/>
        </w:rPr>
        <w:t xml:space="preserve">SOD </w:t>
      </w:r>
      <w:r>
        <w:rPr>
          <w:color w:val="000000"/>
          <w:kern w:val="0"/>
          <w:sz w:val="24"/>
          <w:lang w:bidi="ar"/>
        </w:rPr>
        <w:t>活性显著升高（</w:t>
      </w:r>
      <w:r>
        <w:rPr>
          <w:i/>
          <w:iCs/>
          <w:color w:val="000000"/>
          <w:kern w:val="0"/>
          <w:sz w:val="24"/>
          <w:lang w:bidi="ar"/>
        </w:rPr>
        <w:t>P</w:t>
      </w:r>
      <w:r>
        <w:rPr>
          <w:color w:val="000000"/>
          <w:kern w:val="0"/>
          <w:sz w:val="24"/>
          <w:lang w:bidi="ar"/>
        </w:rPr>
        <w:t xml:space="preserve"> &lt; 0.05</w:t>
      </w:r>
      <w:r>
        <w:rPr>
          <w:color w:val="000000"/>
          <w:kern w:val="0"/>
          <w:sz w:val="24"/>
          <w:lang w:bidi="ar"/>
        </w:rPr>
        <w:t>），</w:t>
      </w:r>
      <w:r>
        <w:rPr>
          <w:color w:val="000000"/>
          <w:kern w:val="0"/>
          <w:sz w:val="24"/>
          <w:lang w:bidi="ar"/>
        </w:rPr>
        <w:t xml:space="preserve">GAA900 </w:t>
      </w:r>
      <w:r>
        <w:rPr>
          <w:color w:val="000000"/>
          <w:kern w:val="0"/>
          <w:sz w:val="24"/>
          <w:lang w:bidi="ar"/>
        </w:rPr>
        <w:t>组</w:t>
      </w:r>
      <w:r>
        <w:rPr>
          <w:color w:val="000000"/>
          <w:kern w:val="0"/>
          <w:sz w:val="24"/>
          <w:lang w:bidi="ar"/>
        </w:rPr>
        <w:t xml:space="preserve"> SOD </w:t>
      </w:r>
      <w:r>
        <w:rPr>
          <w:color w:val="000000"/>
          <w:kern w:val="0"/>
          <w:sz w:val="24"/>
          <w:lang w:bidi="ar"/>
        </w:rPr>
        <w:t>活性有升高趋势（</w:t>
      </w:r>
      <w:r>
        <w:rPr>
          <w:i/>
          <w:iCs/>
          <w:color w:val="000000"/>
          <w:kern w:val="0"/>
          <w:sz w:val="24"/>
          <w:lang w:bidi="ar"/>
        </w:rPr>
        <w:t>P</w:t>
      </w:r>
      <w:r>
        <w:rPr>
          <w:color w:val="000000"/>
          <w:kern w:val="0"/>
          <w:sz w:val="24"/>
          <w:lang w:bidi="ar"/>
        </w:rPr>
        <w:t xml:space="preserve"> &gt; 0.05</w:t>
      </w:r>
      <w:r>
        <w:rPr>
          <w:color w:val="000000"/>
          <w:kern w:val="0"/>
          <w:sz w:val="24"/>
          <w:lang w:bidi="ar"/>
        </w:rPr>
        <w:t>）；各组间的</w:t>
      </w:r>
      <w:r>
        <w:rPr>
          <w:color w:val="000000"/>
          <w:kern w:val="0"/>
          <w:sz w:val="24"/>
          <w:lang w:bidi="ar"/>
        </w:rPr>
        <w:t xml:space="preserve"> GSH-</w:t>
      </w:r>
      <w:proofErr w:type="spellStart"/>
      <w:r>
        <w:rPr>
          <w:color w:val="000000"/>
          <w:kern w:val="0"/>
          <w:sz w:val="24"/>
          <w:lang w:bidi="ar"/>
        </w:rPr>
        <w:t>Px</w:t>
      </w:r>
      <w:proofErr w:type="spellEnd"/>
      <w:r>
        <w:rPr>
          <w:color w:val="000000"/>
          <w:kern w:val="0"/>
          <w:sz w:val="24"/>
          <w:lang w:bidi="ar"/>
        </w:rPr>
        <w:t xml:space="preserve"> </w:t>
      </w:r>
      <w:r>
        <w:rPr>
          <w:color w:val="000000"/>
          <w:kern w:val="0"/>
          <w:sz w:val="24"/>
          <w:lang w:bidi="ar"/>
        </w:rPr>
        <w:t>和</w:t>
      </w:r>
      <w:r>
        <w:rPr>
          <w:color w:val="000000"/>
          <w:kern w:val="0"/>
          <w:sz w:val="24"/>
          <w:lang w:bidi="ar"/>
        </w:rPr>
        <w:t xml:space="preserve">CAT </w:t>
      </w:r>
      <w:r>
        <w:rPr>
          <w:color w:val="000000"/>
          <w:kern w:val="0"/>
          <w:sz w:val="24"/>
          <w:lang w:bidi="ar"/>
        </w:rPr>
        <w:t>活性无显著差异（</w:t>
      </w:r>
      <w:r>
        <w:rPr>
          <w:i/>
          <w:iCs/>
          <w:color w:val="000000"/>
          <w:kern w:val="0"/>
          <w:sz w:val="24"/>
          <w:lang w:bidi="ar"/>
        </w:rPr>
        <w:t>P</w:t>
      </w:r>
      <w:r>
        <w:rPr>
          <w:color w:val="000000"/>
          <w:kern w:val="0"/>
          <w:sz w:val="24"/>
          <w:lang w:bidi="ar"/>
        </w:rPr>
        <w:t xml:space="preserve"> &gt; 0.05</w:t>
      </w:r>
      <w:r>
        <w:rPr>
          <w:color w:val="000000"/>
          <w:kern w:val="0"/>
          <w:sz w:val="24"/>
          <w:lang w:bidi="ar"/>
        </w:rPr>
        <w:t>），</w:t>
      </w:r>
      <w:r>
        <w:rPr>
          <w:color w:val="000000"/>
          <w:kern w:val="0"/>
          <w:sz w:val="24"/>
          <w:lang w:bidi="ar"/>
        </w:rPr>
        <w:t>GSH-</w:t>
      </w:r>
      <w:proofErr w:type="spellStart"/>
      <w:r>
        <w:rPr>
          <w:color w:val="000000"/>
          <w:kern w:val="0"/>
          <w:sz w:val="24"/>
          <w:lang w:bidi="ar"/>
        </w:rPr>
        <w:t>Px</w:t>
      </w:r>
      <w:proofErr w:type="spellEnd"/>
      <w:r>
        <w:rPr>
          <w:color w:val="000000"/>
          <w:kern w:val="0"/>
          <w:sz w:val="24"/>
          <w:lang w:bidi="ar"/>
        </w:rPr>
        <w:t xml:space="preserve"> </w:t>
      </w:r>
      <w:r>
        <w:rPr>
          <w:color w:val="000000"/>
          <w:kern w:val="0"/>
          <w:sz w:val="24"/>
          <w:lang w:bidi="ar"/>
        </w:rPr>
        <w:t>活性在</w:t>
      </w:r>
      <w:r>
        <w:rPr>
          <w:color w:val="000000"/>
          <w:kern w:val="0"/>
          <w:sz w:val="24"/>
          <w:lang w:bidi="ar"/>
        </w:rPr>
        <w:t xml:space="preserve"> GAA300 </w:t>
      </w:r>
      <w:r>
        <w:rPr>
          <w:color w:val="000000"/>
          <w:kern w:val="0"/>
          <w:sz w:val="24"/>
          <w:lang w:bidi="ar"/>
        </w:rPr>
        <w:t>组最高（表</w:t>
      </w:r>
      <w:r>
        <w:rPr>
          <w:color w:val="000000"/>
          <w:kern w:val="0"/>
          <w:sz w:val="24"/>
          <w:lang w:bidi="ar"/>
        </w:rPr>
        <w:t xml:space="preserve"> 7</w:t>
      </w:r>
      <w:r>
        <w:rPr>
          <w:color w:val="000000"/>
          <w:kern w:val="0"/>
          <w:sz w:val="24"/>
          <w:lang w:bidi="ar"/>
        </w:rPr>
        <w:t>）。</w:t>
      </w:r>
      <w:r>
        <w:rPr>
          <w:color w:val="000000"/>
          <w:kern w:val="0"/>
          <w:sz w:val="24"/>
          <w:lang w:bidi="ar"/>
        </w:rPr>
        <w:t xml:space="preserve"> </w:t>
      </w:r>
    </w:p>
    <w:p w14:paraId="38713501" w14:textId="77777777" w:rsidR="006D73E5" w:rsidRDefault="00000000">
      <w:pPr>
        <w:spacing w:line="360" w:lineRule="auto"/>
        <w:jc w:val="center"/>
        <w:rPr>
          <w:color w:val="000000"/>
          <w:kern w:val="0"/>
          <w:sz w:val="24"/>
          <w:lang w:bidi="ar"/>
        </w:rPr>
      </w:pPr>
      <w:r>
        <w:rPr>
          <w:noProof/>
          <w:color w:val="000000"/>
          <w:kern w:val="0"/>
          <w:sz w:val="24"/>
          <w:lang w:bidi="ar"/>
        </w:rPr>
        <w:drawing>
          <wp:inline distT="0" distB="0" distL="0" distR="0" wp14:anchorId="486BF079" wp14:editId="6FF53323">
            <wp:extent cx="5274310" cy="1753870"/>
            <wp:effectExtent l="0" t="0" r="254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noChangeArrowheads="1"/>
                    </pic:cNvPicPr>
                  </pic:nvPicPr>
                  <pic:blipFill>
                    <a:blip r:embed="rId36" cstate="print">
                      <a:extLst>
                        <a:ext uri="{28A0092B-C50C-407E-A947-70E740481C1C}">
                          <a14:useLocalDpi xmlns:a14="http://schemas.microsoft.com/office/drawing/2010/main" val="0"/>
                        </a:ext>
                      </a:extLst>
                    </a:blip>
                    <a:srcRect b="1757"/>
                    <a:stretch>
                      <a:fillRect/>
                    </a:stretch>
                  </pic:blipFill>
                  <pic:spPr>
                    <a:xfrm>
                      <a:off x="0" y="0"/>
                      <a:ext cx="5274310" cy="1754256"/>
                    </a:xfrm>
                    <a:prstGeom prst="rect">
                      <a:avLst/>
                    </a:prstGeom>
                    <a:noFill/>
                    <a:ln>
                      <a:noFill/>
                    </a:ln>
                  </pic:spPr>
                </pic:pic>
              </a:graphicData>
            </a:graphic>
          </wp:inline>
        </w:drawing>
      </w:r>
    </w:p>
    <w:p w14:paraId="6A0B32E4" w14:textId="77777777" w:rsidR="006D73E5" w:rsidRDefault="00000000">
      <w:pPr>
        <w:spacing w:line="360" w:lineRule="auto"/>
        <w:rPr>
          <w:color w:val="000000"/>
          <w:kern w:val="0"/>
          <w:sz w:val="24"/>
          <w:lang w:bidi="ar"/>
        </w:rPr>
      </w:pPr>
      <w:r>
        <w:rPr>
          <w:color w:val="000000"/>
          <w:kern w:val="0"/>
          <w:sz w:val="24"/>
          <w:lang w:bidi="ar"/>
        </w:rPr>
        <w:t xml:space="preserve">2.4 </w:t>
      </w:r>
      <w:r>
        <w:rPr>
          <w:color w:val="000000"/>
          <w:kern w:val="0"/>
          <w:sz w:val="24"/>
          <w:lang w:bidi="ar"/>
        </w:rPr>
        <w:t>饲料中</w:t>
      </w:r>
      <w:r>
        <w:rPr>
          <w:color w:val="000000"/>
          <w:kern w:val="0"/>
          <w:sz w:val="24"/>
          <w:lang w:bidi="ar"/>
        </w:rPr>
        <w:t xml:space="preserve"> GAA </w:t>
      </w:r>
      <w:r>
        <w:rPr>
          <w:color w:val="000000"/>
          <w:kern w:val="0"/>
          <w:sz w:val="24"/>
          <w:lang w:bidi="ar"/>
        </w:rPr>
        <w:t>水平对斑点叉尾鮰肌肉能量代谢酶酶活的影响</w:t>
      </w:r>
      <w:r>
        <w:rPr>
          <w:color w:val="000000"/>
          <w:kern w:val="0"/>
          <w:sz w:val="24"/>
          <w:lang w:bidi="ar"/>
        </w:rPr>
        <w:t xml:space="preserve"> </w:t>
      </w:r>
    </w:p>
    <w:p w14:paraId="4AAC3243" w14:textId="77777777" w:rsidR="006D73E5" w:rsidRDefault="00000000">
      <w:pPr>
        <w:spacing w:line="360" w:lineRule="auto"/>
        <w:ind w:firstLineChars="200" w:firstLine="480"/>
        <w:rPr>
          <w:color w:val="000000"/>
          <w:kern w:val="0"/>
          <w:sz w:val="24"/>
          <w:lang w:bidi="ar"/>
        </w:rPr>
      </w:pPr>
      <w:r>
        <w:rPr>
          <w:color w:val="000000"/>
          <w:kern w:val="0"/>
          <w:sz w:val="24"/>
          <w:lang w:bidi="ar"/>
        </w:rPr>
        <w:t>随着</w:t>
      </w:r>
      <w:r>
        <w:rPr>
          <w:color w:val="000000"/>
          <w:kern w:val="0"/>
          <w:sz w:val="24"/>
          <w:lang w:bidi="ar"/>
        </w:rPr>
        <w:t xml:space="preserve"> GAA </w:t>
      </w:r>
      <w:r>
        <w:rPr>
          <w:color w:val="000000"/>
          <w:kern w:val="0"/>
          <w:sz w:val="24"/>
          <w:lang w:bidi="ar"/>
        </w:rPr>
        <w:t>添加水平增加，肌肉</w:t>
      </w:r>
      <w:r>
        <w:rPr>
          <w:color w:val="000000"/>
          <w:kern w:val="0"/>
          <w:sz w:val="24"/>
          <w:lang w:bidi="ar"/>
        </w:rPr>
        <w:t xml:space="preserve"> CK </w:t>
      </w:r>
      <w:r>
        <w:rPr>
          <w:color w:val="000000"/>
          <w:kern w:val="0"/>
          <w:sz w:val="24"/>
          <w:lang w:bidi="ar"/>
        </w:rPr>
        <w:t>酶活性呈先上升后下降的趋势，但各组间无显著差异（</w:t>
      </w:r>
      <w:r>
        <w:rPr>
          <w:i/>
          <w:iCs/>
          <w:color w:val="000000"/>
          <w:kern w:val="0"/>
          <w:sz w:val="24"/>
          <w:lang w:bidi="ar"/>
        </w:rPr>
        <w:t>P</w:t>
      </w:r>
      <w:r>
        <w:rPr>
          <w:color w:val="000000"/>
          <w:kern w:val="0"/>
          <w:sz w:val="24"/>
          <w:lang w:bidi="ar"/>
        </w:rPr>
        <w:t xml:space="preserve"> &gt; 0.05</w:t>
      </w:r>
      <w:r>
        <w:rPr>
          <w:color w:val="000000"/>
          <w:kern w:val="0"/>
          <w:sz w:val="24"/>
          <w:lang w:bidi="ar"/>
        </w:rPr>
        <w:t>）；与对照组相比，肌肉中</w:t>
      </w:r>
      <w:r>
        <w:rPr>
          <w:color w:val="000000"/>
          <w:kern w:val="0"/>
          <w:sz w:val="24"/>
          <w:lang w:bidi="ar"/>
        </w:rPr>
        <w:t xml:space="preserve"> SDH </w:t>
      </w:r>
      <w:r>
        <w:rPr>
          <w:color w:val="000000"/>
          <w:kern w:val="0"/>
          <w:sz w:val="24"/>
          <w:lang w:bidi="ar"/>
        </w:rPr>
        <w:t>酶活性在</w:t>
      </w:r>
      <w:r>
        <w:rPr>
          <w:color w:val="000000"/>
          <w:kern w:val="0"/>
          <w:sz w:val="24"/>
          <w:lang w:bidi="ar"/>
        </w:rPr>
        <w:t xml:space="preserve"> GAA300 </w:t>
      </w:r>
      <w:r>
        <w:rPr>
          <w:color w:val="000000"/>
          <w:kern w:val="0"/>
          <w:sz w:val="24"/>
          <w:lang w:bidi="ar"/>
        </w:rPr>
        <w:t>组显著升高（</w:t>
      </w:r>
      <w:r>
        <w:rPr>
          <w:i/>
          <w:iCs/>
          <w:color w:val="000000"/>
          <w:kern w:val="0"/>
          <w:sz w:val="24"/>
          <w:lang w:bidi="ar"/>
        </w:rPr>
        <w:t>P</w:t>
      </w:r>
      <w:r>
        <w:rPr>
          <w:color w:val="000000"/>
          <w:kern w:val="0"/>
          <w:sz w:val="24"/>
          <w:lang w:bidi="ar"/>
        </w:rPr>
        <w:t xml:space="preserve"> &lt; 0.05</w:t>
      </w:r>
      <w:r>
        <w:rPr>
          <w:color w:val="000000"/>
          <w:kern w:val="0"/>
          <w:sz w:val="24"/>
          <w:lang w:bidi="ar"/>
        </w:rPr>
        <w:t>）；肌肉</w:t>
      </w:r>
      <w:r>
        <w:rPr>
          <w:color w:val="000000"/>
          <w:kern w:val="0"/>
          <w:sz w:val="24"/>
          <w:lang w:bidi="ar"/>
        </w:rPr>
        <w:t xml:space="preserve"> PK </w:t>
      </w:r>
      <w:r>
        <w:rPr>
          <w:color w:val="000000"/>
          <w:kern w:val="0"/>
          <w:sz w:val="24"/>
          <w:lang w:bidi="ar"/>
        </w:rPr>
        <w:t>酶活性随</w:t>
      </w:r>
      <w:r>
        <w:rPr>
          <w:color w:val="000000"/>
          <w:kern w:val="0"/>
          <w:sz w:val="24"/>
          <w:lang w:bidi="ar"/>
        </w:rPr>
        <w:t xml:space="preserve">GAA </w:t>
      </w:r>
      <w:r>
        <w:rPr>
          <w:color w:val="000000"/>
          <w:kern w:val="0"/>
          <w:sz w:val="24"/>
          <w:lang w:bidi="ar"/>
        </w:rPr>
        <w:t>添加水平的增加先上升后下降，其中</w:t>
      </w:r>
      <w:r>
        <w:rPr>
          <w:color w:val="000000"/>
          <w:kern w:val="0"/>
          <w:sz w:val="24"/>
          <w:lang w:bidi="ar"/>
        </w:rPr>
        <w:t xml:space="preserve"> GAA300 </w:t>
      </w:r>
      <w:r>
        <w:rPr>
          <w:color w:val="000000"/>
          <w:kern w:val="0"/>
          <w:sz w:val="24"/>
          <w:lang w:bidi="ar"/>
        </w:rPr>
        <w:t>组和</w:t>
      </w:r>
      <w:r>
        <w:rPr>
          <w:color w:val="000000"/>
          <w:kern w:val="0"/>
          <w:sz w:val="24"/>
          <w:lang w:bidi="ar"/>
        </w:rPr>
        <w:t xml:space="preserve"> GAA600 </w:t>
      </w:r>
      <w:r>
        <w:rPr>
          <w:color w:val="000000"/>
          <w:kern w:val="0"/>
          <w:sz w:val="24"/>
          <w:lang w:bidi="ar"/>
        </w:rPr>
        <w:t>组的</w:t>
      </w:r>
      <w:r>
        <w:rPr>
          <w:color w:val="000000"/>
          <w:kern w:val="0"/>
          <w:sz w:val="24"/>
          <w:lang w:bidi="ar"/>
        </w:rPr>
        <w:t xml:space="preserve"> PK </w:t>
      </w:r>
      <w:r>
        <w:rPr>
          <w:color w:val="000000"/>
          <w:kern w:val="0"/>
          <w:sz w:val="24"/>
          <w:lang w:bidi="ar"/>
        </w:rPr>
        <w:t>酶活性显著高于对照组（</w:t>
      </w:r>
      <w:r>
        <w:rPr>
          <w:i/>
          <w:iCs/>
          <w:color w:val="000000"/>
          <w:kern w:val="0"/>
          <w:sz w:val="24"/>
          <w:lang w:bidi="ar"/>
        </w:rPr>
        <w:t>P</w:t>
      </w:r>
      <w:r>
        <w:rPr>
          <w:color w:val="000000"/>
          <w:kern w:val="0"/>
          <w:sz w:val="24"/>
          <w:lang w:bidi="ar"/>
        </w:rPr>
        <w:t xml:space="preserve"> &lt; 0.05</w:t>
      </w:r>
      <w:r>
        <w:rPr>
          <w:color w:val="000000"/>
          <w:kern w:val="0"/>
          <w:sz w:val="24"/>
          <w:lang w:bidi="ar"/>
        </w:rPr>
        <w:t>）（表</w:t>
      </w:r>
      <w:r>
        <w:rPr>
          <w:color w:val="000000"/>
          <w:kern w:val="0"/>
          <w:sz w:val="24"/>
          <w:lang w:bidi="ar"/>
        </w:rPr>
        <w:t xml:space="preserve"> 8</w:t>
      </w:r>
      <w:r>
        <w:rPr>
          <w:color w:val="000000"/>
          <w:kern w:val="0"/>
          <w:sz w:val="24"/>
          <w:lang w:bidi="ar"/>
        </w:rPr>
        <w:t>）。</w:t>
      </w:r>
    </w:p>
    <w:p w14:paraId="4B112196" w14:textId="77777777" w:rsidR="006D73E5" w:rsidRDefault="00000000">
      <w:pPr>
        <w:spacing w:line="360" w:lineRule="auto"/>
        <w:jc w:val="center"/>
        <w:rPr>
          <w:color w:val="000000"/>
          <w:kern w:val="0"/>
          <w:sz w:val="24"/>
          <w:lang w:bidi="ar"/>
        </w:rPr>
      </w:pPr>
      <w:r>
        <w:rPr>
          <w:noProof/>
          <w:color w:val="000000"/>
          <w:kern w:val="0"/>
          <w:sz w:val="24"/>
          <w:lang w:bidi="ar"/>
        </w:rPr>
        <w:lastRenderedPageBreak/>
        <w:drawing>
          <wp:inline distT="0" distB="0" distL="0" distR="0" wp14:anchorId="2CB7B61C" wp14:editId="1ED21555">
            <wp:extent cx="6259195" cy="1558925"/>
            <wp:effectExtent l="0" t="0" r="8255" b="317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noChangeArrowheads="1"/>
                    </pic:cNvPicPr>
                  </pic:nvPicPr>
                  <pic:blipFill>
                    <a:blip r:embed="rId37" cstate="print">
                      <a:extLst>
                        <a:ext uri="{28A0092B-C50C-407E-A947-70E740481C1C}">
                          <a14:useLocalDpi xmlns:a14="http://schemas.microsoft.com/office/drawing/2010/main" val="0"/>
                        </a:ext>
                      </a:extLst>
                    </a:blip>
                    <a:srcRect b="3377"/>
                    <a:stretch>
                      <a:fillRect/>
                    </a:stretch>
                  </pic:blipFill>
                  <pic:spPr>
                    <a:xfrm>
                      <a:off x="0" y="0"/>
                      <a:ext cx="6269100" cy="1561392"/>
                    </a:xfrm>
                    <a:prstGeom prst="rect">
                      <a:avLst/>
                    </a:prstGeom>
                    <a:noFill/>
                    <a:ln>
                      <a:noFill/>
                    </a:ln>
                  </pic:spPr>
                </pic:pic>
              </a:graphicData>
            </a:graphic>
          </wp:inline>
        </w:drawing>
      </w:r>
    </w:p>
    <w:p w14:paraId="6B424AE3" w14:textId="77777777" w:rsidR="006D73E5" w:rsidRDefault="00000000">
      <w:pPr>
        <w:spacing w:line="360" w:lineRule="auto"/>
        <w:rPr>
          <w:sz w:val="24"/>
        </w:rPr>
      </w:pPr>
      <w:r>
        <w:rPr>
          <w:sz w:val="24"/>
        </w:rPr>
        <w:t xml:space="preserve">3 </w:t>
      </w:r>
      <w:r>
        <w:rPr>
          <w:sz w:val="24"/>
        </w:rPr>
        <w:t>讨论</w:t>
      </w:r>
      <w:r>
        <w:rPr>
          <w:sz w:val="24"/>
        </w:rPr>
        <w:t xml:space="preserve"> </w:t>
      </w:r>
    </w:p>
    <w:p w14:paraId="693FC6AC" w14:textId="77777777" w:rsidR="006D73E5" w:rsidRDefault="00000000">
      <w:pPr>
        <w:spacing w:line="360" w:lineRule="auto"/>
        <w:rPr>
          <w:sz w:val="24"/>
        </w:rPr>
      </w:pPr>
      <w:r>
        <w:rPr>
          <w:sz w:val="24"/>
        </w:rPr>
        <w:t xml:space="preserve">3.1 </w:t>
      </w:r>
      <w:r>
        <w:rPr>
          <w:sz w:val="24"/>
        </w:rPr>
        <w:t>饲料中</w:t>
      </w:r>
      <w:r>
        <w:rPr>
          <w:sz w:val="24"/>
        </w:rPr>
        <w:t xml:space="preserve"> GAA </w:t>
      </w:r>
      <w:r>
        <w:rPr>
          <w:sz w:val="24"/>
        </w:rPr>
        <w:t>水平对斑点叉尾鮰生长性能的影响</w:t>
      </w:r>
      <w:r>
        <w:rPr>
          <w:sz w:val="24"/>
        </w:rPr>
        <w:t xml:space="preserve"> </w:t>
      </w:r>
    </w:p>
    <w:p w14:paraId="4EB59704" w14:textId="77777777" w:rsidR="006D73E5" w:rsidRDefault="00000000">
      <w:pPr>
        <w:spacing w:line="360" w:lineRule="auto"/>
        <w:ind w:firstLineChars="200" w:firstLine="480"/>
        <w:rPr>
          <w:sz w:val="24"/>
        </w:rPr>
      </w:pPr>
      <w:r>
        <w:rPr>
          <w:sz w:val="24"/>
        </w:rPr>
        <w:t>研究表明，适宜的精氨酸可促进生长</w:t>
      </w:r>
      <w:r>
        <w:rPr>
          <w:sz w:val="24"/>
          <w:vertAlign w:val="superscript"/>
        </w:rPr>
        <w:t>[17]</w:t>
      </w:r>
      <w:r>
        <w:rPr>
          <w:sz w:val="24"/>
        </w:rPr>
        <w:t>。</w:t>
      </w:r>
      <w:r>
        <w:rPr>
          <w:sz w:val="24"/>
        </w:rPr>
        <w:t xml:space="preserve">GAA </w:t>
      </w:r>
      <w:r>
        <w:rPr>
          <w:sz w:val="24"/>
        </w:rPr>
        <w:t>由甘氨酸和</w:t>
      </w:r>
      <w:r>
        <w:rPr>
          <w:sz w:val="24"/>
        </w:rPr>
        <w:t xml:space="preserve"> L-</w:t>
      </w:r>
      <w:r>
        <w:rPr>
          <w:sz w:val="24"/>
        </w:rPr>
        <w:t>精氨酸合成，添加外源性</w:t>
      </w:r>
      <w:r>
        <w:rPr>
          <w:sz w:val="24"/>
        </w:rPr>
        <w:t xml:space="preserve"> GAA </w:t>
      </w:r>
      <w:r>
        <w:rPr>
          <w:sz w:val="24"/>
        </w:rPr>
        <w:t>可作为精氨酸的有效替代物，促进精氨酸用于蛋白质合成代谢、信号传导和激素释放等；同时可直接提高磷酸肌酸</w:t>
      </w:r>
      <w:r>
        <w:rPr>
          <w:sz w:val="24"/>
        </w:rPr>
        <w:t xml:space="preserve"> ATP </w:t>
      </w:r>
      <w:r>
        <w:rPr>
          <w:sz w:val="24"/>
        </w:rPr>
        <w:t>值，提供更多</w:t>
      </w:r>
      <w:r>
        <w:rPr>
          <w:sz w:val="24"/>
        </w:rPr>
        <w:t xml:space="preserve"> ATP </w:t>
      </w:r>
      <w:r>
        <w:rPr>
          <w:sz w:val="24"/>
        </w:rPr>
        <w:t>促进肌纤维发育，改善动物的生长性能</w:t>
      </w:r>
      <w:r>
        <w:rPr>
          <w:sz w:val="24"/>
          <w:vertAlign w:val="superscript"/>
        </w:rPr>
        <w:t>[18]</w:t>
      </w:r>
      <w:r>
        <w:rPr>
          <w:sz w:val="24"/>
        </w:rPr>
        <w:t>。但在本研究中添加</w:t>
      </w:r>
      <w:r>
        <w:rPr>
          <w:sz w:val="24"/>
        </w:rPr>
        <w:t xml:space="preserve"> GAA </w:t>
      </w:r>
      <w:r>
        <w:rPr>
          <w:sz w:val="24"/>
        </w:rPr>
        <w:t>对斑点叉尾鮰生长并无显著的促进作用，这与先前的研究结果一致。洑琴等</w:t>
      </w:r>
      <w:r>
        <w:rPr>
          <w:sz w:val="24"/>
          <w:vertAlign w:val="superscript"/>
        </w:rPr>
        <w:t>[19]</w:t>
      </w:r>
      <w:r>
        <w:rPr>
          <w:sz w:val="24"/>
        </w:rPr>
        <w:t>在饲料中添加</w:t>
      </w:r>
      <w:r>
        <w:rPr>
          <w:sz w:val="24"/>
        </w:rPr>
        <w:t xml:space="preserve"> 250</w:t>
      </w:r>
      <w:r>
        <w:rPr>
          <w:sz w:val="24"/>
        </w:rPr>
        <w:t>、</w:t>
      </w:r>
      <w:r>
        <w:rPr>
          <w:sz w:val="24"/>
        </w:rPr>
        <w:t xml:space="preserve">500 </w:t>
      </w:r>
      <w:r>
        <w:rPr>
          <w:sz w:val="24"/>
        </w:rPr>
        <w:t>和</w:t>
      </w:r>
      <w:r>
        <w:rPr>
          <w:sz w:val="24"/>
        </w:rPr>
        <w:t xml:space="preserve">1 000 mg/kg GAA </w:t>
      </w:r>
      <w:r>
        <w:rPr>
          <w:sz w:val="24"/>
        </w:rPr>
        <w:t>对建鲤（</w:t>
      </w:r>
      <w:r>
        <w:rPr>
          <w:i/>
          <w:iCs/>
          <w:sz w:val="24"/>
        </w:rPr>
        <w:t xml:space="preserve">Cyprinus </w:t>
      </w:r>
      <w:proofErr w:type="spellStart"/>
      <w:r>
        <w:rPr>
          <w:i/>
          <w:iCs/>
          <w:sz w:val="24"/>
        </w:rPr>
        <w:t>carpio</w:t>
      </w:r>
      <w:proofErr w:type="spellEnd"/>
      <w:r>
        <w:rPr>
          <w:i/>
          <w:iCs/>
          <w:sz w:val="24"/>
        </w:rPr>
        <w:t xml:space="preserve"> var. Jian</w:t>
      </w:r>
      <w:r>
        <w:rPr>
          <w:sz w:val="24"/>
        </w:rPr>
        <w:t>）</w:t>
      </w:r>
      <w:r>
        <w:rPr>
          <w:sz w:val="24"/>
        </w:rPr>
        <w:t>FBW</w:t>
      </w:r>
      <w:r>
        <w:rPr>
          <w:sz w:val="24"/>
        </w:rPr>
        <w:t>、</w:t>
      </w:r>
      <w:r>
        <w:rPr>
          <w:sz w:val="24"/>
        </w:rPr>
        <w:t xml:space="preserve">SGR </w:t>
      </w:r>
      <w:r>
        <w:rPr>
          <w:sz w:val="24"/>
        </w:rPr>
        <w:t>和</w:t>
      </w:r>
      <w:r>
        <w:rPr>
          <w:sz w:val="24"/>
        </w:rPr>
        <w:t xml:space="preserve"> WGR </w:t>
      </w:r>
      <w:r>
        <w:rPr>
          <w:sz w:val="24"/>
        </w:rPr>
        <w:t>均无改善作用。</w:t>
      </w:r>
      <w:proofErr w:type="spellStart"/>
      <w:r>
        <w:rPr>
          <w:sz w:val="24"/>
        </w:rPr>
        <w:t>Stites</w:t>
      </w:r>
      <w:proofErr w:type="spellEnd"/>
      <w:r>
        <w:rPr>
          <w:sz w:val="24"/>
        </w:rPr>
        <w:t>等</w:t>
      </w:r>
      <w:r>
        <w:rPr>
          <w:sz w:val="24"/>
          <w:vertAlign w:val="superscript"/>
        </w:rPr>
        <w:t>[8]</w:t>
      </w:r>
      <w:r>
        <w:rPr>
          <w:sz w:val="24"/>
        </w:rPr>
        <w:t>在红鼓鱼饲料中添加</w:t>
      </w:r>
      <w:r>
        <w:rPr>
          <w:sz w:val="24"/>
        </w:rPr>
        <w:t xml:space="preserve"> GAA</w:t>
      </w:r>
      <w:r>
        <w:rPr>
          <w:sz w:val="24"/>
        </w:rPr>
        <w:t>（</w:t>
      </w:r>
      <w:r>
        <w:rPr>
          <w:sz w:val="24"/>
        </w:rPr>
        <w:t>0</w:t>
      </w:r>
      <w:r>
        <w:rPr>
          <w:sz w:val="24"/>
        </w:rPr>
        <w:t>、</w:t>
      </w:r>
      <w:r>
        <w:rPr>
          <w:sz w:val="24"/>
        </w:rPr>
        <w:t xml:space="preserve">5 </w:t>
      </w:r>
      <w:r>
        <w:rPr>
          <w:sz w:val="24"/>
        </w:rPr>
        <w:t>和</w:t>
      </w:r>
      <w:r>
        <w:rPr>
          <w:sz w:val="24"/>
        </w:rPr>
        <w:t xml:space="preserve"> 10 g/kg</w:t>
      </w:r>
      <w:r>
        <w:rPr>
          <w:sz w:val="24"/>
        </w:rPr>
        <w:t>）和肌酸（</w:t>
      </w:r>
      <w:r>
        <w:rPr>
          <w:sz w:val="24"/>
        </w:rPr>
        <w:t xml:space="preserve">0 </w:t>
      </w:r>
      <w:r>
        <w:rPr>
          <w:sz w:val="24"/>
        </w:rPr>
        <w:t>和</w:t>
      </w:r>
      <w:r>
        <w:rPr>
          <w:sz w:val="24"/>
        </w:rPr>
        <w:t xml:space="preserve"> 20 g/kg</w:t>
      </w:r>
      <w:r>
        <w:rPr>
          <w:sz w:val="24"/>
        </w:rPr>
        <w:t>）发现，添加</w:t>
      </w:r>
      <w:r>
        <w:rPr>
          <w:sz w:val="24"/>
        </w:rPr>
        <w:t xml:space="preserve"> GAA </w:t>
      </w:r>
      <w:r>
        <w:rPr>
          <w:sz w:val="24"/>
        </w:rPr>
        <w:t>对</w:t>
      </w:r>
      <w:r>
        <w:rPr>
          <w:sz w:val="24"/>
        </w:rPr>
        <w:t xml:space="preserve"> FBW </w:t>
      </w:r>
      <w:r>
        <w:rPr>
          <w:sz w:val="24"/>
        </w:rPr>
        <w:t>和</w:t>
      </w:r>
      <w:r>
        <w:rPr>
          <w:sz w:val="24"/>
        </w:rPr>
        <w:t xml:space="preserve">WGR </w:t>
      </w:r>
      <w:r>
        <w:rPr>
          <w:sz w:val="24"/>
        </w:rPr>
        <w:t>无促进作用；但</w:t>
      </w:r>
      <w:r>
        <w:rPr>
          <w:sz w:val="24"/>
        </w:rPr>
        <w:t xml:space="preserve"> Lin </w:t>
      </w:r>
      <w:r>
        <w:rPr>
          <w:sz w:val="24"/>
        </w:rPr>
        <w:t>等</w:t>
      </w:r>
      <w:r>
        <w:rPr>
          <w:sz w:val="24"/>
          <w:vertAlign w:val="superscript"/>
        </w:rPr>
        <w:t>[9]</w:t>
      </w:r>
      <w:r>
        <w:rPr>
          <w:sz w:val="24"/>
        </w:rPr>
        <w:t>研究发现，添加</w:t>
      </w:r>
      <w:r>
        <w:rPr>
          <w:sz w:val="24"/>
        </w:rPr>
        <w:t xml:space="preserve"> 0.4 g/kg GAA </w:t>
      </w:r>
      <w:r>
        <w:rPr>
          <w:sz w:val="24"/>
        </w:rPr>
        <w:t>可显著提高牛蛙生长性能，造成这些结果差异可能的原因是不同的养殖动物对精氨酸的需求量不同。有研究表明精氨酸可调节脂肪组织和肌肉组织之间的脂质分布</w:t>
      </w:r>
      <w:r>
        <w:rPr>
          <w:sz w:val="24"/>
          <w:vertAlign w:val="superscript"/>
        </w:rPr>
        <w:t>[20]</w:t>
      </w:r>
      <w:r>
        <w:rPr>
          <w:sz w:val="24"/>
        </w:rPr>
        <w:t>。本研究中，随着</w:t>
      </w:r>
      <w:r>
        <w:rPr>
          <w:sz w:val="24"/>
        </w:rPr>
        <w:t xml:space="preserve"> GAA </w:t>
      </w:r>
      <w:r>
        <w:rPr>
          <w:sz w:val="24"/>
        </w:rPr>
        <w:t>添加水平增加，斑点叉尾鮰腹脂率</w:t>
      </w:r>
      <w:r>
        <w:rPr>
          <w:sz w:val="24"/>
        </w:rPr>
        <w:t xml:space="preserve"> IPF </w:t>
      </w:r>
      <w:r>
        <w:rPr>
          <w:sz w:val="24"/>
        </w:rPr>
        <w:t>呈现先下降后上升趋势，在添加</w:t>
      </w:r>
      <w:r>
        <w:rPr>
          <w:sz w:val="24"/>
        </w:rPr>
        <w:t xml:space="preserve"> 300 mg/kg </w:t>
      </w:r>
      <w:r>
        <w:rPr>
          <w:sz w:val="24"/>
        </w:rPr>
        <w:t>组最低。以</w:t>
      </w:r>
      <w:r>
        <w:rPr>
          <w:sz w:val="24"/>
        </w:rPr>
        <w:t xml:space="preserve"> IPF </w:t>
      </w:r>
      <w:r>
        <w:rPr>
          <w:sz w:val="24"/>
        </w:rPr>
        <w:t>为指标通过二次函数分析，获得最适</w:t>
      </w:r>
      <w:r>
        <w:rPr>
          <w:sz w:val="24"/>
        </w:rPr>
        <w:t xml:space="preserve"> IPF </w:t>
      </w:r>
      <w:r>
        <w:rPr>
          <w:sz w:val="24"/>
        </w:rPr>
        <w:t>的</w:t>
      </w:r>
      <w:r>
        <w:rPr>
          <w:sz w:val="24"/>
        </w:rPr>
        <w:t xml:space="preserve"> GAA </w:t>
      </w:r>
      <w:r>
        <w:rPr>
          <w:sz w:val="24"/>
        </w:rPr>
        <w:t>添加量为</w:t>
      </w:r>
      <w:r>
        <w:rPr>
          <w:sz w:val="24"/>
        </w:rPr>
        <w:t>275 mg/kg</w:t>
      </w:r>
      <w:r>
        <w:rPr>
          <w:sz w:val="24"/>
        </w:rPr>
        <w:t>，说明添加适量的</w:t>
      </w:r>
      <w:r>
        <w:rPr>
          <w:sz w:val="24"/>
        </w:rPr>
        <w:t xml:space="preserve"> GAA </w:t>
      </w:r>
      <w:r>
        <w:rPr>
          <w:sz w:val="24"/>
        </w:rPr>
        <w:t>可有效减少腹腔脂肪蓄积，间接调节脂质分布。</w:t>
      </w:r>
      <w:r>
        <w:rPr>
          <w:sz w:val="24"/>
        </w:rPr>
        <w:t xml:space="preserve"> </w:t>
      </w:r>
    </w:p>
    <w:p w14:paraId="276F48D3" w14:textId="77777777" w:rsidR="006D73E5" w:rsidRDefault="00000000">
      <w:pPr>
        <w:spacing w:line="360" w:lineRule="auto"/>
        <w:rPr>
          <w:sz w:val="24"/>
        </w:rPr>
      </w:pPr>
      <w:r>
        <w:rPr>
          <w:sz w:val="24"/>
        </w:rPr>
        <w:t xml:space="preserve">3.2 </w:t>
      </w:r>
      <w:r>
        <w:rPr>
          <w:sz w:val="24"/>
        </w:rPr>
        <w:t>饲料中</w:t>
      </w:r>
      <w:r>
        <w:rPr>
          <w:sz w:val="24"/>
        </w:rPr>
        <w:t xml:space="preserve"> GAA </w:t>
      </w:r>
      <w:r>
        <w:rPr>
          <w:sz w:val="24"/>
        </w:rPr>
        <w:t>水平对斑点叉尾鮰肌肉品质的影响</w:t>
      </w:r>
      <w:r>
        <w:rPr>
          <w:sz w:val="24"/>
        </w:rPr>
        <w:t xml:space="preserve"> </w:t>
      </w:r>
    </w:p>
    <w:p w14:paraId="73498E5B" w14:textId="77777777" w:rsidR="006D73E5" w:rsidRDefault="00000000">
      <w:pPr>
        <w:spacing w:line="360" w:lineRule="auto"/>
        <w:ind w:firstLineChars="200" w:firstLine="480"/>
        <w:rPr>
          <w:sz w:val="24"/>
        </w:rPr>
      </w:pPr>
      <w:r>
        <w:rPr>
          <w:sz w:val="24"/>
        </w:rPr>
        <w:t>胶原蛋白是反映肌肉品质的重要指标，胶原蛋白及其交联结构与肌肉硬度和质地有关，鱼类研究表明肌肉中胶原蛋白含量与硬度成正比</w:t>
      </w:r>
      <w:r>
        <w:rPr>
          <w:sz w:val="24"/>
          <w:vertAlign w:val="superscript"/>
        </w:rPr>
        <w:t>[21]</w:t>
      </w:r>
      <w:r>
        <w:rPr>
          <w:sz w:val="24"/>
        </w:rPr>
        <w:t>。李乃顺等</w:t>
      </w:r>
      <w:r>
        <w:rPr>
          <w:sz w:val="24"/>
          <w:vertAlign w:val="superscript"/>
        </w:rPr>
        <w:t>[22]</w:t>
      </w:r>
      <w:r>
        <w:rPr>
          <w:sz w:val="24"/>
        </w:rPr>
        <w:t>研究绿原酸对草鱼生长及肉质的影响中也指出，当添加量为</w:t>
      </w:r>
      <w:r>
        <w:rPr>
          <w:sz w:val="24"/>
        </w:rPr>
        <w:t xml:space="preserve"> 0.02%</w:t>
      </w:r>
      <w:r>
        <w:rPr>
          <w:sz w:val="24"/>
        </w:rPr>
        <w:t>时可显著提高肌肉中胶原蛋白的含量，从而改善肌肉品质。羟脯氨酸是胶原蛋白特有的氨基酸，补充适量羟脯氨酸可帮助体内胶原蛋白的重建。刘云正</w:t>
      </w:r>
      <w:r>
        <w:rPr>
          <w:sz w:val="24"/>
          <w:vertAlign w:val="superscript"/>
        </w:rPr>
        <w:t>[23]</w:t>
      </w:r>
      <w:r>
        <w:rPr>
          <w:sz w:val="24"/>
        </w:rPr>
        <w:t>研究发现，高植物蛋白替代鱼粉后添加羟脯氨酸对大菱鲆（</w:t>
      </w:r>
      <w:r>
        <w:rPr>
          <w:i/>
          <w:iCs/>
          <w:sz w:val="24"/>
        </w:rPr>
        <w:t>Scophthalmus maximus</w:t>
      </w:r>
      <w:r>
        <w:rPr>
          <w:sz w:val="24"/>
        </w:rPr>
        <w:t>）幼鱼生长的影响，表明添加</w:t>
      </w:r>
      <w:r>
        <w:rPr>
          <w:sz w:val="24"/>
        </w:rPr>
        <w:t xml:space="preserve"> 40 I </w:t>
      </w:r>
      <w:r>
        <w:rPr>
          <w:sz w:val="24"/>
        </w:rPr>
        <w:t>和</w:t>
      </w:r>
      <w:r>
        <w:rPr>
          <w:sz w:val="24"/>
        </w:rPr>
        <w:t xml:space="preserve"> 50 I</w:t>
      </w:r>
      <w:r>
        <w:rPr>
          <w:sz w:val="24"/>
        </w:rPr>
        <w:t>羟脯氨酸可以显著提高肌肉羟脯氨酸和胶原蛋白含量。本研究中，添加</w:t>
      </w:r>
      <w:r>
        <w:rPr>
          <w:sz w:val="24"/>
        </w:rPr>
        <w:t xml:space="preserve"> 300~900 mg/kg GAA </w:t>
      </w:r>
      <w:r>
        <w:rPr>
          <w:sz w:val="24"/>
        </w:rPr>
        <w:t>可显著提高肌肉羟脯氨酸含量，从而提高肌肉中胶原蛋白含量，改善肌肉品质。动物肌肉停止供氧后，通过无氧酵解产生乳酸</w:t>
      </w:r>
      <w:r>
        <w:rPr>
          <w:sz w:val="24"/>
        </w:rPr>
        <w:lastRenderedPageBreak/>
        <w:t>导致</w:t>
      </w:r>
      <w:r>
        <w:rPr>
          <w:sz w:val="24"/>
        </w:rPr>
        <w:t xml:space="preserve"> pH </w:t>
      </w:r>
      <w:r>
        <w:rPr>
          <w:sz w:val="24"/>
        </w:rPr>
        <w:t>降低，进而影响肉色、系水力等</w:t>
      </w:r>
      <w:r>
        <w:rPr>
          <w:sz w:val="24"/>
        </w:rPr>
        <w:t>[1]</w:t>
      </w:r>
      <w:r>
        <w:rPr>
          <w:sz w:val="24"/>
        </w:rPr>
        <w:t>。添加</w:t>
      </w:r>
      <w:r>
        <w:rPr>
          <w:sz w:val="24"/>
        </w:rPr>
        <w:t xml:space="preserve"> GAA </w:t>
      </w:r>
      <w:r>
        <w:rPr>
          <w:sz w:val="24"/>
        </w:rPr>
        <w:t>可直接提高磷酸肌酸</w:t>
      </w:r>
      <w:r>
        <w:rPr>
          <w:sz w:val="24"/>
        </w:rPr>
        <w:t xml:space="preserve"> ATP </w:t>
      </w:r>
      <w:r>
        <w:rPr>
          <w:sz w:val="24"/>
        </w:rPr>
        <w:t>值，降低肌糖原作为能源物质的分解，缓解肌肉无氧酵解和降低乳酸含量，从而改善肌肉品质，所以肌糖原含量也可作为肌肉品质评价指标。本实验中添加</w:t>
      </w:r>
      <w:r>
        <w:rPr>
          <w:sz w:val="24"/>
        </w:rPr>
        <w:t xml:space="preserve"> GAA </w:t>
      </w:r>
      <w:r>
        <w:rPr>
          <w:sz w:val="24"/>
        </w:rPr>
        <w:t>后，肌肉中肌糖原含量均有提高，有助于提升斑点叉尾鮰肌肉品质。</w:t>
      </w:r>
      <w:r>
        <w:rPr>
          <w:sz w:val="24"/>
        </w:rPr>
        <w:t xml:space="preserve">Yang </w:t>
      </w:r>
      <w:r>
        <w:rPr>
          <w:sz w:val="24"/>
        </w:rPr>
        <w:t>等</w:t>
      </w:r>
      <w:r>
        <w:rPr>
          <w:sz w:val="24"/>
        </w:rPr>
        <w:t>[10]</w:t>
      </w:r>
      <w:r>
        <w:rPr>
          <w:sz w:val="24"/>
        </w:rPr>
        <w:t>在植物蛋白饲料中添加</w:t>
      </w:r>
      <w:r>
        <w:rPr>
          <w:sz w:val="24"/>
        </w:rPr>
        <w:t xml:space="preserve"> 0</w:t>
      </w:r>
      <w:r>
        <w:rPr>
          <w:sz w:val="24"/>
        </w:rPr>
        <w:t>、</w:t>
      </w:r>
      <w:r>
        <w:rPr>
          <w:sz w:val="24"/>
        </w:rPr>
        <w:t>150</w:t>
      </w:r>
      <w:r>
        <w:rPr>
          <w:sz w:val="24"/>
        </w:rPr>
        <w:t>、</w:t>
      </w:r>
      <w:r>
        <w:rPr>
          <w:sz w:val="24"/>
        </w:rPr>
        <w:t>300</w:t>
      </w:r>
      <w:r>
        <w:rPr>
          <w:sz w:val="24"/>
        </w:rPr>
        <w:t>、</w:t>
      </w:r>
      <w:r>
        <w:rPr>
          <w:sz w:val="24"/>
        </w:rPr>
        <w:t xml:space="preserve">450 </w:t>
      </w:r>
      <w:r>
        <w:rPr>
          <w:sz w:val="24"/>
        </w:rPr>
        <w:t>和</w:t>
      </w:r>
      <w:r>
        <w:rPr>
          <w:sz w:val="24"/>
        </w:rPr>
        <w:t xml:space="preserve"> 600 mg/kg GAA</w:t>
      </w:r>
      <w:r>
        <w:rPr>
          <w:sz w:val="24"/>
        </w:rPr>
        <w:t>，通过</w:t>
      </w:r>
      <w:r>
        <w:rPr>
          <w:sz w:val="24"/>
        </w:rPr>
        <w:t xml:space="preserve">60 d </w:t>
      </w:r>
      <w:r>
        <w:rPr>
          <w:sz w:val="24"/>
        </w:rPr>
        <w:t>养殖发现添加</w:t>
      </w:r>
      <w:r>
        <w:rPr>
          <w:sz w:val="24"/>
        </w:rPr>
        <w:t xml:space="preserve"> 300 mg/kg </w:t>
      </w:r>
      <w:r>
        <w:rPr>
          <w:sz w:val="24"/>
        </w:rPr>
        <w:t>组可显著提高肌肉中</w:t>
      </w:r>
      <w:r>
        <w:rPr>
          <w:sz w:val="24"/>
        </w:rPr>
        <w:t xml:space="preserve"> EPA </w:t>
      </w:r>
      <w:r>
        <w:rPr>
          <w:sz w:val="24"/>
        </w:rPr>
        <w:t>和</w:t>
      </w:r>
      <w:r>
        <w:rPr>
          <w:sz w:val="24"/>
        </w:rPr>
        <w:t xml:space="preserve"> DHA </w:t>
      </w:r>
      <w:r>
        <w:rPr>
          <w:sz w:val="24"/>
        </w:rPr>
        <w:t>含量，并对游离氨基酸中必需氨基酸和氨基酸总量产生显著影响。本实验中，添加</w:t>
      </w:r>
      <w:r>
        <w:rPr>
          <w:sz w:val="24"/>
        </w:rPr>
        <w:t xml:space="preserve"> GAA </w:t>
      </w:r>
      <w:r>
        <w:rPr>
          <w:sz w:val="24"/>
        </w:rPr>
        <w:t>对肌肉游离氨基酸和脂肪酸均无影响，可能是与养殖品种和养殖周期相关，具体原因还需进一步研究。</w:t>
      </w:r>
      <w:r>
        <w:rPr>
          <w:sz w:val="24"/>
        </w:rPr>
        <w:t xml:space="preserve"> </w:t>
      </w:r>
    </w:p>
    <w:p w14:paraId="67E732BD" w14:textId="77777777" w:rsidR="006D73E5" w:rsidRDefault="00000000">
      <w:pPr>
        <w:spacing w:line="360" w:lineRule="auto"/>
        <w:rPr>
          <w:sz w:val="24"/>
        </w:rPr>
      </w:pPr>
      <w:r>
        <w:rPr>
          <w:sz w:val="24"/>
        </w:rPr>
        <w:t xml:space="preserve">3.3 </w:t>
      </w:r>
      <w:r>
        <w:rPr>
          <w:sz w:val="24"/>
        </w:rPr>
        <w:t>饲料中</w:t>
      </w:r>
      <w:r>
        <w:rPr>
          <w:sz w:val="24"/>
        </w:rPr>
        <w:t xml:space="preserve"> GAA </w:t>
      </w:r>
      <w:r>
        <w:rPr>
          <w:sz w:val="24"/>
        </w:rPr>
        <w:t>水平对斑点叉尾鮰肝脏抗氧化指标的影响</w:t>
      </w:r>
      <w:r>
        <w:rPr>
          <w:sz w:val="24"/>
        </w:rPr>
        <w:t xml:space="preserve"> </w:t>
      </w:r>
    </w:p>
    <w:p w14:paraId="2B927C44" w14:textId="77777777" w:rsidR="006D73E5" w:rsidRDefault="00000000">
      <w:pPr>
        <w:spacing w:line="360" w:lineRule="auto"/>
        <w:ind w:firstLineChars="200" w:firstLine="480"/>
        <w:rPr>
          <w:sz w:val="24"/>
        </w:rPr>
      </w:pPr>
      <w:r>
        <w:rPr>
          <w:sz w:val="24"/>
        </w:rPr>
        <w:t>动物机体抗氧化酶系包括</w:t>
      </w:r>
      <w:r>
        <w:rPr>
          <w:sz w:val="24"/>
        </w:rPr>
        <w:t xml:space="preserve"> SOD</w:t>
      </w:r>
      <w:r>
        <w:rPr>
          <w:sz w:val="24"/>
        </w:rPr>
        <w:t>、</w:t>
      </w:r>
      <w:r>
        <w:rPr>
          <w:sz w:val="24"/>
        </w:rPr>
        <w:t>GSH-</w:t>
      </w:r>
      <w:proofErr w:type="spellStart"/>
      <w:r>
        <w:rPr>
          <w:sz w:val="24"/>
        </w:rPr>
        <w:t>Px</w:t>
      </w:r>
      <w:proofErr w:type="spellEnd"/>
      <w:r>
        <w:rPr>
          <w:sz w:val="24"/>
        </w:rPr>
        <w:t>、</w:t>
      </w:r>
      <w:r>
        <w:rPr>
          <w:sz w:val="24"/>
        </w:rPr>
        <w:t xml:space="preserve">CAT </w:t>
      </w:r>
      <w:r>
        <w:rPr>
          <w:sz w:val="24"/>
        </w:rPr>
        <w:t>等，</w:t>
      </w:r>
      <w:r>
        <w:rPr>
          <w:sz w:val="24"/>
        </w:rPr>
        <w:t xml:space="preserve">T-AOC </w:t>
      </w:r>
      <w:r>
        <w:rPr>
          <w:sz w:val="24"/>
        </w:rPr>
        <w:t>是反映机体总抗氧化机能的指标。</w:t>
      </w:r>
      <w:r>
        <w:rPr>
          <w:sz w:val="24"/>
        </w:rPr>
        <w:t xml:space="preserve">SOD </w:t>
      </w:r>
      <w:r>
        <w:rPr>
          <w:sz w:val="24"/>
        </w:rPr>
        <w:t>能够清除细胞中多余的自由基（</w:t>
      </w:r>
      <w:r>
        <w:rPr>
          <w:sz w:val="24"/>
        </w:rPr>
        <w:t>O</w:t>
      </w:r>
      <w:r>
        <w:rPr>
          <w:sz w:val="24"/>
          <w:vertAlign w:val="subscript"/>
        </w:rPr>
        <w:t>2</w:t>
      </w:r>
      <w:r>
        <w:rPr>
          <w:sz w:val="24"/>
          <w:vertAlign w:val="superscript"/>
        </w:rPr>
        <w:t>-</w:t>
      </w:r>
      <w:r>
        <w:rPr>
          <w:sz w:val="24"/>
        </w:rPr>
        <w:t>），抵抗过氧化物攻击而保护细胞；</w:t>
      </w:r>
      <w:r>
        <w:rPr>
          <w:sz w:val="24"/>
        </w:rPr>
        <w:t>GSH-</w:t>
      </w:r>
      <w:proofErr w:type="spellStart"/>
      <w:r>
        <w:rPr>
          <w:sz w:val="24"/>
        </w:rPr>
        <w:t>Px</w:t>
      </w:r>
      <w:proofErr w:type="spellEnd"/>
      <w:r>
        <w:rPr>
          <w:sz w:val="24"/>
        </w:rPr>
        <w:t xml:space="preserve"> </w:t>
      </w:r>
      <w:r>
        <w:rPr>
          <w:sz w:val="24"/>
        </w:rPr>
        <w:t>催化过氧化氢分解，降低过氧化物的含量，保护细胞膜结构和功能完整性，使机体不受氧化损害；</w:t>
      </w:r>
      <w:r>
        <w:rPr>
          <w:sz w:val="24"/>
        </w:rPr>
        <w:t xml:space="preserve">CAT </w:t>
      </w:r>
      <w:r>
        <w:rPr>
          <w:sz w:val="24"/>
        </w:rPr>
        <w:t>将过氧化氢催化分解成水，解除自由基氧化造成的损害</w:t>
      </w:r>
      <w:r>
        <w:rPr>
          <w:sz w:val="24"/>
          <w:vertAlign w:val="superscript"/>
        </w:rPr>
        <w:t>[24]</w:t>
      </w:r>
      <w:r>
        <w:rPr>
          <w:sz w:val="24"/>
        </w:rPr>
        <w:t>。耿凯等</w:t>
      </w:r>
      <w:r>
        <w:rPr>
          <w:sz w:val="24"/>
          <w:vertAlign w:val="superscript"/>
        </w:rPr>
        <w:t>[25]</w:t>
      </w:r>
      <w:r>
        <w:rPr>
          <w:sz w:val="24"/>
        </w:rPr>
        <w:t>在育肥猪饲料中添加</w:t>
      </w:r>
      <w:r>
        <w:rPr>
          <w:sz w:val="24"/>
        </w:rPr>
        <w:t xml:space="preserve"> 0.5% GAA </w:t>
      </w:r>
      <w:r>
        <w:rPr>
          <w:sz w:val="24"/>
        </w:rPr>
        <w:t>中药制剂发现，添加</w:t>
      </w:r>
      <w:r>
        <w:rPr>
          <w:sz w:val="24"/>
        </w:rPr>
        <w:t xml:space="preserve">0.5% GAA </w:t>
      </w:r>
      <w:r>
        <w:rPr>
          <w:sz w:val="24"/>
        </w:rPr>
        <w:t>中药制剂可显著提高肝脏</w:t>
      </w:r>
      <w:r>
        <w:rPr>
          <w:sz w:val="24"/>
        </w:rPr>
        <w:t xml:space="preserve"> T-AOC</w:t>
      </w:r>
      <w:r>
        <w:rPr>
          <w:sz w:val="24"/>
        </w:rPr>
        <w:t>、</w:t>
      </w:r>
      <w:r>
        <w:rPr>
          <w:sz w:val="24"/>
        </w:rPr>
        <w:t xml:space="preserve">SOD </w:t>
      </w:r>
      <w:r>
        <w:rPr>
          <w:sz w:val="24"/>
        </w:rPr>
        <w:t>和</w:t>
      </w:r>
      <w:r>
        <w:rPr>
          <w:sz w:val="24"/>
        </w:rPr>
        <w:t xml:space="preserve"> GSH-</w:t>
      </w:r>
      <w:proofErr w:type="spellStart"/>
      <w:r>
        <w:rPr>
          <w:sz w:val="24"/>
        </w:rPr>
        <w:t>Px</w:t>
      </w:r>
      <w:proofErr w:type="spellEnd"/>
      <w:r>
        <w:rPr>
          <w:sz w:val="24"/>
        </w:rPr>
        <w:t xml:space="preserve"> </w:t>
      </w:r>
      <w:r>
        <w:rPr>
          <w:sz w:val="24"/>
        </w:rPr>
        <w:t>含量，提高育肥猪的抗氧化能力。王子苑等</w:t>
      </w:r>
      <w:r>
        <w:rPr>
          <w:sz w:val="24"/>
        </w:rPr>
        <w:t>[26]</w:t>
      </w:r>
      <w:r>
        <w:rPr>
          <w:sz w:val="24"/>
        </w:rPr>
        <w:t>在肉牛基础饲料中分别添加</w:t>
      </w:r>
      <w:r>
        <w:rPr>
          <w:sz w:val="24"/>
        </w:rPr>
        <w:t xml:space="preserve"> 400 </w:t>
      </w:r>
      <w:r>
        <w:rPr>
          <w:sz w:val="24"/>
        </w:rPr>
        <w:t>和</w:t>
      </w:r>
      <w:r>
        <w:rPr>
          <w:sz w:val="24"/>
        </w:rPr>
        <w:t xml:space="preserve"> 800 mg/kg GAA</w:t>
      </w:r>
      <w:r>
        <w:rPr>
          <w:sz w:val="24"/>
        </w:rPr>
        <w:t>，结果表明，添加</w:t>
      </w:r>
      <w:r>
        <w:rPr>
          <w:sz w:val="24"/>
        </w:rPr>
        <w:t xml:space="preserve"> 400 mg/</w:t>
      </w:r>
      <w:proofErr w:type="spellStart"/>
      <w:r>
        <w:rPr>
          <w:sz w:val="24"/>
        </w:rPr>
        <w:t>kgGAA</w:t>
      </w:r>
      <w:proofErr w:type="spellEnd"/>
      <w:r>
        <w:rPr>
          <w:sz w:val="24"/>
        </w:rPr>
        <w:t xml:space="preserve"> </w:t>
      </w:r>
      <w:r>
        <w:rPr>
          <w:sz w:val="24"/>
        </w:rPr>
        <w:t>可显著提高肝脏</w:t>
      </w:r>
      <w:r>
        <w:rPr>
          <w:sz w:val="24"/>
        </w:rPr>
        <w:t xml:space="preserve"> T-AOC </w:t>
      </w:r>
      <w:r>
        <w:rPr>
          <w:sz w:val="24"/>
        </w:rPr>
        <w:t>和内源性抗氧化酶</w:t>
      </w:r>
      <w:r>
        <w:rPr>
          <w:sz w:val="24"/>
        </w:rPr>
        <w:t xml:space="preserve"> SOD</w:t>
      </w:r>
      <w:r>
        <w:rPr>
          <w:sz w:val="24"/>
        </w:rPr>
        <w:t>、</w:t>
      </w:r>
      <w:r>
        <w:rPr>
          <w:sz w:val="24"/>
        </w:rPr>
        <w:t>GSH-</w:t>
      </w:r>
      <w:proofErr w:type="spellStart"/>
      <w:r>
        <w:rPr>
          <w:sz w:val="24"/>
        </w:rPr>
        <w:t>Px</w:t>
      </w:r>
      <w:proofErr w:type="spellEnd"/>
      <w:r>
        <w:rPr>
          <w:sz w:val="24"/>
        </w:rPr>
        <w:t xml:space="preserve"> </w:t>
      </w:r>
      <w:r>
        <w:rPr>
          <w:sz w:val="24"/>
        </w:rPr>
        <w:t>酶活性，提高机体抗氧化能力。</w:t>
      </w:r>
      <w:r>
        <w:rPr>
          <w:sz w:val="24"/>
        </w:rPr>
        <w:t xml:space="preserve">Zeng </w:t>
      </w:r>
      <w:r>
        <w:rPr>
          <w:sz w:val="24"/>
        </w:rPr>
        <w:t>等</w:t>
      </w:r>
      <w:r>
        <w:rPr>
          <w:sz w:val="24"/>
          <w:vertAlign w:val="superscript"/>
        </w:rPr>
        <w:t>[27]</w:t>
      </w:r>
      <w:r>
        <w:rPr>
          <w:sz w:val="24"/>
        </w:rPr>
        <w:t>发现，植物蛋白饲料中分别添加</w:t>
      </w:r>
      <w:r>
        <w:rPr>
          <w:sz w:val="24"/>
        </w:rPr>
        <w:t xml:space="preserve"> 0.2</w:t>
      </w:r>
      <w:r>
        <w:rPr>
          <w:sz w:val="24"/>
        </w:rPr>
        <w:t>、</w:t>
      </w:r>
      <w:r>
        <w:rPr>
          <w:sz w:val="24"/>
        </w:rPr>
        <w:t>0.4</w:t>
      </w:r>
      <w:r>
        <w:rPr>
          <w:sz w:val="24"/>
        </w:rPr>
        <w:t>、</w:t>
      </w:r>
      <w:r>
        <w:rPr>
          <w:sz w:val="24"/>
        </w:rPr>
        <w:t xml:space="preserve">0.6 </w:t>
      </w:r>
      <w:r>
        <w:rPr>
          <w:sz w:val="24"/>
        </w:rPr>
        <w:t>和</w:t>
      </w:r>
      <w:r>
        <w:rPr>
          <w:sz w:val="24"/>
        </w:rPr>
        <w:t xml:space="preserve"> 0.8 g/kg GAA </w:t>
      </w:r>
      <w:r>
        <w:rPr>
          <w:sz w:val="24"/>
        </w:rPr>
        <w:t>对牛蛙生长及抗氧化性能的影响，表明</w:t>
      </w:r>
      <w:r>
        <w:rPr>
          <w:sz w:val="24"/>
        </w:rPr>
        <w:t xml:space="preserve"> 0.4~0.6 g/kg </w:t>
      </w:r>
      <w:r>
        <w:rPr>
          <w:sz w:val="24"/>
        </w:rPr>
        <w:t>组血清</w:t>
      </w:r>
      <w:r>
        <w:rPr>
          <w:sz w:val="24"/>
        </w:rPr>
        <w:t xml:space="preserve"> T-AOC </w:t>
      </w:r>
      <w:r>
        <w:rPr>
          <w:sz w:val="24"/>
        </w:rPr>
        <w:t>显著高于对照组，</w:t>
      </w:r>
      <w:r>
        <w:rPr>
          <w:sz w:val="24"/>
        </w:rPr>
        <w:t xml:space="preserve">CAT </w:t>
      </w:r>
      <w:r>
        <w:rPr>
          <w:sz w:val="24"/>
        </w:rPr>
        <w:t>与添加量呈正相关，在</w:t>
      </w:r>
      <w:r>
        <w:rPr>
          <w:sz w:val="24"/>
        </w:rPr>
        <w:t xml:space="preserve"> 0.8 g/kg </w:t>
      </w:r>
      <w:r>
        <w:rPr>
          <w:sz w:val="24"/>
        </w:rPr>
        <w:t>添加量时达到最大值。本研究中，添加</w:t>
      </w:r>
      <w:r>
        <w:rPr>
          <w:sz w:val="24"/>
        </w:rPr>
        <w:t xml:space="preserve"> 300 mg/kg GAA </w:t>
      </w:r>
      <w:r>
        <w:rPr>
          <w:sz w:val="24"/>
        </w:rPr>
        <w:t>可显著提高斑点叉尾鮰肝脏</w:t>
      </w:r>
      <w:r>
        <w:rPr>
          <w:sz w:val="24"/>
        </w:rPr>
        <w:t xml:space="preserve"> T-AOC </w:t>
      </w:r>
      <w:r>
        <w:rPr>
          <w:sz w:val="24"/>
        </w:rPr>
        <w:t>和</w:t>
      </w:r>
      <w:r>
        <w:rPr>
          <w:sz w:val="24"/>
        </w:rPr>
        <w:t xml:space="preserve"> SOD </w:t>
      </w:r>
      <w:r>
        <w:rPr>
          <w:sz w:val="24"/>
        </w:rPr>
        <w:t>水平，分析可能是斑点叉尾鮰摄入适量</w:t>
      </w:r>
      <w:r>
        <w:rPr>
          <w:sz w:val="24"/>
        </w:rPr>
        <w:t xml:space="preserve"> GAA </w:t>
      </w:r>
      <w:r>
        <w:rPr>
          <w:sz w:val="24"/>
        </w:rPr>
        <w:t>有助于提高肌酸和磷酸肌酸含量，肌酸具有直接抗氧化作用，磷酸肌酸可抑制氧化应激反应增强抗氧化酶系统</w:t>
      </w:r>
      <w:r>
        <w:rPr>
          <w:sz w:val="24"/>
          <w:vertAlign w:val="superscript"/>
        </w:rPr>
        <w:t>[24]</w:t>
      </w:r>
      <w:r>
        <w:rPr>
          <w:sz w:val="24"/>
        </w:rPr>
        <w:t>；当</w:t>
      </w:r>
      <w:r>
        <w:rPr>
          <w:sz w:val="24"/>
        </w:rPr>
        <w:t xml:space="preserve"> GAA </w:t>
      </w:r>
      <w:r>
        <w:rPr>
          <w:sz w:val="24"/>
        </w:rPr>
        <w:t>添加量为</w:t>
      </w:r>
      <w:r>
        <w:rPr>
          <w:sz w:val="24"/>
        </w:rPr>
        <w:t xml:space="preserve"> 600~900 mg/kg </w:t>
      </w:r>
      <w:r>
        <w:rPr>
          <w:sz w:val="24"/>
        </w:rPr>
        <w:t>时，斑点叉尾鮰肝脏抗氧化能力反而降低，可能是添加过量导致</w:t>
      </w:r>
      <w:r>
        <w:rPr>
          <w:sz w:val="24"/>
        </w:rPr>
        <w:t xml:space="preserve"> GAA </w:t>
      </w:r>
      <w:r>
        <w:rPr>
          <w:sz w:val="24"/>
        </w:rPr>
        <w:t>代谢紊乱或化合物大量积累，</w:t>
      </w:r>
      <w:r>
        <w:rPr>
          <w:sz w:val="24"/>
        </w:rPr>
        <w:t xml:space="preserve">GAA </w:t>
      </w:r>
      <w:r>
        <w:rPr>
          <w:sz w:val="24"/>
        </w:rPr>
        <w:t>表现为强氧化剂，并诱导氧化应激</w:t>
      </w:r>
      <w:r>
        <w:rPr>
          <w:sz w:val="24"/>
          <w:vertAlign w:val="superscript"/>
        </w:rPr>
        <w:t>[28]</w:t>
      </w:r>
      <w:r>
        <w:rPr>
          <w:sz w:val="24"/>
        </w:rPr>
        <w:t>，从本实验</w:t>
      </w:r>
      <w:r>
        <w:rPr>
          <w:sz w:val="24"/>
        </w:rPr>
        <w:t xml:space="preserve"> MDA </w:t>
      </w:r>
      <w:r>
        <w:rPr>
          <w:sz w:val="24"/>
        </w:rPr>
        <w:t>变化推测高剂量</w:t>
      </w:r>
      <w:r>
        <w:rPr>
          <w:sz w:val="24"/>
        </w:rPr>
        <w:t xml:space="preserve"> GAA </w:t>
      </w:r>
      <w:r>
        <w:rPr>
          <w:sz w:val="24"/>
        </w:rPr>
        <w:t>可导致斑点叉尾鮰呈氧化应激状态。</w:t>
      </w:r>
      <w:r>
        <w:rPr>
          <w:sz w:val="24"/>
        </w:rPr>
        <w:t xml:space="preserve"> </w:t>
      </w:r>
    </w:p>
    <w:p w14:paraId="2DB5FCFE" w14:textId="77777777" w:rsidR="006D73E5" w:rsidRDefault="00000000">
      <w:pPr>
        <w:spacing w:line="360" w:lineRule="auto"/>
        <w:rPr>
          <w:sz w:val="24"/>
        </w:rPr>
      </w:pPr>
      <w:r>
        <w:rPr>
          <w:sz w:val="24"/>
        </w:rPr>
        <w:t xml:space="preserve">3.4 </w:t>
      </w:r>
      <w:r>
        <w:rPr>
          <w:sz w:val="24"/>
        </w:rPr>
        <w:t>饲料中</w:t>
      </w:r>
      <w:r>
        <w:rPr>
          <w:sz w:val="24"/>
        </w:rPr>
        <w:t xml:space="preserve"> GAA </w:t>
      </w:r>
      <w:r>
        <w:rPr>
          <w:sz w:val="24"/>
        </w:rPr>
        <w:t>水平对斑点叉尾鮰能量代谢关键酶的影响</w:t>
      </w:r>
      <w:r>
        <w:rPr>
          <w:sz w:val="24"/>
        </w:rPr>
        <w:t xml:space="preserve"> </w:t>
      </w:r>
    </w:p>
    <w:p w14:paraId="39B77045" w14:textId="77777777" w:rsidR="006D73E5" w:rsidRDefault="00000000">
      <w:pPr>
        <w:spacing w:line="360" w:lineRule="auto"/>
        <w:ind w:firstLineChars="200" w:firstLine="480"/>
        <w:rPr>
          <w:sz w:val="24"/>
        </w:rPr>
      </w:pPr>
      <w:r>
        <w:rPr>
          <w:sz w:val="24"/>
        </w:rPr>
        <w:t xml:space="preserve">CK </w:t>
      </w:r>
      <w:r>
        <w:rPr>
          <w:sz w:val="24"/>
        </w:rPr>
        <w:t>将磷酸肌酸上磷酸基团转移到</w:t>
      </w:r>
      <w:r>
        <w:rPr>
          <w:sz w:val="24"/>
        </w:rPr>
        <w:t xml:space="preserve"> ADP </w:t>
      </w:r>
      <w:r>
        <w:rPr>
          <w:sz w:val="24"/>
        </w:rPr>
        <w:t>后合成</w:t>
      </w:r>
      <w:r>
        <w:rPr>
          <w:sz w:val="24"/>
        </w:rPr>
        <w:t xml:space="preserve"> ATP</w:t>
      </w:r>
      <w:r>
        <w:rPr>
          <w:sz w:val="24"/>
        </w:rPr>
        <w:t>，因此肌酸激酶在能量代谢中起重要作用</w:t>
      </w:r>
      <w:r>
        <w:rPr>
          <w:sz w:val="24"/>
          <w:vertAlign w:val="superscript"/>
        </w:rPr>
        <w:t>[1]</w:t>
      </w:r>
      <w:r>
        <w:rPr>
          <w:sz w:val="24"/>
        </w:rPr>
        <w:t>；</w:t>
      </w:r>
      <w:r>
        <w:rPr>
          <w:sz w:val="24"/>
        </w:rPr>
        <w:t xml:space="preserve">SDH </w:t>
      </w:r>
      <w:r>
        <w:rPr>
          <w:sz w:val="24"/>
        </w:rPr>
        <w:t>参与三羧酸循环，间接反映线粒体功能和组织供氧情况</w:t>
      </w:r>
      <w:r>
        <w:rPr>
          <w:sz w:val="24"/>
          <w:vertAlign w:val="superscript"/>
        </w:rPr>
        <w:t>[18]</w:t>
      </w:r>
      <w:r>
        <w:rPr>
          <w:sz w:val="24"/>
        </w:rPr>
        <w:t>。</w:t>
      </w:r>
      <w:proofErr w:type="spellStart"/>
      <w:r>
        <w:rPr>
          <w:sz w:val="24"/>
        </w:rPr>
        <w:t>Azizaa</w:t>
      </w:r>
      <w:proofErr w:type="spellEnd"/>
      <w:r>
        <w:rPr>
          <w:sz w:val="24"/>
        </w:rPr>
        <w:t xml:space="preserve"> </w:t>
      </w:r>
      <w:r>
        <w:rPr>
          <w:sz w:val="24"/>
        </w:rPr>
        <w:t>等</w:t>
      </w:r>
      <w:r>
        <w:rPr>
          <w:sz w:val="24"/>
          <w:vertAlign w:val="superscript"/>
        </w:rPr>
        <w:t>[12]</w:t>
      </w:r>
      <w:r>
        <w:rPr>
          <w:sz w:val="24"/>
        </w:rPr>
        <w:t>在尼罗罗非鱼饲料中添加</w:t>
      </w:r>
      <w:r>
        <w:rPr>
          <w:sz w:val="24"/>
        </w:rPr>
        <w:t>0.12%</w:t>
      </w:r>
      <w:r>
        <w:rPr>
          <w:sz w:val="24"/>
        </w:rPr>
        <w:t>和</w:t>
      </w:r>
      <w:r>
        <w:rPr>
          <w:sz w:val="24"/>
        </w:rPr>
        <w:t xml:space="preserve"> 0.18% GAA </w:t>
      </w:r>
      <w:r>
        <w:rPr>
          <w:sz w:val="24"/>
        </w:rPr>
        <w:t>均能显著提高</w:t>
      </w:r>
      <w:r>
        <w:rPr>
          <w:sz w:val="24"/>
        </w:rPr>
        <w:t xml:space="preserve"> CK </w:t>
      </w:r>
      <w:r>
        <w:rPr>
          <w:sz w:val="24"/>
        </w:rPr>
        <w:t>活性；</w:t>
      </w:r>
      <w:r>
        <w:rPr>
          <w:sz w:val="24"/>
        </w:rPr>
        <w:t xml:space="preserve">Lin </w:t>
      </w:r>
      <w:r>
        <w:rPr>
          <w:sz w:val="24"/>
        </w:rPr>
        <w:t>等</w:t>
      </w:r>
      <w:r>
        <w:rPr>
          <w:sz w:val="24"/>
          <w:vertAlign w:val="superscript"/>
        </w:rPr>
        <w:t>[9]</w:t>
      </w:r>
      <w:r>
        <w:rPr>
          <w:sz w:val="24"/>
        </w:rPr>
        <w:t>也证实</w:t>
      </w:r>
      <w:r>
        <w:rPr>
          <w:sz w:val="24"/>
        </w:rPr>
        <w:lastRenderedPageBreak/>
        <w:t>添加</w:t>
      </w:r>
      <w:r>
        <w:rPr>
          <w:sz w:val="24"/>
        </w:rPr>
        <w:t xml:space="preserve"> 0.4 </w:t>
      </w:r>
      <w:r>
        <w:rPr>
          <w:sz w:val="24"/>
        </w:rPr>
        <w:t>和</w:t>
      </w:r>
      <w:r>
        <w:rPr>
          <w:sz w:val="24"/>
        </w:rPr>
        <w:t xml:space="preserve"> 4 g/kg GAA </w:t>
      </w:r>
      <w:r>
        <w:rPr>
          <w:sz w:val="24"/>
        </w:rPr>
        <w:t>可显著提高</w:t>
      </w:r>
      <w:r>
        <w:rPr>
          <w:sz w:val="24"/>
        </w:rPr>
        <w:t xml:space="preserve"> CK </w:t>
      </w:r>
      <w:r>
        <w:rPr>
          <w:sz w:val="24"/>
        </w:rPr>
        <w:t>活性。本实验中添加</w:t>
      </w:r>
      <w:r>
        <w:rPr>
          <w:sz w:val="24"/>
        </w:rPr>
        <w:t xml:space="preserve"> 300~900 mg/kg GAA </w:t>
      </w:r>
      <w:r>
        <w:rPr>
          <w:sz w:val="24"/>
        </w:rPr>
        <w:t>较对照组</w:t>
      </w:r>
      <w:r>
        <w:rPr>
          <w:sz w:val="24"/>
        </w:rPr>
        <w:t xml:space="preserve"> CK </w:t>
      </w:r>
      <w:r>
        <w:rPr>
          <w:sz w:val="24"/>
        </w:rPr>
        <w:t>活性和肌糖原含量均有提高趋势，说明添加</w:t>
      </w:r>
      <w:r>
        <w:rPr>
          <w:sz w:val="24"/>
        </w:rPr>
        <w:t xml:space="preserve"> GAA</w:t>
      </w:r>
      <w:r>
        <w:rPr>
          <w:sz w:val="24"/>
        </w:rPr>
        <w:t>可能有助于减少糖类物质分解，更多以糖原形式储能。</w:t>
      </w:r>
      <w:r>
        <w:rPr>
          <w:sz w:val="24"/>
        </w:rPr>
        <w:t xml:space="preserve">PK </w:t>
      </w:r>
      <w:r>
        <w:rPr>
          <w:sz w:val="24"/>
        </w:rPr>
        <w:t>是糖酵解限速酶之一，将磷酸烯醇式丙酮酸催化成丙酮酸并伴随有</w:t>
      </w:r>
      <w:r>
        <w:rPr>
          <w:sz w:val="24"/>
        </w:rPr>
        <w:t xml:space="preserve"> ATP </w:t>
      </w:r>
      <w:r>
        <w:rPr>
          <w:sz w:val="24"/>
        </w:rPr>
        <w:t>生成，可反映糖酵解水平。本实验研究表明添加</w:t>
      </w:r>
      <w:r>
        <w:rPr>
          <w:sz w:val="24"/>
        </w:rPr>
        <w:t xml:space="preserve"> 300 mg/kg GAA </w:t>
      </w:r>
      <w:r>
        <w:rPr>
          <w:sz w:val="24"/>
        </w:rPr>
        <w:t>显著提高</w:t>
      </w:r>
      <w:r>
        <w:rPr>
          <w:sz w:val="24"/>
        </w:rPr>
        <w:t xml:space="preserve"> PK </w:t>
      </w:r>
      <w:r>
        <w:rPr>
          <w:sz w:val="24"/>
        </w:rPr>
        <w:t>活性，与前述部分研究证实</w:t>
      </w:r>
      <w:r>
        <w:rPr>
          <w:sz w:val="24"/>
        </w:rPr>
        <w:t xml:space="preserve"> GAA </w:t>
      </w:r>
      <w:r>
        <w:rPr>
          <w:sz w:val="24"/>
        </w:rPr>
        <w:t>可提高肌糖原含量的结果相对应，说明添加</w:t>
      </w:r>
      <w:r>
        <w:rPr>
          <w:sz w:val="24"/>
        </w:rPr>
        <w:t xml:space="preserve"> GAA </w:t>
      </w:r>
      <w:r>
        <w:rPr>
          <w:sz w:val="24"/>
        </w:rPr>
        <w:t>可促进糖酵解和能量代谢。这与李洁蕾等</w:t>
      </w:r>
      <w:r>
        <w:rPr>
          <w:sz w:val="24"/>
          <w:vertAlign w:val="superscript"/>
        </w:rPr>
        <w:t>[29]</w:t>
      </w:r>
      <w:r>
        <w:rPr>
          <w:sz w:val="24"/>
        </w:rPr>
        <w:t>研究结果一致；而王子苑等</w:t>
      </w:r>
      <w:r>
        <w:rPr>
          <w:sz w:val="24"/>
          <w:vertAlign w:val="superscript"/>
        </w:rPr>
        <w:t>[26]</w:t>
      </w:r>
      <w:r>
        <w:rPr>
          <w:sz w:val="24"/>
        </w:rPr>
        <w:t>在肉牛饲料中添加</w:t>
      </w:r>
      <w:r>
        <w:rPr>
          <w:sz w:val="24"/>
        </w:rPr>
        <w:t xml:space="preserve"> 400 mg/kg GAA </w:t>
      </w:r>
      <w:r>
        <w:rPr>
          <w:sz w:val="24"/>
        </w:rPr>
        <w:t>和洑琴等</w:t>
      </w:r>
      <w:r>
        <w:rPr>
          <w:sz w:val="24"/>
          <w:vertAlign w:val="superscript"/>
        </w:rPr>
        <w:t>[19]</w:t>
      </w:r>
      <w:r>
        <w:rPr>
          <w:sz w:val="24"/>
        </w:rPr>
        <w:t>在建鲤饲料中添加</w:t>
      </w:r>
      <w:r>
        <w:rPr>
          <w:sz w:val="24"/>
        </w:rPr>
        <w:t xml:space="preserve"> 250~1 000 mg/kg GAA </w:t>
      </w:r>
      <w:r>
        <w:rPr>
          <w:sz w:val="24"/>
        </w:rPr>
        <w:t>均显著降低了</w:t>
      </w:r>
      <w:r>
        <w:rPr>
          <w:sz w:val="24"/>
        </w:rPr>
        <w:t xml:space="preserve"> PK </w:t>
      </w:r>
      <w:r>
        <w:rPr>
          <w:sz w:val="24"/>
        </w:rPr>
        <w:t>活性，推测可能是与养殖动物种类相关。</w:t>
      </w:r>
      <w:r>
        <w:rPr>
          <w:sz w:val="24"/>
        </w:rPr>
        <w:t xml:space="preserve"> </w:t>
      </w:r>
    </w:p>
    <w:p w14:paraId="4D5AD24B" w14:textId="77777777" w:rsidR="006D73E5" w:rsidRDefault="00000000">
      <w:pPr>
        <w:spacing w:line="360" w:lineRule="auto"/>
        <w:rPr>
          <w:sz w:val="24"/>
        </w:rPr>
      </w:pPr>
      <w:r>
        <w:rPr>
          <w:sz w:val="24"/>
        </w:rPr>
        <w:t xml:space="preserve">4 </w:t>
      </w:r>
      <w:r>
        <w:rPr>
          <w:sz w:val="24"/>
        </w:rPr>
        <w:t>结论</w:t>
      </w:r>
    </w:p>
    <w:p w14:paraId="30426F2C" w14:textId="77777777" w:rsidR="006D73E5" w:rsidRDefault="00000000">
      <w:pPr>
        <w:spacing w:line="360" w:lineRule="auto"/>
        <w:ind w:firstLineChars="200" w:firstLine="480"/>
        <w:rPr>
          <w:sz w:val="24"/>
        </w:rPr>
      </w:pPr>
      <w:r>
        <w:rPr>
          <w:sz w:val="24"/>
        </w:rPr>
        <w:t>本实验条件下，斑点叉尾鮰饲料中添加适量的</w:t>
      </w:r>
      <w:r>
        <w:rPr>
          <w:sz w:val="24"/>
        </w:rPr>
        <w:t xml:space="preserve"> GAA</w:t>
      </w:r>
      <w:r>
        <w:rPr>
          <w:sz w:val="24"/>
        </w:rPr>
        <w:t>（</w:t>
      </w:r>
      <w:r>
        <w:rPr>
          <w:sz w:val="24"/>
        </w:rPr>
        <w:t>150~300 mg/kg</w:t>
      </w:r>
      <w:r>
        <w:rPr>
          <w:sz w:val="24"/>
        </w:rPr>
        <w:t>）能降低腹部脂肪和脏体比，提高肝脏抗氧化能力和肌肉能量代谢。</w:t>
      </w:r>
    </w:p>
    <w:p w14:paraId="7FAFC259" w14:textId="77777777" w:rsidR="006D73E5" w:rsidRDefault="00000000">
      <w:pPr>
        <w:spacing w:line="360" w:lineRule="auto"/>
        <w:rPr>
          <w:sz w:val="24"/>
        </w:rPr>
      </w:pPr>
      <w:r>
        <w:rPr>
          <w:rFonts w:hint="eastAsia"/>
          <w:sz w:val="24"/>
        </w:rPr>
        <w:t>参考文献：略</w:t>
      </w:r>
    </w:p>
    <w:p w14:paraId="14BFC898" w14:textId="77777777" w:rsidR="006D73E5" w:rsidRDefault="00000000">
      <w:pPr>
        <w:spacing w:line="360" w:lineRule="auto"/>
        <w:ind w:firstLineChars="1200" w:firstLine="2520"/>
        <w:jc w:val="right"/>
        <w:rPr>
          <w:rFonts w:ascii="宋体" w:hAnsi="宋体" w:cs="宋体"/>
          <w:color w:val="000000"/>
          <w:kern w:val="0"/>
          <w:sz w:val="24"/>
          <w:lang w:bidi="ar"/>
        </w:rPr>
      </w:pPr>
      <w:r>
        <w:rPr>
          <w:rFonts w:hint="eastAsia"/>
          <w:szCs w:val="21"/>
        </w:rPr>
        <w:t>原文刊登在《水产学报》，网络首发时间</w:t>
      </w:r>
      <w:r>
        <w:rPr>
          <w:szCs w:val="21"/>
        </w:rPr>
        <w:t>: 2022-08-16 15:49:30</w:t>
      </w:r>
    </w:p>
    <w:p w14:paraId="1C7F373A" w14:textId="77777777" w:rsidR="006D73E5" w:rsidRDefault="00000000">
      <w:pPr>
        <w:jc w:val="center"/>
        <w:outlineLvl w:val="1"/>
        <w:rPr>
          <w:rFonts w:ascii="黑体" w:eastAsia="黑体" w:hAnsi="黑体"/>
          <w:b/>
          <w:bCs/>
          <w:sz w:val="32"/>
          <w:szCs w:val="32"/>
        </w:rPr>
      </w:pPr>
      <w:bookmarkStart w:id="30" w:name="_Toc114077821"/>
      <w:r>
        <w:rPr>
          <w:rFonts w:ascii="黑体" w:eastAsia="黑体" w:hAnsi="黑体"/>
          <w:b/>
          <w:bCs/>
          <w:sz w:val="32"/>
          <w:szCs w:val="32"/>
        </w:rPr>
        <w:t>发酵豆粕、肉骨粉及其混合物替代鱼粉对大口黑鲈生长、血清生化指标和肠道组织学的影响</w:t>
      </w:r>
      <w:bookmarkEnd w:id="30"/>
    </w:p>
    <w:p w14:paraId="577674E6" w14:textId="77777777" w:rsidR="006D73E5" w:rsidRDefault="00000000">
      <w:pPr>
        <w:jc w:val="center"/>
        <w:rPr>
          <w:szCs w:val="22"/>
        </w:rPr>
      </w:pPr>
      <w:r>
        <w:rPr>
          <w:szCs w:val="22"/>
        </w:rPr>
        <w:t>卞宇豪</w:t>
      </w:r>
      <w:r>
        <w:rPr>
          <w:szCs w:val="22"/>
          <w:vertAlign w:val="superscript"/>
        </w:rPr>
        <w:t>1,2,3</w:t>
      </w:r>
      <w:r>
        <w:rPr>
          <w:szCs w:val="22"/>
        </w:rPr>
        <w:t>杨航</w:t>
      </w:r>
      <w:r>
        <w:rPr>
          <w:szCs w:val="22"/>
          <w:vertAlign w:val="superscript"/>
        </w:rPr>
        <w:t>1,2,3</w:t>
      </w:r>
      <w:r>
        <w:rPr>
          <w:szCs w:val="22"/>
        </w:rPr>
        <w:t>许晓莹</w:t>
      </w:r>
      <w:r>
        <w:rPr>
          <w:szCs w:val="22"/>
          <w:vertAlign w:val="superscript"/>
        </w:rPr>
        <w:t>1,2,3</w:t>
      </w:r>
      <w:r>
        <w:rPr>
          <w:szCs w:val="22"/>
        </w:rPr>
        <w:t xml:space="preserve"> </w:t>
      </w:r>
      <w:r>
        <w:rPr>
          <w:szCs w:val="22"/>
        </w:rPr>
        <w:t>林夏</w:t>
      </w:r>
      <w:r>
        <w:rPr>
          <w:szCs w:val="22"/>
          <w:vertAlign w:val="superscript"/>
        </w:rPr>
        <w:t>1,2,3</w:t>
      </w:r>
      <w:r>
        <w:rPr>
          <w:szCs w:val="22"/>
        </w:rPr>
        <w:t>曹凯林</w:t>
      </w:r>
      <w:r>
        <w:rPr>
          <w:szCs w:val="22"/>
          <w:vertAlign w:val="superscript"/>
        </w:rPr>
        <w:t>1,2,3</w:t>
      </w:r>
      <w:r>
        <w:rPr>
          <w:szCs w:val="22"/>
        </w:rPr>
        <w:t xml:space="preserve"> </w:t>
      </w:r>
      <w:r>
        <w:rPr>
          <w:szCs w:val="22"/>
        </w:rPr>
        <w:t>李小勤</w:t>
      </w:r>
      <w:r>
        <w:rPr>
          <w:szCs w:val="22"/>
          <w:vertAlign w:val="superscript"/>
        </w:rPr>
        <w:t>1,2,3</w:t>
      </w:r>
      <w:r>
        <w:rPr>
          <w:szCs w:val="22"/>
        </w:rPr>
        <w:t>冷向军</w:t>
      </w:r>
      <w:r>
        <w:rPr>
          <w:szCs w:val="22"/>
          <w:vertAlign w:val="superscript"/>
        </w:rPr>
        <w:t>1,2,3</w:t>
      </w:r>
      <w:r>
        <w:rPr>
          <w:szCs w:val="22"/>
          <w:vertAlign w:val="superscript"/>
        </w:rPr>
        <w:sym w:font="Symbol" w:char="F02A"/>
      </w:r>
    </w:p>
    <w:p w14:paraId="766F8AAC" w14:textId="77777777" w:rsidR="006D73E5" w:rsidRDefault="00000000">
      <w:pPr>
        <w:numPr>
          <w:ilvl w:val="0"/>
          <w:numId w:val="1"/>
        </w:numPr>
        <w:jc w:val="center"/>
        <w:rPr>
          <w:szCs w:val="22"/>
        </w:rPr>
      </w:pPr>
      <w:r>
        <w:rPr>
          <w:szCs w:val="22"/>
        </w:rPr>
        <w:t>上海海洋大学水产与生命学院，水产科学国家级实验教学示范中心，上海</w:t>
      </w:r>
      <w:r>
        <w:rPr>
          <w:szCs w:val="22"/>
        </w:rPr>
        <w:t xml:space="preserve"> 201306</w:t>
      </w:r>
      <w:r>
        <w:rPr>
          <w:szCs w:val="22"/>
        </w:rPr>
        <w:t>；</w:t>
      </w:r>
      <w:r>
        <w:rPr>
          <w:szCs w:val="22"/>
        </w:rPr>
        <w:t>2.</w:t>
      </w:r>
      <w:r>
        <w:rPr>
          <w:szCs w:val="22"/>
        </w:rPr>
        <w:t>上海海洋大学水产与生命学院，农业农村部鱼类营养与环境生态研究中心，上海</w:t>
      </w:r>
      <w:r>
        <w:rPr>
          <w:szCs w:val="22"/>
        </w:rPr>
        <w:t xml:space="preserve"> 201306</w:t>
      </w:r>
      <w:r>
        <w:rPr>
          <w:szCs w:val="22"/>
        </w:rPr>
        <w:t>；</w:t>
      </w:r>
      <w:r>
        <w:rPr>
          <w:szCs w:val="22"/>
        </w:rPr>
        <w:t>3.</w:t>
      </w:r>
      <w:r>
        <w:rPr>
          <w:szCs w:val="22"/>
        </w:rPr>
        <w:t>上海海洋大学水产与生命学院，水产动物遗传育种中心上海市协同创新中心，上海</w:t>
      </w:r>
      <w:r>
        <w:rPr>
          <w:szCs w:val="22"/>
        </w:rPr>
        <w:t xml:space="preserve"> 201306</w:t>
      </w:r>
      <w:r>
        <w:rPr>
          <w:szCs w:val="22"/>
        </w:rPr>
        <w:t>）</w:t>
      </w:r>
    </w:p>
    <w:p w14:paraId="3027D0A3" w14:textId="77777777" w:rsidR="006D73E5" w:rsidRDefault="00000000">
      <w:pPr>
        <w:numPr>
          <w:ilvl w:val="0"/>
          <w:numId w:val="1"/>
        </w:numPr>
        <w:rPr>
          <w:rFonts w:ascii="等线" w:eastAsia="等线" w:hAnsi="等线"/>
          <w:szCs w:val="22"/>
        </w:rPr>
      </w:pPr>
      <w:r>
        <w:rPr>
          <w:b/>
          <w:bCs/>
          <w:szCs w:val="22"/>
        </w:rPr>
        <w:t>摘要</w:t>
      </w:r>
      <w:r>
        <w:rPr>
          <w:rFonts w:hint="eastAsia"/>
          <w:b/>
          <w:bCs/>
          <w:szCs w:val="22"/>
        </w:rPr>
        <w:t>:</w:t>
      </w:r>
      <w:r>
        <w:rPr>
          <w:b/>
          <w:bCs/>
          <w:szCs w:val="22"/>
        </w:rPr>
        <w:t xml:space="preserve"> </w:t>
      </w:r>
      <w:r>
        <w:rPr>
          <w:szCs w:val="22"/>
        </w:rPr>
        <w:t>为探究</w:t>
      </w:r>
      <w:r>
        <w:rPr>
          <w:szCs w:val="22"/>
        </w:rPr>
        <w:t xml:space="preserve"> 2 </w:t>
      </w:r>
      <w:r>
        <w:rPr>
          <w:szCs w:val="22"/>
        </w:rPr>
        <w:t>种蛋白源单一和混合替代鱼粉对大口黑鲈生长性能、血清生化指标和肠道组织学的影响，实验用发酵豆粕</w:t>
      </w:r>
      <w:r>
        <w:rPr>
          <w:rFonts w:hint="eastAsia"/>
          <w:szCs w:val="22"/>
        </w:rPr>
        <w:t>(</w:t>
      </w:r>
      <w:r>
        <w:rPr>
          <w:szCs w:val="22"/>
        </w:rPr>
        <w:t>FSM</w:t>
      </w:r>
      <w:r>
        <w:rPr>
          <w:rFonts w:hint="eastAsia"/>
          <w:szCs w:val="22"/>
        </w:rPr>
        <w:t>)</w:t>
      </w:r>
      <w:r>
        <w:rPr>
          <w:szCs w:val="22"/>
        </w:rPr>
        <w:t>、肉骨粉</w:t>
      </w:r>
      <w:r>
        <w:rPr>
          <w:rFonts w:hint="eastAsia"/>
          <w:szCs w:val="22"/>
        </w:rPr>
        <w:t>(</w:t>
      </w:r>
      <w:r>
        <w:rPr>
          <w:szCs w:val="22"/>
        </w:rPr>
        <w:t>MBM</w:t>
      </w:r>
      <w:r>
        <w:rPr>
          <w:rFonts w:hint="eastAsia"/>
          <w:szCs w:val="22"/>
        </w:rPr>
        <w:t>)</w:t>
      </w:r>
      <w:r>
        <w:rPr>
          <w:szCs w:val="22"/>
        </w:rPr>
        <w:t>和发酵豆粕</w:t>
      </w:r>
      <w:r>
        <w:rPr>
          <w:szCs w:val="22"/>
        </w:rPr>
        <w:t>+</w:t>
      </w:r>
      <w:r>
        <w:rPr>
          <w:szCs w:val="22"/>
        </w:rPr>
        <w:t>肉骨粉</w:t>
      </w:r>
      <w:r>
        <w:rPr>
          <w:rFonts w:hint="eastAsia"/>
          <w:szCs w:val="22"/>
        </w:rPr>
        <w:t>(</w:t>
      </w:r>
      <w:r>
        <w:rPr>
          <w:szCs w:val="22"/>
        </w:rPr>
        <w:t>FSM+MBM</w:t>
      </w:r>
      <w:r>
        <w:rPr>
          <w:rFonts w:hint="eastAsia"/>
          <w:szCs w:val="22"/>
        </w:rPr>
        <w:t>)</w:t>
      </w:r>
      <w:r>
        <w:rPr>
          <w:szCs w:val="22"/>
        </w:rPr>
        <w:t>混合物</w:t>
      </w:r>
      <w:r>
        <w:rPr>
          <w:rFonts w:hint="eastAsia"/>
          <w:szCs w:val="22"/>
        </w:rPr>
        <w:t>(</w:t>
      </w:r>
      <w:r>
        <w:rPr>
          <w:szCs w:val="22"/>
        </w:rPr>
        <w:t>1:1</w:t>
      </w:r>
      <w:r>
        <w:rPr>
          <w:rFonts w:hint="eastAsia"/>
          <w:szCs w:val="22"/>
        </w:rPr>
        <w:t>)</w:t>
      </w:r>
      <w:r>
        <w:rPr>
          <w:szCs w:val="22"/>
        </w:rPr>
        <w:t>等蛋白替代基础饲料</w:t>
      </w:r>
      <w:r>
        <w:rPr>
          <w:rFonts w:hint="eastAsia"/>
          <w:szCs w:val="22"/>
        </w:rPr>
        <w:t>(</w:t>
      </w:r>
      <w:r>
        <w:rPr>
          <w:szCs w:val="22"/>
        </w:rPr>
        <w:t>含鱼粉</w:t>
      </w:r>
      <w:r>
        <w:rPr>
          <w:szCs w:val="22"/>
        </w:rPr>
        <w:t xml:space="preserve"> 350 g/kg</w:t>
      </w:r>
      <w:r>
        <w:rPr>
          <w:rFonts w:hint="eastAsia"/>
          <w:szCs w:val="22"/>
        </w:rPr>
        <w:t>)</w:t>
      </w:r>
      <w:r>
        <w:rPr>
          <w:szCs w:val="22"/>
        </w:rPr>
        <w:t>中</w:t>
      </w:r>
      <w:r>
        <w:rPr>
          <w:szCs w:val="22"/>
        </w:rPr>
        <w:t xml:space="preserve">150 g/kg </w:t>
      </w:r>
      <w:r>
        <w:rPr>
          <w:szCs w:val="22"/>
        </w:rPr>
        <w:t>的鱼粉，使鱼粉含量降为</w:t>
      </w:r>
      <w:r>
        <w:rPr>
          <w:szCs w:val="22"/>
        </w:rPr>
        <w:t xml:space="preserve"> 200 g/kg</w:t>
      </w:r>
      <w:r>
        <w:rPr>
          <w:szCs w:val="22"/>
        </w:rPr>
        <w:t>，共配制成</w:t>
      </w:r>
      <w:r>
        <w:rPr>
          <w:szCs w:val="22"/>
        </w:rPr>
        <w:t xml:space="preserve"> 4 </w:t>
      </w:r>
      <w:r>
        <w:rPr>
          <w:szCs w:val="22"/>
        </w:rPr>
        <w:t>种等氮等脂的实验饲料，记为</w:t>
      </w:r>
      <w:r>
        <w:rPr>
          <w:szCs w:val="22"/>
        </w:rPr>
        <w:t xml:space="preserve"> FM</w:t>
      </w:r>
      <w:r>
        <w:rPr>
          <w:rFonts w:hint="eastAsia"/>
          <w:szCs w:val="22"/>
        </w:rPr>
        <w:t>(</w:t>
      </w:r>
      <w:r>
        <w:rPr>
          <w:szCs w:val="22"/>
        </w:rPr>
        <w:t>对照组</w:t>
      </w:r>
      <w:r>
        <w:rPr>
          <w:rFonts w:hint="eastAsia"/>
          <w:szCs w:val="22"/>
        </w:rPr>
        <w:t>)</w:t>
      </w:r>
      <w:r>
        <w:rPr>
          <w:szCs w:val="22"/>
        </w:rPr>
        <w:t>、</w:t>
      </w:r>
      <w:r>
        <w:rPr>
          <w:szCs w:val="22"/>
        </w:rPr>
        <w:t>FSM</w:t>
      </w:r>
      <w:r>
        <w:rPr>
          <w:szCs w:val="22"/>
        </w:rPr>
        <w:t>、</w:t>
      </w:r>
      <w:r>
        <w:rPr>
          <w:szCs w:val="22"/>
        </w:rPr>
        <w:t>MBM</w:t>
      </w:r>
      <w:r>
        <w:rPr>
          <w:szCs w:val="22"/>
        </w:rPr>
        <w:t>和</w:t>
      </w:r>
      <w:r>
        <w:rPr>
          <w:szCs w:val="22"/>
        </w:rPr>
        <w:t>FSM+MBM</w:t>
      </w:r>
      <w:r>
        <w:rPr>
          <w:szCs w:val="22"/>
        </w:rPr>
        <w:t>组，投喂初始体质量为</w:t>
      </w:r>
      <w:r>
        <w:rPr>
          <w:rFonts w:hint="eastAsia"/>
          <w:szCs w:val="22"/>
        </w:rPr>
        <w:t>(</w:t>
      </w:r>
      <w:r>
        <w:rPr>
          <w:szCs w:val="22"/>
        </w:rPr>
        <w:t>21.2 ± 0.1</w:t>
      </w:r>
      <w:r>
        <w:rPr>
          <w:rFonts w:hint="eastAsia"/>
          <w:szCs w:val="22"/>
        </w:rPr>
        <w:t>)</w:t>
      </w:r>
      <w:r>
        <w:rPr>
          <w:szCs w:val="22"/>
        </w:rPr>
        <w:t>g</w:t>
      </w:r>
      <w:r>
        <w:rPr>
          <w:szCs w:val="22"/>
        </w:rPr>
        <w:t>的大口黑鲈</w:t>
      </w:r>
      <w:r>
        <w:rPr>
          <w:szCs w:val="22"/>
        </w:rPr>
        <w:t xml:space="preserve"> 8 </w:t>
      </w:r>
      <w:r>
        <w:rPr>
          <w:szCs w:val="22"/>
        </w:rPr>
        <w:t>周。结果显示，与对照组相比，各替代组的增重率均无显著差异，但</w:t>
      </w:r>
      <w:r>
        <w:rPr>
          <w:szCs w:val="22"/>
        </w:rPr>
        <w:t xml:space="preserve"> FSM </w:t>
      </w:r>
      <w:r>
        <w:rPr>
          <w:szCs w:val="22"/>
        </w:rPr>
        <w:t>组的增重率显著低于</w:t>
      </w:r>
      <w:r>
        <w:rPr>
          <w:szCs w:val="22"/>
        </w:rPr>
        <w:t xml:space="preserve">FSM+MBM </w:t>
      </w:r>
      <w:r>
        <w:rPr>
          <w:szCs w:val="22"/>
        </w:rPr>
        <w:t>组。此外，</w:t>
      </w:r>
      <w:r>
        <w:rPr>
          <w:szCs w:val="22"/>
        </w:rPr>
        <w:t xml:space="preserve">FSM </w:t>
      </w:r>
      <w:r>
        <w:rPr>
          <w:szCs w:val="22"/>
        </w:rPr>
        <w:t>组的饲料系数较对照组和</w:t>
      </w:r>
      <w:r>
        <w:rPr>
          <w:szCs w:val="22"/>
        </w:rPr>
        <w:t xml:space="preserve">MBM </w:t>
      </w:r>
      <w:r>
        <w:rPr>
          <w:szCs w:val="22"/>
        </w:rPr>
        <w:t>组显著升高。各组在全鱼成分</w:t>
      </w:r>
      <w:r>
        <w:rPr>
          <w:rFonts w:hint="eastAsia"/>
          <w:szCs w:val="22"/>
        </w:rPr>
        <w:t>(</w:t>
      </w:r>
      <w:r>
        <w:rPr>
          <w:szCs w:val="22"/>
        </w:rPr>
        <w:t>水分、粗蛋白、粗脂肪、粗灰分</w:t>
      </w:r>
      <w:r>
        <w:rPr>
          <w:rFonts w:hint="eastAsia"/>
          <w:szCs w:val="22"/>
        </w:rPr>
        <w:t>)</w:t>
      </w:r>
      <w:r>
        <w:rPr>
          <w:szCs w:val="22"/>
        </w:rPr>
        <w:t>和干物质消化率、蛋白质消化率以及蛋白质沉积率上无显著差异，而</w:t>
      </w:r>
      <w:r>
        <w:rPr>
          <w:szCs w:val="22"/>
        </w:rPr>
        <w:t xml:space="preserve"> FSM </w:t>
      </w:r>
      <w:r>
        <w:rPr>
          <w:szCs w:val="22"/>
        </w:rPr>
        <w:t>组的蛋白质效率和脂肪沉积率显著低于对照组。此外，</w:t>
      </w:r>
      <w:r>
        <w:rPr>
          <w:szCs w:val="22"/>
        </w:rPr>
        <w:t xml:space="preserve">FSM </w:t>
      </w:r>
      <w:r>
        <w:rPr>
          <w:szCs w:val="22"/>
        </w:rPr>
        <w:t>组的血清谷草转氨酶显著增加，而血清总抗氧化能力以及超氧化物歧化酶、溶菌酶活性显著降低。在前肠形态学方面，各替代组的绒毛宽度均显著低于对照组，</w:t>
      </w:r>
      <w:r>
        <w:rPr>
          <w:szCs w:val="22"/>
        </w:rPr>
        <w:t xml:space="preserve">FSM </w:t>
      </w:r>
      <w:r>
        <w:rPr>
          <w:szCs w:val="22"/>
        </w:rPr>
        <w:t>组的绒毛高度、肌层厚度以及绒毛长度显著高于对照组。以上结果表明，在鱼粉含量为</w:t>
      </w:r>
      <w:r>
        <w:rPr>
          <w:szCs w:val="22"/>
        </w:rPr>
        <w:t xml:space="preserve"> 350 g/kg</w:t>
      </w:r>
      <w:r>
        <w:rPr>
          <w:szCs w:val="22"/>
        </w:rPr>
        <w:t>的饲料中，肉骨粉、发酵豆粕</w:t>
      </w:r>
      <w:r>
        <w:rPr>
          <w:szCs w:val="22"/>
        </w:rPr>
        <w:t>+</w:t>
      </w:r>
      <w:r>
        <w:rPr>
          <w:szCs w:val="22"/>
        </w:rPr>
        <w:t>肉骨粉混合物可以有效替代</w:t>
      </w:r>
      <w:r>
        <w:rPr>
          <w:szCs w:val="22"/>
        </w:rPr>
        <w:t xml:space="preserve"> 150 g/kg </w:t>
      </w:r>
      <w:r>
        <w:rPr>
          <w:szCs w:val="22"/>
        </w:rPr>
        <w:t>的鱼粉</w:t>
      </w:r>
      <w:r>
        <w:rPr>
          <w:rFonts w:hint="eastAsia"/>
          <w:szCs w:val="22"/>
        </w:rPr>
        <w:t>(</w:t>
      </w:r>
      <w:r>
        <w:rPr>
          <w:szCs w:val="22"/>
        </w:rPr>
        <w:t>鱼粉含量降至</w:t>
      </w:r>
      <w:r>
        <w:rPr>
          <w:szCs w:val="22"/>
        </w:rPr>
        <w:t xml:space="preserve"> 200 g/kg</w:t>
      </w:r>
      <w:r>
        <w:rPr>
          <w:rFonts w:hint="eastAsia"/>
          <w:szCs w:val="22"/>
        </w:rPr>
        <w:t>)</w:t>
      </w:r>
      <w:r>
        <w:rPr>
          <w:szCs w:val="22"/>
        </w:rPr>
        <w:t>，不会影响大口黑鲈的生长性能、营养物质利用率、抗氧化能力、非特异性免疫和肠道健康，发酵豆粕</w:t>
      </w:r>
      <w:r>
        <w:rPr>
          <w:szCs w:val="22"/>
        </w:rPr>
        <w:t>+</w:t>
      </w:r>
      <w:r>
        <w:rPr>
          <w:szCs w:val="22"/>
        </w:rPr>
        <w:t>肉骨粉混合物替代鱼粉的效果优于发酵豆粕。本研究结果可为大口黑鲈饲料中蛋白源的开发和低鱼粉饲料的配制提供依据</w:t>
      </w:r>
      <w:r>
        <w:rPr>
          <w:rFonts w:ascii="等线" w:eastAsia="等线" w:hAnsi="等线"/>
          <w:szCs w:val="22"/>
        </w:rPr>
        <w:t>。</w:t>
      </w:r>
    </w:p>
    <w:p w14:paraId="027BC347" w14:textId="77777777" w:rsidR="006D73E5" w:rsidRDefault="00000000">
      <w:pPr>
        <w:rPr>
          <w:szCs w:val="22"/>
        </w:rPr>
      </w:pPr>
      <w:r>
        <w:rPr>
          <w:b/>
          <w:bCs/>
          <w:szCs w:val="22"/>
        </w:rPr>
        <w:t>关键词</w:t>
      </w:r>
      <w:r>
        <w:rPr>
          <w:rFonts w:hint="eastAsia"/>
          <w:b/>
          <w:bCs/>
          <w:szCs w:val="22"/>
        </w:rPr>
        <w:t>:</w:t>
      </w:r>
      <w:r>
        <w:rPr>
          <w:b/>
          <w:bCs/>
          <w:szCs w:val="22"/>
        </w:rPr>
        <w:t xml:space="preserve"> </w:t>
      </w:r>
      <w:r>
        <w:rPr>
          <w:szCs w:val="22"/>
        </w:rPr>
        <w:t>发酵豆粕；肉骨粉；大口黑鲈；生长性能；营养物质利用；血清生化指标；肠道组织学</w:t>
      </w:r>
    </w:p>
    <w:p w14:paraId="60FF27E6" w14:textId="77777777" w:rsidR="006D73E5" w:rsidRDefault="00000000">
      <w:pPr>
        <w:jc w:val="center"/>
        <w:rPr>
          <w:b/>
          <w:bCs/>
          <w:sz w:val="24"/>
        </w:rPr>
      </w:pPr>
      <w:r>
        <w:rPr>
          <w:b/>
          <w:bCs/>
          <w:sz w:val="24"/>
        </w:rPr>
        <w:t xml:space="preserve">Effects of replacing dietary fish meal with fermented soybean meal, meat and bone meal and their mixture on growth, serum biochemical indices and intestinal histology of </w:t>
      </w:r>
      <w:r>
        <w:rPr>
          <w:b/>
          <w:bCs/>
          <w:sz w:val="24"/>
        </w:rPr>
        <w:lastRenderedPageBreak/>
        <w:t>largemouth bass (</w:t>
      </w:r>
      <w:r>
        <w:rPr>
          <w:b/>
          <w:bCs/>
          <w:i/>
          <w:iCs/>
          <w:sz w:val="24"/>
        </w:rPr>
        <w:t xml:space="preserve">Micropterus </w:t>
      </w:r>
      <w:proofErr w:type="spellStart"/>
      <w:r>
        <w:rPr>
          <w:b/>
          <w:bCs/>
          <w:i/>
          <w:iCs/>
          <w:sz w:val="24"/>
        </w:rPr>
        <w:t>salmoides</w:t>
      </w:r>
      <w:proofErr w:type="spellEnd"/>
      <w:r>
        <w:rPr>
          <w:b/>
          <w:bCs/>
          <w:sz w:val="24"/>
        </w:rPr>
        <w:t>)</w:t>
      </w:r>
    </w:p>
    <w:p w14:paraId="37AA89BC" w14:textId="77777777" w:rsidR="006D73E5" w:rsidRDefault="00000000">
      <w:pPr>
        <w:jc w:val="center"/>
        <w:rPr>
          <w:szCs w:val="22"/>
        </w:rPr>
      </w:pPr>
      <w:r>
        <w:rPr>
          <w:szCs w:val="22"/>
        </w:rPr>
        <w:t>BIAN Yuhao</w:t>
      </w:r>
      <w:r>
        <w:rPr>
          <w:szCs w:val="22"/>
          <w:vertAlign w:val="superscript"/>
        </w:rPr>
        <w:t>1,2,3</w:t>
      </w:r>
      <w:r>
        <w:rPr>
          <w:szCs w:val="22"/>
        </w:rPr>
        <w:t xml:space="preserve"> YANG Hang</w:t>
      </w:r>
      <w:r>
        <w:rPr>
          <w:szCs w:val="22"/>
          <w:vertAlign w:val="superscript"/>
        </w:rPr>
        <w:t>1,2,3</w:t>
      </w:r>
      <w:r>
        <w:rPr>
          <w:szCs w:val="22"/>
        </w:rPr>
        <w:t xml:space="preserve"> XU Xiaoying</w:t>
      </w:r>
      <w:r>
        <w:rPr>
          <w:szCs w:val="22"/>
          <w:vertAlign w:val="superscript"/>
        </w:rPr>
        <w:t>1,2,3</w:t>
      </w:r>
      <w:r>
        <w:rPr>
          <w:szCs w:val="22"/>
        </w:rPr>
        <w:t xml:space="preserve"> LIN Xia</w:t>
      </w:r>
      <w:r>
        <w:rPr>
          <w:szCs w:val="22"/>
          <w:vertAlign w:val="superscript"/>
        </w:rPr>
        <w:t>1,2,3</w:t>
      </w:r>
      <w:r>
        <w:rPr>
          <w:szCs w:val="22"/>
        </w:rPr>
        <w:t xml:space="preserve"> CAO Kailin</w:t>
      </w:r>
      <w:r>
        <w:rPr>
          <w:szCs w:val="22"/>
          <w:vertAlign w:val="superscript"/>
        </w:rPr>
        <w:t>1,2,3</w:t>
      </w:r>
      <w:r>
        <w:rPr>
          <w:szCs w:val="22"/>
        </w:rPr>
        <w:t xml:space="preserve"> </w:t>
      </w:r>
    </w:p>
    <w:p w14:paraId="2472C059" w14:textId="77777777" w:rsidR="006D73E5" w:rsidRDefault="00000000">
      <w:pPr>
        <w:jc w:val="center"/>
        <w:rPr>
          <w:szCs w:val="22"/>
        </w:rPr>
      </w:pPr>
      <w:r>
        <w:rPr>
          <w:szCs w:val="22"/>
        </w:rPr>
        <w:t xml:space="preserve">LI </w:t>
      </w:r>
      <w:proofErr w:type="spellStart"/>
      <w:r>
        <w:rPr>
          <w:szCs w:val="22"/>
        </w:rPr>
        <w:t>Xiaoqin</w:t>
      </w:r>
      <w:proofErr w:type="spellEnd"/>
      <w:r>
        <w:rPr>
          <w:szCs w:val="22"/>
        </w:rPr>
        <w:t xml:space="preserve"> </w:t>
      </w:r>
      <w:r>
        <w:rPr>
          <w:szCs w:val="22"/>
          <w:vertAlign w:val="superscript"/>
        </w:rPr>
        <w:t>1,2,3</w:t>
      </w:r>
      <w:r>
        <w:rPr>
          <w:szCs w:val="22"/>
        </w:rPr>
        <w:t>LENG Xiangjun</w:t>
      </w:r>
      <w:r>
        <w:rPr>
          <w:szCs w:val="22"/>
          <w:vertAlign w:val="superscript"/>
        </w:rPr>
        <w:t>1,2,3</w:t>
      </w:r>
      <w:r>
        <w:rPr>
          <w:szCs w:val="22"/>
          <w:vertAlign w:val="superscript"/>
        </w:rPr>
        <w:sym w:font="Symbol" w:char="F02A"/>
      </w:r>
    </w:p>
    <w:p w14:paraId="6149E202" w14:textId="77777777" w:rsidR="006D73E5" w:rsidRDefault="00000000">
      <w:pPr>
        <w:jc w:val="center"/>
        <w:rPr>
          <w:i/>
          <w:iCs/>
          <w:szCs w:val="22"/>
        </w:rPr>
      </w:pPr>
      <w:r>
        <w:rPr>
          <w:i/>
          <w:iCs/>
          <w:szCs w:val="22"/>
        </w:rPr>
        <w:t xml:space="preserve">(1.National Demonstration Center for Experimental Fisheries Science Education, College of Fisheries and Life Science, Shanghai Ocean University, Shanghai 201306, China; 2. Centre for Research on Environmental Ecology and Fish Nutrition (CREEFN) of the Ministry of Agriculture and Rural Affairs, College of Fisheries and Life Science, Shanghai Ocean University, Shanghai 201306, China; 3. Shanghai Collaborative Innovation for Aquatic Animal Genetics and Breeding, College of Fisheries and Life Science, Shanghai Ocean University, Shanghai 201306, China) </w:t>
      </w:r>
    </w:p>
    <w:p w14:paraId="6A705219" w14:textId="77777777" w:rsidR="006D73E5" w:rsidRDefault="00000000">
      <w:pPr>
        <w:jc w:val="center"/>
        <w:rPr>
          <w:i/>
          <w:iCs/>
          <w:szCs w:val="22"/>
        </w:rPr>
      </w:pPr>
      <w:r>
        <w:rPr>
          <w:i/>
          <w:iCs/>
          <w:szCs w:val="22"/>
        </w:rPr>
        <w:t xml:space="preserve">*LENG </w:t>
      </w:r>
      <w:proofErr w:type="spellStart"/>
      <w:r>
        <w:rPr>
          <w:i/>
          <w:iCs/>
          <w:szCs w:val="22"/>
        </w:rPr>
        <w:t>Xiangjun</w:t>
      </w:r>
      <w:proofErr w:type="spellEnd"/>
      <w:r>
        <w:rPr>
          <w:i/>
          <w:iCs/>
          <w:szCs w:val="22"/>
        </w:rPr>
        <w:t xml:space="preserve">. E-mail: </w:t>
      </w:r>
      <w:hyperlink r:id="rId38" w:history="1">
        <w:r>
          <w:rPr>
            <w:i/>
            <w:iCs/>
            <w:szCs w:val="22"/>
          </w:rPr>
          <w:t>xjleng@shou.edu.cn</w:t>
        </w:r>
      </w:hyperlink>
    </w:p>
    <w:p w14:paraId="720A6E15" w14:textId="77777777" w:rsidR="006D73E5" w:rsidRDefault="00000000">
      <w:pPr>
        <w:rPr>
          <w:szCs w:val="22"/>
        </w:rPr>
      </w:pPr>
      <w:r>
        <w:rPr>
          <w:b/>
          <w:bCs/>
          <w:szCs w:val="22"/>
        </w:rPr>
        <w:t xml:space="preserve">Abstract: </w:t>
      </w:r>
      <w:r>
        <w:rPr>
          <w:szCs w:val="22"/>
        </w:rPr>
        <w:t>This study was conducted to investigate the effects of replacing fish meal with two protein sources individual or in combination on the growth performance, serum biochemical indices and intestinal histology of largemouth bass (</w:t>
      </w:r>
      <w:r>
        <w:rPr>
          <w:i/>
          <w:iCs/>
          <w:szCs w:val="22"/>
        </w:rPr>
        <w:t xml:space="preserve">Micropterus </w:t>
      </w:r>
      <w:proofErr w:type="spellStart"/>
      <w:r>
        <w:rPr>
          <w:i/>
          <w:iCs/>
          <w:szCs w:val="22"/>
        </w:rPr>
        <w:t>salmoides</w:t>
      </w:r>
      <w:proofErr w:type="spellEnd"/>
      <w:r>
        <w:rPr>
          <w:szCs w:val="22"/>
        </w:rPr>
        <w:t xml:space="preserve">). Fermented soybean meal (FSM), meat and bone meal (MBM) and FSM + MBM mixture (1:1) were used to replace 150 g/kg fish meal in the control diet containing 350 g/kg fish meal, to form four isonitrogenous and </w:t>
      </w:r>
      <w:proofErr w:type="spellStart"/>
      <w:r>
        <w:rPr>
          <w:szCs w:val="22"/>
        </w:rPr>
        <w:t>isolipidic</w:t>
      </w:r>
      <w:proofErr w:type="spellEnd"/>
      <w:r>
        <w:rPr>
          <w:szCs w:val="22"/>
        </w:rPr>
        <w:t xml:space="preserve"> diets. Then, the four diets were fed to </w:t>
      </w:r>
      <w:r>
        <w:rPr>
          <w:i/>
          <w:iCs/>
          <w:szCs w:val="22"/>
        </w:rPr>
        <w:t xml:space="preserve">M. </w:t>
      </w:r>
      <w:proofErr w:type="spellStart"/>
      <w:r>
        <w:rPr>
          <w:i/>
          <w:iCs/>
          <w:szCs w:val="22"/>
        </w:rPr>
        <w:t>salmoides</w:t>
      </w:r>
      <w:proofErr w:type="spellEnd"/>
      <w:r>
        <w:rPr>
          <w:szCs w:val="22"/>
        </w:rPr>
        <w:t xml:space="preserve"> with initial body weight of (21.2 ± 0.1) g for 8 weeks. Compared with the control group, the weight gain (WG) in the three fish meal-replaced groups showed no significant difference, but the WG in FSM group was lower than that in FSM+MBM group. Moreover, the feed conversion ratio of FSM group was significantly higher than that of the control and MBM groups. There were no significant differences in the whole body composition (moisture, crude protein, crude lipid and crude ash contents), dry matter digestibility, protein digestibility and protein retention among all the groups, but the protein efficiency ratio and lipid retention were decreased by dietary FSM. In terms of serum biochemical indicators, FSM group displayed higher aspartate aminotransferase activity and lower total antioxidant capacity, superoxide dismutase as well as lysozyme activity than those of the control group. In foregut morphology, the intestinal villus width was reduced in all the fish meal-replaced groups, but the villus height, muscle thickness and villus circumferences in FSM group were promoted when compared to the control group. Overall, in a diet containing 350 g/kg fish meal, MBM and FSM+MBM mixture could replace 150 g/kg fish meal without negative effects on the growth performance, nutrient utilization, antioxidant capacity, non-specific immunity and intestinal health, and FSM+MBM mixture showed better effects than FSM in replacing fish meal for </w:t>
      </w:r>
      <w:r>
        <w:rPr>
          <w:i/>
          <w:iCs/>
          <w:szCs w:val="22"/>
        </w:rPr>
        <w:t xml:space="preserve">M. </w:t>
      </w:r>
      <w:proofErr w:type="spellStart"/>
      <w:r>
        <w:rPr>
          <w:i/>
          <w:iCs/>
          <w:szCs w:val="22"/>
        </w:rPr>
        <w:t>salmoide</w:t>
      </w:r>
      <w:proofErr w:type="spellEnd"/>
      <w:r>
        <w:rPr>
          <w:szCs w:val="22"/>
        </w:rPr>
        <w:t>.</w:t>
      </w:r>
    </w:p>
    <w:p w14:paraId="152E1624" w14:textId="77777777" w:rsidR="006D73E5" w:rsidRDefault="00000000">
      <w:pPr>
        <w:rPr>
          <w:szCs w:val="22"/>
        </w:rPr>
      </w:pPr>
      <w:r>
        <w:rPr>
          <w:szCs w:val="22"/>
        </w:rPr>
        <w:t>Key words</w:t>
      </w:r>
      <w:r>
        <w:rPr>
          <w:rFonts w:hint="eastAsia"/>
          <w:szCs w:val="22"/>
        </w:rPr>
        <w:t>:</w:t>
      </w:r>
      <w:r>
        <w:rPr>
          <w:szCs w:val="22"/>
        </w:rPr>
        <w:t xml:space="preserve"> fermented soybean meal; meat and bone meal; </w:t>
      </w:r>
      <w:r>
        <w:rPr>
          <w:i/>
          <w:iCs/>
          <w:szCs w:val="22"/>
        </w:rPr>
        <w:t xml:space="preserve">Micropterus </w:t>
      </w:r>
      <w:proofErr w:type="spellStart"/>
      <w:r>
        <w:rPr>
          <w:i/>
          <w:iCs/>
          <w:szCs w:val="22"/>
        </w:rPr>
        <w:t>salmoides</w:t>
      </w:r>
      <w:proofErr w:type="spellEnd"/>
      <w:r>
        <w:rPr>
          <w:szCs w:val="22"/>
        </w:rPr>
        <w:t>; growth performance; nutrient utilization; serum biochemical indices; intestinal morphology</w:t>
      </w:r>
    </w:p>
    <w:p w14:paraId="241415F5" w14:textId="77777777" w:rsidR="006D73E5" w:rsidRDefault="006D73E5">
      <w:pPr>
        <w:jc w:val="center"/>
        <w:rPr>
          <w:szCs w:val="22"/>
        </w:rPr>
      </w:pPr>
    </w:p>
    <w:p w14:paraId="319B184B" w14:textId="77777777" w:rsidR="006D73E5" w:rsidRDefault="00000000">
      <w:pPr>
        <w:spacing w:line="360" w:lineRule="auto"/>
        <w:ind w:firstLineChars="200" w:firstLine="480"/>
        <w:rPr>
          <w:sz w:val="24"/>
        </w:rPr>
      </w:pPr>
      <w:r>
        <w:rPr>
          <w:sz w:val="24"/>
        </w:rPr>
        <w:t>大口黑鲈</w:t>
      </w:r>
      <w:r>
        <w:rPr>
          <w:rFonts w:hint="eastAsia"/>
          <w:sz w:val="24"/>
        </w:rPr>
        <w:t>(</w:t>
      </w:r>
      <w:r>
        <w:rPr>
          <w:i/>
          <w:iCs/>
          <w:sz w:val="24"/>
        </w:rPr>
        <w:t xml:space="preserve">Micropterus </w:t>
      </w:r>
      <w:proofErr w:type="spellStart"/>
      <w:r>
        <w:rPr>
          <w:i/>
          <w:iCs/>
          <w:sz w:val="24"/>
        </w:rPr>
        <w:t>salmoides</w:t>
      </w:r>
      <w:proofErr w:type="spellEnd"/>
      <w:r>
        <w:rPr>
          <w:rFonts w:hint="eastAsia"/>
          <w:sz w:val="24"/>
        </w:rPr>
        <w:t>)</w:t>
      </w:r>
      <w:r>
        <w:rPr>
          <w:sz w:val="24"/>
        </w:rPr>
        <w:t>俗称加州鲈，温水肉食性鱼类，原产于北美，</w:t>
      </w:r>
      <w:r>
        <w:rPr>
          <w:sz w:val="24"/>
        </w:rPr>
        <w:t xml:space="preserve">20 </w:t>
      </w:r>
      <w:r>
        <w:rPr>
          <w:sz w:val="24"/>
        </w:rPr>
        <w:t>世纪</w:t>
      </w:r>
      <w:r>
        <w:rPr>
          <w:sz w:val="24"/>
        </w:rPr>
        <w:t xml:space="preserve"> 80 </w:t>
      </w:r>
      <w:r>
        <w:rPr>
          <w:sz w:val="24"/>
        </w:rPr>
        <w:t>年代初引入我国大陆。因其肉质鲜美、营养价值高、抗病力强，在中国已广泛养殖。近年来养殖产业发展迅速，</w:t>
      </w:r>
      <w:r>
        <w:rPr>
          <w:sz w:val="24"/>
        </w:rPr>
        <w:t>2020</w:t>
      </w:r>
      <w:r>
        <w:rPr>
          <w:sz w:val="24"/>
        </w:rPr>
        <w:t>年全国大口黑鲈产量已达到</w:t>
      </w:r>
      <w:r>
        <w:rPr>
          <w:sz w:val="24"/>
        </w:rPr>
        <w:t xml:space="preserve"> 62.0</w:t>
      </w:r>
      <w:r>
        <w:rPr>
          <w:sz w:val="24"/>
        </w:rPr>
        <w:t>万</w:t>
      </w:r>
      <w:r>
        <w:rPr>
          <w:sz w:val="24"/>
        </w:rPr>
        <w:t xml:space="preserve">t </w:t>
      </w:r>
      <w:r>
        <w:rPr>
          <w:sz w:val="24"/>
          <w:vertAlign w:val="superscript"/>
        </w:rPr>
        <w:t>[1]</w:t>
      </w:r>
      <w:r>
        <w:rPr>
          <w:sz w:val="24"/>
        </w:rPr>
        <w:t>，是我国淡水养殖重要品种之一。大口黑鲈对饲料中蛋白质的营养需求较高，商业饲料中的鱼粉含量一般可达</w:t>
      </w:r>
      <w:r>
        <w:rPr>
          <w:sz w:val="24"/>
        </w:rPr>
        <w:t>40%~50%</w:t>
      </w:r>
      <w:r>
        <w:rPr>
          <w:sz w:val="24"/>
        </w:rPr>
        <w:t>。但随着全球水产饲料对鱼粉的需求量急剧增加，导致鱼粉价格持续上涨。因此，研究寻找适宜的蛋白源替代鱼粉成为水产养殖业急需解决的问题。</w:t>
      </w:r>
    </w:p>
    <w:p w14:paraId="25FFC93E" w14:textId="77777777" w:rsidR="006D73E5" w:rsidRDefault="00000000">
      <w:pPr>
        <w:spacing w:line="360" w:lineRule="auto"/>
        <w:ind w:firstLineChars="200" w:firstLine="480"/>
        <w:rPr>
          <w:sz w:val="24"/>
        </w:rPr>
      </w:pPr>
      <w:r>
        <w:rPr>
          <w:sz w:val="24"/>
        </w:rPr>
        <w:t>在豆粕中接种特定的微生物，通过微生物的发酵消减豆粕中的抗营养因子，并产生活性小肽、有机酸、益生菌以及黄酮类等活性物质，可得到发酵豆粕产品</w:t>
      </w:r>
      <w:r>
        <w:rPr>
          <w:sz w:val="24"/>
          <w:vertAlign w:val="superscript"/>
        </w:rPr>
        <w:t>[2]</w:t>
      </w:r>
      <w:r>
        <w:rPr>
          <w:sz w:val="24"/>
        </w:rPr>
        <w:t>。目前水产饲料中</w:t>
      </w:r>
      <w:r>
        <w:rPr>
          <w:sz w:val="24"/>
        </w:rPr>
        <w:lastRenderedPageBreak/>
        <w:t>有关发酵豆粕替代鱼粉的研究已见于大菱鲆</w:t>
      </w:r>
      <w:r>
        <w:rPr>
          <w:rFonts w:hint="eastAsia"/>
          <w:sz w:val="24"/>
        </w:rPr>
        <w:t>(</w:t>
      </w:r>
      <w:r>
        <w:rPr>
          <w:i/>
          <w:iCs/>
          <w:sz w:val="24"/>
        </w:rPr>
        <w:t>Scophthalmus maximus</w:t>
      </w:r>
      <w:r>
        <w:rPr>
          <w:rFonts w:hint="eastAsia"/>
          <w:sz w:val="24"/>
        </w:rPr>
        <w:t>)</w:t>
      </w:r>
      <w:r>
        <w:rPr>
          <w:sz w:val="24"/>
          <w:vertAlign w:val="superscript"/>
        </w:rPr>
        <w:t>[3]</w:t>
      </w:r>
      <w:r>
        <w:rPr>
          <w:sz w:val="24"/>
        </w:rPr>
        <w:t>、布氏鲳鲹</w:t>
      </w:r>
      <w:r>
        <w:rPr>
          <w:rFonts w:hint="eastAsia"/>
          <w:sz w:val="24"/>
        </w:rPr>
        <w:t>(</w:t>
      </w:r>
      <w:proofErr w:type="spellStart"/>
      <w:r>
        <w:rPr>
          <w:i/>
          <w:iCs/>
          <w:sz w:val="24"/>
        </w:rPr>
        <w:t>Trachinotus</w:t>
      </w:r>
      <w:proofErr w:type="spellEnd"/>
      <w:r>
        <w:rPr>
          <w:i/>
          <w:iCs/>
          <w:sz w:val="24"/>
        </w:rPr>
        <w:t xml:space="preserve"> </w:t>
      </w:r>
      <w:proofErr w:type="spellStart"/>
      <w:r>
        <w:rPr>
          <w:i/>
          <w:iCs/>
          <w:sz w:val="24"/>
        </w:rPr>
        <w:t>blochii</w:t>
      </w:r>
      <w:proofErr w:type="spellEnd"/>
      <w:r>
        <w:rPr>
          <w:rFonts w:hint="eastAsia"/>
          <w:sz w:val="24"/>
        </w:rPr>
        <w:t>)</w:t>
      </w:r>
      <w:r>
        <w:rPr>
          <w:sz w:val="24"/>
          <w:vertAlign w:val="superscript"/>
        </w:rPr>
        <w:t>[4]</w:t>
      </w:r>
      <w:r>
        <w:rPr>
          <w:sz w:val="24"/>
        </w:rPr>
        <w:t>、虹鳟</w:t>
      </w:r>
      <w:r>
        <w:rPr>
          <w:rFonts w:hint="eastAsia"/>
          <w:sz w:val="24"/>
        </w:rPr>
        <w:t>(</w:t>
      </w:r>
      <w:r>
        <w:rPr>
          <w:i/>
          <w:iCs/>
          <w:sz w:val="24"/>
        </w:rPr>
        <w:t>Oncorhynchus mykiss</w:t>
      </w:r>
      <w:r>
        <w:rPr>
          <w:rFonts w:hint="eastAsia"/>
          <w:sz w:val="24"/>
        </w:rPr>
        <w:t>)</w:t>
      </w:r>
      <w:r>
        <w:rPr>
          <w:sz w:val="24"/>
          <w:vertAlign w:val="superscript"/>
        </w:rPr>
        <w:t>[5]</w:t>
      </w:r>
      <w:r>
        <w:rPr>
          <w:sz w:val="24"/>
        </w:rPr>
        <w:t>、大口黑鲈</w:t>
      </w:r>
      <w:r>
        <w:rPr>
          <w:sz w:val="24"/>
          <w:vertAlign w:val="superscript"/>
        </w:rPr>
        <w:t>[6]</w:t>
      </w:r>
      <w:r>
        <w:rPr>
          <w:sz w:val="24"/>
        </w:rPr>
        <w:t>、尼罗罗非鱼</w:t>
      </w:r>
      <w:r>
        <w:rPr>
          <w:rFonts w:hint="eastAsia"/>
          <w:sz w:val="24"/>
        </w:rPr>
        <w:t>(</w:t>
      </w:r>
      <w:r>
        <w:rPr>
          <w:i/>
          <w:iCs/>
          <w:sz w:val="24"/>
        </w:rPr>
        <w:t xml:space="preserve">Oreochromis </w:t>
      </w:r>
      <w:proofErr w:type="spellStart"/>
      <w:r>
        <w:rPr>
          <w:i/>
          <w:iCs/>
          <w:sz w:val="24"/>
        </w:rPr>
        <w:t>niloticus</w:t>
      </w:r>
      <w:proofErr w:type="spellEnd"/>
      <w:r>
        <w:rPr>
          <w:rFonts w:hint="eastAsia"/>
          <w:sz w:val="24"/>
        </w:rPr>
        <w:t>)</w:t>
      </w:r>
      <w:r>
        <w:rPr>
          <w:sz w:val="24"/>
          <w:vertAlign w:val="superscript"/>
        </w:rPr>
        <w:t>[7]</w:t>
      </w:r>
      <w:r>
        <w:rPr>
          <w:sz w:val="24"/>
        </w:rPr>
        <w:t>和凡纳滨对虾</w:t>
      </w:r>
      <w:r>
        <w:rPr>
          <w:rFonts w:hint="eastAsia"/>
          <w:sz w:val="24"/>
        </w:rPr>
        <w:t>(</w:t>
      </w:r>
      <w:proofErr w:type="spellStart"/>
      <w:r>
        <w:rPr>
          <w:i/>
          <w:iCs/>
          <w:sz w:val="24"/>
        </w:rPr>
        <w:t>Litopenaeus</w:t>
      </w:r>
      <w:proofErr w:type="spellEnd"/>
      <w:r>
        <w:rPr>
          <w:i/>
          <w:iCs/>
          <w:sz w:val="24"/>
        </w:rPr>
        <w:t xml:space="preserve"> </w:t>
      </w:r>
      <w:proofErr w:type="spellStart"/>
      <w:r>
        <w:rPr>
          <w:i/>
          <w:iCs/>
          <w:sz w:val="24"/>
        </w:rPr>
        <w:t>vannamei</w:t>
      </w:r>
      <w:proofErr w:type="spellEnd"/>
      <w:r>
        <w:rPr>
          <w:rFonts w:hint="eastAsia"/>
          <w:sz w:val="24"/>
        </w:rPr>
        <w:t>)</w:t>
      </w:r>
      <w:r>
        <w:rPr>
          <w:sz w:val="24"/>
          <w:vertAlign w:val="superscript"/>
        </w:rPr>
        <w:t>[8]</w:t>
      </w:r>
      <w:r>
        <w:rPr>
          <w:sz w:val="24"/>
        </w:rPr>
        <w:t>等。在这些研究中，根据菌种、加工工艺、鱼种、生长阶段以及饲料鱼粉含量等因素，发酵豆粕替代鱼粉的比例范围在</w:t>
      </w:r>
      <w:r>
        <w:rPr>
          <w:sz w:val="24"/>
        </w:rPr>
        <w:t>20%~45%</w:t>
      </w:r>
      <w:r>
        <w:rPr>
          <w:sz w:val="24"/>
        </w:rPr>
        <w:t>不等。</w:t>
      </w:r>
    </w:p>
    <w:p w14:paraId="60D81AC0" w14:textId="77777777" w:rsidR="006D73E5" w:rsidRDefault="00000000">
      <w:pPr>
        <w:spacing w:line="360" w:lineRule="auto"/>
        <w:ind w:firstLineChars="200" w:firstLine="480"/>
        <w:rPr>
          <w:sz w:val="24"/>
        </w:rPr>
      </w:pPr>
      <w:r>
        <w:rPr>
          <w:sz w:val="24"/>
        </w:rPr>
        <w:t>肉骨粉是以新鲜无变质的家畜躯干、骨等废弃组织作为原料，经过加热、干燥和粉碎后制成的产品。因原料组成和肉、骨的比例以及制作工艺不同，肉骨粉的质量有所差异。但总体来看，其粗蛋白含量高、价格较鱼粉低，是替代鱼粉的优质动物蛋白源。有关肉骨粉替代鱼粉的研究，在乌鳢</w:t>
      </w:r>
      <w:r>
        <w:rPr>
          <w:rFonts w:hint="eastAsia"/>
          <w:sz w:val="24"/>
        </w:rPr>
        <w:t>(</w:t>
      </w:r>
      <w:r>
        <w:rPr>
          <w:i/>
          <w:iCs/>
          <w:sz w:val="24"/>
        </w:rPr>
        <w:t>Channa argus</w:t>
      </w:r>
      <w:r>
        <w:rPr>
          <w:rFonts w:hint="eastAsia"/>
          <w:sz w:val="24"/>
        </w:rPr>
        <w:t>)</w:t>
      </w:r>
      <w:r>
        <w:rPr>
          <w:sz w:val="24"/>
          <w:vertAlign w:val="superscript"/>
        </w:rPr>
        <w:t>[9]</w:t>
      </w:r>
      <w:r>
        <w:rPr>
          <w:sz w:val="24"/>
        </w:rPr>
        <w:t>、大黄鱼</w:t>
      </w:r>
      <w:r>
        <w:rPr>
          <w:rFonts w:hint="eastAsia"/>
          <w:sz w:val="24"/>
        </w:rPr>
        <w:t>(</w:t>
      </w:r>
      <w:proofErr w:type="spellStart"/>
      <w:r>
        <w:rPr>
          <w:i/>
          <w:iCs/>
          <w:sz w:val="24"/>
        </w:rPr>
        <w:t>Pseudosciaena</w:t>
      </w:r>
      <w:proofErr w:type="spellEnd"/>
      <w:r>
        <w:rPr>
          <w:i/>
          <w:iCs/>
          <w:sz w:val="24"/>
        </w:rPr>
        <w:t xml:space="preserve"> </w:t>
      </w:r>
      <w:proofErr w:type="spellStart"/>
      <w:r>
        <w:rPr>
          <w:i/>
          <w:iCs/>
          <w:sz w:val="24"/>
        </w:rPr>
        <w:t>crocea</w:t>
      </w:r>
      <w:proofErr w:type="spellEnd"/>
      <w:r>
        <w:rPr>
          <w:rFonts w:hint="eastAsia"/>
          <w:sz w:val="24"/>
        </w:rPr>
        <w:t>)</w:t>
      </w:r>
      <w:r>
        <w:rPr>
          <w:sz w:val="24"/>
          <w:vertAlign w:val="superscript"/>
        </w:rPr>
        <w:t>[10]</w:t>
      </w:r>
      <w:r>
        <w:rPr>
          <w:sz w:val="24"/>
        </w:rPr>
        <w:t>、黄鳝</w:t>
      </w:r>
      <w:r>
        <w:rPr>
          <w:rFonts w:hint="eastAsia"/>
          <w:sz w:val="24"/>
        </w:rPr>
        <w:t>(</w:t>
      </w:r>
      <w:proofErr w:type="spellStart"/>
      <w:r>
        <w:rPr>
          <w:i/>
          <w:iCs/>
          <w:sz w:val="24"/>
        </w:rPr>
        <w:t>Monopterus</w:t>
      </w:r>
      <w:proofErr w:type="spellEnd"/>
      <w:r>
        <w:rPr>
          <w:i/>
          <w:iCs/>
          <w:sz w:val="24"/>
        </w:rPr>
        <w:t xml:space="preserve"> albus</w:t>
      </w:r>
      <w:r>
        <w:rPr>
          <w:rFonts w:hint="eastAsia"/>
          <w:sz w:val="24"/>
        </w:rPr>
        <w:t>)</w:t>
      </w:r>
      <w:r>
        <w:rPr>
          <w:sz w:val="24"/>
          <w:vertAlign w:val="superscript"/>
        </w:rPr>
        <w:t>[11]</w:t>
      </w:r>
      <w:r>
        <w:rPr>
          <w:sz w:val="24"/>
        </w:rPr>
        <w:t>、大口黑鲈</w:t>
      </w:r>
      <w:r>
        <w:rPr>
          <w:sz w:val="24"/>
          <w:vertAlign w:val="superscript"/>
        </w:rPr>
        <w:t>[12]</w:t>
      </w:r>
      <w:r>
        <w:rPr>
          <w:sz w:val="24"/>
        </w:rPr>
        <w:t>、吉富罗非鱼</w:t>
      </w:r>
      <w:r>
        <w:rPr>
          <w:rFonts w:hint="eastAsia"/>
          <w:sz w:val="24"/>
        </w:rPr>
        <w:t>(</w:t>
      </w:r>
      <w:r>
        <w:rPr>
          <w:i/>
          <w:iCs/>
          <w:sz w:val="24"/>
        </w:rPr>
        <w:t xml:space="preserve">GIFT Oreochromis </w:t>
      </w:r>
      <w:proofErr w:type="spellStart"/>
      <w:r>
        <w:rPr>
          <w:i/>
          <w:iCs/>
          <w:sz w:val="24"/>
        </w:rPr>
        <w:t>niloticus</w:t>
      </w:r>
      <w:proofErr w:type="spellEnd"/>
      <w:r>
        <w:rPr>
          <w:rFonts w:hint="eastAsia"/>
          <w:sz w:val="24"/>
        </w:rPr>
        <w:t>)</w:t>
      </w:r>
      <w:r>
        <w:rPr>
          <w:sz w:val="24"/>
          <w:vertAlign w:val="superscript"/>
        </w:rPr>
        <w:t>[13]</w:t>
      </w:r>
      <w:r>
        <w:rPr>
          <w:sz w:val="24"/>
        </w:rPr>
        <w:t>和大菱鲆</w:t>
      </w:r>
      <w:r>
        <w:rPr>
          <w:sz w:val="24"/>
          <w:vertAlign w:val="superscript"/>
        </w:rPr>
        <w:t>[14]</w:t>
      </w:r>
      <w:r>
        <w:rPr>
          <w:sz w:val="24"/>
        </w:rPr>
        <w:t>上已有报道。</w:t>
      </w:r>
    </w:p>
    <w:p w14:paraId="5D871FAD" w14:textId="77777777" w:rsidR="006D73E5" w:rsidRDefault="00000000">
      <w:pPr>
        <w:spacing w:line="360" w:lineRule="auto"/>
        <w:ind w:firstLineChars="200" w:firstLine="480"/>
        <w:rPr>
          <w:sz w:val="24"/>
        </w:rPr>
      </w:pPr>
      <w:r>
        <w:rPr>
          <w:sz w:val="24"/>
        </w:rPr>
        <w:t>和鱼粉相比，这些单一蛋白源存在氨基酸平衡性差以及消化率不佳等问题，将不同蛋白源混合使用，可使其营养成分相互补充。关于动植物复合蛋白源替代鱼粉的实验已报道于杂交鳢</w:t>
      </w:r>
      <w:r>
        <w:rPr>
          <w:rFonts w:hint="eastAsia"/>
          <w:sz w:val="24"/>
        </w:rPr>
        <w:t>(</w:t>
      </w:r>
      <w:r>
        <w:rPr>
          <w:i/>
          <w:iCs/>
          <w:sz w:val="24"/>
        </w:rPr>
        <w:t xml:space="preserve">C. </w:t>
      </w:r>
      <w:proofErr w:type="spellStart"/>
      <w:r>
        <w:rPr>
          <w:i/>
          <w:iCs/>
          <w:sz w:val="24"/>
        </w:rPr>
        <w:t>maculata</w:t>
      </w:r>
      <w:proofErr w:type="spellEnd"/>
      <w:r>
        <w:rPr>
          <w:i/>
          <w:iCs/>
          <w:sz w:val="24"/>
        </w:rPr>
        <w:t xml:space="preserve"> ♀×C. argus♂</w:t>
      </w:r>
      <w:r>
        <w:rPr>
          <w:rFonts w:hint="eastAsia"/>
          <w:sz w:val="24"/>
        </w:rPr>
        <w:t>)</w:t>
      </w:r>
      <w:r>
        <w:rPr>
          <w:sz w:val="24"/>
          <w:vertAlign w:val="superscript"/>
        </w:rPr>
        <w:t>[15]</w:t>
      </w:r>
      <w:r>
        <w:rPr>
          <w:sz w:val="24"/>
        </w:rPr>
        <w:t>、许氏平鲉</w:t>
      </w:r>
      <w:r>
        <w:rPr>
          <w:rFonts w:hint="eastAsia"/>
          <w:sz w:val="24"/>
        </w:rPr>
        <w:t>(</w:t>
      </w:r>
      <w:r>
        <w:rPr>
          <w:i/>
          <w:iCs/>
          <w:sz w:val="24"/>
        </w:rPr>
        <w:t xml:space="preserve">Sebastes </w:t>
      </w:r>
      <w:proofErr w:type="spellStart"/>
      <w:r>
        <w:rPr>
          <w:i/>
          <w:iCs/>
          <w:sz w:val="24"/>
        </w:rPr>
        <w:t>schlegeli</w:t>
      </w:r>
      <w:proofErr w:type="spellEnd"/>
      <w:r>
        <w:rPr>
          <w:rFonts w:hint="eastAsia"/>
          <w:sz w:val="24"/>
        </w:rPr>
        <w:t>)</w:t>
      </w:r>
      <w:r>
        <w:rPr>
          <w:sz w:val="24"/>
          <w:vertAlign w:val="superscript"/>
        </w:rPr>
        <w:t>[16]</w:t>
      </w:r>
      <w:r>
        <w:rPr>
          <w:sz w:val="24"/>
        </w:rPr>
        <w:t>、大菱鲆</w:t>
      </w:r>
      <w:r>
        <w:rPr>
          <w:sz w:val="24"/>
          <w:vertAlign w:val="superscript"/>
        </w:rPr>
        <w:t>[17]</w:t>
      </w:r>
      <w:r>
        <w:rPr>
          <w:sz w:val="24"/>
        </w:rPr>
        <w:t>、大口黑鲈</w:t>
      </w:r>
      <w:r>
        <w:rPr>
          <w:sz w:val="24"/>
          <w:vertAlign w:val="superscript"/>
        </w:rPr>
        <w:t>[12]</w:t>
      </w:r>
      <w:r>
        <w:rPr>
          <w:sz w:val="24"/>
        </w:rPr>
        <w:t>和虹鳟</w:t>
      </w:r>
      <w:r>
        <w:rPr>
          <w:sz w:val="24"/>
          <w:vertAlign w:val="superscript"/>
        </w:rPr>
        <w:t>[18]</w:t>
      </w:r>
      <w:r>
        <w:rPr>
          <w:sz w:val="24"/>
        </w:rPr>
        <w:t>等。</w:t>
      </w:r>
    </w:p>
    <w:p w14:paraId="23D70737" w14:textId="77777777" w:rsidR="006D73E5" w:rsidRDefault="00000000">
      <w:pPr>
        <w:spacing w:line="360" w:lineRule="auto"/>
        <w:ind w:firstLineChars="200" w:firstLine="480"/>
        <w:rPr>
          <w:sz w:val="24"/>
        </w:rPr>
      </w:pPr>
      <w:r>
        <w:rPr>
          <w:sz w:val="24"/>
        </w:rPr>
        <w:t>在生产上，发酵豆粕和肉骨粉常用于代替部分鱼粉，二者替代鱼粉的效果是否存在差异</w:t>
      </w:r>
      <w:r>
        <w:rPr>
          <w:sz w:val="24"/>
        </w:rPr>
        <w:t>?</w:t>
      </w:r>
      <w:r>
        <w:rPr>
          <w:sz w:val="24"/>
        </w:rPr>
        <w:t>二者混合添加，是否具有协同效应</w:t>
      </w:r>
      <w:r>
        <w:rPr>
          <w:sz w:val="24"/>
        </w:rPr>
        <w:t>?</w:t>
      </w:r>
      <w:r>
        <w:rPr>
          <w:sz w:val="24"/>
        </w:rPr>
        <w:t>故本实验以发酵豆粕、肉骨粉以及发酵豆粕</w:t>
      </w:r>
      <w:r>
        <w:rPr>
          <w:sz w:val="24"/>
        </w:rPr>
        <w:t>-</w:t>
      </w:r>
      <w:r>
        <w:rPr>
          <w:sz w:val="24"/>
        </w:rPr>
        <w:t>肉骨粉混合物在替代同等比例鱼粉条件下，比较对大口黑鲈生长性能、血清生化指标和肠道组织结构的影响，为大口黑鲈饲料中蛋白源的开发和低鱼粉饲料的配制提供依据。</w:t>
      </w:r>
    </w:p>
    <w:p w14:paraId="0B3C9AE1" w14:textId="77777777" w:rsidR="006D73E5" w:rsidRDefault="00000000">
      <w:pPr>
        <w:spacing w:line="360" w:lineRule="auto"/>
        <w:rPr>
          <w:sz w:val="24"/>
        </w:rPr>
      </w:pPr>
      <w:r>
        <w:rPr>
          <w:sz w:val="24"/>
        </w:rPr>
        <w:t xml:space="preserve">1  </w:t>
      </w:r>
      <w:r>
        <w:rPr>
          <w:sz w:val="24"/>
        </w:rPr>
        <w:t>材料与方法</w:t>
      </w:r>
    </w:p>
    <w:p w14:paraId="2F0E71AC" w14:textId="77777777" w:rsidR="006D73E5" w:rsidRDefault="00000000">
      <w:pPr>
        <w:spacing w:line="360" w:lineRule="auto"/>
        <w:rPr>
          <w:sz w:val="24"/>
        </w:rPr>
      </w:pPr>
      <w:r>
        <w:rPr>
          <w:sz w:val="24"/>
        </w:rPr>
        <w:t xml:space="preserve">1.1  </w:t>
      </w:r>
      <w:r>
        <w:rPr>
          <w:sz w:val="24"/>
        </w:rPr>
        <w:t>实验设计与实验饲料</w:t>
      </w:r>
    </w:p>
    <w:p w14:paraId="582B9558" w14:textId="77777777" w:rsidR="006D73E5" w:rsidRDefault="00000000">
      <w:pPr>
        <w:spacing w:line="360" w:lineRule="auto"/>
        <w:ind w:firstLineChars="200" w:firstLine="480"/>
        <w:rPr>
          <w:sz w:val="24"/>
        </w:rPr>
      </w:pPr>
      <w:r>
        <w:rPr>
          <w:sz w:val="24"/>
        </w:rPr>
        <w:t>根据大口黑鲈的营养需求，配制鱼粉含量为</w:t>
      </w:r>
      <w:r>
        <w:rPr>
          <w:sz w:val="24"/>
        </w:rPr>
        <w:t xml:space="preserve"> 350 g/kg </w:t>
      </w:r>
      <w:r>
        <w:rPr>
          <w:sz w:val="24"/>
        </w:rPr>
        <w:t>的基础饲料</w:t>
      </w:r>
      <w:r>
        <w:rPr>
          <w:rFonts w:hint="eastAsia"/>
          <w:sz w:val="24"/>
        </w:rPr>
        <w:t>(</w:t>
      </w:r>
      <w:r>
        <w:rPr>
          <w:sz w:val="24"/>
        </w:rPr>
        <w:t>对照组</w:t>
      </w:r>
      <w:r>
        <w:rPr>
          <w:sz w:val="24"/>
        </w:rPr>
        <w:t>, FM</w:t>
      </w:r>
      <w:r>
        <w:rPr>
          <w:rFonts w:hint="eastAsia"/>
          <w:sz w:val="24"/>
        </w:rPr>
        <w:t>)</w:t>
      </w:r>
      <w:r>
        <w:rPr>
          <w:sz w:val="24"/>
        </w:rPr>
        <w:t>。用发酵豆粕</w:t>
      </w:r>
      <w:r>
        <w:rPr>
          <w:rFonts w:hint="eastAsia"/>
          <w:sz w:val="24"/>
        </w:rPr>
        <w:t>(</w:t>
      </w:r>
      <w:r>
        <w:rPr>
          <w:sz w:val="24"/>
        </w:rPr>
        <w:t>FSM</w:t>
      </w:r>
      <w:r>
        <w:rPr>
          <w:rFonts w:hint="eastAsia"/>
          <w:sz w:val="24"/>
        </w:rPr>
        <w:t>)</w:t>
      </w:r>
      <w:r>
        <w:rPr>
          <w:sz w:val="24"/>
        </w:rPr>
        <w:t>、肉骨粉</w:t>
      </w:r>
      <w:r>
        <w:rPr>
          <w:rFonts w:hint="eastAsia"/>
          <w:sz w:val="24"/>
        </w:rPr>
        <w:t>(</w:t>
      </w:r>
      <w:r>
        <w:rPr>
          <w:sz w:val="24"/>
        </w:rPr>
        <w:t>MBM</w:t>
      </w:r>
      <w:r>
        <w:rPr>
          <w:rFonts w:hint="eastAsia"/>
          <w:sz w:val="24"/>
        </w:rPr>
        <w:t>)</w:t>
      </w:r>
      <w:r>
        <w:rPr>
          <w:sz w:val="24"/>
        </w:rPr>
        <w:t>和发酵豆粕</w:t>
      </w:r>
      <w:r>
        <w:rPr>
          <w:sz w:val="24"/>
        </w:rPr>
        <w:t>+</w:t>
      </w:r>
      <w:r>
        <w:rPr>
          <w:sz w:val="24"/>
        </w:rPr>
        <w:t>肉骨粉</w:t>
      </w:r>
      <w:r>
        <w:rPr>
          <w:rFonts w:hint="eastAsia"/>
          <w:sz w:val="24"/>
        </w:rPr>
        <w:t>(</w:t>
      </w:r>
      <w:r>
        <w:rPr>
          <w:sz w:val="24"/>
        </w:rPr>
        <w:t>FSM+MBM</w:t>
      </w:r>
      <w:r>
        <w:rPr>
          <w:rFonts w:hint="eastAsia"/>
          <w:sz w:val="24"/>
        </w:rPr>
        <w:t>)</w:t>
      </w:r>
      <w:r>
        <w:rPr>
          <w:sz w:val="24"/>
        </w:rPr>
        <w:t>混合物</w:t>
      </w:r>
      <w:r>
        <w:rPr>
          <w:rFonts w:hint="eastAsia"/>
          <w:sz w:val="24"/>
        </w:rPr>
        <w:t>(</w:t>
      </w:r>
      <w:r>
        <w:rPr>
          <w:sz w:val="24"/>
        </w:rPr>
        <w:t>1</w:t>
      </w:r>
      <w:r>
        <w:rPr>
          <w:rFonts w:ascii="宋体" w:hAnsi="宋体" w:cs="宋体" w:hint="eastAsia"/>
          <w:sz w:val="24"/>
        </w:rPr>
        <w:t>∶</w:t>
      </w:r>
      <w:r>
        <w:rPr>
          <w:sz w:val="24"/>
        </w:rPr>
        <w:t>1</w:t>
      </w:r>
      <w:r>
        <w:rPr>
          <w:rFonts w:hint="eastAsia"/>
          <w:sz w:val="24"/>
        </w:rPr>
        <w:t>)</w:t>
      </w:r>
      <w:r>
        <w:rPr>
          <w:sz w:val="24"/>
        </w:rPr>
        <w:t>等蛋白替代对照组饲料中</w:t>
      </w:r>
      <w:r>
        <w:rPr>
          <w:sz w:val="24"/>
        </w:rPr>
        <w:t xml:space="preserve"> 150 g/kg </w:t>
      </w:r>
      <w:r>
        <w:rPr>
          <w:sz w:val="24"/>
        </w:rPr>
        <w:t>的鱼粉，使其鱼粉含量均降为</w:t>
      </w:r>
      <w:r>
        <w:rPr>
          <w:sz w:val="24"/>
        </w:rPr>
        <w:t xml:space="preserve"> 200 g/kg</w:t>
      </w:r>
      <w:r>
        <w:rPr>
          <w:sz w:val="24"/>
        </w:rPr>
        <w:t>，共配置</w:t>
      </w:r>
      <w:r>
        <w:rPr>
          <w:sz w:val="24"/>
        </w:rPr>
        <w:t xml:space="preserve"> 4 </w:t>
      </w:r>
      <w:r>
        <w:rPr>
          <w:sz w:val="24"/>
        </w:rPr>
        <w:t>种等氮等脂的饲料。各组饲料中加入</w:t>
      </w:r>
      <w:r>
        <w:rPr>
          <w:sz w:val="24"/>
        </w:rPr>
        <w:t xml:space="preserve"> 0.05%</w:t>
      </w:r>
      <w:r>
        <w:rPr>
          <w:sz w:val="24"/>
        </w:rPr>
        <w:t>氧化钇作为指示剂，用于消化率的测定。</w:t>
      </w:r>
    </w:p>
    <w:p w14:paraId="1B0D4436" w14:textId="77777777" w:rsidR="006D73E5" w:rsidRDefault="00000000">
      <w:pPr>
        <w:spacing w:line="360" w:lineRule="auto"/>
        <w:ind w:firstLineChars="200" w:firstLine="480"/>
        <w:rPr>
          <w:sz w:val="24"/>
        </w:rPr>
      </w:pPr>
      <w:r>
        <w:rPr>
          <w:sz w:val="24"/>
        </w:rPr>
        <w:t>发酵豆粕由益海嘉里</w:t>
      </w:r>
      <w:r>
        <w:rPr>
          <w:rFonts w:hint="eastAsia"/>
          <w:sz w:val="24"/>
        </w:rPr>
        <w:t>(</w:t>
      </w:r>
      <w:r>
        <w:rPr>
          <w:sz w:val="24"/>
        </w:rPr>
        <w:t>防城港</w:t>
      </w:r>
      <w:r>
        <w:rPr>
          <w:rFonts w:hint="eastAsia"/>
          <w:sz w:val="24"/>
        </w:rPr>
        <w:t>)</w:t>
      </w:r>
      <w:r>
        <w:rPr>
          <w:sz w:val="24"/>
        </w:rPr>
        <w:t>生物科技有限公司提供，以乳酸菌固体发酵</w:t>
      </w:r>
      <w:r>
        <w:rPr>
          <w:sz w:val="24"/>
        </w:rPr>
        <w:t xml:space="preserve"> 72 h</w:t>
      </w:r>
      <w:r>
        <w:rPr>
          <w:sz w:val="24"/>
        </w:rPr>
        <w:t>制得，水分含量为</w:t>
      </w:r>
      <w:r>
        <w:rPr>
          <w:sz w:val="24"/>
        </w:rPr>
        <w:t xml:space="preserve"> 95.0 g/kg</w:t>
      </w:r>
      <w:r>
        <w:rPr>
          <w:sz w:val="24"/>
        </w:rPr>
        <w:t>、粗蛋白</w:t>
      </w:r>
      <w:r>
        <w:rPr>
          <w:sz w:val="24"/>
        </w:rPr>
        <w:t>500.0 g/kg</w:t>
      </w:r>
      <w:r>
        <w:rPr>
          <w:sz w:val="24"/>
        </w:rPr>
        <w:t>、粗脂肪</w:t>
      </w:r>
      <w:r>
        <w:rPr>
          <w:sz w:val="24"/>
        </w:rPr>
        <w:t xml:space="preserve"> 10.0 g/kg</w:t>
      </w:r>
      <w:r>
        <w:rPr>
          <w:sz w:val="24"/>
        </w:rPr>
        <w:t>、粗纤维</w:t>
      </w:r>
      <w:r>
        <w:rPr>
          <w:sz w:val="24"/>
        </w:rPr>
        <w:t xml:space="preserve"> 32.4 g/kg</w:t>
      </w:r>
      <w:r>
        <w:rPr>
          <w:sz w:val="24"/>
        </w:rPr>
        <w:t>、粗灰分</w:t>
      </w:r>
      <w:r>
        <w:rPr>
          <w:sz w:val="24"/>
        </w:rPr>
        <w:t xml:space="preserve"> 69.0 g/kg</w:t>
      </w:r>
      <w:r>
        <w:rPr>
          <w:sz w:val="24"/>
        </w:rPr>
        <w:t>、小肽含量</w:t>
      </w:r>
      <w:r>
        <w:rPr>
          <w:sz w:val="24"/>
        </w:rPr>
        <w:t>≥80 g/kg</w:t>
      </w:r>
      <w:r>
        <w:rPr>
          <w:sz w:val="24"/>
        </w:rPr>
        <w:t>、有机酸含量</w:t>
      </w:r>
      <w:r>
        <w:rPr>
          <w:sz w:val="24"/>
        </w:rPr>
        <w:t>≥35 g/kg</w:t>
      </w:r>
      <w:r>
        <w:rPr>
          <w:sz w:val="24"/>
        </w:rPr>
        <w:t>。肉骨粉为澳大利亚进口原料，由山东东阳饲料原料厂提供，以牛肉、牛骨等作为原料制成，粗蛋白质量</w:t>
      </w:r>
      <w:r>
        <w:rPr>
          <w:sz w:val="24"/>
        </w:rPr>
        <w:t>450.0 g/kg</w:t>
      </w:r>
      <w:r>
        <w:rPr>
          <w:sz w:val="24"/>
        </w:rPr>
        <w:t>、粗脂肪含量</w:t>
      </w:r>
      <w:r>
        <w:rPr>
          <w:sz w:val="24"/>
        </w:rPr>
        <w:t xml:space="preserve"> 85.0 g/kg</w:t>
      </w:r>
      <w:r>
        <w:rPr>
          <w:sz w:val="24"/>
        </w:rPr>
        <w:t>、粗灰分含量</w:t>
      </w:r>
      <w:r>
        <w:rPr>
          <w:sz w:val="24"/>
        </w:rPr>
        <w:t>317.0 g/kg</w:t>
      </w:r>
      <w:r>
        <w:rPr>
          <w:sz w:val="24"/>
        </w:rPr>
        <w:t>。</w:t>
      </w:r>
    </w:p>
    <w:p w14:paraId="66FE8D07" w14:textId="77777777" w:rsidR="006D73E5" w:rsidRDefault="00000000">
      <w:pPr>
        <w:spacing w:line="360" w:lineRule="auto"/>
        <w:ind w:firstLineChars="200" w:firstLine="480"/>
        <w:rPr>
          <w:sz w:val="24"/>
        </w:rPr>
      </w:pPr>
      <w:r>
        <w:rPr>
          <w:sz w:val="24"/>
        </w:rPr>
        <w:lastRenderedPageBreak/>
        <w:t>原料粉碎后过</w:t>
      </w:r>
      <w:r>
        <w:rPr>
          <w:sz w:val="24"/>
        </w:rPr>
        <w:t>60</w:t>
      </w:r>
      <w:r>
        <w:rPr>
          <w:sz w:val="24"/>
        </w:rPr>
        <w:t>目筛网，按饲料配方称重，逐级混匀，加入适量的水，充分混匀。采用单螺杆挤压机</w:t>
      </w:r>
      <w:r>
        <w:rPr>
          <w:rFonts w:hint="eastAsia"/>
          <w:sz w:val="24"/>
        </w:rPr>
        <w:t>(</w:t>
      </w:r>
      <w:r>
        <w:rPr>
          <w:sz w:val="24"/>
        </w:rPr>
        <w:t>SLP-45</w:t>
      </w:r>
      <w:r>
        <w:rPr>
          <w:sz w:val="24"/>
        </w:rPr>
        <w:t>，中国水产科学研究院渔业机械仪器研究所</w:t>
      </w:r>
      <w:r>
        <w:rPr>
          <w:rFonts w:hint="eastAsia"/>
          <w:sz w:val="24"/>
        </w:rPr>
        <w:t>)</w:t>
      </w:r>
      <w:r>
        <w:rPr>
          <w:sz w:val="24"/>
        </w:rPr>
        <w:t>制成直径为</w:t>
      </w:r>
      <w:r>
        <w:rPr>
          <w:sz w:val="24"/>
        </w:rPr>
        <w:t xml:space="preserve"> 2 mm </w:t>
      </w:r>
      <w:r>
        <w:rPr>
          <w:sz w:val="24"/>
        </w:rPr>
        <w:t>的沉性颗粒饲料</w:t>
      </w:r>
      <w:r>
        <w:rPr>
          <w:sz w:val="24"/>
        </w:rPr>
        <w:t>[</w:t>
      </w:r>
      <w:r>
        <w:rPr>
          <w:sz w:val="24"/>
        </w:rPr>
        <w:t>制粒温度</w:t>
      </w:r>
      <w:r>
        <w:rPr>
          <w:sz w:val="24"/>
        </w:rPr>
        <w:t>(90±5)℃)</w:t>
      </w:r>
      <w:r>
        <w:rPr>
          <w:sz w:val="24"/>
        </w:rPr>
        <w:t>，自然风干备用。饲料配方组成和常规营养成分见表</w:t>
      </w:r>
      <w:r>
        <w:rPr>
          <w:sz w:val="24"/>
        </w:rPr>
        <w:t xml:space="preserve"> 1</w:t>
      </w:r>
      <w:r>
        <w:rPr>
          <w:sz w:val="24"/>
        </w:rPr>
        <w:t>。</w:t>
      </w:r>
    </w:p>
    <w:p w14:paraId="4E753556" w14:textId="77777777" w:rsidR="006D73E5" w:rsidRDefault="006D73E5">
      <w:pPr>
        <w:spacing w:line="360" w:lineRule="auto"/>
        <w:ind w:firstLineChars="200" w:firstLine="480"/>
        <w:rPr>
          <w:sz w:val="24"/>
        </w:rPr>
      </w:pPr>
    </w:p>
    <w:p w14:paraId="018BFE63" w14:textId="77777777" w:rsidR="006D73E5" w:rsidRDefault="00000000">
      <w:pPr>
        <w:spacing w:line="360" w:lineRule="auto"/>
        <w:ind w:firstLineChars="200" w:firstLine="480"/>
        <w:jc w:val="center"/>
        <w:rPr>
          <w:sz w:val="24"/>
        </w:rPr>
      </w:pPr>
      <w:r>
        <w:rPr>
          <w:noProof/>
          <w:sz w:val="24"/>
        </w:rPr>
        <w:drawing>
          <wp:inline distT="0" distB="0" distL="0" distR="0" wp14:anchorId="7C892A74" wp14:editId="352E9668">
            <wp:extent cx="4321810" cy="4477385"/>
            <wp:effectExtent l="0" t="0" r="254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4354783" cy="4511590"/>
                    </a:xfrm>
                    <a:prstGeom prst="rect">
                      <a:avLst/>
                    </a:prstGeom>
                    <a:noFill/>
                    <a:ln>
                      <a:noFill/>
                    </a:ln>
                  </pic:spPr>
                </pic:pic>
              </a:graphicData>
            </a:graphic>
          </wp:inline>
        </w:drawing>
      </w:r>
    </w:p>
    <w:p w14:paraId="72AABCC8" w14:textId="77777777" w:rsidR="006D73E5" w:rsidRDefault="00000000">
      <w:pPr>
        <w:spacing w:line="360" w:lineRule="auto"/>
        <w:rPr>
          <w:sz w:val="24"/>
        </w:rPr>
      </w:pPr>
      <w:r>
        <w:rPr>
          <w:sz w:val="24"/>
        </w:rPr>
        <w:t xml:space="preserve">1.2  </w:t>
      </w:r>
      <w:r>
        <w:rPr>
          <w:sz w:val="24"/>
        </w:rPr>
        <w:t>实验鱼及饲养管理</w:t>
      </w:r>
    </w:p>
    <w:p w14:paraId="1B1933EE" w14:textId="77777777" w:rsidR="006D73E5" w:rsidRDefault="00000000">
      <w:pPr>
        <w:spacing w:line="360" w:lineRule="auto"/>
        <w:ind w:firstLineChars="200" w:firstLine="480"/>
        <w:rPr>
          <w:sz w:val="24"/>
        </w:rPr>
      </w:pPr>
      <w:r>
        <w:rPr>
          <w:sz w:val="24"/>
        </w:rPr>
        <w:t>实验用大口黑鲈采购自浙江湖州，以商品饲料暂养驯化</w:t>
      </w:r>
      <w:r>
        <w:rPr>
          <w:sz w:val="24"/>
        </w:rPr>
        <w:t xml:space="preserve"> 4 </w:t>
      </w:r>
      <w:r>
        <w:rPr>
          <w:sz w:val="24"/>
        </w:rPr>
        <w:t>周后，挑选</w:t>
      </w:r>
      <w:r>
        <w:rPr>
          <w:sz w:val="24"/>
        </w:rPr>
        <w:t xml:space="preserve"> 300 </w:t>
      </w:r>
      <w:r>
        <w:rPr>
          <w:sz w:val="24"/>
        </w:rPr>
        <w:t>尾体质量为</w:t>
      </w:r>
      <w:r>
        <w:rPr>
          <w:rFonts w:hint="eastAsia"/>
          <w:sz w:val="24"/>
        </w:rPr>
        <w:t>(</w:t>
      </w:r>
      <w:r>
        <w:rPr>
          <w:sz w:val="24"/>
        </w:rPr>
        <w:t>21.2±0.1</w:t>
      </w:r>
      <w:r>
        <w:rPr>
          <w:rFonts w:hint="eastAsia"/>
          <w:sz w:val="24"/>
        </w:rPr>
        <w:t>)</w:t>
      </w:r>
      <w:r>
        <w:rPr>
          <w:sz w:val="24"/>
        </w:rPr>
        <w:t xml:space="preserve">g </w:t>
      </w:r>
      <w:r>
        <w:rPr>
          <w:sz w:val="24"/>
        </w:rPr>
        <w:t>的健康个体进行养殖实验。实验共设置</w:t>
      </w:r>
      <w:r>
        <w:rPr>
          <w:sz w:val="24"/>
        </w:rPr>
        <w:t xml:space="preserve"> 4 </w:t>
      </w:r>
      <w:r>
        <w:rPr>
          <w:sz w:val="24"/>
        </w:rPr>
        <w:t>个处理组，每处理组</w:t>
      </w:r>
      <w:r>
        <w:rPr>
          <w:sz w:val="24"/>
        </w:rPr>
        <w:t xml:space="preserve"> 3 </w:t>
      </w:r>
      <w:r>
        <w:rPr>
          <w:sz w:val="24"/>
        </w:rPr>
        <w:t>个重复</w:t>
      </w:r>
      <w:r>
        <w:rPr>
          <w:rFonts w:hint="eastAsia"/>
          <w:sz w:val="24"/>
        </w:rPr>
        <w:t>(</w:t>
      </w:r>
      <w:r>
        <w:rPr>
          <w:sz w:val="24"/>
        </w:rPr>
        <w:t>养殖桶直径</w:t>
      </w:r>
      <w:r>
        <w:rPr>
          <w:sz w:val="24"/>
        </w:rPr>
        <w:t xml:space="preserve"> 1.0 m</w:t>
      </w:r>
      <w:r>
        <w:rPr>
          <w:sz w:val="24"/>
        </w:rPr>
        <w:t>，高</w:t>
      </w:r>
      <w:r>
        <w:rPr>
          <w:sz w:val="24"/>
        </w:rPr>
        <w:t xml:space="preserve"> 1.0 m</w:t>
      </w:r>
      <w:r>
        <w:rPr>
          <w:sz w:val="24"/>
        </w:rPr>
        <w:t>，水体积</w:t>
      </w:r>
      <w:r>
        <w:rPr>
          <w:sz w:val="24"/>
        </w:rPr>
        <w:t xml:space="preserve"> 550 L</w:t>
      </w:r>
      <w:r>
        <w:rPr>
          <w:rFonts w:hint="eastAsia"/>
          <w:sz w:val="24"/>
        </w:rPr>
        <w:t>)</w:t>
      </w:r>
      <w:r>
        <w:rPr>
          <w:sz w:val="24"/>
        </w:rPr>
        <w:t>，每重复随机放</w:t>
      </w:r>
      <w:r>
        <w:rPr>
          <w:sz w:val="24"/>
        </w:rPr>
        <w:t xml:space="preserve"> 25 </w:t>
      </w:r>
      <w:r>
        <w:rPr>
          <w:sz w:val="24"/>
        </w:rPr>
        <w:t>尾鱼。养殖用水为循环水，每桶流量为</w:t>
      </w:r>
      <w:r>
        <w:rPr>
          <w:sz w:val="24"/>
        </w:rPr>
        <w:t>10 L/min</w:t>
      </w:r>
      <w:r>
        <w:rPr>
          <w:sz w:val="24"/>
        </w:rPr>
        <w:t>。水源为曝气处理后溶氧充足的自来水，水质参数：水温</w:t>
      </w:r>
      <w:r>
        <w:rPr>
          <w:sz w:val="24"/>
        </w:rPr>
        <w:t xml:space="preserve"> 26~30 ℃</w:t>
      </w:r>
      <w:r>
        <w:rPr>
          <w:sz w:val="24"/>
        </w:rPr>
        <w:t>，溶氧</w:t>
      </w:r>
      <w:r>
        <w:rPr>
          <w:sz w:val="24"/>
        </w:rPr>
        <w:t>≥5.0 mg/L</w:t>
      </w:r>
      <w:r>
        <w:rPr>
          <w:sz w:val="24"/>
        </w:rPr>
        <w:t>，</w:t>
      </w:r>
      <w:r>
        <w:rPr>
          <w:sz w:val="24"/>
        </w:rPr>
        <w:t>pH 6.8~7.5</w:t>
      </w:r>
      <w:r>
        <w:rPr>
          <w:sz w:val="24"/>
        </w:rPr>
        <w:t>，氨氮含量</w:t>
      </w:r>
      <w:r>
        <w:rPr>
          <w:sz w:val="24"/>
        </w:rPr>
        <w:t>≤0.1 mg/L</w:t>
      </w:r>
      <w:r>
        <w:rPr>
          <w:sz w:val="24"/>
        </w:rPr>
        <w:t>，亚硝酸盐含量</w:t>
      </w:r>
      <w:r>
        <w:rPr>
          <w:sz w:val="24"/>
        </w:rPr>
        <w:t>≤0.1 mg/L</w:t>
      </w:r>
      <w:r>
        <w:rPr>
          <w:sz w:val="24"/>
        </w:rPr>
        <w:t>。养殖期间，采用近饱食投喂方式喂食，每天</w:t>
      </w:r>
      <w:r>
        <w:rPr>
          <w:sz w:val="24"/>
        </w:rPr>
        <w:t xml:space="preserve"> 2 </w:t>
      </w:r>
      <w:r>
        <w:rPr>
          <w:sz w:val="24"/>
        </w:rPr>
        <w:t>次</w:t>
      </w:r>
      <w:r>
        <w:rPr>
          <w:rFonts w:hint="eastAsia"/>
          <w:sz w:val="24"/>
        </w:rPr>
        <w:t>(</w:t>
      </w:r>
      <w:r>
        <w:rPr>
          <w:sz w:val="24"/>
        </w:rPr>
        <w:t>08:00</w:t>
      </w:r>
      <w:r>
        <w:rPr>
          <w:sz w:val="24"/>
        </w:rPr>
        <w:t>、</w:t>
      </w:r>
      <w:r>
        <w:rPr>
          <w:sz w:val="24"/>
        </w:rPr>
        <w:t>16:00</w:t>
      </w:r>
      <w:r>
        <w:rPr>
          <w:rFonts w:hint="eastAsia"/>
          <w:sz w:val="24"/>
        </w:rPr>
        <w:t>)</w:t>
      </w:r>
      <w:r>
        <w:rPr>
          <w:sz w:val="24"/>
        </w:rPr>
        <w:t>，日投饲率为</w:t>
      </w:r>
      <w:r>
        <w:rPr>
          <w:sz w:val="24"/>
        </w:rPr>
        <w:t xml:space="preserve"> 2.0%~4.0%</w:t>
      </w:r>
      <w:r>
        <w:rPr>
          <w:sz w:val="24"/>
        </w:rPr>
        <w:t>，并根据温度和天气情况进行调整，各桶投饲量保持基本一致。每天夜间采用虹吸方式吸走桶底粪便，每周换水</w:t>
      </w:r>
      <w:r>
        <w:rPr>
          <w:sz w:val="24"/>
        </w:rPr>
        <w:t xml:space="preserve"> 1 </w:t>
      </w:r>
      <w:r>
        <w:rPr>
          <w:sz w:val="24"/>
        </w:rPr>
        <w:t>次，换水量为循环系统的三分之一。养殖实验于上海海洋大学滨海基地进行，共</w:t>
      </w:r>
      <w:r>
        <w:rPr>
          <w:sz w:val="24"/>
        </w:rPr>
        <w:t xml:space="preserve"> 56 d</w:t>
      </w:r>
      <w:r>
        <w:rPr>
          <w:sz w:val="24"/>
        </w:rPr>
        <w:t>。</w:t>
      </w:r>
    </w:p>
    <w:p w14:paraId="30E9E670" w14:textId="77777777" w:rsidR="006D73E5" w:rsidRDefault="00000000">
      <w:pPr>
        <w:spacing w:line="360" w:lineRule="auto"/>
        <w:rPr>
          <w:sz w:val="24"/>
        </w:rPr>
      </w:pPr>
      <w:r>
        <w:rPr>
          <w:sz w:val="24"/>
        </w:rPr>
        <w:lastRenderedPageBreak/>
        <w:t xml:space="preserve">1.3  </w:t>
      </w:r>
      <w:r>
        <w:rPr>
          <w:sz w:val="24"/>
        </w:rPr>
        <w:t>样品采集</w:t>
      </w:r>
    </w:p>
    <w:p w14:paraId="183A1A47" w14:textId="77777777" w:rsidR="006D73E5" w:rsidRDefault="00000000">
      <w:pPr>
        <w:spacing w:line="360" w:lineRule="auto"/>
        <w:ind w:firstLineChars="200" w:firstLine="480"/>
        <w:rPr>
          <w:sz w:val="24"/>
        </w:rPr>
      </w:pPr>
      <w:r>
        <w:rPr>
          <w:sz w:val="24"/>
        </w:rPr>
        <w:t>养殖实验开始时，取</w:t>
      </w:r>
      <w:r>
        <w:rPr>
          <w:sz w:val="24"/>
        </w:rPr>
        <w:t xml:space="preserve"> 10 </w:t>
      </w:r>
      <w:r>
        <w:rPr>
          <w:sz w:val="24"/>
        </w:rPr>
        <w:t>尾大口黑鲈作为初始全鱼样本。养殖实验结束后，鱼体饥饿</w:t>
      </w:r>
      <w:r>
        <w:rPr>
          <w:sz w:val="24"/>
        </w:rPr>
        <w:t xml:space="preserve"> 24 h</w:t>
      </w:r>
      <w:r>
        <w:rPr>
          <w:sz w:val="24"/>
        </w:rPr>
        <w:t>，记录</w:t>
      </w:r>
      <w:r>
        <w:rPr>
          <w:sz w:val="24"/>
        </w:rPr>
        <w:t xml:space="preserve"> </w:t>
      </w:r>
      <w:r>
        <w:rPr>
          <w:sz w:val="24"/>
        </w:rPr>
        <w:t>每桶鱼的尾数和总质量，并统计采食量，计算存活率</w:t>
      </w:r>
      <w:r>
        <w:rPr>
          <w:rFonts w:hint="eastAsia"/>
          <w:sz w:val="24"/>
        </w:rPr>
        <w:t>(</w:t>
      </w:r>
      <w:r>
        <w:rPr>
          <w:sz w:val="24"/>
        </w:rPr>
        <w:t>SR</w:t>
      </w:r>
      <w:r>
        <w:rPr>
          <w:rFonts w:hint="eastAsia"/>
          <w:sz w:val="24"/>
        </w:rPr>
        <w:t>)</w:t>
      </w:r>
      <w:r>
        <w:rPr>
          <w:sz w:val="24"/>
        </w:rPr>
        <w:t>、增重率</w:t>
      </w:r>
      <w:r>
        <w:rPr>
          <w:rFonts w:hint="eastAsia"/>
          <w:sz w:val="24"/>
        </w:rPr>
        <w:t>(</w:t>
      </w:r>
      <w:r>
        <w:rPr>
          <w:sz w:val="24"/>
        </w:rPr>
        <w:t>WG</w:t>
      </w:r>
      <w:r>
        <w:rPr>
          <w:rFonts w:hint="eastAsia"/>
          <w:sz w:val="24"/>
        </w:rPr>
        <w:t>)</w:t>
      </w:r>
      <w:r>
        <w:rPr>
          <w:sz w:val="24"/>
        </w:rPr>
        <w:t>、平均日采食量</w:t>
      </w:r>
      <w:r>
        <w:rPr>
          <w:rFonts w:hint="eastAsia"/>
          <w:sz w:val="24"/>
        </w:rPr>
        <w:t>(</w:t>
      </w:r>
      <w:r>
        <w:rPr>
          <w:sz w:val="24"/>
        </w:rPr>
        <w:t>ADFI</w:t>
      </w:r>
      <w:r>
        <w:rPr>
          <w:rFonts w:hint="eastAsia"/>
          <w:sz w:val="24"/>
        </w:rPr>
        <w:t>)</w:t>
      </w:r>
      <w:r>
        <w:rPr>
          <w:sz w:val="24"/>
        </w:rPr>
        <w:t>和饲料系数</w:t>
      </w:r>
      <w:r>
        <w:rPr>
          <w:rFonts w:hint="eastAsia"/>
          <w:sz w:val="24"/>
        </w:rPr>
        <w:t>(</w:t>
      </w:r>
      <w:r>
        <w:rPr>
          <w:sz w:val="24"/>
        </w:rPr>
        <w:t>FCR</w:t>
      </w:r>
      <w:r>
        <w:rPr>
          <w:rFonts w:hint="eastAsia"/>
          <w:sz w:val="24"/>
        </w:rPr>
        <w:t>)</w:t>
      </w:r>
      <w:r>
        <w:rPr>
          <w:sz w:val="24"/>
        </w:rPr>
        <w:t>。各桶随机取</w:t>
      </w:r>
      <w:r>
        <w:rPr>
          <w:sz w:val="24"/>
        </w:rPr>
        <w:t xml:space="preserve"> 3 </w:t>
      </w:r>
      <w:r>
        <w:rPr>
          <w:sz w:val="24"/>
        </w:rPr>
        <w:t>尾鱼，用于全鱼常规营养成分分析。另每桶随机取</w:t>
      </w:r>
      <w:r>
        <w:rPr>
          <w:sz w:val="24"/>
        </w:rPr>
        <w:t xml:space="preserve"> 6 </w:t>
      </w:r>
      <w:r>
        <w:rPr>
          <w:sz w:val="24"/>
        </w:rPr>
        <w:t>尾麻醉后的大口黑鲈测量体长、体质量，计算肥满度</w:t>
      </w:r>
      <w:r>
        <w:rPr>
          <w:rFonts w:hint="eastAsia"/>
          <w:sz w:val="24"/>
        </w:rPr>
        <w:t>(</w:t>
      </w:r>
      <w:r>
        <w:rPr>
          <w:sz w:val="24"/>
        </w:rPr>
        <w:t>CF</w:t>
      </w:r>
      <w:r>
        <w:rPr>
          <w:rFonts w:hint="eastAsia"/>
          <w:sz w:val="24"/>
        </w:rPr>
        <w:t>)</w:t>
      </w:r>
      <w:r>
        <w:rPr>
          <w:sz w:val="24"/>
        </w:rPr>
        <w:t>。用注射器从尾静脉抽血，并立即离心</w:t>
      </w:r>
      <w:r>
        <w:rPr>
          <w:rFonts w:hint="eastAsia"/>
          <w:sz w:val="24"/>
        </w:rPr>
        <w:t>(</w:t>
      </w:r>
      <w:r>
        <w:rPr>
          <w:sz w:val="24"/>
        </w:rPr>
        <w:t>3 000 r/min</w:t>
      </w:r>
      <w:r>
        <w:rPr>
          <w:sz w:val="24"/>
        </w:rPr>
        <w:t>，</w:t>
      </w:r>
      <w:r>
        <w:rPr>
          <w:sz w:val="24"/>
        </w:rPr>
        <w:t>10 min</w:t>
      </w:r>
      <w:r>
        <w:rPr>
          <w:rFonts w:hint="eastAsia"/>
          <w:sz w:val="24"/>
        </w:rPr>
        <w:t>)</w:t>
      </w:r>
      <w:r>
        <w:rPr>
          <w:sz w:val="24"/>
        </w:rPr>
        <w:t>取上清液，保存于</w:t>
      </w:r>
      <w:r>
        <w:rPr>
          <w:sz w:val="24"/>
        </w:rPr>
        <w:t>-80 ℃</w:t>
      </w:r>
      <w:r>
        <w:rPr>
          <w:sz w:val="24"/>
        </w:rPr>
        <w:t>冰箱备用，用于检测血清生化指标。将采血后的大口黑</w:t>
      </w:r>
      <w:r>
        <w:rPr>
          <w:sz w:val="24"/>
        </w:rPr>
        <w:t xml:space="preserve"> </w:t>
      </w:r>
      <w:r>
        <w:rPr>
          <w:sz w:val="24"/>
        </w:rPr>
        <w:t>鲈置于冰盘上，取出内脏团，分离肝脏，称量内脏和肝脏质量，计算脏体比</w:t>
      </w:r>
      <w:r>
        <w:rPr>
          <w:rFonts w:hint="eastAsia"/>
          <w:sz w:val="24"/>
        </w:rPr>
        <w:t>(</w:t>
      </w:r>
      <w:r>
        <w:rPr>
          <w:sz w:val="24"/>
        </w:rPr>
        <w:t>VSI</w:t>
      </w:r>
      <w:r>
        <w:rPr>
          <w:rFonts w:hint="eastAsia"/>
          <w:sz w:val="24"/>
        </w:rPr>
        <w:t>)</w:t>
      </w:r>
      <w:r>
        <w:rPr>
          <w:sz w:val="24"/>
        </w:rPr>
        <w:t>和肝体比</w:t>
      </w:r>
      <w:r>
        <w:rPr>
          <w:rFonts w:hint="eastAsia"/>
          <w:sz w:val="24"/>
        </w:rPr>
        <w:t>(</w:t>
      </w:r>
      <w:r>
        <w:rPr>
          <w:sz w:val="24"/>
        </w:rPr>
        <w:t>HIS</w:t>
      </w:r>
      <w:r>
        <w:rPr>
          <w:rFonts w:hint="eastAsia"/>
          <w:sz w:val="24"/>
        </w:rPr>
        <w:t>)</w:t>
      </w:r>
      <w:r>
        <w:rPr>
          <w:sz w:val="24"/>
        </w:rPr>
        <w:t>；取前肠放入</w:t>
      </w:r>
      <w:r>
        <w:rPr>
          <w:sz w:val="24"/>
        </w:rPr>
        <w:t xml:space="preserve"> </w:t>
      </w:r>
      <w:proofErr w:type="spellStart"/>
      <w:r>
        <w:rPr>
          <w:sz w:val="24"/>
        </w:rPr>
        <w:t>Bouin</w:t>
      </w:r>
      <w:proofErr w:type="spellEnd"/>
      <w:r>
        <w:rPr>
          <w:sz w:val="24"/>
        </w:rPr>
        <w:t xml:space="preserve"> </w:t>
      </w:r>
      <w:r>
        <w:rPr>
          <w:sz w:val="24"/>
        </w:rPr>
        <w:t>式固定液中，用于制作肠道组织切片。粪便从养殖试验的第</w:t>
      </w:r>
      <w:r>
        <w:rPr>
          <w:sz w:val="24"/>
        </w:rPr>
        <w:t xml:space="preserve"> 4 </w:t>
      </w:r>
      <w:r>
        <w:rPr>
          <w:sz w:val="24"/>
        </w:rPr>
        <w:t>周开始收集。每次喂食后</w:t>
      </w:r>
      <w:r>
        <w:rPr>
          <w:sz w:val="24"/>
        </w:rPr>
        <w:t>1~2 h</w:t>
      </w:r>
      <w:r>
        <w:rPr>
          <w:sz w:val="24"/>
        </w:rPr>
        <w:t>，用虹吸方法收集粪便，取包膜完整的粪便于</w:t>
      </w:r>
      <w:r>
        <w:rPr>
          <w:sz w:val="24"/>
        </w:rPr>
        <w:t>-20 ℃</w:t>
      </w:r>
      <w:r>
        <w:rPr>
          <w:sz w:val="24"/>
        </w:rPr>
        <w:t>冰箱中保存待测。</w:t>
      </w:r>
    </w:p>
    <w:p w14:paraId="080EC321" w14:textId="77777777" w:rsidR="006D73E5" w:rsidRDefault="00000000">
      <w:pPr>
        <w:spacing w:line="360" w:lineRule="auto"/>
        <w:rPr>
          <w:sz w:val="24"/>
        </w:rPr>
      </w:pPr>
      <w:r>
        <w:rPr>
          <w:sz w:val="24"/>
        </w:rPr>
        <w:t xml:space="preserve">1.4  </w:t>
      </w:r>
      <w:r>
        <w:rPr>
          <w:sz w:val="24"/>
        </w:rPr>
        <w:t>测定指标与方法</w:t>
      </w:r>
    </w:p>
    <w:p w14:paraId="39607858" w14:textId="77777777" w:rsidR="006D73E5" w:rsidRDefault="00000000">
      <w:pPr>
        <w:spacing w:line="360" w:lineRule="auto"/>
        <w:ind w:firstLineChars="200" w:firstLine="480"/>
        <w:rPr>
          <w:sz w:val="24"/>
        </w:rPr>
      </w:pPr>
      <w:r>
        <w:rPr>
          <w:sz w:val="24"/>
        </w:rPr>
        <w:t>生长指标与形体指标</w:t>
      </w:r>
      <w:r>
        <w:rPr>
          <w:sz w:val="24"/>
        </w:rPr>
        <w:t xml:space="preserve"> </w:t>
      </w:r>
      <w:r>
        <w:rPr>
          <w:sz w:val="24"/>
        </w:rPr>
        <w:t>生长与形体相关指标计算公式：</w:t>
      </w:r>
    </w:p>
    <w:p w14:paraId="44F59A04" w14:textId="77777777" w:rsidR="006D73E5" w:rsidRDefault="00000000">
      <w:pPr>
        <w:spacing w:line="360" w:lineRule="auto"/>
        <w:ind w:firstLineChars="200" w:firstLine="480"/>
        <w:rPr>
          <w:sz w:val="24"/>
        </w:rPr>
      </w:pPr>
      <w:r>
        <w:rPr>
          <w:sz w:val="24"/>
        </w:rPr>
        <w:t>存活率</w:t>
      </w:r>
      <w:r>
        <w:rPr>
          <w:rFonts w:hint="eastAsia"/>
          <w:sz w:val="24"/>
        </w:rPr>
        <w:t>(</w:t>
      </w:r>
      <w:r>
        <w:rPr>
          <w:sz w:val="24"/>
        </w:rPr>
        <w:t>SR</w:t>
      </w:r>
      <w:r>
        <w:rPr>
          <w:sz w:val="24"/>
        </w:rPr>
        <w:t>，</w:t>
      </w:r>
      <w:r>
        <w:rPr>
          <w:sz w:val="24"/>
        </w:rPr>
        <w:t>%</w:t>
      </w:r>
      <w:r>
        <w:rPr>
          <w:rFonts w:hint="eastAsia"/>
          <w:sz w:val="24"/>
        </w:rPr>
        <w:t>)</w:t>
      </w:r>
      <w:r>
        <w:rPr>
          <w:sz w:val="24"/>
        </w:rPr>
        <w:t>=</w:t>
      </w:r>
      <w:r>
        <w:rPr>
          <w:sz w:val="24"/>
        </w:rPr>
        <w:t>末尾数</w:t>
      </w:r>
      <w:r>
        <w:rPr>
          <w:sz w:val="24"/>
        </w:rPr>
        <w:t>/</w:t>
      </w:r>
      <w:r>
        <w:rPr>
          <w:sz w:val="24"/>
        </w:rPr>
        <w:t>初尾数</w:t>
      </w:r>
      <w:r>
        <w:rPr>
          <w:sz w:val="24"/>
        </w:rPr>
        <w:t>×100%</w:t>
      </w:r>
      <w:r>
        <w:rPr>
          <w:sz w:val="24"/>
        </w:rPr>
        <w:t>；</w:t>
      </w:r>
    </w:p>
    <w:p w14:paraId="1D226153" w14:textId="77777777" w:rsidR="006D73E5" w:rsidRDefault="00000000">
      <w:pPr>
        <w:spacing w:line="360" w:lineRule="auto"/>
        <w:ind w:leftChars="200" w:left="420"/>
        <w:rPr>
          <w:sz w:val="24"/>
        </w:rPr>
      </w:pPr>
      <w:r>
        <w:rPr>
          <w:sz w:val="24"/>
        </w:rPr>
        <w:t>增重率</w:t>
      </w:r>
      <w:r>
        <w:rPr>
          <w:rFonts w:hint="eastAsia"/>
          <w:sz w:val="24"/>
        </w:rPr>
        <w:t>(</w:t>
      </w:r>
      <w:r>
        <w:rPr>
          <w:sz w:val="24"/>
        </w:rPr>
        <w:t>WG</w:t>
      </w:r>
      <w:r>
        <w:rPr>
          <w:sz w:val="24"/>
        </w:rPr>
        <w:t>，</w:t>
      </w:r>
      <w:r>
        <w:rPr>
          <w:sz w:val="24"/>
        </w:rPr>
        <w:t>%</w:t>
      </w:r>
      <w:r>
        <w:rPr>
          <w:rFonts w:hint="eastAsia"/>
          <w:sz w:val="24"/>
        </w:rPr>
        <w:t>)</w:t>
      </w:r>
      <w:r>
        <w:rPr>
          <w:sz w:val="24"/>
        </w:rPr>
        <w:t>=[</w:t>
      </w:r>
      <w:r>
        <w:rPr>
          <w:sz w:val="24"/>
        </w:rPr>
        <w:t>末均质量</w:t>
      </w:r>
      <w:r>
        <w:rPr>
          <w:rFonts w:hint="eastAsia"/>
          <w:sz w:val="24"/>
        </w:rPr>
        <w:t>(</w:t>
      </w:r>
      <w:r>
        <w:rPr>
          <w:sz w:val="24"/>
        </w:rPr>
        <w:t>g</w:t>
      </w:r>
      <w:r>
        <w:rPr>
          <w:rFonts w:hint="eastAsia"/>
          <w:sz w:val="24"/>
        </w:rPr>
        <w:t>)</w:t>
      </w:r>
      <w:r>
        <w:rPr>
          <w:sz w:val="24"/>
        </w:rPr>
        <w:t>-</w:t>
      </w:r>
      <w:r>
        <w:rPr>
          <w:sz w:val="24"/>
        </w:rPr>
        <w:t>初均质量</w:t>
      </w:r>
      <w:r>
        <w:rPr>
          <w:rFonts w:hint="eastAsia"/>
          <w:sz w:val="24"/>
        </w:rPr>
        <w:t>(</w:t>
      </w:r>
      <w:r>
        <w:rPr>
          <w:sz w:val="24"/>
        </w:rPr>
        <w:t>g</w:t>
      </w:r>
      <w:r>
        <w:rPr>
          <w:rFonts w:hint="eastAsia"/>
          <w:sz w:val="24"/>
        </w:rPr>
        <w:t>)</w:t>
      </w:r>
      <w:r>
        <w:rPr>
          <w:sz w:val="24"/>
        </w:rPr>
        <w:t xml:space="preserve">]/ </w:t>
      </w:r>
      <w:r>
        <w:rPr>
          <w:sz w:val="24"/>
        </w:rPr>
        <w:t>初均质量</w:t>
      </w:r>
      <w:r>
        <w:rPr>
          <w:rFonts w:hint="eastAsia"/>
          <w:sz w:val="24"/>
        </w:rPr>
        <w:t>(</w:t>
      </w:r>
      <w:r>
        <w:rPr>
          <w:sz w:val="24"/>
        </w:rPr>
        <w:t>g</w:t>
      </w:r>
      <w:r>
        <w:rPr>
          <w:rFonts w:hint="eastAsia"/>
          <w:sz w:val="24"/>
        </w:rPr>
        <w:t>)</w:t>
      </w:r>
      <w:r>
        <w:rPr>
          <w:sz w:val="24"/>
        </w:rPr>
        <w:t>×100%</w:t>
      </w:r>
      <w:r>
        <w:rPr>
          <w:sz w:val="24"/>
        </w:rPr>
        <w:t>；</w:t>
      </w:r>
      <w:r>
        <w:rPr>
          <w:sz w:val="24"/>
        </w:rPr>
        <w:t xml:space="preserve"> </w:t>
      </w:r>
    </w:p>
    <w:p w14:paraId="4AFC66C6" w14:textId="77777777" w:rsidR="006D73E5" w:rsidRDefault="00000000">
      <w:pPr>
        <w:spacing w:line="360" w:lineRule="auto"/>
        <w:ind w:leftChars="200" w:left="420"/>
        <w:rPr>
          <w:sz w:val="24"/>
        </w:rPr>
      </w:pPr>
      <w:r>
        <w:rPr>
          <w:sz w:val="24"/>
        </w:rPr>
        <w:t>饲料系数</w:t>
      </w:r>
      <w:r>
        <w:rPr>
          <w:rFonts w:hint="eastAsia"/>
          <w:sz w:val="24"/>
        </w:rPr>
        <w:t>(</w:t>
      </w:r>
      <w:r>
        <w:rPr>
          <w:sz w:val="24"/>
        </w:rPr>
        <w:t>FCR</w:t>
      </w:r>
      <w:r>
        <w:rPr>
          <w:rFonts w:hint="eastAsia"/>
          <w:sz w:val="24"/>
        </w:rPr>
        <w:t>)</w:t>
      </w:r>
      <w:r>
        <w:rPr>
          <w:sz w:val="24"/>
        </w:rPr>
        <w:t>=</w:t>
      </w:r>
      <w:r>
        <w:rPr>
          <w:sz w:val="24"/>
        </w:rPr>
        <w:t>投喂量</w:t>
      </w:r>
      <w:r>
        <w:rPr>
          <w:sz w:val="24"/>
        </w:rPr>
        <w:t>/[</w:t>
      </w:r>
      <w:r>
        <w:rPr>
          <w:sz w:val="24"/>
        </w:rPr>
        <w:t>末均质量</w:t>
      </w:r>
      <w:r>
        <w:rPr>
          <w:rFonts w:hint="eastAsia"/>
          <w:sz w:val="24"/>
        </w:rPr>
        <w:t>(</w:t>
      </w:r>
      <w:r>
        <w:rPr>
          <w:sz w:val="24"/>
        </w:rPr>
        <w:t>g</w:t>
      </w:r>
      <w:r>
        <w:rPr>
          <w:rFonts w:hint="eastAsia"/>
          <w:sz w:val="24"/>
        </w:rPr>
        <w:t>)</w:t>
      </w:r>
      <w:r>
        <w:rPr>
          <w:sz w:val="24"/>
        </w:rPr>
        <w:t>-</w:t>
      </w:r>
      <w:r>
        <w:rPr>
          <w:sz w:val="24"/>
        </w:rPr>
        <w:t>初均质量</w:t>
      </w:r>
      <w:r>
        <w:rPr>
          <w:rFonts w:hint="eastAsia"/>
          <w:sz w:val="24"/>
        </w:rPr>
        <w:t>(</w:t>
      </w:r>
      <w:r>
        <w:rPr>
          <w:sz w:val="24"/>
        </w:rPr>
        <w:t>g</w:t>
      </w:r>
      <w:r>
        <w:rPr>
          <w:rFonts w:hint="eastAsia"/>
          <w:sz w:val="24"/>
        </w:rPr>
        <w:t>)</w:t>
      </w:r>
      <w:r>
        <w:rPr>
          <w:sz w:val="24"/>
        </w:rPr>
        <w:t xml:space="preserve">]×100%; </w:t>
      </w:r>
    </w:p>
    <w:p w14:paraId="4FFF878E" w14:textId="77777777" w:rsidR="006D73E5" w:rsidRDefault="00000000">
      <w:pPr>
        <w:spacing w:line="360" w:lineRule="auto"/>
        <w:ind w:leftChars="200" w:left="420"/>
        <w:rPr>
          <w:sz w:val="24"/>
        </w:rPr>
      </w:pPr>
      <w:r>
        <w:rPr>
          <w:sz w:val="24"/>
        </w:rPr>
        <w:t>肥满度</w:t>
      </w:r>
      <w:r>
        <w:rPr>
          <w:rFonts w:hint="eastAsia"/>
          <w:sz w:val="24"/>
        </w:rPr>
        <w:t>(</w:t>
      </w:r>
      <w:r>
        <w:rPr>
          <w:sz w:val="24"/>
        </w:rPr>
        <w:t>CF</w:t>
      </w:r>
      <w:r>
        <w:rPr>
          <w:sz w:val="24"/>
        </w:rPr>
        <w:t>，</w:t>
      </w:r>
      <w:r>
        <w:rPr>
          <w:sz w:val="24"/>
        </w:rPr>
        <w:t>g/cm</w:t>
      </w:r>
      <w:r>
        <w:rPr>
          <w:sz w:val="24"/>
          <w:vertAlign w:val="superscript"/>
        </w:rPr>
        <w:t>3</w:t>
      </w:r>
      <w:r>
        <w:rPr>
          <w:rFonts w:hint="eastAsia"/>
          <w:sz w:val="24"/>
        </w:rPr>
        <w:t>)</w:t>
      </w:r>
      <w:r>
        <w:rPr>
          <w:sz w:val="24"/>
        </w:rPr>
        <w:t>=</w:t>
      </w:r>
      <w:r>
        <w:rPr>
          <w:sz w:val="24"/>
        </w:rPr>
        <w:t>体质量</w:t>
      </w:r>
      <w:r>
        <w:rPr>
          <w:rFonts w:hint="eastAsia"/>
          <w:sz w:val="24"/>
        </w:rPr>
        <w:t>(</w:t>
      </w:r>
      <w:r>
        <w:rPr>
          <w:sz w:val="24"/>
        </w:rPr>
        <w:t>g</w:t>
      </w:r>
      <w:r>
        <w:rPr>
          <w:rFonts w:hint="eastAsia"/>
          <w:sz w:val="24"/>
        </w:rPr>
        <w:t>)</w:t>
      </w:r>
      <w:r>
        <w:rPr>
          <w:sz w:val="24"/>
        </w:rPr>
        <w:t>/</w:t>
      </w:r>
      <w:r>
        <w:rPr>
          <w:sz w:val="24"/>
        </w:rPr>
        <w:t>体长</w:t>
      </w:r>
      <w:r>
        <w:rPr>
          <w:sz w:val="24"/>
          <w:vertAlign w:val="superscript"/>
        </w:rPr>
        <w:t>3</w:t>
      </w:r>
      <w:r>
        <w:rPr>
          <w:rFonts w:hint="eastAsia"/>
          <w:sz w:val="24"/>
        </w:rPr>
        <w:t>(</w:t>
      </w:r>
      <w:r>
        <w:rPr>
          <w:sz w:val="24"/>
        </w:rPr>
        <w:t>cm</w:t>
      </w:r>
      <w:r>
        <w:rPr>
          <w:sz w:val="24"/>
          <w:vertAlign w:val="superscript"/>
        </w:rPr>
        <w:t>3</w:t>
      </w:r>
      <w:r>
        <w:rPr>
          <w:rFonts w:hint="eastAsia"/>
          <w:sz w:val="24"/>
        </w:rPr>
        <w:t>)</w:t>
      </w:r>
      <w:r>
        <w:rPr>
          <w:sz w:val="24"/>
        </w:rPr>
        <w:t>×100%</w:t>
      </w:r>
      <w:r>
        <w:rPr>
          <w:sz w:val="24"/>
        </w:rPr>
        <w:t>；</w:t>
      </w:r>
    </w:p>
    <w:p w14:paraId="19003352" w14:textId="77777777" w:rsidR="006D73E5" w:rsidRDefault="00000000">
      <w:pPr>
        <w:spacing w:line="360" w:lineRule="auto"/>
        <w:ind w:leftChars="200" w:left="420"/>
        <w:rPr>
          <w:sz w:val="24"/>
        </w:rPr>
      </w:pPr>
      <w:r>
        <w:rPr>
          <w:sz w:val="24"/>
        </w:rPr>
        <w:t>平均日采食量</w:t>
      </w:r>
      <w:r>
        <w:rPr>
          <w:rFonts w:hint="eastAsia"/>
          <w:sz w:val="24"/>
        </w:rPr>
        <w:t>(</w:t>
      </w:r>
      <w:r>
        <w:rPr>
          <w:sz w:val="24"/>
        </w:rPr>
        <w:t>ADFI</w:t>
      </w:r>
      <w:r>
        <w:rPr>
          <w:sz w:val="24"/>
        </w:rPr>
        <w:t>，</w:t>
      </w:r>
      <w:r>
        <w:rPr>
          <w:sz w:val="24"/>
        </w:rPr>
        <w:t>g</w:t>
      </w:r>
      <w:r>
        <w:rPr>
          <w:rFonts w:hint="eastAsia"/>
          <w:sz w:val="24"/>
        </w:rPr>
        <w:t>)</w:t>
      </w:r>
      <w:r>
        <w:rPr>
          <w:sz w:val="24"/>
        </w:rPr>
        <w:t>=</w:t>
      </w:r>
      <w:r>
        <w:rPr>
          <w:sz w:val="24"/>
        </w:rPr>
        <w:t>总摄食量</w:t>
      </w:r>
      <w:r>
        <w:rPr>
          <w:rFonts w:hint="eastAsia"/>
          <w:sz w:val="24"/>
        </w:rPr>
        <w:t>(</w:t>
      </w:r>
      <w:r>
        <w:rPr>
          <w:sz w:val="24"/>
        </w:rPr>
        <w:t>g</w:t>
      </w:r>
      <w:r>
        <w:rPr>
          <w:rFonts w:hint="eastAsia"/>
          <w:sz w:val="24"/>
        </w:rPr>
        <w:t>)</w:t>
      </w:r>
      <w:r>
        <w:rPr>
          <w:sz w:val="24"/>
        </w:rPr>
        <w:t>/[</w:t>
      </w:r>
      <w:r>
        <w:rPr>
          <w:sz w:val="24"/>
        </w:rPr>
        <w:t>末尾数</w:t>
      </w:r>
      <w:r>
        <w:rPr>
          <w:sz w:val="24"/>
        </w:rPr>
        <w:t>×</w:t>
      </w:r>
      <w:r>
        <w:rPr>
          <w:sz w:val="24"/>
        </w:rPr>
        <w:t>实验天数</w:t>
      </w:r>
      <w:r>
        <w:rPr>
          <w:rFonts w:hint="eastAsia"/>
          <w:sz w:val="24"/>
        </w:rPr>
        <w:t>(</w:t>
      </w:r>
      <w:r>
        <w:rPr>
          <w:sz w:val="24"/>
        </w:rPr>
        <w:t>d</w:t>
      </w:r>
      <w:r>
        <w:rPr>
          <w:rFonts w:hint="eastAsia"/>
          <w:sz w:val="24"/>
        </w:rPr>
        <w:t>)</w:t>
      </w:r>
      <w:r>
        <w:rPr>
          <w:sz w:val="24"/>
        </w:rPr>
        <w:t>]</w:t>
      </w:r>
      <w:r>
        <w:rPr>
          <w:sz w:val="24"/>
        </w:rPr>
        <w:t>；</w:t>
      </w:r>
      <w:r>
        <w:rPr>
          <w:sz w:val="24"/>
        </w:rPr>
        <w:t xml:space="preserve"> </w:t>
      </w:r>
    </w:p>
    <w:p w14:paraId="37BD975F" w14:textId="77777777" w:rsidR="006D73E5" w:rsidRDefault="00000000">
      <w:pPr>
        <w:spacing w:line="360" w:lineRule="auto"/>
        <w:ind w:leftChars="200" w:left="420"/>
        <w:rPr>
          <w:sz w:val="24"/>
        </w:rPr>
      </w:pPr>
      <w:r>
        <w:rPr>
          <w:sz w:val="24"/>
        </w:rPr>
        <w:t>肝体比</w:t>
      </w:r>
      <w:r>
        <w:rPr>
          <w:rFonts w:hint="eastAsia"/>
          <w:sz w:val="24"/>
        </w:rPr>
        <w:t>(</w:t>
      </w:r>
      <w:r>
        <w:rPr>
          <w:sz w:val="24"/>
        </w:rPr>
        <w:t>HSI</w:t>
      </w:r>
      <w:r>
        <w:rPr>
          <w:sz w:val="24"/>
        </w:rPr>
        <w:t>，</w:t>
      </w:r>
      <w:r>
        <w:rPr>
          <w:sz w:val="24"/>
        </w:rPr>
        <w:t>%</w:t>
      </w:r>
      <w:r>
        <w:rPr>
          <w:rFonts w:hint="eastAsia"/>
          <w:sz w:val="24"/>
        </w:rPr>
        <w:t>)</w:t>
      </w:r>
      <w:r>
        <w:rPr>
          <w:sz w:val="24"/>
        </w:rPr>
        <w:t>=</w:t>
      </w:r>
      <w:r>
        <w:rPr>
          <w:sz w:val="24"/>
        </w:rPr>
        <w:t>肝脏质量</w:t>
      </w:r>
      <w:r>
        <w:rPr>
          <w:rFonts w:hint="eastAsia"/>
          <w:sz w:val="24"/>
        </w:rPr>
        <w:t>(</w:t>
      </w:r>
      <w:r>
        <w:rPr>
          <w:sz w:val="24"/>
        </w:rPr>
        <w:t>g</w:t>
      </w:r>
      <w:r>
        <w:rPr>
          <w:rFonts w:hint="eastAsia"/>
          <w:sz w:val="24"/>
        </w:rPr>
        <w:t>)</w:t>
      </w:r>
      <w:r>
        <w:rPr>
          <w:sz w:val="24"/>
        </w:rPr>
        <w:t>/</w:t>
      </w:r>
      <w:r>
        <w:rPr>
          <w:sz w:val="24"/>
        </w:rPr>
        <w:t>体质量</w:t>
      </w:r>
      <w:r>
        <w:rPr>
          <w:rFonts w:hint="eastAsia"/>
          <w:sz w:val="24"/>
        </w:rPr>
        <w:t>(</w:t>
      </w:r>
      <w:r>
        <w:rPr>
          <w:sz w:val="24"/>
        </w:rPr>
        <w:t>g</w:t>
      </w:r>
      <w:r>
        <w:rPr>
          <w:rFonts w:hint="eastAsia"/>
          <w:sz w:val="24"/>
        </w:rPr>
        <w:t>)</w:t>
      </w:r>
      <w:r>
        <w:rPr>
          <w:sz w:val="24"/>
        </w:rPr>
        <w:t>×100%</w:t>
      </w:r>
      <w:r>
        <w:rPr>
          <w:sz w:val="24"/>
        </w:rPr>
        <w:t>；</w:t>
      </w:r>
    </w:p>
    <w:p w14:paraId="7F64F565" w14:textId="77777777" w:rsidR="006D73E5" w:rsidRDefault="00000000">
      <w:pPr>
        <w:spacing w:line="360" w:lineRule="auto"/>
        <w:ind w:leftChars="200" w:left="420"/>
        <w:rPr>
          <w:sz w:val="24"/>
        </w:rPr>
      </w:pPr>
      <w:r>
        <w:rPr>
          <w:sz w:val="24"/>
        </w:rPr>
        <w:t>脏体比</w:t>
      </w:r>
      <w:r>
        <w:rPr>
          <w:rFonts w:hint="eastAsia"/>
          <w:sz w:val="24"/>
        </w:rPr>
        <w:t>(</w:t>
      </w:r>
      <w:r>
        <w:rPr>
          <w:sz w:val="24"/>
        </w:rPr>
        <w:t>VSI</w:t>
      </w:r>
      <w:r>
        <w:rPr>
          <w:sz w:val="24"/>
        </w:rPr>
        <w:t>，</w:t>
      </w:r>
      <w:r>
        <w:rPr>
          <w:sz w:val="24"/>
        </w:rPr>
        <w:t>%</w:t>
      </w:r>
      <w:r>
        <w:rPr>
          <w:rFonts w:hint="eastAsia"/>
          <w:sz w:val="24"/>
        </w:rPr>
        <w:t>)</w:t>
      </w:r>
      <w:r>
        <w:rPr>
          <w:sz w:val="24"/>
        </w:rPr>
        <w:t>=</w:t>
      </w:r>
      <w:r>
        <w:rPr>
          <w:sz w:val="24"/>
        </w:rPr>
        <w:t>内脏质量</w:t>
      </w:r>
      <w:r>
        <w:rPr>
          <w:rFonts w:hint="eastAsia"/>
          <w:sz w:val="24"/>
        </w:rPr>
        <w:t>(</w:t>
      </w:r>
      <w:r>
        <w:rPr>
          <w:sz w:val="24"/>
        </w:rPr>
        <w:t>g</w:t>
      </w:r>
      <w:r>
        <w:rPr>
          <w:rFonts w:hint="eastAsia"/>
          <w:sz w:val="24"/>
        </w:rPr>
        <w:t>)</w:t>
      </w:r>
      <w:r>
        <w:rPr>
          <w:sz w:val="24"/>
        </w:rPr>
        <w:t>/</w:t>
      </w:r>
      <w:r>
        <w:rPr>
          <w:sz w:val="24"/>
        </w:rPr>
        <w:t>体质量</w:t>
      </w:r>
      <w:r>
        <w:rPr>
          <w:rFonts w:hint="eastAsia"/>
          <w:sz w:val="24"/>
        </w:rPr>
        <w:t>(</w:t>
      </w:r>
      <w:r>
        <w:rPr>
          <w:sz w:val="24"/>
        </w:rPr>
        <w:t>g</w:t>
      </w:r>
      <w:r>
        <w:rPr>
          <w:rFonts w:hint="eastAsia"/>
          <w:sz w:val="24"/>
        </w:rPr>
        <w:t>)</w:t>
      </w:r>
      <w:r>
        <w:rPr>
          <w:sz w:val="24"/>
        </w:rPr>
        <w:t>×100%</w:t>
      </w:r>
      <w:r>
        <w:rPr>
          <w:sz w:val="24"/>
        </w:rPr>
        <w:t>。</w:t>
      </w:r>
    </w:p>
    <w:p w14:paraId="5F271462" w14:textId="77777777" w:rsidR="006D73E5" w:rsidRDefault="00000000">
      <w:pPr>
        <w:spacing w:line="360" w:lineRule="auto"/>
        <w:ind w:firstLineChars="200" w:firstLine="480"/>
        <w:rPr>
          <w:sz w:val="24"/>
        </w:rPr>
      </w:pPr>
      <w:r>
        <w:rPr>
          <w:sz w:val="24"/>
        </w:rPr>
        <w:t>饲料、粪便、全鱼组成和营养物质消化率、沉积率</w:t>
      </w:r>
      <w:r>
        <w:rPr>
          <w:sz w:val="24"/>
        </w:rPr>
        <w:t xml:space="preserve">   </w:t>
      </w:r>
      <w:r>
        <w:rPr>
          <w:sz w:val="24"/>
        </w:rPr>
        <w:t>饲料、粪便和全鱼常规成分测定方法：水分含量的测定采用</w:t>
      </w:r>
      <w:r>
        <w:rPr>
          <w:sz w:val="24"/>
        </w:rPr>
        <w:t xml:space="preserve"> 105 ℃</w:t>
      </w:r>
      <w:r>
        <w:rPr>
          <w:sz w:val="24"/>
        </w:rPr>
        <w:t>烘干法；粗蛋白质含量的测定采用凯氏定氮法；粗脂肪含量的测定采用氯仿</w:t>
      </w:r>
      <w:r>
        <w:rPr>
          <w:sz w:val="24"/>
        </w:rPr>
        <w:t>-</w:t>
      </w:r>
      <w:r>
        <w:rPr>
          <w:sz w:val="24"/>
        </w:rPr>
        <w:t>甲醇抽提法；粗灰分含量的测定采用马弗炉灰化法。饲料、粪便中</w:t>
      </w:r>
      <w:r>
        <w:rPr>
          <w:sz w:val="24"/>
        </w:rPr>
        <w:t xml:space="preserve"> Y</w:t>
      </w:r>
      <w:r>
        <w:rPr>
          <w:sz w:val="24"/>
          <w:vertAlign w:val="subscript"/>
        </w:rPr>
        <w:t>2</w:t>
      </w:r>
      <w:r>
        <w:rPr>
          <w:sz w:val="24"/>
        </w:rPr>
        <w:t>O</w:t>
      </w:r>
      <w:r>
        <w:rPr>
          <w:sz w:val="24"/>
          <w:vertAlign w:val="subscript"/>
        </w:rPr>
        <w:t>3</w:t>
      </w:r>
      <w:r>
        <w:rPr>
          <w:sz w:val="24"/>
        </w:rPr>
        <w:t xml:space="preserve"> </w:t>
      </w:r>
      <w:r>
        <w:rPr>
          <w:sz w:val="24"/>
        </w:rPr>
        <w:t>含量采用电感耦合等离子体原子发射光谱法测定</w:t>
      </w:r>
      <w:r>
        <w:rPr>
          <w:rFonts w:hint="eastAsia"/>
          <w:sz w:val="24"/>
        </w:rPr>
        <w:t>(</w:t>
      </w:r>
      <w:r>
        <w:rPr>
          <w:sz w:val="24"/>
        </w:rPr>
        <w:t xml:space="preserve">ICAP Q-MS </w:t>
      </w:r>
      <w:r>
        <w:rPr>
          <w:sz w:val="24"/>
        </w:rPr>
        <w:t>电感耦合等离子体质谱仪，</w:t>
      </w:r>
      <w:proofErr w:type="spellStart"/>
      <w:r>
        <w:rPr>
          <w:sz w:val="24"/>
        </w:rPr>
        <w:t>Thermo</w:t>
      </w:r>
      <w:proofErr w:type="spellEnd"/>
      <w:r>
        <w:rPr>
          <w:sz w:val="24"/>
        </w:rPr>
        <w:t xml:space="preserve"> </w:t>
      </w:r>
      <w:proofErr w:type="spellStart"/>
      <w:r>
        <w:rPr>
          <w:sz w:val="24"/>
        </w:rPr>
        <w:t>iCAP</w:t>
      </w:r>
      <w:proofErr w:type="spellEnd"/>
      <w:r>
        <w:rPr>
          <w:sz w:val="24"/>
        </w:rPr>
        <w:t xml:space="preserve"> Q</w:t>
      </w:r>
      <w:r>
        <w:rPr>
          <w:sz w:val="24"/>
        </w:rPr>
        <w:t>，美国</w:t>
      </w:r>
      <w:r>
        <w:rPr>
          <w:rFonts w:hint="eastAsia"/>
          <w:sz w:val="24"/>
        </w:rPr>
        <w:t>)</w:t>
      </w:r>
    </w:p>
    <w:p w14:paraId="7945D4A1" w14:textId="77777777" w:rsidR="006D73E5" w:rsidRDefault="00000000">
      <w:pPr>
        <w:spacing w:line="360" w:lineRule="auto"/>
        <w:ind w:firstLineChars="200" w:firstLine="480"/>
        <w:rPr>
          <w:sz w:val="24"/>
        </w:rPr>
      </w:pPr>
      <w:r>
        <w:rPr>
          <w:sz w:val="24"/>
        </w:rPr>
        <w:t>干物质表观消化率</w:t>
      </w:r>
      <w:r>
        <w:rPr>
          <w:rFonts w:hint="eastAsia"/>
          <w:sz w:val="24"/>
        </w:rPr>
        <w:t>(</w:t>
      </w:r>
      <w:r>
        <w:rPr>
          <w:sz w:val="24"/>
        </w:rPr>
        <w:t>ADDM</w:t>
      </w:r>
      <w:r>
        <w:rPr>
          <w:rFonts w:hint="eastAsia"/>
          <w:sz w:val="24"/>
        </w:rPr>
        <w:t>)</w:t>
      </w:r>
      <w:r>
        <w:rPr>
          <w:sz w:val="24"/>
        </w:rPr>
        <w:t>、粗蛋白质表观消化率</w:t>
      </w:r>
      <w:r>
        <w:rPr>
          <w:rFonts w:hint="eastAsia"/>
          <w:sz w:val="24"/>
        </w:rPr>
        <w:t>(</w:t>
      </w:r>
      <w:r>
        <w:rPr>
          <w:sz w:val="24"/>
        </w:rPr>
        <w:t>ADCP</w:t>
      </w:r>
      <w:r>
        <w:rPr>
          <w:rFonts w:hint="eastAsia"/>
          <w:sz w:val="24"/>
        </w:rPr>
        <w:t>)</w:t>
      </w:r>
      <w:r>
        <w:rPr>
          <w:sz w:val="24"/>
        </w:rPr>
        <w:t>、蛋白质效率</w:t>
      </w:r>
      <w:r>
        <w:rPr>
          <w:rFonts w:hint="eastAsia"/>
          <w:sz w:val="24"/>
        </w:rPr>
        <w:t>(</w:t>
      </w:r>
      <w:r>
        <w:rPr>
          <w:sz w:val="24"/>
        </w:rPr>
        <w:t>PER</w:t>
      </w:r>
      <w:r>
        <w:rPr>
          <w:rFonts w:hint="eastAsia"/>
          <w:sz w:val="24"/>
        </w:rPr>
        <w:t>)</w:t>
      </w:r>
      <w:r>
        <w:rPr>
          <w:sz w:val="24"/>
        </w:rPr>
        <w:t>、蛋白质沉积率</w:t>
      </w:r>
      <w:r>
        <w:rPr>
          <w:rFonts w:hint="eastAsia"/>
          <w:sz w:val="24"/>
        </w:rPr>
        <w:t>(</w:t>
      </w:r>
      <w:r>
        <w:rPr>
          <w:sz w:val="24"/>
        </w:rPr>
        <w:t>PRR</w:t>
      </w:r>
      <w:r>
        <w:rPr>
          <w:rFonts w:hint="eastAsia"/>
          <w:sz w:val="24"/>
        </w:rPr>
        <w:t>)</w:t>
      </w:r>
      <w:r>
        <w:rPr>
          <w:sz w:val="24"/>
        </w:rPr>
        <w:t>和脂肪沉积率</w:t>
      </w:r>
      <w:r>
        <w:rPr>
          <w:rFonts w:hint="eastAsia"/>
          <w:sz w:val="24"/>
        </w:rPr>
        <w:t>(</w:t>
      </w:r>
      <w:r>
        <w:rPr>
          <w:sz w:val="24"/>
        </w:rPr>
        <w:t>LRR</w:t>
      </w:r>
      <w:r>
        <w:rPr>
          <w:rFonts w:hint="eastAsia"/>
          <w:sz w:val="24"/>
        </w:rPr>
        <w:t>)</w:t>
      </w:r>
      <w:r>
        <w:rPr>
          <w:sz w:val="24"/>
        </w:rPr>
        <w:t>，计算公式：</w:t>
      </w:r>
    </w:p>
    <w:p w14:paraId="06FB2D50" w14:textId="77777777" w:rsidR="006D73E5" w:rsidRDefault="00000000">
      <w:pPr>
        <w:spacing w:line="360" w:lineRule="auto"/>
        <w:ind w:leftChars="200" w:left="420"/>
        <w:rPr>
          <w:sz w:val="24"/>
        </w:rPr>
      </w:pPr>
      <w:r>
        <w:rPr>
          <w:sz w:val="24"/>
        </w:rPr>
        <w:t>干物质表观消化率</w:t>
      </w:r>
      <w:r>
        <w:rPr>
          <w:rFonts w:hint="eastAsia"/>
          <w:sz w:val="24"/>
        </w:rPr>
        <w:t>(</w:t>
      </w:r>
      <w:r>
        <w:rPr>
          <w:sz w:val="24"/>
        </w:rPr>
        <w:t>ADDM</w:t>
      </w:r>
      <w:r>
        <w:rPr>
          <w:sz w:val="24"/>
        </w:rPr>
        <w:t>，</w:t>
      </w:r>
      <w:r>
        <w:rPr>
          <w:sz w:val="24"/>
        </w:rPr>
        <w:t>%</w:t>
      </w:r>
      <w:r>
        <w:rPr>
          <w:rFonts w:hint="eastAsia"/>
          <w:sz w:val="24"/>
        </w:rPr>
        <w:t>)</w:t>
      </w:r>
      <w:r>
        <w:rPr>
          <w:sz w:val="24"/>
        </w:rPr>
        <w:t>=[1-</w:t>
      </w:r>
      <w:r>
        <w:rPr>
          <w:sz w:val="24"/>
        </w:rPr>
        <w:t>饲料钇含量</w:t>
      </w:r>
      <w:r>
        <w:rPr>
          <w:rFonts w:hint="eastAsia"/>
          <w:sz w:val="24"/>
        </w:rPr>
        <w:t>(</w:t>
      </w:r>
      <w:r>
        <w:rPr>
          <w:sz w:val="24"/>
        </w:rPr>
        <w:t>%</w:t>
      </w:r>
      <w:r>
        <w:rPr>
          <w:rFonts w:hint="eastAsia"/>
          <w:sz w:val="24"/>
        </w:rPr>
        <w:t>)</w:t>
      </w:r>
      <w:r>
        <w:rPr>
          <w:sz w:val="24"/>
        </w:rPr>
        <w:t>/</w:t>
      </w:r>
      <w:r>
        <w:rPr>
          <w:sz w:val="24"/>
        </w:rPr>
        <w:t>粪便钇含量</w:t>
      </w:r>
      <w:r>
        <w:rPr>
          <w:rFonts w:hint="eastAsia"/>
          <w:sz w:val="24"/>
        </w:rPr>
        <w:t>(</w:t>
      </w:r>
      <w:r>
        <w:rPr>
          <w:sz w:val="24"/>
        </w:rPr>
        <w:t>%</w:t>
      </w:r>
      <w:r>
        <w:rPr>
          <w:rFonts w:hint="eastAsia"/>
          <w:sz w:val="24"/>
        </w:rPr>
        <w:t>)</w:t>
      </w:r>
      <w:r>
        <w:rPr>
          <w:sz w:val="24"/>
        </w:rPr>
        <w:t>]×100%</w:t>
      </w:r>
      <w:r>
        <w:rPr>
          <w:sz w:val="24"/>
        </w:rPr>
        <w:t>；</w:t>
      </w:r>
      <w:r>
        <w:rPr>
          <w:sz w:val="24"/>
        </w:rPr>
        <w:t xml:space="preserve"> </w:t>
      </w:r>
      <w:r>
        <w:rPr>
          <w:sz w:val="24"/>
        </w:rPr>
        <w:t>粗蛋白质表观消化率</w:t>
      </w:r>
      <w:r>
        <w:rPr>
          <w:rFonts w:hint="eastAsia"/>
          <w:sz w:val="24"/>
        </w:rPr>
        <w:t>(</w:t>
      </w:r>
      <w:r>
        <w:rPr>
          <w:sz w:val="24"/>
        </w:rPr>
        <w:t>ADCP</w:t>
      </w:r>
      <w:r>
        <w:rPr>
          <w:sz w:val="24"/>
        </w:rPr>
        <w:t>，</w:t>
      </w:r>
      <w:r>
        <w:rPr>
          <w:sz w:val="24"/>
        </w:rPr>
        <w:t>%</w:t>
      </w:r>
      <w:r>
        <w:rPr>
          <w:rFonts w:hint="eastAsia"/>
          <w:sz w:val="24"/>
        </w:rPr>
        <w:t>)</w:t>
      </w:r>
      <w:r>
        <w:rPr>
          <w:sz w:val="24"/>
        </w:rPr>
        <w:t>={1-[</w:t>
      </w:r>
      <w:r>
        <w:rPr>
          <w:sz w:val="24"/>
        </w:rPr>
        <w:t>饲料钇含量</w:t>
      </w:r>
      <w:r>
        <w:rPr>
          <w:rFonts w:hint="eastAsia"/>
          <w:sz w:val="24"/>
        </w:rPr>
        <w:t>(</w:t>
      </w:r>
      <w:r>
        <w:rPr>
          <w:sz w:val="24"/>
        </w:rPr>
        <w:t>%</w:t>
      </w:r>
      <w:r>
        <w:rPr>
          <w:rFonts w:hint="eastAsia"/>
          <w:sz w:val="24"/>
        </w:rPr>
        <w:t>)</w:t>
      </w:r>
      <w:r>
        <w:rPr>
          <w:sz w:val="24"/>
        </w:rPr>
        <w:t>×</w:t>
      </w:r>
      <w:r>
        <w:rPr>
          <w:sz w:val="24"/>
        </w:rPr>
        <w:t>粪便粗蛋白含量</w:t>
      </w:r>
      <w:r>
        <w:rPr>
          <w:rFonts w:hint="eastAsia"/>
          <w:sz w:val="24"/>
        </w:rPr>
        <w:t>(</w:t>
      </w:r>
      <w:r>
        <w:rPr>
          <w:sz w:val="24"/>
        </w:rPr>
        <w:t>%</w:t>
      </w:r>
      <w:r>
        <w:rPr>
          <w:rFonts w:hint="eastAsia"/>
          <w:sz w:val="24"/>
        </w:rPr>
        <w:t>)</w:t>
      </w:r>
      <w:r>
        <w:rPr>
          <w:sz w:val="24"/>
        </w:rPr>
        <w:t>]/[</w:t>
      </w:r>
      <w:r>
        <w:rPr>
          <w:sz w:val="24"/>
        </w:rPr>
        <w:t>粪便钇含量</w:t>
      </w:r>
      <w:r>
        <w:rPr>
          <w:rFonts w:hint="eastAsia"/>
          <w:sz w:val="24"/>
        </w:rPr>
        <w:t>(</w:t>
      </w:r>
      <w:r>
        <w:rPr>
          <w:sz w:val="24"/>
        </w:rPr>
        <w:t>%</w:t>
      </w:r>
      <w:r>
        <w:rPr>
          <w:rFonts w:hint="eastAsia"/>
          <w:sz w:val="24"/>
        </w:rPr>
        <w:t>)</w:t>
      </w:r>
      <w:r>
        <w:rPr>
          <w:sz w:val="24"/>
        </w:rPr>
        <w:t>×</w:t>
      </w:r>
      <w:r>
        <w:rPr>
          <w:sz w:val="24"/>
        </w:rPr>
        <w:t>饲料粗蛋白含量</w:t>
      </w:r>
      <w:r>
        <w:rPr>
          <w:rFonts w:hint="eastAsia"/>
          <w:sz w:val="24"/>
        </w:rPr>
        <w:t>(</w:t>
      </w:r>
      <w:r>
        <w:rPr>
          <w:sz w:val="24"/>
        </w:rPr>
        <w:t>%</w:t>
      </w:r>
      <w:r>
        <w:rPr>
          <w:rFonts w:hint="eastAsia"/>
          <w:sz w:val="24"/>
        </w:rPr>
        <w:t>)</w:t>
      </w:r>
      <w:r>
        <w:rPr>
          <w:sz w:val="24"/>
        </w:rPr>
        <w:t>]}×100%</w:t>
      </w:r>
      <w:r>
        <w:rPr>
          <w:sz w:val="24"/>
        </w:rPr>
        <w:t>；</w:t>
      </w:r>
    </w:p>
    <w:p w14:paraId="6D05FD3F" w14:textId="77777777" w:rsidR="006D73E5" w:rsidRDefault="00000000">
      <w:pPr>
        <w:spacing w:line="360" w:lineRule="auto"/>
        <w:ind w:leftChars="200" w:left="420"/>
        <w:rPr>
          <w:sz w:val="24"/>
        </w:rPr>
      </w:pPr>
      <w:r>
        <w:rPr>
          <w:sz w:val="24"/>
        </w:rPr>
        <w:lastRenderedPageBreak/>
        <w:t>蛋白质效率</w:t>
      </w:r>
      <w:r>
        <w:rPr>
          <w:rFonts w:hint="eastAsia"/>
          <w:sz w:val="24"/>
        </w:rPr>
        <w:t>(</w:t>
      </w:r>
      <w:r>
        <w:rPr>
          <w:sz w:val="24"/>
        </w:rPr>
        <w:t>PER</w:t>
      </w:r>
      <w:r>
        <w:rPr>
          <w:sz w:val="24"/>
        </w:rPr>
        <w:t>，</w:t>
      </w:r>
      <w:r>
        <w:rPr>
          <w:sz w:val="24"/>
        </w:rPr>
        <w:t>%</w:t>
      </w:r>
      <w:r>
        <w:rPr>
          <w:rFonts w:hint="eastAsia"/>
          <w:sz w:val="24"/>
        </w:rPr>
        <w:t>)</w:t>
      </w:r>
      <w:r>
        <w:rPr>
          <w:sz w:val="24"/>
        </w:rPr>
        <w:t>=[</w:t>
      </w:r>
      <w:r>
        <w:rPr>
          <w:sz w:val="24"/>
        </w:rPr>
        <w:t>末均重</w:t>
      </w:r>
      <w:r>
        <w:rPr>
          <w:rFonts w:hint="eastAsia"/>
          <w:sz w:val="24"/>
        </w:rPr>
        <w:t>(</w:t>
      </w:r>
      <w:r>
        <w:rPr>
          <w:sz w:val="24"/>
        </w:rPr>
        <w:t>g</w:t>
      </w:r>
      <w:r>
        <w:rPr>
          <w:rFonts w:hint="eastAsia"/>
          <w:sz w:val="24"/>
        </w:rPr>
        <w:t>)</w:t>
      </w:r>
      <w:r>
        <w:rPr>
          <w:sz w:val="24"/>
        </w:rPr>
        <w:t>-</w:t>
      </w:r>
      <w:r>
        <w:rPr>
          <w:sz w:val="24"/>
        </w:rPr>
        <w:t>初均重</w:t>
      </w:r>
      <w:r>
        <w:rPr>
          <w:rFonts w:hint="eastAsia"/>
          <w:sz w:val="24"/>
        </w:rPr>
        <w:t>(</w:t>
      </w:r>
      <w:r>
        <w:rPr>
          <w:sz w:val="24"/>
        </w:rPr>
        <w:t>g</w:t>
      </w:r>
      <w:r>
        <w:rPr>
          <w:rFonts w:hint="eastAsia"/>
          <w:sz w:val="24"/>
        </w:rPr>
        <w:t>)</w:t>
      </w:r>
      <w:r>
        <w:rPr>
          <w:sz w:val="24"/>
        </w:rPr>
        <w:t>]/</w:t>
      </w:r>
      <w:r>
        <w:rPr>
          <w:sz w:val="24"/>
        </w:rPr>
        <w:t>摄食蛋白量；</w:t>
      </w:r>
    </w:p>
    <w:p w14:paraId="19D15A04" w14:textId="77777777" w:rsidR="006D73E5" w:rsidRDefault="00000000">
      <w:pPr>
        <w:spacing w:line="360" w:lineRule="auto"/>
        <w:ind w:leftChars="200" w:left="420"/>
        <w:rPr>
          <w:sz w:val="24"/>
        </w:rPr>
      </w:pPr>
      <w:r>
        <w:rPr>
          <w:sz w:val="24"/>
        </w:rPr>
        <w:t>蛋白质沉积率</w:t>
      </w:r>
      <w:r>
        <w:rPr>
          <w:rFonts w:hint="eastAsia"/>
          <w:sz w:val="24"/>
        </w:rPr>
        <w:t>(</w:t>
      </w:r>
      <w:r>
        <w:rPr>
          <w:sz w:val="24"/>
        </w:rPr>
        <w:t>PRR</w:t>
      </w:r>
      <w:r>
        <w:rPr>
          <w:sz w:val="24"/>
        </w:rPr>
        <w:t>，</w:t>
      </w:r>
      <w:r>
        <w:rPr>
          <w:sz w:val="24"/>
        </w:rPr>
        <w:t>%</w:t>
      </w:r>
      <w:r>
        <w:rPr>
          <w:rFonts w:hint="eastAsia"/>
          <w:sz w:val="24"/>
        </w:rPr>
        <w:t>)</w:t>
      </w:r>
      <w:r>
        <w:rPr>
          <w:sz w:val="24"/>
        </w:rPr>
        <w:t>=[</w:t>
      </w:r>
      <w:r>
        <w:rPr>
          <w:sz w:val="24"/>
        </w:rPr>
        <w:t>末均重</w:t>
      </w:r>
      <w:r>
        <w:rPr>
          <w:rFonts w:hint="eastAsia"/>
          <w:sz w:val="24"/>
        </w:rPr>
        <w:t>(</w:t>
      </w:r>
      <w:r>
        <w:rPr>
          <w:sz w:val="24"/>
        </w:rPr>
        <w:t>g</w:t>
      </w:r>
      <w:r>
        <w:rPr>
          <w:rFonts w:hint="eastAsia"/>
          <w:sz w:val="24"/>
        </w:rPr>
        <w:t>)</w:t>
      </w:r>
      <w:r>
        <w:rPr>
          <w:sz w:val="24"/>
        </w:rPr>
        <w:t>×</w:t>
      </w:r>
      <w:r>
        <w:rPr>
          <w:sz w:val="24"/>
        </w:rPr>
        <w:t>末全鱼粗蛋白含量</w:t>
      </w:r>
      <w:r>
        <w:rPr>
          <w:rFonts w:hint="eastAsia"/>
          <w:sz w:val="24"/>
        </w:rPr>
        <w:t>(</w:t>
      </w:r>
      <w:r>
        <w:rPr>
          <w:sz w:val="24"/>
        </w:rPr>
        <w:t>%</w:t>
      </w:r>
      <w:r>
        <w:rPr>
          <w:rFonts w:hint="eastAsia"/>
          <w:sz w:val="24"/>
        </w:rPr>
        <w:t>)</w:t>
      </w:r>
      <w:r>
        <w:rPr>
          <w:sz w:val="24"/>
        </w:rPr>
        <w:t>-</w:t>
      </w:r>
      <w:r>
        <w:rPr>
          <w:sz w:val="24"/>
        </w:rPr>
        <w:t>初均重</w:t>
      </w:r>
      <w:r>
        <w:rPr>
          <w:rFonts w:hint="eastAsia"/>
          <w:sz w:val="24"/>
        </w:rPr>
        <w:t>(</w:t>
      </w:r>
      <w:r>
        <w:rPr>
          <w:sz w:val="24"/>
        </w:rPr>
        <w:t>g</w:t>
      </w:r>
      <w:r>
        <w:rPr>
          <w:rFonts w:hint="eastAsia"/>
          <w:sz w:val="24"/>
        </w:rPr>
        <w:t>)</w:t>
      </w:r>
      <w:r>
        <w:rPr>
          <w:sz w:val="24"/>
        </w:rPr>
        <w:t>×</w:t>
      </w:r>
      <w:r>
        <w:rPr>
          <w:sz w:val="24"/>
        </w:rPr>
        <w:t>初全鱼粗蛋白含量</w:t>
      </w:r>
      <w:r>
        <w:rPr>
          <w:rFonts w:hint="eastAsia"/>
          <w:sz w:val="24"/>
        </w:rPr>
        <w:t>(</w:t>
      </w:r>
      <w:r>
        <w:rPr>
          <w:sz w:val="24"/>
        </w:rPr>
        <w:t>%</w:t>
      </w:r>
      <w:r>
        <w:rPr>
          <w:rFonts w:hint="eastAsia"/>
          <w:sz w:val="24"/>
        </w:rPr>
        <w:t>)</w:t>
      </w:r>
      <w:r>
        <w:rPr>
          <w:sz w:val="24"/>
        </w:rPr>
        <w:t>]/ [</w:t>
      </w:r>
      <w:r>
        <w:rPr>
          <w:sz w:val="24"/>
        </w:rPr>
        <w:t>投喂量</w:t>
      </w:r>
      <w:r>
        <w:rPr>
          <w:rFonts w:hint="eastAsia"/>
          <w:sz w:val="24"/>
        </w:rPr>
        <w:t>(</w:t>
      </w:r>
      <w:r>
        <w:rPr>
          <w:sz w:val="24"/>
        </w:rPr>
        <w:t>g</w:t>
      </w:r>
      <w:r>
        <w:rPr>
          <w:rFonts w:hint="eastAsia"/>
          <w:sz w:val="24"/>
        </w:rPr>
        <w:t>)</w:t>
      </w:r>
      <w:r>
        <w:rPr>
          <w:sz w:val="24"/>
        </w:rPr>
        <w:t>×</w:t>
      </w:r>
      <w:r>
        <w:rPr>
          <w:sz w:val="24"/>
        </w:rPr>
        <w:t>饲料粗蛋白含量</w:t>
      </w:r>
      <w:r>
        <w:rPr>
          <w:rFonts w:hint="eastAsia"/>
          <w:sz w:val="24"/>
        </w:rPr>
        <w:t>(</w:t>
      </w:r>
      <w:r>
        <w:rPr>
          <w:sz w:val="24"/>
        </w:rPr>
        <w:t>%</w:t>
      </w:r>
      <w:r>
        <w:rPr>
          <w:rFonts w:hint="eastAsia"/>
          <w:sz w:val="24"/>
        </w:rPr>
        <w:t>)</w:t>
      </w:r>
      <w:r>
        <w:rPr>
          <w:sz w:val="24"/>
        </w:rPr>
        <w:t>]×100%</w:t>
      </w:r>
      <w:r>
        <w:rPr>
          <w:sz w:val="24"/>
        </w:rPr>
        <w:t>；</w:t>
      </w:r>
    </w:p>
    <w:p w14:paraId="0F77164F" w14:textId="77777777" w:rsidR="006D73E5" w:rsidRDefault="00000000">
      <w:pPr>
        <w:spacing w:line="360" w:lineRule="auto"/>
        <w:ind w:leftChars="200" w:left="420"/>
        <w:rPr>
          <w:sz w:val="24"/>
        </w:rPr>
      </w:pPr>
      <w:r>
        <w:rPr>
          <w:sz w:val="24"/>
        </w:rPr>
        <w:t>脂肪沉积率</w:t>
      </w:r>
      <w:r>
        <w:rPr>
          <w:rFonts w:hint="eastAsia"/>
          <w:sz w:val="24"/>
        </w:rPr>
        <w:t>(</w:t>
      </w:r>
      <w:r>
        <w:rPr>
          <w:sz w:val="24"/>
        </w:rPr>
        <w:t>LRR</w:t>
      </w:r>
      <w:r>
        <w:rPr>
          <w:sz w:val="24"/>
        </w:rPr>
        <w:t>，</w:t>
      </w:r>
      <w:r>
        <w:rPr>
          <w:sz w:val="24"/>
        </w:rPr>
        <w:t>%</w:t>
      </w:r>
      <w:r>
        <w:rPr>
          <w:rFonts w:hint="eastAsia"/>
          <w:sz w:val="24"/>
        </w:rPr>
        <w:t>)</w:t>
      </w:r>
      <w:r>
        <w:rPr>
          <w:sz w:val="24"/>
        </w:rPr>
        <w:t>=[</w:t>
      </w:r>
      <w:r>
        <w:rPr>
          <w:sz w:val="24"/>
        </w:rPr>
        <w:t>末均重</w:t>
      </w:r>
      <w:r>
        <w:rPr>
          <w:rFonts w:hint="eastAsia"/>
          <w:sz w:val="24"/>
        </w:rPr>
        <w:t>(</w:t>
      </w:r>
      <w:r>
        <w:rPr>
          <w:sz w:val="24"/>
        </w:rPr>
        <w:t>g</w:t>
      </w:r>
      <w:r>
        <w:rPr>
          <w:rFonts w:hint="eastAsia"/>
          <w:sz w:val="24"/>
        </w:rPr>
        <w:t>)</w:t>
      </w:r>
      <w:r>
        <w:rPr>
          <w:sz w:val="24"/>
        </w:rPr>
        <w:t>×</w:t>
      </w:r>
      <w:r>
        <w:rPr>
          <w:sz w:val="24"/>
        </w:rPr>
        <w:t>末全鱼粗脂肪含量</w:t>
      </w:r>
      <w:r>
        <w:rPr>
          <w:rFonts w:hint="eastAsia"/>
          <w:sz w:val="24"/>
        </w:rPr>
        <w:t>(</w:t>
      </w:r>
      <w:r>
        <w:rPr>
          <w:sz w:val="24"/>
        </w:rPr>
        <w:t>%</w:t>
      </w:r>
      <w:r>
        <w:rPr>
          <w:rFonts w:hint="eastAsia"/>
          <w:sz w:val="24"/>
        </w:rPr>
        <w:t>)</w:t>
      </w:r>
      <w:r>
        <w:rPr>
          <w:sz w:val="24"/>
        </w:rPr>
        <w:t>-</w:t>
      </w:r>
      <w:r>
        <w:rPr>
          <w:sz w:val="24"/>
        </w:rPr>
        <w:t>初均重</w:t>
      </w:r>
      <w:r>
        <w:rPr>
          <w:rFonts w:hint="eastAsia"/>
          <w:sz w:val="24"/>
        </w:rPr>
        <w:t>(</w:t>
      </w:r>
      <w:r>
        <w:rPr>
          <w:sz w:val="24"/>
        </w:rPr>
        <w:t>g</w:t>
      </w:r>
      <w:r>
        <w:rPr>
          <w:rFonts w:hint="eastAsia"/>
          <w:sz w:val="24"/>
        </w:rPr>
        <w:t>)</w:t>
      </w:r>
      <w:r>
        <w:rPr>
          <w:sz w:val="24"/>
        </w:rPr>
        <w:t>×</w:t>
      </w:r>
      <w:r>
        <w:rPr>
          <w:sz w:val="24"/>
        </w:rPr>
        <w:t>初全鱼粗脂肪含量</w:t>
      </w:r>
      <w:r>
        <w:rPr>
          <w:rFonts w:hint="eastAsia"/>
          <w:sz w:val="24"/>
        </w:rPr>
        <w:t>(</w:t>
      </w:r>
      <w:r>
        <w:rPr>
          <w:sz w:val="24"/>
        </w:rPr>
        <w:t>%</w:t>
      </w:r>
      <w:r>
        <w:rPr>
          <w:rFonts w:hint="eastAsia"/>
          <w:sz w:val="24"/>
        </w:rPr>
        <w:t>)</w:t>
      </w:r>
      <w:r>
        <w:rPr>
          <w:sz w:val="24"/>
        </w:rPr>
        <w:t>]/[</w:t>
      </w:r>
      <w:r>
        <w:rPr>
          <w:sz w:val="24"/>
        </w:rPr>
        <w:t>投喂量</w:t>
      </w:r>
      <w:r>
        <w:rPr>
          <w:rFonts w:hint="eastAsia"/>
          <w:sz w:val="24"/>
        </w:rPr>
        <w:t>(</w:t>
      </w:r>
      <w:r>
        <w:rPr>
          <w:sz w:val="24"/>
        </w:rPr>
        <w:t>g</w:t>
      </w:r>
      <w:r>
        <w:rPr>
          <w:rFonts w:hint="eastAsia"/>
          <w:sz w:val="24"/>
        </w:rPr>
        <w:t>)</w:t>
      </w:r>
      <w:r>
        <w:rPr>
          <w:sz w:val="24"/>
        </w:rPr>
        <w:t>×</w:t>
      </w:r>
      <w:r>
        <w:rPr>
          <w:sz w:val="24"/>
        </w:rPr>
        <w:t>饲料粗脂肪含量</w:t>
      </w:r>
      <w:r>
        <w:rPr>
          <w:rFonts w:hint="eastAsia"/>
          <w:sz w:val="24"/>
        </w:rPr>
        <w:t>(</w:t>
      </w:r>
      <w:r>
        <w:rPr>
          <w:sz w:val="24"/>
        </w:rPr>
        <w:t>%</w:t>
      </w:r>
      <w:r>
        <w:rPr>
          <w:rFonts w:hint="eastAsia"/>
          <w:sz w:val="24"/>
        </w:rPr>
        <w:t>)</w:t>
      </w:r>
      <w:r>
        <w:rPr>
          <w:sz w:val="24"/>
        </w:rPr>
        <w:t>]×100%</w:t>
      </w:r>
    </w:p>
    <w:p w14:paraId="669F99C8" w14:textId="77777777" w:rsidR="006D73E5" w:rsidRDefault="00000000">
      <w:pPr>
        <w:spacing w:line="360" w:lineRule="auto"/>
        <w:ind w:leftChars="200" w:left="420"/>
        <w:rPr>
          <w:sz w:val="24"/>
        </w:rPr>
      </w:pPr>
      <w:r>
        <w:rPr>
          <w:sz w:val="24"/>
        </w:rPr>
        <w:t>血清生化指标</w:t>
      </w:r>
      <w:r>
        <w:rPr>
          <w:sz w:val="24"/>
        </w:rPr>
        <w:t xml:space="preserve">  </w:t>
      </w:r>
      <w:r>
        <w:rPr>
          <w:sz w:val="24"/>
        </w:rPr>
        <w:t>血清总蛋白</w:t>
      </w:r>
      <w:r>
        <w:rPr>
          <w:rFonts w:hint="eastAsia"/>
          <w:sz w:val="24"/>
        </w:rPr>
        <w:t>(</w:t>
      </w:r>
      <w:r>
        <w:rPr>
          <w:sz w:val="24"/>
        </w:rPr>
        <w:t>TP</w:t>
      </w:r>
      <w:r>
        <w:rPr>
          <w:rFonts w:hint="eastAsia"/>
          <w:sz w:val="24"/>
        </w:rPr>
        <w:t>)</w:t>
      </w:r>
      <w:r>
        <w:rPr>
          <w:sz w:val="24"/>
        </w:rPr>
        <w:t>、白蛋白</w:t>
      </w:r>
      <w:r>
        <w:rPr>
          <w:rFonts w:hint="eastAsia"/>
          <w:sz w:val="24"/>
        </w:rPr>
        <w:t>(</w:t>
      </w:r>
      <w:r>
        <w:rPr>
          <w:sz w:val="24"/>
        </w:rPr>
        <w:t>ALB</w:t>
      </w:r>
      <w:r>
        <w:rPr>
          <w:rFonts w:hint="eastAsia"/>
          <w:sz w:val="24"/>
        </w:rPr>
        <w:t>)</w:t>
      </w:r>
      <w:r>
        <w:rPr>
          <w:sz w:val="24"/>
        </w:rPr>
        <w:t>、球蛋白</w:t>
      </w:r>
      <w:r>
        <w:rPr>
          <w:rFonts w:hint="eastAsia"/>
          <w:sz w:val="24"/>
        </w:rPr>
        <w:t>(</w:t>
      </w:r>
      <w:r>
        <w:rPr>
          <w:sz w:val="24"/>
        </w:rPr>
        <w:t>GLO</w:t>
      </w:r>
      <w:r>
        <w:rPr>
          <w:rFonts w:hint="eastAsia"/>
          <w:sz w:val="24"/>
        </w:rPr>
        <w:t>)</w:t>
      </w:r>
      <w:r>
        <w:rPr>
          <w:sz w:val="24"/>
        </w:rPr>
        <w:t>、谷草转氨酶</w:t>
      </w:r>
      <w:r>
        <w:rPr>
          <w:rFonts w:hint="eastAsia"/>
          <w:sz w:val="24"/>
        </w:rPr>
        <w:t>(</w:t>
      </w:r>
      <w:r>
        <w:rPr>
          <w:sz w:val="24"/>
        </w:rPr>
        <w:t>AST</w:t>
      </w:r>
      <w:r>
        <w:rPr>
          <w:rFonts w:hint="eastAsia"/>
          <w:sz w:val="24"/>
        </w:rPr>
        <w:t>)</w:t>
      </w:r>
      <w:r>
        <w:rPr>
          <w:sz w:val="24"/>
        </w:rPr>
        <w:t>、谷丙转氨酶</w:t>
      </w:r>
      <w:r>
        <w:rPr>
          <w:rFonts w:hint="eastAsia"/>
          <w:sz w:val="24"/>
        </w:rPr>
        <w:t>(</w:t>
      </w:r>
      <w:r>
        <w:rPr>
          <w:sz w:val="24"/>
        </w:rPr>
        <w:t>ALT</w:t>
      </w:r>
      <w:r>
        <w:rPr>
          <w:rFonts w:hint="eastAsia"/>
          <w:sz w:val="24"/>
        </w:rPr>
        <w:t>)</w:t>
      </w:r>
      <w:r>
        <w:rPr>
          <w:sz w:val="24"/>
        </w:rPr>
        <w:t>、超氧化物歧化酶</w:t>
      </w:r>
      <w:r>
        <w:rPr>
          <w:rFonts w:hint="eastAsia"/>
          <w:sz w:val="24"/>
        </w:rPr>
        <w:t>(</w:t>
      </w:r>
      <w:r>
        <w:rPr>
          <w:sz w:val="24"/>
        </w:rPr>
        <w:t>SOD</w:t>
      </w:r>
      <w:r>
        <w:rPr>
          <w:rFonts w:hint="eastAsia"/>
          <w:sz w:val="24"/>
        </w:rPr>
        <w:t>)</w:t>
      </w:r>
      <w:r>
        <w:rPr>
          <w:sz w:val="24"/>
        </w:rPr>
        <w:t>、溶菌酶</w:t>
      </w:r>
      <w:r>
        <w:rPr>
          <w:rFonts w:hint="eastAsia"/>
          <w:sz w:val="24"/>
        </w:rPr>
        <w:t>(</w:t>
      </w:r>
      <w:r>
        <w:rPr>
          <w:sz w:val="24"/>
        </w:rPr>
        <w:t>LZM</w:t>
      </w:r>
      <w:r>
        <w:rPr>
          <w:rFonts w:hint="eastAsia"/>
          <w:sz w:val="24"/>
        </w:rPr>
        <w:t>)</w:t>
      </w:r>
      <w:r>
        <w:rPr>
          <w:sz w:val="24"/>
        </w:rPr>
        <w:t>、过氧化氢酶</w:t>
      </w:r>
      <w:r>
        <w:rPr>
          <w:rFonts w:hint="eastAsia"/>
          <w:sz w:val="24"/>
        </w:rPr>
        <w:t>(</w:t>
      </w:r>
      <w:r>
        <w:rPr>
          <w:sz w:val="24"/>
        </w:rPr>
        <w:t>CAT</w:t>
      </w:r>
      <w:r>
        <w:rPr>
          <w:rFonts w:hint="eastAsia"/>
          <w:sz w:val="24"/>
        </w:rPr>
        <w:t>)</w:t>
      </w:r>
      <w:r>
        <w:rPr>
          <w:sz w:val="24"/>
        </w:rPr>
        <w:t>和总抗氧化能力</w:t>
      </w:r>
      <w:r>
        <w:rPr>
          <w:rFonts w:hint="eastAsia"/>
          <w:sz w:val="24"/>
        </w:rPr>
        <w:t>(</w:t>
      </w:r>
      <w:r>
        <w:rPr>
          <w:sz w:val="24"/>
        </w:rPr>
        <w:t>T-AOC</w:t>
      </w:r>
      <w:r>
        <w:rPr>
          <w:rFonts w:hint="eastAsia"/>
          <w:sz w:val="24"/>
        </w:rPr>
        <w:t>)</w:t>
      </w:r>
      <w:r>
        <w:rPr>
          <w:sz w:val="24"/>
        </w:rPr>
        <w:t>，使用上海哈灵生物科技有限公司生产的相应试剂盒测定。</w:t>
      </w:r>
    </w:p>
    <w:p w14:paraId="13DB79A2" w14:textId="77777777" w:rsidR="006D73E5" w:rsidRDefault="00000000">
      <w:pPr>
        <w:spacing w:line="360" w:lineRule="auto"/>
        <w:rPr>
          <w:sz w:val="24"/>
        </w:rPr>
      </w:pPr>
      <w:r>
        <w:rPr>
          <w:sz w:val="24"/>
        </w:rPr>
        <w:t xml:space="preserve">1.5  </w:t>
      </w:r>
      <w:r>
        <w:rPr>
          <w:sz w:val="24"/>
        </w:rPr>
        <w:t>肠道组织切片</w:t>
      </w:r>
    </w:p>
    <w:p w14:paraId="65D5E582" w14:textId="77777777" w:rsidR="006D73E5" w:rsidRDefault="00000000">
      <w:pPr>
        <w:spacing w:line="360" w:lineRule="auto"/>
        <w:ind w:leftChars="200" w:left="420" w:firstLineChars="200" w:firstLine="480"/>
        <w:rPr>
          <w:sz w:val="24"/>
        </w:rPr>
      </w:pPr>
      <w:r>
        <w:rPr>
          <w:sz w:val="24"/>
        </w:rPr>
        <w:t>前肠组织放入</w:t>
      </w:r>
      <w:proofErr w:type="spellStart"/>
      <w:r>
        <w:rPr>
          <w:sz w:val="24"/>
        </w:rPr>
        <w:t>Bouin</w:t>
      </w:r>
      <w:proofErr w:type="spellEnd"/>
      <w:r>
        <w:rPr>
          <w:sz w:val="24"/>
        </w:rPr>
        <w:t>式固定液固定</w:t>
      </w:r>
      <w:r>
        <w:rPr>
          <w:sz w:val="24"/>
        </w:rPr>
        <w:t>48 h</w:t>
      </w:r>
      <w:r>
        <w:rPr>
          <w:sz w:val="24"/>
        </w:rPr>
        <w:t>后，分别经乙醇脱水、二甲苯透明、石蜡包埋、切片</w:t>
      </w:r>
      <w:r>
        <w:rPr>
          <w:rFonts w:hint="eastAsia"/>
          <w:sz w:val="24"/>
        </w:rPr>
        <w:t>(</w:t>
      </w:r>
      <w:r>
        <w:rPr>
          <w:sz w:val="24"/>
        </w:rPr>
        <w:t>厚度为</w:t>
      </w:r>
      <w:r>
        <w:rPr>
          <w:sz w:val="24"/>
        </w:rPr>
        <w:t xml:space="preserve"> 7 </w:t>
      </w:r>
      <w:proofErr w:type="spellStart"/>
      <w:r>
        <w:rPr>
          <w:sz w:val="24"/>
        </w:rPr>
        <w:t>μm</w:t>
      </w:r>
      <w:proofErr w:type="spellEnd"/>
      <w:r>
        <w:rPr>
          <w:rFonts w:hint="eastAsia"/>
          <w:sz w:val="24"/>
        </w:rPr>
        <w:t>)(</w:t>
      </w:r>
      <w:r>
        <w:rPr>
          <w:sz w:val="24"/>
        </w:rPr>
        <w:t xml:space="preserve">Leica RM2235 </w:t>
      </w:r>
      <w:r>
        <w:rPr>
          <w:sz w:val="24"/>
        </w:rPr>
        <w:t>切片机，德国</w:t>
      </w:r>
      <w:r>
        <w:rPr>
          <w:rFonts w:hint="eastAsia"/>
          <w:sz w:val="24"/>
        </w:rPr>
        <w:t>)</w:t>
      </w:r>
      <w:r>
        <w:rPr>
          <w:sz w:val="24"/>
        </w:rPr>
        <w:t>和苏木精</w:t>
      </w:r>
      <w:r>
        <w:rPr>
          <w:sz w:val="24"/>
        </w:rPr>
        <w:t>-</w:t>
      </w:r>
      <w:r>
        <w:rPr>
          <w:sz w:val="24"/>
        </w:rPr>
        <w:t>伊红</w:t>
      </w:r>
      <w:r>
        <w:rPr>
          <w:rFonts w:hint="eastAsia"/>
          <w:sz w:val="24"/>
        </w:rPr>
        <w:t>(</w:t>
      </w:r>
      <w:r>
        <w:rPr>
          <w:sz w:val="24"/>
        </w:rPr>
        <w:t>H.E</w:t>
      </w:r>
      <w:r>
        <w:rPr>
          <w:rFonts w:hint="eastAsia"/>
          <w:sz w:val="24"/>
        </w:rPr>
        <w:t>)</w:t>
      </w:r>
      <w:r>
        <w:rPr>
          <w:sz w:val="24"/>
        </w:rPr>
        <w:t>染色，最后在光镜下观察肠绒毛形态特征并拍照</w:t>
      </w:r>
      <w:r>
        <w:rPr>
          <w:rFonts w:hint="eastAsia"/>
          <w:sz w:val="24"/>
        </w:rPr>
        <w:t>(</w:t>
      </w:r>
      <w:r>
        <w:rPr>
          <w:sz w:val="24"/>
        </w:rPr>
        <w:t xml:space="preserve">Nikon YS100 </w:t>
      </w:r>
      <w:r>
        <w:rPr>
          <w:sz w:val="24"/>
        </w:rPr>
        <w:t>显微摄影系统</w:t>
      </w:r>
      <w:r>
        <w:rPr>
          <w:rFonts w:hint="eastAsia"/>
          <w:sz w:val="24"/>
        </w:rPr>
        <w:t>)</w:t>
      </w:r>
      <w:r>
        <w:rPr>
          <w:sz w:val="24"/>
        </w:rPr>
        <w:t>，用显微测微尺测量绒毛高度、宽度以及肌层厚度和绒毛周长。</w:t>
      </w:r>
    </w:p>
    <w:p w14:paraId="59D2AC21" w14:textId="77777777" w:rsidR="006D73E5" w:rsidRDefault="00000000">
      <w:pPr>
        <w:spacing w:line="360" w:lineRule="auto"/>
        <w:rPr>
          <w:sz w:val="24"/>
        </w:rPr>
      </w:pPr>
      <w:r>
        <w:rPr>
          <w:sz w:val="24"/>
        </w:rPr>
        <w:t xml:space="preserve">1.6  </w:t>
      </w:r>
      <w:r>
        <w:rPr>
          <w:sz w:val="24"/>
        </w:rPr>
        <w:t>数据处理</w:t>
      </w:r>
    </w:p>
    <w:p w14:paraId="02224A27" w14:textId="77777777" w:rsidR="006D73E5" w:rsidRDefault="00000000">
      <w:pPr>
        <w:spacing w:line="360" w:lineRule="auto"/>
        <w:ind w:firstLineChars="200" w:firstLine="480"/>
        <w:rPr>
          <w:sz w:val="24"/>
        </w:rPr>
      </w:pPr>
      <w:r>
        <w:rPr>
          <w:sz w:val="24"/>
        </w:rPr>
        <w:t>数据以平均值</w:t>
      </w:r>
      <w:r>
        <w:rPr>
          <w:sz w:val="24"/>
        </w:rPr>
        <w:t>±</w:t>
      </w:r>
      <w:r>
        <w:rPr>
          <w:sz w:val="24"/>
        </w:rPr>
        <w:t>标准差</w:t>
      </w:r>
      <w:r>
        <w:rPr>
          <w:rFonts w:hint="eastAsia"/>
          <w:sz w:val="24"/>
        </w:rPr>
        <w:t>(</w:t>
      </w:r>
      <w:r>
        <w:rPr>
          <w:sz w:val="24"/>
        </w:rPr>
        <w:t>SD</w:t>
      </w:r>
      <w:r>
        <w:rPr>
          <w:rFonts w:hint="eastAsia"/>
          <w:sz w:val="24"/>
        </w:rPr>
        <w:t>)</w:t>
      </w:r>
      <w:r>
        <w:rPr>
          <w:sz w:val="24"/>
        </w:rPr>
        <w:t>表示，采用</w:t>
      </w:r>
      <w:r>
        <w:rPr>
          <w:sz w:val="24"/>
        </w:rPr>
        <w:t xml:space="preserve"> SPSS 24.0 </w:t>
      </w:r>
      <w:r>
        <w:rPr>
          <w:sz w:val="24"/>
        </w:rPr>
        <w:t>分析软件进行</w:t>
      </w:r>
      <w:r>
        <w:rPr>
          <w:sz w:val="24"/>
        </w:rPr>
        <w:t xml:space="preserve"> ANOVA </w:t>
      </w:r>
      <w:r>
        <w:rPr>
          <w:sz w:val="24"/>
        </w:rPr>
        <w:t>单因子方差分析和</w:t>
      </w:r>
      <w:r>
        <w:rPr>
          <w:sz w:val="24"/>
        </w:rPr>
        <w:t xml:space="preserve"> Tukey </w:t>
      </w:r>
      <w:r>
        <w:rPr>
          <w:sz w:val="24"/>
        </w:rPr>
        <w:t>氏多重检验，以</w:t>
      </w:r>
      <w:r>
        <w:rPr>
          <w:sz w:val="24"/>
        </w:rPr>
        <w:t xml:space="preserve"> </w:t>
      </w:r>
      <w:r>
        <w:rPr>
          <w:i/>
          <w:iCs/>
          <w:sz w:val="24"/>
        </w:rPr>
        <w:t>P</w:t>
      </w:r>
      <w:r>
        <w:rPr>
          <w:rFonts w:hint="eastAsia"/>
          <w:sz w:val="24"/>
        </w:rPr>
        <w:t>＜</w:t>
      </w:r>
      <w:r>
        <w:rPr>
          <w:rFonts w:hint="eastAsia"/>
          <w:sz w:val="24"/>
        </w:rPr>
        <w:t>0</w:t>
      </w:r>
      <w:r>
        <w:rPr>
          <w:sz w:val="24"/>
        </w:rPr>
        <w:t>.05</w:t>
      </w:r>
      <w:r>
        <w:rPr>
          <w:rFonts w:hint="eastAsia"/>
          <w:sz w:val="24"/>
        </w:rPr>
        <w:t>作为</w:t>
      </w:r>
      <w:r>
        <w:rPr>
          <w:sz w:val="24"/>
        </w:rPr>
        <w:t>差异显著性判断标准</w:t>
      </w:r>
      <w:r>
        <w:rPr>
          <w:rFonts w:hint="eastAsia"/>
          <w:sz w:val="24"/>
        </w:rPr>
        <w:t>。</w:t>
      </w:r>
    </w:p>
    <w:p w14:paraId="78837DAD" w14:textId="77777777" w:rsidR="006D73E5" w:rsidRDefault="00000000">
      <w:pPr>
        <w:spacing w:line="360" w:lineRule="auto"/>
        <w:rPr>
          <w:sz w:val="24"/>
        </w:rPr>
      </w:pPr>
      <w:r>
        <w:rPr>
          <w:sz w:val="24"/>
        </w:rPr>
        <w:t xml:space="preserve">2  </w:t>
      </w:r>
      <w:r>
        <w:rPr>
          <w:sz w:val="24"/>
        </w:rPr>
        <w:t>结果</w:t>
      </w:r>
    </w:p>
    <w:p w14:paraId="677948F0" w14:textId="77777777" w:rsidR="006D73E5" w:rsidRDefault="00000000">
      <w:pPr>
        <w:spacing w:line="360" w:lineRule="auto"/>
        <w:rPr>
          <w:sz w:val="24"/>
        </w:rPr>
      </w:pPr>
      <w:r>
        <w:rPr>
          <w:sz w:val="24"/>
        </w:rPr>
        <w:t xml:space="preserve">2.1  </w:t>
      </w:r>
      <w:r>
        <w:rPr>
          <w:sz w:val="24"/>
        </w:rPr>
        <w:t>生长性能和形体指标</w:t>
      </w:r>
    </w:p>
    <w:p w14:paraId="32F0101B" w14:textId="77777777" w:rsidR="006D73E5" w:rsidRDefault="00000000">
      <w:pPr>
        <w:spacing w:line="360" w:lineRule="auto"/>
        <w:ind w:firstLineChars="200" w:firstLine="480"/>
        <w:rPr>
          <w:sz w:val="24"/>
        </w:rPr>
      </w:pPr>
      <w:r>
        <w:rPr>
          <w:sz w:val="24"/>
        </w:rPr>
        <w:t>经</w:t>
      </w:r>
      <w:r>
        <w:rPr>
          <w:sz w:val="24"/>
        </w:rPr>
        <w:t xml:space="preserve"> 56 d </w:t>
      </w:r>
      <w:r>
        <w:rPr>
          <w:sz w:val="24"/>
        </w:rPr>
        <w:t>养殖后，各组大口黑鲈生长良好，成活率均为</w:t>
      </w:r>
      <w:r>
        <w:rPr>
          <w:sz w:val="24"/>
        </w:rPr>
        <w:t>100%</w:t>
      </w:r>
      <w:r>
        <w:rPr>
          <w:sz w:val="24"/>
        </w:rPr>
        <w:t>。与对照组相比，各替代组的增重率均无显著差异</w:t>
      </w:r>
      <w:r>
        <w:rPr>
          <w:rFonts w:hint="eastAsia"/>
          <w:sz w:val="24"/>
        </w:rPr>
        <w:t>(</w:t>
      </w:r>
      <w:r>
        <w:rPr>
          <w:i/>
          <w:iCs/>
          <w:sz w:val="24"/>
        </w:rPr>
        <w:t>P</w:t>
      </w:r>
      <w:r>
        <w:rPr>
          <w:sz w:val="24"/>
        </w:rPr>
        <w:t xml:space="preserve"> &gt; 0.05</w:t>
      </w:r>
      <w:r>
        <w:rPr>
          <w:rFonts w:hint="eastAsia"/>
          <w:sz w:val="24"/>
        </w:rPr>
        <w:t>)</w:t>
      </w:r>
      <w:r>
        <w:rPr>
          <w:sz w:val="24"/>
        </w:rPr>
        <w:t>。在</w:t>
      </w:r>
      <w:r>
        <w:rPr>
          <w:sz w:val="24"/>
        </w:rPr>
        <w:t xml:space="preserve"> 3 </w:t>
      </w:r>
      <w:r>
        <w:rPr>
          <w:sz w:val="24"/>
        </w:rPr>
        <w:t>个鱼粉替代组中，</w:t>
      </w:r>
      <w:r>
        <w:rPr>
          <w:sz w:val="24"/>
        </w:rPr>
        <w:t xml:space="preserve">FSM </w:t>
      </w:r>
      <w:r>
        <w:rPr>
          <w:sz w:val="24"/>
        </w:rPr>
        <w:t>组的增重率显著低于</w:t>
      </w:r>
      <w:r>
        <w:rPr>
          <w:sz w:val="24"/>
        </w:rPr>
        <w:t>FSM+MBM</w:t>
      </w:r>
      <w:r>
        <w:rPr>
          <w:sz w:val="24"/>
        </w:rPr>
        <w:t>组</w:t>
      </w:r>
      <w:r>
        <w:rPr>
          <w:sz w:val="24"/>
        </w:rPr>
        <w:t xml:space="preserve"> </w:t>
      </w:r>
      <w:r>
        <w:rPr>
          <w:rFonts w:hint="eastAsia"/>
          <w:sz w:val="24"/>
        </w:rPr>
        <w:t>(</w:t>
      </w:r>
      <w:r>
        <w:rPr>
          <w:sz w:val="24"/>
        </w:rPr>
        <w:t>P</w:t>
      </w:r>
      <w:r>
        <w:rPr>
          <w:rFonts w:hint="eastAsia"/>
          <w:sz w:val="24"/>
        </w:rPr>
        <w:t>＜</w:t>
      </w:r>
      <w:r>
        <w:rPr>
          <w:sz w:val="24"/>
        </w:rPr>
        <w:t>0.05</w:t>
      </w:r>
      <w:r>
        <w:rPr>
          <w:rFonts w:hint="eastAsia"/>
          <w:sz w:val="24"/>
        </w:rPr>
        <w:t>)(</w:t>
      </w:r>
      <w:r>
        <w:rPr>
          <w:sz w:val="24"/>
        </w:rPr>
        <w:t>表</w:t>
      </w:r>
      <w:r>
        <w:rPr>
          <w:sz w:val="24"/>
        </w:rPr>
        <w:t xml:space="preserve"> 2</w:t>
      </w:r>
      <w:r>
        <w:rPr>
          <w:rFonts w:hint="eastAsia"/>
          <w:sz w:val="24"/>
        </w:rPr>
        <w:t>)</w:t>
      </w:r>
      <w:r>
        <w:rPr>
          <w:sz w:val="24"/>
        </w:rPr>
        <w:t>。</w:t>
      </w:r>
    </w:p>
    <w:p w14:paraId="3EA6AB62" w14:textId="77777777" w:rsidR="006D73E5" w:rsidRDefault="00000000">
      <w:pPr>
        <w:spacing w:line="360" w:lineRule="auto"/>
        <w:jc w:val="center"/>
        <w:rPr>
          <w:sz w:val="24"/>
        </w:rPr>
      </w:pPr>
      <w:r>
        <w:rPr>
          <w:noProof/>
          <w:sz w:val="24"/>
        </w:rPr>
        <w:drawing>
          <wp:inline distT="0" distB="0" distL="0" distR="0" wp14:anchorId="574CEDC5" wp14:editId="3D4A7E2D">
            <wp:extent cx="4032250" cy="1834515"/>
            <wp:effectExtent l="0" t="0" r="6350" b="1333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a:xfrm>
                      <a:off x="0" y="0"/>
                      <a:ext cx="4092215" cy="1834515"/>
                    </a:xfrm>
                    <a:prstGeom prst="rect">
                      <a:avLst/>
                    </a:prstGeom>
                    <a:noFill/>
                    <a:ln>
                      <a:noFill/>
                    </a:ln>
                  </pic:spPr>
                </pic:pic>
              </a:graphicData>
            </a:graphic>
          </wp:inline>
        </w:drawing>
      </w:r>
    </w:p>
    <w:p w14:paraId="1B09A4B2" w14:textId="77777777" w:rsidR="006D73E5" w:rsidRDefault="00000000">
      <w:pPr>
        <w:spacing w:line="360" w:lineRule="auto"/>
        <w:rPr>
          <w:sz w:val="24"/>
        </w:rPr>
      </w:pPr>
      <w:r>
        <w:rPr>
          <w:sz w:val="24"/>
        </w:rPr>
        <w:t xml:space="preserve">2.2  </w:t>
      </w:r>
      <w:r>
        <w:rPr>
          <w:sz w:val="24"/>
        </w:rPr>
        <w:t>全鱼成分</w:t>
      </w:r>
    </w:p>
    <w:p w14:paraId="5C000F30" w14:textId="77777777" w:rsidR="006D73E5" w:rsidRDefault="00000000">
      <w:pPr>
        <w:spacing w:line="360" w:lineRule="auto"/>
        <w:ind w:firstLineChars="200" w:firstLine="480"/>
        <w:rPr>
          <w:sz w:val="24"/>
        </w:rPr>
      </w:pPr>
      <w:r>
        <w:rPr>
          <w:sz w:val="24"/>
        </w:rPr>
        <w:t>各组的全鱼水分、粗蛋白、粗脂肪和粗灰分含量均无显著差异</w:t>
      </w:r>
      <w:r>
        <w:rPr>
          <w:rFonts w:hint="eastAsia"/>
          <w:sz w:val="24"/>
        </w:rPr>
        <w:t>(</w:t>
      </w:r>
      <w:r>
        <w:rPr>
          <w:i/>
          <w:iCs/>
          <w:sz w:val="24"/>
        </w:rPr>
        <w:t>P</w:t>
      </w:r>
      <w:r>
        <w:rPr>
          <w:sz w:val="24"/>
        </w:rPr>
        <w:t>&gt;0.05</w:t>
      </w:r>
      <w:r>
        <w:rPr>
          <w:rFonts w:hint="eastAsia"/>
          <w:sz w:val="24"/>
        </w:rPr>
        <w:t>)</w:t>
      </w:r>
      <w:r>
        <w:rPr>
          <w:sz w:val="24"/>
        </w:rPr>
        <w:t>(</w:t>
      </w:r>
      <w:r>
        <w:rPr>
          <w:sz w:val="24"/>
        </w:rPr>
        <w:t>表</w:t>
      </w:r>
      <w:r>
        <w:rPr>
          <w:sz w:val="24"/>
        </w:rPr>
        <w:t xml:space="preserve"> 3)</w:t>
      </w:r>
      <w:r>
        <w:rPr>
          <w:sz w:val="24"/>
        </w:rPr>
        <w:t>。</w:t>
      </w:r>
    </w:p>
    <w:p w14:paraId="09538C11" w14:textId="77777777" w:rsidR="006D73E5" w:rsidRDefault="00000000">
      <w:pPr>
        <w:spacing w:line="360" w:lineRule="auto"/>
        <w:jc w:val="center"/>
        <w:rPr>
          <w:sz w:val="24"/>
        </w:rPr>
      </w:pPr>
      <w:r>
        <w:rPr>
          <w:noProof/>
          <w:sz w:val="24"/>
        </w:rPr>
        <w:lastRenderedPageBreak/>
        <w:drawing>
          <wp:inline distT="0" distB="0" distL="0" distR="0" wp14:anchorId="6DD7557E" wp14:editId="78F7B81C">
            <wp:extent cx="4608195" cy="1419225"/>
            <wp:effectExtent l="0" t="0" r="1905" b="9525"/>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4695862" cy="1446651"/>
                    </a:xfrm>
                    <a:prstGeom prst="rect">
                      <a:avLst/>
                    </a:prstGeom>
                    <a:noFill/>
                    <a:ln>
                      <a:noFill/>
                    </a:ln>
                  </pic:spPr>
                </pic:pic>
              </a:graphicData>
            </a:graphic>
          </wp:inline>
        </w:drawing>
      </w:r>
    </w:p>
    <w:p w14:paraId="653123AB" w14:textId="77777777" w:rsidR="006D73E5" w:rsidRDefault="00000000">
      <w:pPr>
        <w:spacing w:line="360" w:lineRule="auto"/>
        <w:rPr>
          <w:sz w:val="24"/>
        </w:rPr>
      </w:pPr>
      <w:r>
        <w:rPr>
          <w:sz w:val="24"/>
        </w:rPr>
        <w:t xml:space="preserve">2.3  </w:t>
      </w:r>
      <w:r>
        <w:rPr>
          <w:sz w:val="24"/>
        </w:rPr>
        <w:t>营养物质利用率</w:t>
      </w:r>
    </w:p>
    <w:p w14:paraId="29323981" w14:textId="77777777" w:rsidR="006D73E5" w:rsidRDefault="00000000">
      <w:pPr>
        <w:spacing w:line="360" w:lineRule="auto"/>
        <w:ind w:firstLineChars="200" w:firstLine="480"/>
        <w:rPr>
          <w:sz w:val="24"/>
        </w:rPr>
      </w:pPr>
      <w:r>
        <w:rPr>
          <w:sz w:val="24"/>
        </w:rPr>
        <w:t xml:space="preserve">FSM </w:t>
      </w:r>
      <w:r>
        <w:rPr>
          <w:sz w:val="24"/>
        </w:rPr>
        <w:t>组的蛋白质效率和脂肪沉积率较对照组显著降低</w:t>
      </w:r>
      <w:r>
        <w:rPr>
          <w:rFonts w:hint="eastAsia"/>
          <w:sz w:val="24"/>
        </w:rPr>
        <w:t>(</w:t>
      </w:r>
      <w:r>
        <w:rPr>
          <w:i/>
          <w:iCs/>
          <w:sz w:val="24"/>
        </w:rPr>
        <w:t>P</w:t>
      </w:r>
      <w:r>
        <w:rPr>
          <w:rFonts w:hint="eastAsia"/>
          <w:sz w:val="24"/>
        </w:rPr>
        <w:t>＜</w:t>
      </w:r>
      <w:r>
        <w:rPr>
          <w:sz w:val="24"/>
        </w:rPr>
        <w:t>0.05</w:t>
      </w:r>
      <w:r>
        <w:rPr>
          <w:rFonts w:hint="eastAsia"/>
          <w:sz w:val="24"/>
        </w:rPr>
        <w:t>)(</w:t>
      </w:r>
      <w:r>
        <w:rPr>
          <w:sz w:val="24"/>
        </w:rPr>
        <w:t>表</w:t>
      </w:r>
      <w:r>
        <w:rPr>
          <w:sz w:val="24"/>
        </w:rPr>
        <w:t xml:space="preserve"> 4</w:t>
      </w:r>
      <w:r>
        <w:rPr>
          <w:rFonts w:hint="eastAsia"/>
          <w:sz w:val="24"/>
        </w:rPr>
        <w:t>)</w:t>
      </w:r>
      <w:r>
        <w:rPr>
          <w:rFonts w:hint="eastAsia"/>
          <w:sz w:val="24"/>
        </w:rPr>
        <w:t>。</w:t>
      </w:r>
      <w:r>
        <w:rPr>
          <w:sz w:val="24"/>
        </w:rPr>
        <w:t>各组的蛋白质沉积率、干物质消化率和蛋白质消化率均无显著差异</w:t>
      </w:r>
      <w:r>
        <w:rPr>
          <w:rFonts w:hint="eastAsia"/>
          <w:sz w:val="24"/>
        </w:rPr>
        <w:t>(</w:t>
      </w:r>
      <w:r>
        <w:rPr>
          <w:i/>
          <w:iCs/>
          <w:sz w:val="24"/>
        </w:rPr>
        <w:t>P</w:t>
      </w:r>
      <w:r>
        <w:rPr>
          <w:sz w:val="24"/>
        </w:rPr>
        <w:t>&gt;0.05</w:t>
      </w:r>
      <w:r>
        <w:rPr>
          <w:rFonts w:hint="eastAsia"/>
          <w:sz w:val="24"/>
        </w:rPr>
        <w:t>)(</w:t>
      </w:r>
      <w:r>
        <w:rPr>
          <w:sz w:val="24"/>
        </w:rPr>
        <w:t>表</w:t>
      </w:r>
      <w:r>
        <w:rPr>
          <w:sz w:val="24"/>
        </w:rPr>
        <w:t xml:space="preserve"> 4</w:t>
      </w:r>
      <w:r>
        <w:rPr>
          <w:rFonts w:hint="eastAsia"/>
          <w:sz w:val="24"/>
        </w:rPr>
        <w:t>)</w:t>
      </w:r>
      <w:r>
        <w:rPr>
          <w:sz w:val="24"/>
        </w:rPr>
        <w:t>。</w:t>
      </w:r>
    </w:p>
    <w:p w14:paraId="06D4D04D" w14:textId="77777777" w:rsidR="006D73E5" w:rsidRDefault="00000000">
      <w:pPr>
        <w:spacing w:line="360" w:lineRule="auto"/>
        <w:jc w:val="center"/>
        <w:rPr>
          <w:sz w:val="24"/>
        </w:rPr>
      </w:pPr>
      <w:r>
        <w:rPr>
          <w:noProof/>
          <w:sz w:val="24"/>
        </w:rPr>
        <w:drawing>
          <wp:inline distT="0" distB="0" distL="0" distR="0" wp14:anchorId="525EF565" wp14:editId="1FF8FAD6">
            <wp:extent cx="5156835" cy="2475230"/>
            <wp:effectExtent l="0" t="0" r="5715" b="127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a:xfrm>
                      <a:off x="0" y="0"/>
                      <a:ext cx="5203289" cy="2497743"/>
                    </a:xfrm>
                    <a:prstGeom prst="rect">
                      <a:avLst/>
                    </a:prstGeom>
                    <a:noFill/>
                    <a:ln>
                      <a:noFill/>
                    </a:ln>
                  </pic:spPr>
                </pic:pic>
              </a:graphicData>
            </a:graphic>
          </wp:inline>
        </w:drawing>
      </w:r>
    </w:p>
    <w:p w14:paraId="2D47C38F" w14:textId="77777777" w:rsidR="006D73E5" w:rsidRDefault="00000000">
      <w:pPr>
        <w:spacing w:line="360" w:lineRule="auto"/>
        <w:rPr>
          <w:sz w:val="24"/>
        </w:rPr>
      </w:pPr>
      <w:r>
        <w:rPr>
          <w:sz w:val="24"/>
        </w:rPr>
        <w:t xml:space="preserve">2.4  </w:t>
      </w:r>
      <w:r>
        <w:rPr>
          <w:sz w:val="24"/>
        </w:rPr>
        <w:t>血清生化指标</w:t>
      </w:r>
    </w:p>
    <w:p w14:paraId="35261785" w14:textId="77777777" w:rsidR="006D73E5" w:rsidRDefault="00000000">
      <w:pPr>
        <w:spacing w:line="360" w:lineRule="auto"/>
        <w:ind w:firstLineChars="200" w:firstLine="480"/>
        <w:rPr>
          <w:sz w:val="24"/>
        </w:rPr>
      </w:pPr>
      <w:r>
        <w:rPr>
          <w:sz w:val="24"/>
        </w:rPr>
        <w:t>与对照组相比，</w:t>
      </w:r>
      <w:r>
        <w:rPr>
          <w:sz w:val="24"/>
        </w:rPr>
        <w:t xml:space="preserve">FSM </w:t>
      </w:r>
      <w:r>
        <w:rPr>
          <w:sz w:val="24"/>
        </w:rPr>
        <w:t>组的血清谷草转氨酶显著增加，而血清总抗氧化能力以及超氧化物歧化酶、溶菌酶活性显著降低</w:t>
      </w:r>
      <w:r>
        <w:rPr>
          <w:rFonts w:hint="eastAsia"/>
          <w:sz w:val="24"/>
        </w:rPr>
        <w:t>(</w:t>
      </w:r>
      <w:r>
        <w:rPr>
          <w:i/>
          <w:iCs/>
          <w:sz w:val="24"/>
        </w:rPr>
        <w:t>P</w:t>
      </w:r>
      <w:r>
        <w:rPr>
          <w:rFonts w:hint="eastAsia"/>
          <w:sz w:val="24"/>
        </w:rPr>
        <w:t>＜</w:t>
      </w:r>
      <w:r>
        <w:rPr>
          <w:sz w:val="24"/>
        </w:rPr>
        <w:t>0.05)</w:t>
      </w:r>
      <w:r>
        <w:rPr>
          <w:sz w:val="24"/>
        </w:rPr>
        <w:t>。此外，各组间在血清总蛋白、白蛋白和球蛋白含量上无显著差异</w:t>
      </w:r>
      <w:r>
        <w:rPr>
          <w:rFonts w:hint="eastAsia"/>
          <w:sz w:val="24"/>
        </w:rPr>
        <w:t>(</w:t>
      </w:r>
      <w:r>
        <w:rPr>
          <w:i/>
          <w:iCs/>
          <w:sz w:val="24"/>
        </w:rPr>
        <w:t>P</w:t>
      </w:r>
      <w:r>
        <w:rPr>
          <w:sz w:val="24"/>
        </w:rPr>
        <w:t>&gt;0.05</w:t>
      </w:r>
      <w:r>
        <w:rPr>
          <w:rFonts w:hint="eastAsia"/>
          <w:sz w:val="24"/>
        </w:rPr>
        <w:t>)</w:t>
      </w:r>
      <w:r>
        <w:rPr>
          <w:sz w:val="24"/>
        </w:rPr>
        <w:t>(</w:t>
      </w:r>
      <w:r>
        <w:rPr>
          <w:sz w:val="24"/>
        </w:rPr>
        <w:t>表</w:t>
      </w:r>
      <w:r>
        <w:rPr>
          <w:sz w:val="24"/>
        </w:rPr>
        <w:t xml:space="preserve"> 5)</w:t>
      </w:r>
      <w:r>
        <w:rPr>
          <w:sz w:val="24"/>
        </w:rPr>
        <w:t>。</w:t>
      </w:r>
    </w:p>
    <w:p w14:paraId="1161299A" w14:textId="77777777" w:rsidR="006D73E5" w:rsidRDefault="00000000">
      <w:pPr>
        <w:spacing w:line="360" w:lineRule="auto"/>
        <w:jc w:val="center"/>
        <w:rPr>
          <w:sz w:val="24"/>
        </w:rPr>
      </w:pPr>
      <w:r>
        <w:rPr>
          <w:noProof/>
          <w:sz w:val="24"/>
        </w:rPr>
        <w:drawing>
          <wp:inline distT="0" distB="0" distL="0" distR="0" wp14:anchorId="2DBBA0BC" wp14:editId="12122098">
            <wp:extent cx="4570730" cy="1743075"/>
            <wp:effectExtent l="0" t="0" r="1270" b="952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4570815" cy="1743075"/>
                    </a:xfrm>
                    <a:prstGeom prst="rect">
                      <a:avLst/>
                    </a:prstGeom>
                    <a:noFill/>
                    <a:ln>
                      <a:noFill/>
                    </a:ln>
                  </pic:spPr>
                </pic:pic>
              </a:graphicData>
            </a:graphic>
          </wp:inline>
        </w:drawing>
      </w:r>
    </w:p>
    <w:p w14:paraId="5785BC14" w14:textId="77777777" w:rsidR="006D73E5" w:rsidRDefault="00000000">
      <w:pPr>
        <w:spacing w:line="360" w:lineRule="auto"/>
        <w:rPr>
          <w:sz w:val="24"/>
        </w:rPr>
      </w:pPr>
      <w:r>
        <w:rPr>
          <w:sz w:val="24"/>
        </w:rPr>
        <w:t xml:space="preserve">2.5  </w:t>
      </w:r>
      <w:r>
        <w:rPr>
          <w:sz w:val="24"/>
        </w:rPr>
        <w:t>前肠组织学</w:t>
      </w:r>
    </w:p>
    <w:p w14:paraId="408D41E1" w14:textId="77777777" w:rsidR="006D73E5" w:rsidRDefault="00000000">
      <w:pPr>
        <w:spacing w:line="360" w:lineRule="auto"/>
        <w:ind w:firstLineChars="200" w:firstLine="480"/>
        <w:rPr>
          <w:sz w:val="24"/>
        </w:rPr>
      </w:pPr>
      <w:r>
        <w:rPr>
          <w:sz w:val="24"/>
        </w:rPr>
        <w:t>与对照组相比，各替代组绒毛宽度均显著降低</w:t>
      </w:r>
      <w:r>
        <w:rPr>
          <w:rFonts w:hint="eastAsia"/>
          <w:sz w:val="24"/>
        </w:rPr>
        <w:t>(</w:t>
      </w:r>
      <w:r>
        <w:rPr>
          <w:i/>
          <w:iCs/>
          <w:sz w:val="24"/>
        </w:rPr>
        <w:t>P</w:t>
      </w:r>
      <w:r>
        <w:rPr>
          <w:rFonts w:hint="eastAsia"/>
          <w:sz w:val="24"/>
        </w:rPr>
        <w:t>＜</w:t>
      </w:r>
      <w:r>
        <w:rPr>
          <w:rFonts w:hint="eastAsia"/>
          <w:sz w:val="24"/>
        </w:rPr>
        <w:t>0</w:t>
      </w:r>
      <w:r>
        <w:rPr>
          <w:sz w:val="24"/>
        </w:rPr>
        <w:t>.05)</w:t>
      </w:r>
      <w:r>
        <w:rPr>
          <w:rFonts w:hint="eastAsia"/>
          <w:sz w:val="24"/>
        </w:rPr>
        <w:t>，</w:t>
      </w:r>
      <w:r>
        <w:rPr>
          <w:sz w:val="24"/>
        </w:rPr>
        <w:t>但</w:t>
      </w:r>
      <w:r>
        <w:rPr>
          <w:sz w:val="24"/>
        </w:rPr>
        <w:t xml:space="preserve"> FSM </w:t>
      </w:r>
      <w:r>
        <w:rPr>
          <w:sz w:val="24"/>
        </w:rPr>
        <w:t>组的绒毛高度、肌</w:t>
      </w:r>
      <w:r>
        <w:rPr>
          <w:sz w:val="24"/>
        </w:rPr>
        <w:lastRenderedPageBreak/>
        <w:t>层厚度以及绒毛周长显著增加</w:t>
      </w:r>
      <w:r>
        <w:rPr>
          <w:rFonts w:hint="eastAsia"/>
          <w:sz w:val="24"/>
        </w:rPr>
        <w:t>(</w:t>
      </w:r>
      <w:r>
        <w:rPr>
          <w:i/>
          <w:iCs/>
          <w:sz w:val="24"/>
        </w:rPr>
        <w:t>P</w:t>
      </w:r>
      <w:r>
        <w:rPr>
          <w:sz w:val="24"/>
        </w:rPr>
        <w:t>＜</w:t>
      </w:r>
      <w:r>
        <w:rPr>
          <w:rFonts w:hint="eastAsia"/>
          <w:sz w:val="24"/>
        </w:rPr>
        <w:t>0</w:t>
      </w:r>
      <w:r>
        <w:rPr>
          <w:sz w:val="24"/>
        </w:rPr>
        <w:t>.05) (</w:t>
      </w:r>
      <w:r>
        <w:rPr>
          <w:sz w:val="24"/>
        </w:rPr>
        <w:t>表</w:t>
      </w:r>
      <w:r>
        <w:rPr>
          <w:sz w:val="24"/>
        </w:rPr>
        <w:t xml:space="preserve"> 5)</w:t>
      </w:r>
      <w:r>
        <w:rPr>
          <w:rFonts w:hint="eastAsia"/>
          <w:sz w:val="24"/>
        </w:rPr>
        <w:t>。</w:t>
      </w:r>
    </w:p>
    <w:p w14:paraId="06251CD3" w14:textId="77777777" w:rsidR="006D73E5" w:rsidRDefault="00000000">
      <w:pPr>
        <w:spacing w:line="360" w:lineRule="auto"/>
        <w:ind w:firstLineChars="200" w:firstLine="480"/>
        <w:jc w:val="center"/>
        <w:rPr>
          <w:sz w:val="24"/>
        </w:rPr>
      </w:pPr>
      <w:r>
        <w:rPr>
          <w:noProof/>
          <w:sz w:val="24"/>
        </w:rPr>
        <w:drawing>
          <wp:inline distT="0" distB="0" distL="0" distR="0" wp14:anchorId="5C7927F5" wp14:editId="2EFEB972">
            <wp:extent cx="5263515" cy="1716405"/>
            <wp:effectExtent l="0" t="0" r="13335" b="1714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5302096" cy="1716405"/>
                    </a:xfrm>
                    <a:prstGeom prst="rect">
                      <a:avLst/>
                    </a:prstGeom>
                    <a:noFill/>
                    <a:ln>
                      <a:noFill/>
                    </a:ln>
                  </pic:spPr>
                </pic:pic>
              </a:graphicData>
            </a:graphic>
          </wp:inline>
        </w:drawing>
      </w:r>
    </w:p>
    <w:p w14:paraId="58CF7416" w14:textId="77777777" w:rsidR="006D73E5" w:rsidRDefault="00000000">
      <w:pPr>
        <w:spacing w:line="360" w:lineRule="auto"/>
        <w:ind w:firstLineChars="200" w:firstLine="480"/>
        <w:jc w:val="center"/>
        <w:rPr>
          <w:sz w:val="24"/>
        </w:rPr>
      </w:pPr>
      <w:r>
        <w:rPr>
          <w:noProof/>
          <w:sz w:val="24"/>
        </w:rPr>
        <w:drawing>
          <wp:inline distT="0" distB="0" distL="0" distR="0" wp14:anchorId="7D1D2347" wp14:editId="61DF44F7">
            <wp:extent cx="1711325" cy="3086735"/>
            <wp:effectExtent l="0" t="0" r="3175" b="1841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1711325" cy="3086735"/>
                    </a:xfrm>
                    <a:prstGeom prst="rect">
                      <a:avLst/>
                    </a:prstGeom>
                    <a:noFill/>
                    <a:ln>
                      <a:noFill/>
                    </a:ln>
                  </pic:spPr>
                </pic:pic>
              </a:graphicData>
            </a:graphic>
          </wp:inline>
        </w:drawing>
      </w:r>
      <w:r>
        <w:rPr>
          <w:noProof/>
          <w:sz w:val="24"/>
        </w:rPr>
        <w:drawing>
          <wp:inline distT="0" distB="0" distL="0" distR="0" wp14:anchorId="4D65A068" wp14:editId="4EC7861B">
            <wp:extent cx="3596640" cy="2513330"/>
            <wp:effectExtent l="0" t="0" r="3810" b="127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a:xfrm>
                      <a:off x="0" y="0"/>
                      <a:ext cx="3596640" cy="2513330"/>
                    </a:xfrm>
                    <a:prstGeom prst="rect">
                      <a:avLst/>
                    </a:prstGeom>
                    <a:noFill/>
                    <a:ln>
                      <a:noFill/>
                    </a:ln>
                  </pic:spPr>
                </pic:pic>
              </a:graphicData>
            </a:graphic>
          </wp:inline>
        </w:drawing>
      </w:r>
    </w:p>
    <w:p w14:paraId="29A55AFE" w14:textId="77777777" w:rsidR="006D73E5" w:rsidRDefault="00000000">
      <w:pPr>
        <w:spacing w:line="360" w:lineRule="auto"/>
        <w:rPr>
          <w:sz w:val="24"/>
        </w:rPr>
      </w:pPr>
      <w:r>
        <w:rPr>
          <w:sz w:val="24"/>
        </w:rPr>
        <w:t xml:space="preserve">3  </w:t>
      </w:r>
      <w:r>
        <w:rPr>
          <w:sz w:val="24"/>
        </w:rPr>
        <w:t>讨论</w:t>
      </w:r>
    </w:p>
    <w:p w14:paraId="47A0846F" w14:textId="77777777" w:rsidR="006D73E5" w:rsidRDefault="00000000">
      <w:pPr>
        <w:spacing w:line="360" w:lineRule="auto"/>
        <w:rPr>
          <w:sz w:val="24"/>
        </w:rPr>
      </w:pPr>
      <w:r>
        <w:rPr>
          <w:sz w:val="24"/>
        </w:rPr>
        <w:t xml:space="preserve">3.1  </w:t>
      </w:r>
      <w:r>
        <w:rPr>
          <w:sz w:val="24"/>
        </w:rPr>
        <w:t>对大口黑鲈生长性能、营养物质利用和体成分的影响</w:t>
      </w:r>
    </w:p>
    <w:p w14:paraId="74057F12" w14:textId="77777777" w:rsidR="006D73E5" w:rsidRDefault="00000000">
      <w:pPr>
        <w:spacing w:line="360" w:lineRule="auto"/>
        <w:ind w:firstLineChars="200" w:firstLine="480"/>
        <w:rPr>
          <w:sz w:val="24"/>
        </w:rPr>
      </w:pPr>
      <w:proofErr w:type="spellStart"/>
      <w:r>
        <w:rPr>
          <w:sz w:val="24"/>
        </w:rPr>
        <w:t>Rahimnejad</w:t>
      </w:r>
      <w:proofErr w:type="spellEnd"/>
      <w:r>
        <w:rPr>
          <w:sz w:val="24"/>
        </w:rPr>
        <w:t>等</w:t>
      </w:r>
      <w:r>
        <w:rPr>
          <w:sz w:val="24"/>
          <w:vertAlign w:val="superscript"/>
        </w:rPr>
        <w:t>[19]</w:t>
      </w:r>
      <w:r>
        <w:rPr>
          <w:sz w:val="24"/>
        </w:rPr>
        <w:t>和</w:t>
      </w:r>
      <w:r>
        <w:rPr>
          <w:sz w:val="24"/>
        </w:rPr>
        <w:t>He</w:t>
      </w:r>
      <w:r>
        <w:rPr>
          <w:sz w:val="24"/>
        </w:rPr>
        <w:t>等</w:t>
      </w:r>
      <w:r>
        <w:rPr>
          <w:sz w:val="24"/>
          <w:vertAlign w:val="superscript"/>
        </w:rPr>
        <w:t>[20]</w:t>
      </w:r>
      <w:r>
        <w:rPr>
          <w:sz w:val="24"/>
        </w:rPr>
        <w:t>报道，发酵豆粕可以在中国花鲈</w:t>
      </w:r>
      <w:r>
        <w:rPr>
          <w:rFonts w:hint="eastAsia"/>
          <w:sz w:val="24"/>
        </w:rPr>
        <w:t>(</w:t>
      </w:r>
      <w:proofErr w:type="spellStart"/>
      <w:r>
        <w:rPr>
          <w:i/>
          <w:iCs/>
          <w:sz w:val="24"/>
        </w:rPr>
        <w:t>Lateolabrax</w:t>
      </w:r>
      <w:proofErr w:type="spellEnd"/>
      <w:r>
        <w:rPr>
          <w:i/>
          <w:iCs/>
          <w:sz w:val="24"/>
        </w:rPr>
        <w:t xml:space="preserve"> maculatus</w:t>
      </w:r>
      <w:r>
        <w:rPr>
          <w:rFonts w:hint="eastAsia"/>
          <w:sz w:val="24"/>
        </w:rPr>
        <w:t>)</w:t>
      </w:r>
      <w:r>
        <w:rPr>
          <w:sz w:val="24"/>
        </w:rPr>
        <w:t>和大口黑鲈饲料</w:t>
      </w:r>
      <w:r>
        <w:rPr>
          <w:rFonts w:hint="eastAsia"/>
          <w:sz w:val="24"/>
        </w:rPr>
        <w:t>(</w:t>
      </w:r>
      <w:r>
        <w:rPr>
          <w:sz w:val="24"/>
        </w:rPr>
        <w:t>鱼粉含量为</w:t>
      </w:r>
      <w:r>
        <w:rPr>
          <w:sz w:val="24"/>
        </w:rPr>
        <w:t xml:space="preserve"> 350 g/kg</w:t>
      </w:r>
      <w:r>
        <w:rPr>
          <w:rFonts w:hint="eastAsia"/>
          <w:sz w:val="24"/>
        </w:rPr>
        <w:t>)</w:t>
      </w:r>
      <w:r>
        <w:rPr>
          <w:sz w:val="24"/>
        </w:rPr>
        <w:t>中替代</w:t>
      </w:r>
      <w:r>
        <w:rPr>
          <w:sz w:val="24"/>
        </w:rPr>
        <w:t>32.1%</w:t>
      </w:r>
      <w:r>
        <w:rPr>
          <w:sz w:val="24"/>
        </w:rPr>
        <w:t>和</w:t>
      </w:r>
      <w:r>
        <w:rPr>
          <w:sz w:val="24"/>
        </w:rPr>
        <w:t>30%</w:t>
      </w:r>
      <w:r>
        <w:rPr>
          <w:sz w:val="24"/>
        </w:rPr>
        <w:t>的鱼粉用量，对增重率没有产生不利影响。马晓</w:t>
      </w:r>
      <w:r>
        <w:rPr>
          <w:sz w:val="24"/>
          <w:vertAlign w:val="superscript"/>
        </w:rPr>
        <w:t>[11]</w:t>
      </w:r>
      <w:r>
        <w:rPr>
          <w:sz w:val="24"/>
        </w:rPr>
        <w:t>和</w:t>
      </w:r>
      <w:r>
        <w:rPr>
          <w:sz w:val="24"/>
        </w:rPr>
        <w:t>Ai</w:t>
      </w:r>
      <w:r>
        <w:rPr>
          <w:sz w:val="24"/>
        </w:rPr>
        <w:t>等</w:t>
      </w:r>
      <w:r>
        <w:rPr>
          <w:sz w:val="24"/>
          <w:vertAlign w:val="superscript"/>
        </w:rPr>
        <w:t>[10]</w:t>
      </w:r>
      <w:r>
        <w:rPr>
          <w:sz w:val="24"/>
        </w:rPr>
        <w:t>等实验表明，在鱼粉含量为</w:t>
      </w:r>
      <w:r>
        <w:rPr>
          <w:sz w:val="24"/>
        </w:rPr>
        <w:t xml:space="preserve"> 600</w:t>
      </w:r>
      <w:r>
        <w:rPr>
          <w:sz w:val="24"/>
        </w:rPr>
        <w:t>和</w:t>
      </w:r>
      <w:r>
        <w:rPr>
          <w:sz w:val="24"/>
        </w:rPr>
        <w:t>550 g/kg</w:t>
      </w:r>
      <w:r>
        <w:rPr>
          <w:sz w:val="24"/>
        </w:rPr>
        <w:t>的饲料中，肉骨粉可以分别替代黄鳝和大黄鱼饲料中</w:t>
      </w:r>
      <w:r>
        <w:rPr>
          <w:sz w:val="24"/>
        </w:rPr>
        <w:t>37.5%</w:t>
      </w:r>
      <w:r>
        <w:rPr>
          <w:sz w:val="24"/>
        </w:rPr>
        <w:t>和</w:t>
      </w:r>
      <w:r>
        <w:rPr>
          <w:sz w:val="24"/>
        </w:rPr>
        <w:t xml:space="preserve"> 45% </w:t>
      </w:r>
      <w:r>
        <w:rPr>
          <w:sz w:val="24"/>
        </w:rPr>
        <w:t>的鱼粉，不会对其生长性能有负面影响。由上述研究可知，在多数肉食性鱼</w:t>
      </w:r>
      <w:r>
        <w:rPr>
          <w:sz w:val="24"/>
        </w:rPr>
        <w:t xml:space="preserve"> </w:t>
      </w:r>
      <w:r>
        <w:rPr>
          <w:sz w:val="24"/>
        </w:rPr>
        <w:t>类中，发酵豆粕和肉骨粉替代鱼粉的比例分别一般约为</w:t>
      </w:r>
      <w:r>
        <w:rPr>
          <w:sz w:val="24"/>
        </w:rPr>
        <w:t>30%</w:t>
      </w:r>
      <w:r>
        <w:rPr>
          <w:sz w:val="24"/>
        </w:rPr>
        <w:t>和</w:t>
      </w:r>
      <w:r>
        <w:rPr>
          <w:sz w:val="24"/>
        </w:rPr>
        <w:t>40%</w:t>
      </w:r>
      <w:r>
        <w:rPr>
          <w:sz w:val="24"/>
        </w:rPr>
        <w:t>。本实验中发酵豆粕和肉骨粉替代了</w:t>
      </w:r>
      <w:r>
        <w:rPr>
          <w:sz w:val="24"/>
        </w:rPr>
        <w:t>150 g/kg</w:t>
      </w:r>
      <w:r>
        <w:rPr>
          <w:sz w:val="24"/>
        </w:rPr>
        <w:t>鱼粉，相应替代比例为</w:t>
      </w:r>
      <w:r>
        <w:rPr>
          <w:sz w:val="24"/>
        </w:rPr>
        <w:t>42.9%</w:t>
      </w:r>
      <w:r>
        <w:rPr>
          <w:sz w:val="24"/>
        </w:rPr>
        <w:t>，在肉骨粉组中没有对大口黑鲈生长产生不利影响，而发酵豆粕组的饲料系数则显著升高。因为各鱼粉替代组间干物质和蛋白质消化率均无显著差异，所以</w:t>
      </w:r>
      <w:r>
        <w:rPr>
          <w:sz w:val="24"/>
        </w:rPr>
        <w:t xml:space="preserve"> FSM </w:t>
      </w:r>
      <w:r>
        <w:rPr>
          <w:sz w:val="24"/>
        </w:rPr>
        <w:t>组显著降低的蛋白质效率、脂肪沉积率，主要是来自于</w:t>
      </w:r>
      <w:r>
        <w:rPr>
          <w:sz w:val="24"/>
        </w:rPr>
        <w:t xml:space="preserve"> FSM </w:t>
      </w:r>
      <w:r>
        <w:rPr>
          <w:sz w:val="24"/>
        </w:rPr>
        <w:t>组体增重的下降和饲料系数的升高。在</w:t>
      </w:r>
      <w:r>
        <w:rPr>
          <w:sz w:val="24"/>
        </w:rPr>
        <w:t>He</w:t>
      </w:r>
      <w:r>
        <w:rPr>
          <w:sz w:val="24"/>
        </w:rPr>
        <w:t>等</w:t>
      </w:r>
      <w:r>
        <w:rPr>
          <w:sz w:val="24"/>
          <w:vertAlign w:val="superscript"/>
        </w:rPr>
        <w:t>[6]</w:t>
      </w:r>
      <w:r>
        <w:rPr>
          <w:sz w:val="24"/>
        </w:rPr>
        <w:t>对大口黑鲈的研究中，以发酵豆粕高比例替代饲料中的鱼粉，也得到了相似的结果。这可能</w:t>
      </w:r>
      <w:r>
        <w:rPr>
          <w:sz w:val="24"/>
        </w:rPr>
        <w:lastRenderedPageBreak/>
        <w:t>是替代鱼粉用量过大后，鱼粉所提供的一些活性因子减少，高比例发酵豆粕存在的某些氨基酸不平衡的现象得以加剧，从而导致了营养物质利用率的降低。总体来看，在替代较高比例鱼粉的条件下，肉骨粉的作用效果优于发酵豆粕，可能与其作为动物蛋白源含较少的抗营养因子以及富含牛磺酸、羟脯氨酸等植物性原料易缺乏的活性成份等因素有关</w:t>
      </w:r>
      <w:r>
        <w:rPr>
          <w:sz w:val="24"/>
          <w:vertAlign w:val="superscript"/>
        </w:rPr>
        <w:t>[21]</w:t>
      </w:r>
      <w:r>
        <w:rPr>
          <w:sz w:val="24"/>
        </w:rPr>
        <w:t>。</w:t>
      </w:r>
    </w:p>
    <w:p w14:paraId="11E8D332" w14:textId="77777777" w:rsidR="006D73E5" w:rsidRDefault="00000000">
      <w:pPr>
        <w:spacing w:line="360" w:lineRule="auto"/>
        <w:ind w:firstLineChars="200" w:firstLine="480"/>
        <w:rPr>
          <w:sz w:val="24"/>
        </w:rPr>
      </w:pPr>
      <w:r>
        <w:rPr>
          <w:sz w:val="24"/>
        </w:rPr>
        <w:t>此外，发酵豆粕和肉骨粉的等比例混合物组也成功替代了</w:t>
      </w:r>
      <w:r>
        <w:rPr>
          <w:sz w:val="24"/>
        </w:rPr>
        <w:t xml:space="preserve">150 g/kg </w:t>
      </w:r>
      <w:r>
        <w:rPr>
          <w:sz w:val="24"/>
        </w:rPr>
        <w:t>的鱼粉，与发酵豆粕组、肉骨粉组相比，其饲料系数介于二者之间，其增重率则显著高于发酵豆粕组，表现出了一定的协同效应。通常情况下，相较于单一植物或动物蛋白源替代，混合蛋白源替代鱼粉，营养成分相互补充，不仅可以提高替代鱼粉的比例，并且更加有利于改善养殖动物的营养物质吸收利用和机体健康。</w:t>
      </w:r>
      <w:r>
        <w:rPr>
          <w:sz w:val="24"/>
        </w:rPr>
        <w:t>Wang</w:t>
      </w:r>
      <w:r>
        <w:rPr>
          <w:sz w:val="24"/>
        </w:rPr>
        <w:t>等</w:t>
      </w:r>
      <w:r>
        <w:rPr>
          <w:sz w:val="24"/>
          <w:vertAlign w:val="superscript"/>
        </w:rPr>
        <w:t>[17]</w:t>
      </w:r>
      <w:r>
        <w:rPr>
          <w:sz w:val="24"/>
        </w:rPr>
        <w:t>研究表明，蝇蛆粉与花生粕、玉米蛋白粉、豆粕和谷朊粉组成的复合动植物蛋白替代鱼粉，在相同的替代比例下，较复合植物蛋白组具有更高的增重率。同样，在大菱鲆的研究中，用蚕粉和复合植物蛋白</w:t>
      </w:r>
      <w:r>
        <w:rPr>
          <w:rFonts w:hint="eastAsia"/>
          <w:sz w:val="24"/>
        </w:rPr>
        <w:t>(</w:t>
      </w:r>
      <w:r>
        <w:rPr>
          <w:sz w:val="24"/>
        </w:rPr>
        <w:t>花生粕、玉米蛋白粉、豆粕、谷朊粉</w:t>
      </w:r>
      <w:r>
        <w:rPr>
          <w:rFonts w:hint="eastAsia"/>
          <w:sz w:val="24"/>
        </w:rPr>
        <w:t>)</w:t>
      </w:r>
      <w:r>
        <w:rPr>
          <w:sz w:val="24"/>
        </w:rPr>
        <w:t>组成的动植物混合蛋白源，替代鱼粉的效果也优于复合植物蛋白</w:t>
      </w:r>
      <w:r>
        <w:rPr>
          <w:sz w:val="24"/>
          <w:vertAlign w:val="superscript"/>
        </w:rPr>
        <w:t>[22]</w:t>
      </w:r>
      <w:r>
        <w:rPr>
          <w:sz w:val="24"/>
        </w:rPr>
        <w:t>。</w:t>
      </w:r>
    </w:p>
    <w:p w14:paraId="2BFAF02B" w14:textId="77777777" w:rsidR="006D73E5" w:rsidRDefault="00000000">
      <w:pPr>
        <w:spacing w:line="360" w:lineRule="auto"/>
        <w:ind w:firstLineChars="200" w:firstLine="480"/>
        <w:rPr>
          <w:sz w:val="24"/>
        </w:rPr>
      </w:pPr>
      <w:r>
        <w:rPr>
          <w:sz w:val="24"/>
        </w:rPr>
        <w:t>冯建等</w:t>
      </w:r>
      <w:r>
        <w:rPr>
          <w:sz w:val="24"/>
          <w:vertAlign w:val="superscript"/>
        </w:rPr>
        <w:t>[23]</w:t>
      </w:r>
      <w:r>
        <w:rPr>
          <w:sz w:val="24"/>
        </w:rPr>
        <w:t>发现，发酵豆粕替代鱼粉后会造成大黄鱼肝脏细胞的损伤和组织病变，且替代比例越高损伤越严重。本实验虽然没有检测肝脏组织学相关指标，但发酵豆粕替代组的肝体比却显著降低，这在</w:t>
      </w:r>
      <w:r>
        <w:rPr>
          <w:sz w:val="24"/>
        </w:rPr>
        <w:t xml:space="preserve"> Liang </w:t>
      </w:r>
      <w:r>
        <w:rPr>
          <w:sz w:val="24"/>
        </w:rPr>
        <w:t>等</w:t>
      </w:r>
      <w:r>
        <w:rPr>
          <w:sz w:val="24"/>
          <w:vertAlign w:val="superscript"/>
        </w:rPr>
        <w:t>[24]</w:t>
      </w:r>
      <w:r>
        <w:rPr>
          <w:sz w:val="24"/>
        </w:rPr>
        <w:t>和</w:t>
      </w:r>
      <w:r>
        <w:rPr>
          <w:sz w:val="24"/>
        </w:rPr>
        <w:t xml:space="preserve"> He </w:t>
      </w:r>
      <w:r>
        <w:rPr>
          <w:sz w:val="24"/>
        </w:rPr>
        <w:t>等</w:t>
      </w:r>
      <w:r>
        <w:rPr>
          <w:sz w:val="24"/>
          <w:vertAlign w:val="superscript"/>
        </w:rPr>
        <w:t>[20]</w:t>
      </w:r>
      <w:r>
        <w:rPr>
          <w:sz w:val="24"/>
        </w:rPr>
        <w:t>关于日本真鲈</w:t>
      </w:r>
      <w:r>
        <w:rPr>
          <w:rFonts w:hint="eastAsia"/>
          <w:sz w:val="24"/>
        </w:rPr>
        <w:t>(</w:t>
      </w:r>
      <w:r>
        <w:rPr>
          <w:sz w:val="24"/>
        </w:rPr>
        <w:t>(</w:t>
      </w:r>
      <w:proofErr w:type="spellStart"/>
      <w:r>
        <w:rPr>
          <w:i/>
          <w:iCs/>
          <w:sz w:val="24"/>
        </w:rPr>
        <w:t>Lateolabrax</w:t>
      </w:r>
      <w:proofErr w:type="spellEnd"/>
      <w:r>
        <w:rPr>
          <w:i/>
          <w:iCs/>
          <w:sz w:val="24"/>
        </w:rPr>
        <w:t xml:space="preserve"> japonicus</w:t>
      </w:r>
      <w:r>
        <w:rPr>
          <w:sz w:val="24"/>
        </w:rPr>
        <w:t>)</w:t>
      </w:r>
      <w:r>
        <w:rPr>
          <w:rFonts w:hint="eastAsia"/>
          <w:sz w:val="24"/>
        </w:rPr>
        <w:t>)</w:t>
      </w:r>
      <w:r>
        <w:rPr>
          <w:sz w:val="24"/>
        </w:rPr>
        <w:t>和大口黑鲈的研究中也出现了类似的现象。肝脏在很大程度上决定了机体的健康情况，而肝脏比是其中最直观的指标之一。在哺乳动物中，肝体比降低可能预示着肝脏坏死和纤维化等病理反应的发生</w:t>
      </w:r>
      <w:r>
        <w:rPr>
          <w:sz w:val="24"/>
          <w:vertAlign w:val="superscript"/>
        </w:rPr>
        <w:t>[25]</w:t>
      </w:r>
      <w:r>
        <w:rPr>
          <w:sz w:val="24"/>
        </w:rPr>
        <w:t>。故推测，本实验中植物性蛋白源用量增加可能影响了肝脏营养代谢与合成能力，这可能是发酵豆粕组饲料利用降低的原因之一。</w:t>
      </w:r>
    </w:p>
    <w:p w14:paraId="54DC74A4" w14:textId="77777777" w:rsidR="006D73E5" w:rsidRDefault="00000000">
      <w:pPr>
        <w:spacing w:line="360" w:lineRule="auto"/>
        <w:ind w:firstLineChars="200" w:firstLine="480"/>
        <w:rPr>
          <w:sz w:val="24"/>
        </w:rPr>
      </w:pPr>
      <w:r>
        <w:rPr>
          <w:sz w:val="24"/>
        </w:rPr>
        <w:t>鱼体的常规体成分决定了鱼类的营养价值，与其品质密切相关。在本实验中，发酵豆粕和肉骨粉替代鱼粉对大口黑鲈的全鱼水分、粗蛋白、粗脂肪和粗灰分均未产生影响，这与发酵豆粕在许氏平鲉</w:t>
      </w:r>
      <w:r>
        <w:rPr>
          <w:sz w:val="24"/>
          <w:vertAlign w:val="superscript"/>
        </w:rPr>
        <w:t>[26]</w:t>
      </w:r>
      <w:r>
        <w:rPr>
          <w:sz w:val="24"/>
        </w:rPr>
        <w:t>、卵形鲳鲹</w:t>
      </w:r>
      <w:r>
        <w:rPr>
          <w:rFonts w:hint="eastAsia"/>
          <w:sz w:val="24"/>
        </w:rPr>
        <w:t>(</w:t>
      </w:r>
      <w:r>
        <w:rPr>
          <w:i/>
          <w:iCs/>
          <w:sz w:val="24"/>
        </w:rPr>
        <w:t xml:space="preserve">T. </w:t>
      </w:r>
      <w:proofErr w:type="spellStart"/>
      <w:r>
        <w:rPr>
          <w:i/>
          <w:iCs/>
          <w:sz w:val="24"/>
        </w:rPr>
        <w:t>ovatus</w:t>
      </w:r>
      <w:proofErr w:type="spellEnd"/>
      <w:r>
        <w:rPr>
          <w:rFonts w:hint="eastAsia"/>
          <w:sz w:val="24"/>
        </w:rPr>
        <w:t>)</w:t>
      </w:r>
      <w:r>
        <w:rPr>
          <w:sz w:val="24"/>
          <w:vertAlign w:val="superscript"/>
        </w:rPr>
        <w:t>[27]</w:t>
      </w:r>
      <w:r>
        <w:rPr>
          <w:sz w:val="24"/>
        </w:rPr>
        <w:t>的研究结果，以及肉骨粉在奥尼罗非鱼</w:t>
      </w:r>
      <w:r>
        <w:rPr>
          <w:rFonts w:hint="eastAsia"/>
          <w:sz w:val="24"/>
        </w:rPr>
        <w:t>(</w:t>
      </w:r>
      <w:r>
        <w:rPr>
          <w:i/>
          <w:iCs/>
          <w:sz w:val="24"/>
        </w:rPr>
        <w:t xml:space="preserve">Oreochromis </w:t>
      </w:r>
      <w:proofErr w:type="spellStart"/>
      <w:r>
        <w:rPr>
          <w:i/>
          <w:iCs/>
          <w:sz w:val="24"/>
        </w:rPr>
        <w:t>niloticus</w:t>
      </w:r>
      <w:proofErr w:type="spellEnd"/>
      <w:r>
        <w:rPr>
          <w:i/>
          <w:iCs/>
          <w:sz w:val="24"/>
        </w:rPr>
        <w:t xml:space="preserve"> × O. aureus</w:t>
      </w:r>
      <w:r>
        <w:rPr>
          <w:rFonts w:hint="eastAsia"/>
          <w:sz w:val="24"/>
        </w:rPr>
        <w:t>)</w:t>
      </w:r>
      <w:r>
        <w:rPr>
          <w:sz w:val="24"/>
          <w:vertAlign w:val="superscript"/>
        </w:rPr>
        <w:t>[28]</w:t>
      </w:r>
      <w:r>
        <w:rPr>
          <w:sz w:val="24"/>
        </w:rPr>
        <w:t>和建鲤</w:t>
      </w:r>
      <w:r>
        <w:rPr>
          <w:rFonts w:hint="eastAsia"/>
          <w:sz w:val="24"/>
        </w:rPr>
        <w:t>(</w:t>
      </w:r>
      <w:r>
        <w:rPr>
          <w:i/>
          <w:iCs/>
          <w:sz w:val="24"/>
        </w:rPr>
        <w:t xml:space="preserve">Cyprinus </w:t>
      </w:r>
      <w:proofErr w:type="spellStart"/>
      <w:r>
        <w:rPr>
          <w:i/>
          <w:iCs/>
          <w:sz w:val="24"/>
        </w:rPr>
        <w:t>carpio</w:t>
      </w:r>
      <w:proofErr w:type="spellEnd"/>
      <w:r>
        <w:rPr>
          <w:i/>
          <w:iCs/>
          <w:sz w:val="24"/>
        </w:rPr>
        <w:t xml:space="preserve"> var. Jian</w:t>
      </w:r>
      <w:r>
        <w:rPr>
          <w:rFonts w:hint="eastAsia"/>
          <w:sz w:val="24"/>
        </w:rPr>
        <w:t>)</w:t>
      </w:r>
      <w:r>
        <w:rPr>
          <w:sz w:val="24"/>
          <w:vertAlign w:val="superscript"/>
        </w:rPr>
        <w:t>[29]</w:t>
      </w:r>
      <w:r>
        <w:rPr>
          <w:sz w:val="24"/>
        </w:rPr>
        <w:t>上的研究结果相一致。然而，</w:t>
      </w:r>
      <w:r>
        <w:rPr>
          <w:sz w:val="24"/>
        </w:rPr>
        <w:t>Liang</w:t>
      </w:r>
      <w:r>
        <w:rPr>
          <w:sz w:val="24"/>
        </w:rPr>
        <w:t>等</w:t>
      </w:r>
      <w:r>
        <w:rPr>
          <w:sz w:val="24"/>
          <w:vertAlign w:val="superscript"/>
        </w:rPr>
        <w:t>[24]</w:t>
      </w:r>
      <w:r>
        <w:rPr>
          <w:sz w:val="24"/>
        </w:rPr>
        <w:t>等研究表明，高比例的发酵豆粕替代显著提高了日本真鲈全鱼水分，并降低了粗蛋白和粗脂肪含量。在大黄鱼中，高比例的肉骨粉也显著提高了全鱼水分，降低了粗脂肪含量</w:t>
      </w:r>
      <w:r>
        <w:rPr>
          <w:sz w:val="24"/>
          <w:vertAlign w:val="superscript"/>
        </w:rPr>
        <w:t>[10]</w:t>
      </w:r>
      <w:r>
        <w:rPr>
          <w:sz w:val="24"/>
        </w:rPr>
        <w:t>。上述不一致的结果可能与发酵豆粕的菌种、肉骨粉来源、基础饲料配方、水产动物的种类以及生长阶段等因素有关。</w:t>
      </w:r>
    </w:p>
    <w:p w14:paraId="28739B4F" w14:textId="77777777" w:rsidR="006D73E5" w:rsidRDefault="00000000">
      <w:pPr>
        <w:spacing w:line="360" w:lineRule="auto"/>
        <w:rPr>
          <w:sz w:val="24"/>
        </w:rPr>
      </w:pPr>
      <w:r>
        <w:rPr>
          <w:sz w:val="24"/>
        </w:rPr>
        <w:t xml:space="preserve">3.2  </w:t>
      </w:r>
      <w:r>
        <w:rPr>
          <w:sz w:val="24"/>
        </w:rPr>
        <w:t>对大口黑鲈血清生化指标的影响</w:t>
      </w:r>
    </w:p>
    <w:p w14:paraId="7619F678" w14:textId="77777777" w:rsidR="006D73E5" w:rsidRDefault="00000000">
      <w:pPr>
        <w:spacing w:line="360" w:lineRule="auto"/>
        <w:ind w:firstLineChars="200" w:firstLine="480"/>
        <w:rPr>
          <w:sz w:val="24"/>
        </w:rPr>
      </w:pPr>
      <w:r>
        <w:rPr>
          <w:sz w:val="24"/>
        </w:rPr>
        <w:t>鱼类的血清生化指标是反映鱼体功能和健康状况的重要参数。血清总蛋白可分为球蛋</w:t>
      </w:r>
      <w:r>
        <w:rPr>
          <w:sz w:val="24"/>
        </w:rPr>
        <w:lastRenderedPageBreak/>
        <w:t>白和白蛋白两类，前者包括含量较多具有防御功能的免疫球蛋白和补体等物质，后者是血浆中含量最丰富的蛋白质，反映肝脏功能的重要指标</w:t>
      </w:r>
      <w:r>
        <w:rPr>
          <w:sz w:val="24"/>
          <w:vertAlign w:val="superscript"/>
        </w:rPr>
        <w:t>[30]</w:t>
      </w:r>
      <w:r>
        <w:rPr>
          <w:sz w:val="24"/>
        </w:rPr>
        <w:t>；同时，血清转氨酶活性也是判断鱼体肝脏健康程度的指标，当肝脏受到损伤时血液中谷丙转氨酶和谷草转氨酶活性增加</w:t>
      </w:r>
      <w:r>
        <w:rPr>
          <w:sz w:val="24"/>
          <w:vertAlign w:val="superscript"/>
        </w:rPr>
        <w:t>[31]</w:t>
      </w:r>
      <w:r>
        <w:rPr>
          <w:sz w:val="24"/>
        </w:rPr>
        <w:t>。血清中超氧化物歧化酶、过氧化物酶活性和</w:t>
      </w:r>
      <w:r>
        <w:rPr>
          <w:sz w:val="24"/>
        </w:rPr>
        <w:t xml:space="preserve"> </w:t>
      </w:r>
      <w:r>
        <w:rPr>
          <w:sz w:val="24"/>
        </w:rPr>
        <w:t>总抗氧化能力，三者均反映了清除机体自由基和活性氧的能力</w:t>
      </w:r>
      <w:r>
        <w:rPr>
          <w:sz w:val="24"/>
          <w:vertAlign w:val="superscript"/>
        </w:rPr>
        <w:t>[30]</w:t>
      </w:r>
      <w:r>
        <w:rPr>
          <w:sz w:val="24"/>
        </w:rPr>
        <w:t>。溶菌酶作为非特异性生物防御因子能对某些细菌发挥抵抗作用，可诱导其他免疫因子的合成和分泌</w:t>
      </w:r>
      <w:r>
        <w:rPr>
          <w:sz w:val="24"/>
          <w:vertAlign w:val="superscript"/>
        </w:rPr>
        <w:t>[32]</w:t>
      </w:r>
      <w:r>
        <w:rPr>
          <w:sz w:val="24"/>
        </w:rPr>
        <w:t>。在本实验中，各替代组的血清总蛋白、白蛋白、球蛋白、谷丙转氨酶和过氧化氢酶与对照组相比均为无显著差异，而</w:t>
      </w:r>
      <w:r>
        <w:rPr>
          <w:sz w:val="24"/>
        </w:rPr>
        <w:t xml:space="preserve"> FSM </w:t>
      </w:r>
      <w:r>
        <w:rPr>
          <w:sz w:val="24"/>
        </w:rPr>
        <w:t>组的超氧化物歧化酶活性、总抗氧化能力和溶菌酶显著降低，谷草转氨酶显著升高。</w:t>
      </w:r>
      <w:r>
        <w:rPr>
          <w:sz w:val="24"/>
        </w:rPr>
        <w:t>Li</w:t>
      </w:r>
      <w:r>
        <w:rPr>
          <w:sz w:val="24"/>
        </w:rPr>
        <w:t>等</w:t>
      </w:r>
      <w:r>
        <w:rPr>
          <w:sz w:val="24"/>
          <w:vertAlign w:val="superscript"/>
        </w:rPr>
        <w:t>[33]</w:t>
      </w:r>
      <w:r>
        <w:rPr>
          <w:sz w:val="24"/>
        </w:rPr>
        <w:t>研究表明，发酵豆粕替代高比例鱼粉显著降低了大菱鲆血清</w:t>
      </w:r>
      <w:r>
        <w:rPr>
          <w:sz w:val="24"/>
        </w:rPr>
        <w:t xml:space="preserve">SOD </w:t>
      </w:r>
      <w:r>
        <w:rPr>
          <w:sz w:val="24"/>
        </w:rPr>
        <w:t>活性和</w:t>
      </w:r>
      <w:r>
        <w:rPr>
          <w:sz w:val="24"/>
        </w:rPr>
        <w:t>T-AOC</w:t>
      </w:r>
      <w:r>
        <w:rPr>
          <w:sz w:val="24"/>
        </w:rPr>
        <w:t>含量。在中国花鲈</w:t>
      </w:r>
      <w:r>
        <w:rPr>
          <w:sz w:val="24"/>
          <w:vertAlign w:val="superscript"/>
        </w:rPr>
        <w:t>[19]</w:t>
      </w:r>
      <w:r>
        <w:rPr>
          <w:sz w:val="24"/>
        </w:rPr>
        <w:t>和凡纳滨对虾</w:t>
      </w:r>
      <w:r>
        <w:rPr>
          <w:sz w:val="24"/>
          <w:vertAlign w:val="superscript"/>
        </w:rPr>
        <w:t>[34]</w:t>
      </w:r>
      <w:r>
        <w:rPr>
          <w:sz w:val="24"/>
        </w:rPr>
        <w:t>的试验中也有类似结果，这说明高比例的发酵豆粕会可能养殖动物产生氧化应激。此外，</w:t>
      </w:r>
      <w:r>
        <w:rPr>
          <w:sz w:val="24"/>
        </w:rPr>
        <w:t xml:space="preserve">FSM </w:t>
      </w:r>
      <w:r>
        <w:rPr>
          <w:sz w:val="24"/>
        </w:rPr>
        <w:t>组的血清谷草转氨酶和菌酶活性显著升高，可能是肝脏健康情况和非特异性免疫出现异常，这有待于今后的进一步研究。类似的结果在</w:t>
      </w:r>
      <w:proofErr w:type="spellStart"/>
      <w:r>
        <w:rPr>
          <w:sz w:val="24"/>
        </w:rPr>
        <w:t>Rahimnejad</w:t>
      </w:r>
      <w:proofErr w:type="spellEnd"/>
      <w:r>
        <w:rPr>
          <w:sz w:val="24"/>
        </w:rPr>
        <w:t>等</w:t>
      </w:r>
      <w:r>
        <w:rPr>
          <w:sz w:val="24"/>
          <w:vertAlign w:val="superscript"/>
        </w:rPr>
        <w:t>[19]</w:t>
      </w:r>
      <w:r>
        <w:rPr>
          <w:sz w:val="24"/>
        </w:rPr>
        <w:t>和钟国防等</w:t>
      </w:r>
      <w:r>
        <w:rPr>
          <w:sz w:val="24"/>
          <w:vertAlign w:val="superscript"/>
        </w:rPr>
        <w:t>[35]</w:t>
      </w:r>
      <w:r>
        <w:rPr>
          <w:sz w:val="24"/>
        </w:rPr>
        <w:t>关于中国花鲈和大口黑鲈的研究中也有报道。</w:t>
      </w:r>
    </w:p>
    <w:p w14:paraId="5D115274" w14:textId="77777777" w:rsidR="006D73E5" w:rsidRDefault="00000000">
      <w:pPr>
        <w:spacing w:line="360" w:lineRule="auto"/>
        <w:rPr>
          <w:sz w:val="24"/>
        </w:rPr>
      </w:pPr>
      <w:r>
        <w:rPr>
          <w:sz w:val="24"/>
        </w:rPr>
        <w:t xml:space="preserve">3.3  </w:t>
      </w:r>
      <w:r>
        <w:rPr>
          <w:sz w:val="24"/>
        </w:rPr>
        <w:t>对大口黑鲈肠道形态结构的影响</w:t>
      </w:r>
    </w:p>
    <w:p w14:paraId="7C950587" w14:textId="77777777" w:rsidR="006D73E5" w:rsidRDefault="00000000">
      <w:pPr>
        <w:spacing w:line="360" w:lineRule="auto"/>
        <w:ind w:firstLineChars="200" w:firstLine="480"/>
        <w:rPr>
          <w:sz w:val="24"/>
        </w:rPr>
      </w:pPr>
      <w:r>
        <w:rPr>
          <w:sz w:val="24"/>
        </w:rPr>
        <w:t>肠道组织形态与其消化吸收功能密切相关。肠绒毛高度和宽度的增加可以增大与食物的接触面积，从而促进消化，肌层厚度则可反映肠道的收缩能力。在本实验中，虽然各替代组的绒毛宽度均显著降低，但</w:t>
      </w:r>
      <w:r>
        <w:rPr>
          <w:sz w:val="24"/>
        </w:rPr>
        <w:t xml:space="preserve"> FSM </w:t>
      </w:r>
      <w:r>
        <w:rPr>
          <w:sz w:val="24"/>
        </w:rPr>
        <w:t>组的前肠绒毛高度、基层厚底以及绒毛周长却显著增加。在徐茜等</w:t>
      </w:r>
      <w:r>
        <w:rPr>
          <w:sz w:val="24"/>
          <w:vertAlign w:val="superscript"/>
        </w:rPr>
        <w:t>[36]</w:t>
      </w:r>
      <w:r>
        <w:rPr>
          <w:sz w:val="24"/>
        </w:rPr>
        <w:t>的研究中，用发酵豆粕替代鱼粉可显著提高鲫</w:t>
      </w:r>
      <w:r>
        <w:rPr>
          <w:rFonts w:hint="eastAsia"/>
          <w:sz w:val="24"/>
        </w:rPr>
        <w:t>(</w:t>
      </w:r>
      <w:r>
        <w:rPr>
          <w:i/>
          <w:iCs/>
          <w:sz w:val="24"/>
        </w:rPr>
        <w:t>Carassius auratus</w:t>
      </w:r>
      <w:r>
        <w:rPr>
          <w:rFonts w:hint="eastAsia"/>
          <w:sz w:val="24"/>
        </w:rPr>
        <w:t>)</w:t>
      </w:r>
      <w:r>
        <w:rPr>
          <w:sz w:val="24"/>
        </w:rPr>
        <w:t>前肠绒毛高度和肌层厚度。钟国防等</w:t>
      </w:r>
      <w:r>
        <w:rPr>
          <w:sz w:val="24"/>
          <w:vertAlign w:val="superscript"/>
        </w:rPr>
        <w:t>[35]</w:t>
      </w:r>
      <w:r>
        <w:rPr>
          <w:sz w:val="24"/>
        </w:rPr>
        <w:t>实验表明，发酵豆粕适量替代鱼粉可以提高大口黑鲈的前、中和后肠绒毛高度以及后肠的肌层厚度。发酵豆粕可以在一定程度上改善鲈鱼肠道形态结构，这可能因为豆粕在发酵过程中会产生生物活性小肽、有机酸、益生菌以及黄酮类等活性物质。研究表明，饲料中小肽</w:t>
      </w:r>
      <w:r>
        <w:rPr>
          <w:sz w:val="24"/>
          <w:vertAlign w:val="superscript"/>
        </w:rPr>
        <w:t>[37]</w:t>
      </w:r>
      <w:r>
        <w:rPr>
          <w:sz w:val="24"/>
        </w:rPr>
        <w:t>、有机酸</w:t>
      </w:r>
      <w:r>
        <w:rPr>
          <w:sz w:val="24"/>
          <w:vertAlign w:val="superscript"/>
        </w:rPr>
        <w:t>[28]</w:t>
      </w:r>
      <w:r>
        <w:rPr>
          <w:sz w:val="24"/>
        </w:rPr>
        <w:t>、黄酮类活性成分</w:t>
      </w:r>
      <w:r>
        <w:rPr>
          <w:sz w:val="24"/>
          <w:vertAlign w:val="superscript"/>
        </w:rPr>
        <w:t>[38]</w:t>
      </w:r>
      <w:r>
        <w:rPr>
          <w:sz w:val="24"/>
        </w:rPr>
        <w:t>以及甘露寡糖</w:t>
      </w:r>
      <w:r>
        <w:rPr>
          <w:sz w:val="24"/>
          <w:vertAlign w:val="superscript"/>
        </w:rPr>
        <w:t>[39]</w:t>
      </w:r>
      <w:r>
        <w:rPr>
          <w:sz w:val="24"/>
        </w:rPr>
        <w:t>、核苷酸</w:t>
      </w:r>
      <w:r>
        <w:rPr>
          <w:sz w:val="24"/>
          <w:vertAlign w:val="superscript"/>
        </w:rPr>
        <w:t>[40]</w:t>
      </w:r>
      <w:r>
        <w:rPr>
          <w:sz w:val="24"/>
        </w:rPr>
        <w:t>均可以提高水生动物肠道绒毛的高度和完整性，促进肠道健康。但也有研究表明，发酵豆粕替代鱼粉会引起中国花鲈和杂交鳢</w:t>
      </w:r>
      <w:r>
        <w:rPr>
          <w:rFonts w:hint="eastAsia"/>
          <w:sz w:val="24"/>
        </w:rPr>
        <w:t>(</w:t>
      </w:r>
      <w:r>
        <w:rPr>
          <w:i/>
          <w:iCs/>
          <w:sz w:val="24"/>
        </w:rPr>
        <w:t>Channa argus × Channa maculate</w:t>
      </w:r>
      <w:r>
        <w:rPr>
          <w:rFonts w:hint="eastAsia"/>
          <w:sz w:val="24"/>
        </w:rPr>
        <w:t>)</w:t>
      </w:r>
      <w:r>
        <w:rPr>
          <w:sz w:val="24"/>
        </w:rPr>
        <w:t>肠道上皮细胞损伤和肠道炎症等现象</w:t>
      </w:r>
      <w:r>
        <w:rPr>
          <w:sz w:val="24"/>
          <w:vertAlign w:val="superscript"/>
        </w:rPr>
        <w:t>[19, 41]</w:t>
      </w:r>
      <w:r>
        <w:rPr>
          <w:sz w:val="24"/>
        </w:rPr>
        <w:t>。值得注意的是，</w:t>
      </w:r>
      <w:r>
        <w:rPr>
          <w:sz w:val="24"/>
        </w:rPr>
        <w:t xml:space="preserve">FSM </w:t>
      </w:r>
      <w:r>
        <w:rPr>
          <w:sz w:val="24"/>
        </w:rPr>
        <w:t>组的大口黑鲈肠道形态结构虽然得到改善，但是其饲料系数仍然显著升高，这可能与发酵豆粕的氨基酸平衡性不如鱼粉，以及缺少牛磺酸等动物蛋白源的活性成分有关。今后，可能通过这些活性成分的添加，来提升发酵豆粕的营养价值，提高其使用水平。</w:t>
      </w:r>
    </w:p>
    <w:p w14:paraId="7C0200A1" w14:textId="77777777" w:rsidR="006D73E5" w:rsidRDefault="00000000">
      <w:pPr>
        <w:spacing w:line="360" w:lineRule="auto"/>
        <w:rPr>
          <w:sz w:val="24"/>
        </w:rPr>
      </w:pPr>
      <w:r>
        <w:rPr>
          <w:sz w:val="24"/>
        </w:rPr>
        <w:t xml:space="preserve">4  </w:t>
      </w:r>
      <w:r>
        <w:rPr>
          <w:rFonts w:hint="eastAsia"/>
          <w:sz w:val="24"/>
        </w:rPr>
        <w:t>结论</w:t>
      </w:r>
    </w:p>
    <w:p w14:paraId="73DF129A" w14:textId="77777777" w:rsidR="006D73E5" w:rsidRDefault="00000000">
      <w:pPr>
        <w:spacing w:line="360" w:lineRule="auto"/>
        <w:ind w:firstLineChars="200" w:firstLine="480"/>
        <w:rPr>
          <w:sz w:val="24"/>
        </w:rPr>
      </w:pPr>
      <w:r>
        <w:rPr>
          <w:sz w:val="24"/>
        </w:rPr>
        <w:lastRenderedPageBreak/>
        <w:t>本实验研究结果表明，在鱼粉含量为</w:t>
      </w:r>
      <w:r>
        <w:rPr>
          <w:sz w:val="24"/>
        </w:rPr>
        <w:t>350 g/kg</w:t>
      </w:r>
      <w:r>
        <w:rPr>
          <w:sz w:val="24"/>
        </w:rPr>
        <w:t>的大口黑鲈饲料中，可用肉骨粉和发酵豆粕</w:t>
      </w:r>
      <w:r>
        <w:rPr>
          <w:sz w:val="24"/>
        </w:rPr>
        <w:t>+</w:t>
      </w:r>
      <w:r>
        <w:rPr>
          <w:sz w:val="24"/>
        </w:rPr>
        <w:t>肉骨粉混合物</w:t>
      </w:r>
      <w:r>
        <w:rPr>
          <w:rFonts w:hint="eastAsia"/>
          <w:sz w:val="24"/>
        </w:rPr>
        <w:t>(</w:t>
      </w:r>
      <w:r>
        <w:rPr>
          <w:sz w:val="24"/>
        </w:rPr>
        <w:t>1</w:t>
      </w:r>
      <w:r>
        <w:rPr>
          <w:rFonts w:ascii="宋体" w:hAnsi="宋体" w:cs="宋体" w:hint="eastAsia"/>
          <w:sz w:val="24"/>
        </w:rPr>
        <w:t>∶</w:t>
      </w:r>
      <w:r>
        <w:rPr>
          <w:sz w:val="24"/>
        </w:rPr>
        <w:t>1</w:t>
      </w:r>
      <w:r>
        <w:rPr>
          <w:rFonts w:hint="eastAsia"/>
          <w:sz w:val="24"/>
        </w:rPr>
        <w:t>)</w:t>
      </w:r>
      <w:r>
        <w:rPr>
          <w:sz w:val="24"/>
        </w:rPr>
        <w:t>替代</w:t>
      </w:r>
      <w:r>
        <w:rPr>
          <w:sz w:val="24"/>
        </w:rPr>
        <w:t xml:space="preserve"> 150 g/kg</w:t>
      </w:r>
      <w:r>
        <w:rPr>
          <w:sz w:val="24"/>
        </w:rPr>
        <w:t>的鱼粉用量，不会对大口黑鲈的生长性能、饲料利用、抗氧化能力、非特异性免疫以及肠道健康产生不利影响；发酵豆粕</w:t>
      </w:r>
      <w:r>
        <w:rPr>
          <w:sz w:val="24"/>
        </w:rPr>
        <w:t>+</w:t>
      </w:r>
      <w:r>
        <w:rPr>
          <w:sz w:val="24"/>
        </w:rPr>
        <w:t>肉骨粉混合物替代鱼粉的效果优于发酵豆粕。</w:t>
      </w:r>
    </w:p>
    <w:p w14:paraId="4FD9905C" w14:textId="77777777" w:rsidR="006D73E5" w:rsidRDefault="00000000">
      <w:pPr>
        <w:spacing w:line="360" w:lineRule="auto"/>
        <w:rPr>
          <w:sz w:val="24"/>
        </w:rPr>
      </w:pPr>
      <w:r>
        <w:rPr>
          <w:rFonts w:hint="eastAsia"/>
          <w:sz w:val="24"/>
        </w:rPr>
        <w:t>参考文献：略</w:t>
      </w:r>
    </w:p>
    <w:p w14:paraId="68840158" w14:textId="77777777" w:rsidR="006D73E5" w:rsidRDefault="00000000">
      <w:pPr>
        <w:spacing w:line="360" w:lineRule="auto"/>
        <w:ind w:firstLineChars="1200" w:firstLine="2520"/>
        <w:jc w:val="right"/>
        <w:rPr>
          <w:szCs w:val="21"/>
        </w:rPr>
      </w:pPr>
      <w:r>
        <w:rPr>
          <w:rFonts w:hint="eastAsia"/>
          <w:szCs w:val="21"/>
        </w:rPr>
        <w:t>原文刊登在《水产学报》，</w:t>
      </w:r>
      <w:r>
        <w:rPr>
          <w:rFonts w:hint="eastAsia"/>
          <w:szCs w:val="21"/>
        </w:rPr>
        <w:t xml:space="preserve"> </w:t>
      </w:r>
      <w:r>
        <w:rPr>
          <w:rFonts w:hint="eastAsia"/>
          <w:szCs w:val="21"/>
        </w:rPr>
        <w:t>网络首发时间：</w:t>
      </w:r>
      <w:r>
        <w:rPr>
          <w:szCs w:val="21"/>
        </w:rPr>
        <w:t>2022-08-16 15:59:32</w:t>
      </w:r>
    </w:p>
    <w:p w14:paraId="2B348AB3" w14:textId="77777777" w:rsidR="006D73E5" w:rsidRDefault="00000000">
      <w:pPr>
        <w:jc w:val="center"/>
        <w:outlineLvl w:val="1"/>
        <w:rPr>
          <w:rFonts w:ascii="黑体" w:eastAsia="黑体" w:hAnsi="黑体"/>
          <w:b/>
          <w:bCs/>
          <w:sz w:val="32"/>
          <w:szCs w:val="32"/>
        </w:rPr>
      </w:pPr>
      <w:bookmarkStart w:id="31" w:name="_Toc114077822"/>
      <w:r>
        <w:rPr>
          <w:rFonts w:ascii="黑体" w:eastAsia="黑体" w:hAnsi="黑体"/>
          <w:b/>
          <w:bCs/>
          <w:sz w:val="32"/>
          <w:szCs w:val="32"/>
        </w:rPr>
        <w:t>凝结芽孢杆菌对白虾生长性能、血清抗氧化及非特异性免疫指标的影响</w:t>
      </w:r>
      <w:bookmarkEnd w:id="31"/>
    </w:p>
    <w:p w14:paraId="19B9C6ED" w14:textId="77777777" w:rsidR="006D73E5" w:rsidRDefault="00000000">
      <w:pPr>
        <w:ind w:firstLineChars="200" w:firstLine="420"/>
        <w:jc w:val="center"/>
        <w:rPr>
          <w:szCs w:val="21"/>
        </w:rPr>
      </w:pPr>
      <w:r>
        <w:rPr>
          <w:szCs w:val="21"/>
        </w:rPr>
        <w:t>王</w:t>
      </w:r>
      <w:r>
        <w:rPr>
          <w:szCs w:val="21"/>
        </w:rPr>
        <w:t xml:space="preserve"> </w:t>
      </w:r>
      <w:r>
        <w:rPr>
          <w:szCs w:val="21"/>
        </w:rPr>
        <w:t>俊</w:t>
      </w:r>
      <w:r>
        <w:rPr>
          <w:szCs w:val="21"/>
        </w:rPr>
        <w:t xml:space="preserve"> </w:t>
      </w:r>
      <w:r>
        <w:rPr>
          <w:szCs w:val="21"/>
        </w:rPr>
        <w:t>张娴静</w:t>
      </w:r>
      <w:r>
        <w:rPr>
          <w:szCs w:val="21"/>
        </w:rPr>
        <w:t xml:space="preserve"> </w:t>
      </w:r>
      <w:r>
        <w:rPr>
          <w:szCs w:val="21"/>
        </w:rPr>
        <w:t>林旭吟</w:t>
      </w:r>
      <w:r>
        <w:rPr>
          <w:szCs w:val="21"/>
        </w:rPr>
        <w:t>*</w:t>
      </w:r>
    </w:p>
    <w:p w14:paraId="07113A08" w14:textId="77777777" w:rsidR="006D73E5" w:rsidRDefault="00000000">
      <w:pPr>
        <w:ind w:firstLineChars="200" w:firstLine="420"/>
        <w:jc w:val="center"/>
        <w:rPr>
          <w:szCs w:val="21"/>
        </w:rPr>
      </w:pPr>
      <w:r>
        <w:rPr>
          <w:szCs w:val="21"/>
        </w:rPr>
        <w:t>（厦门海洋职业技术学院海洋生物学院，福建</w:t>
      </w:r>
      <w:r>
        <w:rPr>
          <w:szCs w:val="21"/>
        </w:rPr>
        <w:t xml:space="preserve"> </w:t>
      </w:r>
      <w:r>
        <w:rPr>
          <w:szCs w:val="21"/>
        </w:rPr>
        <w:t>厦门</w:t>
      </w:r>
      <w:r>
        <w:rPr>
          <w:szCs w:val="21"/>
        </w:rPr>
        <w:t xml:space="preserve"> 361000</w:t>
      </w:r>
      <w:r>
        <w:rPr>
          <w:szCs w:val="21"/>
        </w:rPr>
        <w:t>）</w:t>
      </w:r>
    </w:p>
    <w:p w14:paraId="3AEC06C5" w14:textId="77777777" w:rsidR="006D73E5" w:rsidRDefault="00000000">
      <w:pPr>
        <w:rPr>
          <w:rFonts w:ascii="等线" w:eastAsia="等线" w:hAnsi="等线"/>
          <w:szCs w:val="22"/>
        </w:rPr>
      </w:pPr>
      <w:r>
        <w:rPr>
          <w:rFonts w:ascii="宋体" w:hAnsi="宋体"/>
          <w:b/>
          <w:bCs/>
          <w:szCs w:val="22"/>
        </w:rPr>
        <w:t>摘要：</w:t>
      </w:r>
      <w:r>
        <w:rPr>
          <w:szCs w:val="22"/>
        </w:rPr>
        <w:t>试验旨在研究凝结芽孢杆菌对白虾生长性能、血清抗氧化剂非特异性免疫指标的影响。试验选取</w:t>
      </w:r>
      <w:r>
        <w:rPr>
          <w:szCs w:val="22"/>
        </w:rPr>
        <w:t>480</w:t>
      </w:r>
      <w:r>
        <w:rPr>
          <w:szCs w:val="22"/>
        </w:rPr>
        <w:t>尾脊尾白虾，随机分为</w:t>
      </w:r>
      <w:r>
        <w:rPr>
          <w:szCs w:val="22"/>
        </w:rPr>
        <w:t>4</w:t>
      </w:r>
      <w:r>
        <w:rPr>
          <w:szCs w:val="22"/>
        </w:rPr>
        <w:t>组，每组</w:t>
      </w:r>
      <w:r>
        <w:rPr>
          <w:szCs w:val="22"/>
        </w:rPr>
        <w:t>6</w:t>
      </w:r>
      <w:r>
        <w:rPr>
          <w:szCs w:val="22"/>
        </w:rPr>
        <w:t>个重复，每个重复</w:t>
      </w:r>
      <w:r>
        <w:rPr>
          <w:szCs w:val="22"/>
        </w:rPr>
        <w:t>20</w:t>
      </w:r>
      <w:r>
        <w:rPr>
          <w:szCs w:val="22"/>
        </w:rPr>
        <w:t>尾虾。</w:t>
      </w:r>
      <w:r>
        <w:rPr>
          <w:szCs w:val="22"/>
        </w:rPr>
        <w:t>A</w:t>
      </w:r>
      <w:r>
        <w:rPr>
          <w:szCs w:val="22"/>
        </w:rPr>
        <w:t>组（对照组</w:t>
      </w:r>
      <w:r>
        <w:rPr>
          <w:szCs w:val="22"/>
        </w:rPr>
        <w:t>)</w:t>
      </w:r>
      <w:r>
        <w:rPr>
          <w:szCs w:val="22"/>
        </w:rPr>
        <w:t>、</w:t>
      </w:r>
      <w:r>
        <w:rPr>
          <w:szCs w:val="22"/>
        </w:rPr>
        <w:t>B</w:t>
      </w:r>
      <w:r>
        <w:rPr>
          <w:szCs w:val="22"/>
        </w:rPr>
        <w:t>组、</w:t>
      </w:r>
      <w:r>
        <w:rPr>
          <w:szCs w:val="22"/>
        </w:rPr>
        <w:t>C</w:t>
      </w:r>
      <w:r>
        <w:rPr>
          <w:szCs w:val="22"/>
        </w:rPr>
        <w:t>组、</w:t>
      </w:r>
      <w:r>
        <w:rPr>
          <w:szCs w:val="22"/>
        </w:rPr>
        <w:t>D</w:t>
      </w:r>
      <w:r>
        <w:rPr>
          <w:szCs w:val="22"/>
        </w:rPr>
        <w:t>组基础饵料中分别添加</w:t>
      </w:r>
      <w:r>
        <w:rPr>
          <w:szCs w:val="22"/>
        </w:rPr>
        <w:t>0</w:t>
      </w:r>
      <w:r>
        <w:rPr>
          <w:szCs w:val="22"/>
        </w:rPr>
        <w:t>、</w:t>
      </w:r>
      <w:r>
        <w:rPr>
          <w:szCs w:val="22"/>
        </w:rPr>
        <w:t>500</w:t>
      </w:r>
      <w:r>
        <w:rPr>
          <w:szCs w:val="22"/>
        </w:rPr>
        <w:t>、</w:t>
      </w:r>
      <w:r>
        <w:rPr>
          <w:szCs w:val="22"/>
        </w:rPr>
        <w:t>1000</w:t>
      </w:r>
      <w:r>
        <w:rPr>
          <w:szCs w:val="22"/>
        </w:rPr>
        <w:t>、</w:t>
      </w:r>
      <w:r>
        <w:rPr>
          <w:szCs w:val="22"/>
        </w:rPr>
        <w:t>1 500 g/t</w:t>
      </w:r>
      <w:r>
        <w:rPr>
          <w:szCs w:val="22"/>
        </w:rPr>
        <w:t>剂量的凝结芽孢杆菌。试验期</w:t>
      </w:r>
      <w:r>
        <w:rPr>
          <w:szCs w:val="22"/>
        </w:rPr>
        <w:t>30 d</w:t>
      </w:r>
      <w:r>
        <w:rPr>
          <w:szCs w:val="22"/>
        </w:rPr>
        <w:t>。结果显示</w:t>
      </w:r>
      <w:r>
        <w:rPr>
          <w:szCs w:val="22"/>
        </w:rPr>
        <w:t>:</w:t>
      </w:r>
      <w:r>
        <w:rPr>
          <w:szCs w:val="22"/>
        </w:rPr>
        <w:t>与</w:t>
      </w:r>
      <w:r>
        <w:rPr>
          <w:szCs w:val="22"/>
        </w:rPr>
        <w:t>A</w:t>
      </w:r>
      <w:r>
        <w:rPr>
          <w:szCs w:val="22"/>
        </w:rPr>
        <w:t>组相比，</w:t>
      </w:r>
      <w:r>
        <w:rPr>
          <w:szCs w:val="22"/>
        </w:rPr>
        <w:t>C</w:t>
      </w:r>
      <w:r>
        <w:rPr>
          <w:szCs w:val="22"/>
        </w:rPr>
        <w:t>组、</w:t>
      </w:r>
      <w:r>
        <w:rPr>
          <w:szCs w:val="22"/>
        </w:rPr>
        <w:t>D</w:t>
      </w:r>
      <w:r>
        <w:rPr>
          <w:szCs w:val="22"/>
        </w:rPr>
        <w:t>组白虾的总采食量和特定生长率均显著提高</w:t>
      </w:r>
      <w:r>
        <w:rPr>
          <w:szCs w:val="22"/>
        </w:rPr>
        <w:t>(</w:t>
      </w:r>
      <w:r>
        <w:rPr>
          <w:i/>
          <w:iCs/>
          <w:szCs w:val="22"/>
        </w:rPr>
        <w:t>P</w:t>
      </w:r>
      <w:r>
        <w:rPr>
          <w:szCs w:val="22"/>
        </w:rPr>
        <w:t>&lt;0.05)</w:t>
      </w:r>
      <w:r>
        <w:rPr>
          <w:szCs w:val="22"/>
        </w:rPr>
        <w:t>，饵料系数显著降低</w:t>
      </w:r>
      <w:r>
        <w:rPr>
          <w:szCs w:val="22"/>
        </w:rPr>
        <w:t>(</w:t>
      </w:r>
      <w:r>
        <w:rPr>
          <w:i/>
          <w:iCs/>
          <w:szCs w:val="22"/>
        </w:rPr>
        <w:t>P</w:t>
      </w:r>
      <w:r>
        <w:rPr>
          <w:szCs w:val="22"/>
        </w:rPr>
        <w:t>&lt;0.05)</w:t>
      </w:r>
      <w:r>
        <w:rPr>
          <w:rFonts w:hint="eastAsia"/>
          <w:szCs w:val="22"/>
        </w:rPr>
        <w:t>；</w:t>
      </w:r>
      <w:r>
        <w:rPr>
          <w:szCs w:val="22"/>
        </w:rPr>
        <w:t>B</w:t>
      </w:r>
      <w:r>
        <w:rPr>
          <w:szCs w:val="22"/>
        </w:rPr>
        <w:t>组、</w:t>
      </w:r>
      <w:r>
        <w:rPr>
          <w:szCs w:val="22"/>
        </w:rPr>
        <w:t>C</w:t>
      </w:r>
      <w:r>
        <w:rPr>
          <w:szCs w:val="22"/>
        </w:rPr>
        <w:t>组、</w:t>
      </w:r>
      <w:r>
        <w:rPr>
          <w:szCs w:val="22"/>
        </w:rPr>
        <w:t>D</w:t>
      </w:r>
      <w:r>
        <w:rPr>
          <w:szCs w:val="22"/>
        </w:rPr>
        <w:t>组白虾增重率均极显著升高（</w:t>
      </w:r>
      <w:r>
        <w:rPr>
          <w:i/>
          <w:iCs/>
          <w:szCs w:val="22"/>
        </w:rPr>
        <w:t>P</w:t>
      </w:r>
      <w:r>
        <w:rPr>
          <w:szCs w:val="22"/>
        </w:rPr>
        <w:t>&lt;0.01)</w:t>
      </w:r>
      <w:r>
        <w:rPr>
          <w:szCs w:val="22"/>
        </w:rPr>
        <w:t>，末重均显著升高</w:t>
      </w:r>
      <w:r>
        <w:rPr>
          <w:szCs w:val="22"/>
        </w:rPr>
        <w:t>(</w:t>
      </w:r>
      <w:r>
        <w:rPr>
          <w:i/>
          <w:iCs/>
          <w:szCs w:val="22"/>
        </w:rPr>
        <w:t>P</w:t>
      </w:r>
      <w:r>
        <w:rPr>
          <w:szCs w:val="22"/>
        </w:rPr>
        <w:t>&lt;0.05)</w:t>
      </w:r>
      <w:r>
        <w:rPr>
          <w:rFonts w:hint="eastAsia"/>
          <w:szCs w:val="22"/>
        </w:rPr>
        <w:t>；</w:t>
      </w:r>
      <w:r>
        <w:rPr>
          <w:szCs w:val="22"/>
        </w:rPr>
        <w:t xml:space="preserve"> D</w:t>
      </w:r>
      <w:r>
        <w:rPr>
          <w:szCs w:val="22"/>
        </w:rPr>
        <w:t>组白虾的饵料吸收效率显著提高</w:t>
      </w:r>
      <w:r>
        <w:rPr>
          <w:szCs w:val="22"/>
        </w:rPr>
        <w:t>(</w:t>
      </w:r>
      <w:r>
        <w:rPr>
          <w:i/>
          <w:iCs/>
          <w:szCs w:val="22"/>
        </w:rPr>
        <w:t>P</w:t>
      </w:r>
      <w:r>
        <w:rPr>
          <w:szCs w:val="22"/>
        </w:rPr>
        <w:t>&lt;0.05)</w:t>
      </w:r>
      <w:r>
        <w:rPr>
          <w:szCs w:val="22"/>
        </w:rPr>
        <w:t>。脊尾白虾生存条件相对较好，试验过程中无死亡现象。与</w:t>
      </w:r>
      <w:r>
        <w:rPr>
          <w:szCs w:val="22"/>
        </w:rPr>
        <w:t>A</w:t>
      </w:r>
      <w:r>
        <w:rPr>
          <w:szCs w:val="22"/>
        </w:rPr>
        <w:t>组相比，其他</w:t>
      </w:r>
      <w:r>
        <w:rPr>
          <w:szCs w:val="22"/>
        </w:rPr>
        <w:t>3</w:t>
      </w:r>
      <w:r>
        <w:rPr>
          <w:szCs w:val="22"/>
        </w:rPr>
        <w:t>组白虾血清总抗氧化能力</w:t>
      </w:r>
      <w:r>
        <w:rPr>
          <w:szCs w:val="22"/>
        </w:rPr>
        <w:t>(T-AOC)</w:t>
      </w:r>
      <w:r>
        <w:rPr>
          <w:szCs w:val="22"/>
        </w:rPr>
        <w:t>均极显著提高</w:t>
      </w:r>
      <w:r>
        <w:rPr>
          <w:szCs w:val="22"/>
        </w:rPr>
        <w:t>(</w:t>
      </w:r>
      <w:r>
        <w:rPr>
          <w:i/>
          <w:iCs/>
          <w:szCs w:val="22"/>
        </w:rPr>
        <w:t>P</w:t>
      </w:r>
      <w:r>
        <w:rPr>
          <w:szCs w:val="22"/>
        </w:rPr>
        <w:t>&lt;0.01)</w:t>
      </w:r>
      <w:r>
        <w:rPr>
          <w:szCs w:val="22"/>
        </w:rPr>
        <w:t>，超氧化物歧化酶（</w:t>
      </w:r>
      <w:r>
        <w:rPr>
          <w:szCs w:val="22"/>
        </w:rPr>
        <w:t>SOD)</w:t>
      </w:r>
      <w:r>
        <w:rPr>
          <w:szCs w:val="22"/>
        </w:rPr>
        <w:t>、过氧化物酶</w:t>
      </w:r>
      <w:r>
        <w:rPr>
          <w:szCs w:val="22"/>
        </w:rPr>
        <w:t>(POD</w:t>
      </w:r>
      <w:r>
        <w:rPr>
          <w:szCs w:val="22"/>
        </w:rPr>
        <w:t>）活性均显著提高（</w:t>
      </w:r>
      <w:r>
        <w:rPr>
          <w:i/>
          <w:iCs/>
          <w:szCs w:val="22"/>
        </w:rPr>
        <w:t>P</w:t>
      </w:r>
      <w:r>
        <w:rPr>
          <w:szCs w:val="22"/>
        </w:rPr>
        <w:t>&lt;0.05)</w:t>
      </w:r>
      <w:r>
        <w:rPr>
          <w:szCs w:val="22"/>
        </w:rPr>
        <w:t>，两二醛</w:t>
      </w:r>
      <w:r>
        <w:rPr>
          <w:szCs w:val="22"/>
        </w:rPr>
        <w:t>(MDA)</w:t>
      </w:r>
      <w:r>
        <w:rPr>
          <w:szCs w:val="22"/>
        </w:rPr>
        <w:t>含量显著降低（</w:t>
      </w:r>
      <w:r>
        <w:rPr>
          <w:i/>
          <w:iCs/>
          <w:szCs w:val="22"/>
        </w:rPr>
        <w:t>P</w:t>
      </w:r>
      <w:r>
        <w:rPr>
          <w:szCs w:val="22"/>
        </w:rPr>
        <w:t>&lt;0.05)</w:t>
      </w:r>
      <w:r>
        <w:rPr>
          <w:szCs w:val="22"/>
        </w:rPr>
        <w:t>。与</w:t>
      </w:r>
      <w:r>
        <w:rPr>
          <w:szCs w:val="22"/>
        </w:rPr>
        <w:t>A</w:t>
      </w:r>
      <w:r>
        <w:rPr>
          <w:szCs w:val="22"/>
        </w:rPr>
        <w:t>组相比，各试验组白虾血清溶菌酶</w:t>
      </w:r>
      <w:r>
        <w:rPr>
          <w:szCs w:val="22"/>
        </w:rPr>
        <w:t>(LSZ</w:t>
      </w:r>
      <w:r>
        <w:rPr>
          <w:szCs w:val="22"/>
        </w:rPr>
        <w:t>）活性均显著提高</w:t>
      </w:r>
      <w:r>
        <w:rPr>
          <w:szCs w:val="22"/>
        </w:rPr>
        <w:t>(PK0.05)</w:t>
      </w:r>
      <w:r>
        <w:rPr>
          <w:szCs w:val="22"/>
        </w:rPr>
        <w:t>，且随着凝结芽孢杆菌添加量提高呈上升趋势</w:t>
      </w:r>
      <w:r>
        <w:rPr>
          <w:szCs w:val="22"/>
        </w:rPr>
        <w:t>;</w:t>
      </w:r>
      <w:r>
        <w:rPr>
          <w:szCs w:val="22"/>
        </w:rPr>
        <w:t>各试验组血清酸性磷酸酶</w:t>
      </w:r>
      <w:r>
        <w:rPr>
          <w:szCs w:val="22"/>
        </w:rPr>
        <w:t>(ACP)</w:t>
      </w:r>
      <w:r>
        <w:rPr>
          <w:szCs w:val="22"/>
        </w:rPr>
        <w:t>）活性均极显著提高（</w:t>
      </w:r>
      <w:r>
        <w:rPr>
          <w:i/>
          <w:iCs/>
          <w:szCs w:val="22"/>
        </w:rPr>
        <w:t>P</w:t>
      </w:r>
      <w:r>
        <w:rPr>
          <w:szCs w:val="22"/>
        </w:rPr>
        <w:t>&lt;0.01)</w:t>
      </w:r>
      <w:r>
        <w:rPr>
          <w:szCs w:val="22"/>
        </w:rPr>
        <w:t>，且随着凝结芽孢杆菌的添加量提高呈上升趋势</w:t>
      </w:r>
      <w:r>
        <w:rPr>
          <w:szCs w:val="22"/>
        </w:rPr>
        <w:t>;B</w:t>
      </w:r>
      <w:r>
        <w:rPr>
          <w:szCs w:val="22"/>
        </w:rPr>
        <w:t>组白虾血清碱性磷酸酶</w:t>
      </w:r>
      <w:r>
        <w:rPr>
          <w:szCs w:val="22"/>
        </w:rPr>
        <w:t>(AKP)</w:t>
      </w:r>
      <w:r>
        <w:rPr>
          <w:szCs w:val="22"/>
        </w:rPr>
        <w:t>活性显著提高</w:t>
      </w:r>
      <w:r>
        <w:rPr>
          <w:szCs w:val="22"/>
        </w:rPr>
        <w:t>(</w:t>
      </w:r>
      <w:r>
        <w:rPr>
          <w:i/>
          <w:iCs/>
          <w:szCs w:val="22"/>
        </w:rPr>
        <w:t>P</w:t>
      </w:r>
      <w:r>
        <w:rPr>
          <w:szCs w:val="22"/>
        </w:rPr>
        <w:t>&lt;0.05)</w:t>
      </w:r>
      <w:r>
        <w:rPr>
          <w:szCs w:val="22"/>
        </w:rPr>
        <w:t>，</w:t>
      </w:r>
      <w:r>
        <w:rPr>
          <w:szCs w:val="22"/>
        </w:rPr>
        <w:t>C</w:t>
      </w:r>
      <w:r>
        <w:rPr>
          <w:szCs w:val="22"/>
        </w:rPr>
        <w:t>组、</w:t>
      </w:r>
      <w:r>
        <w:rPr>
          <w:szCs w:val="22"/>
        </w:rPr>
        <w:t>D</w:t>
      </w:r>
      <w:r>
        <w:rPr>
          <w:szCs w:val="22"/>
        </w:rPr>
        <w:t>组的</w:t>
      </w:r>
      <w:r>
        <w:rPr>
          <w:szCs w:val="22"/>
        </w:rPr>
        <w:t>AKP</w:t>
      </w:r>
      <w:r>
        <w:rPr>
          <w:szCs w:val="22"/>
        </w:rPr>
        <w:t>活性极显著提高（</w:t>
      </w:r>
      <w:r>
        <w:rPr>
          <w:i/>
          <w:iCs/>
          <w:szCs w:val="22"/>
        </w:rPr>
        <w:t>P</w:t>
      </w:r>
      <w:r>
        <w:rPr>
          <w:szCs w:val="22"/>
        </w:rPr>
        <w:t>&lt;0.01)</w:t>
      </w:r>
      <w:r>
        <w:rPr>
          <w:szCs w:val="22"/>
        </w:rPr>
        <w:t>。研究表明，添加凝结芽孢杆菌可显著提高白虾生长性能、血清抗氧化能力和非特异性免疫能力，凝结芽孢杆菌的适宜添加量为</w:t>
      </w:r>
      <w:r>
        <w:rPr>
          <w:szCs w:val="22"/>
        </w:rPr>
        <w:t>1500 g/t</w:t>
      </w:r>
      <w:r>
        <w:rPr>
          <w:szCs w:val="22"/>
        </w:rPr>
        <w:t>。</w:t>
      </w:r>
    </w:p>
    <w:p w14:paraId="0BCC8072" w14:textId="77777777" w:rsidR="006D73E5" w:rsidRDefault="00000000">
      <w:pPr>
        <w:rPr>
          <w:i/>
          <w:iCs/>
          <w:szCs w:val="21"/>
        </w:rPr>
      </w:pPr>
      <w:r>
        <w:rPr>
          <w:rFonts w:ascii="宋体" w:hAnsi="宋体" w:hint="eastAsia"/>
          <w:b/>
          <w:bCs/>
          <w:szCs w:val="22"/>
        </w:rPr>
        <w:t>关键词：</w:t>
      </w:r>
      <w:r>
        <w:rPr>
          <w:rFonts w:ascii="宋体" w:hAnsi="宋体"/>
          <w:szCs w:val="22"/>
        </w:rPr>
        <w:t>：凝结芽孢杆菌；脊尾白虾；生长性能；抗氧化功能；非特异性免疫功能</w:t>
      </w:r>
    </w:p>
    <w:p w14:paraId="3F6856D4" w14:textId="77777777" w:rsidR="006D73E5" w:rsidRDefault="006D73E5">
      <w:pPr>
        <w:rPr>
          <w:i/>
          <w:iCs/>
          <w:szCs w:val="21"/>
        </w:rPr>
      </w:pPr>
    </w:p>
    <w:p w14:paraId="20D7CC73" w14:textId="77777777" w:rsidR="006D73E5" w:rsidRDefault="00000000">
      <w:pPr>
        <w:spacing w:line="360" w:lineRule="auto"/>
        <w:ind w:firstLineChars="200" w:firstLine="480"/>
        <w:rPr>
          <w:sz w:val="24"/>
        </w:rPr>
      </w:pPr>
      <w:r>
        <w:rPr>
          <w:sz w:val="24"/>
        </w:rPr>
        <w:t>凝结芽孢杆菌是兼性厌氧的革兰氏阳性菌，可将糖</w:t>
      </w:r>
      <w:r>
        <w:rPr>
          <w:sz w:val="24"/>
        </w:rPr>
        <w:t xml:space="preserve"> </w:t>
      </w:r>
      <w:r>
        <w:rPr>
          <w:sz w:val="24"/>
        </w:rPr>
        <w:t>类物质分解为</w:t>
      </w:r>
      <w:r>
        <w:rPr>
          <w:sz w:val="24"/>
        </w:rPr>
        <w:t>L-</w:t>
      </w:r>
      <w:r>
        <w:rPr>
          <w:sz w:val="24"/>
        </w:rPr>
        <w:t>乳酸，为同型乳酸发酵菌</w:t>
      </w:r>
      <w:r>
        <w:rPr>
          <w:sz w:val="24"/>
          <w:vertAlign w:val="superscript"/>
        </w:rPr>
        <w:t>[1]</w:t>
      </w:r>
      <w:r>
        <w:rPr>
          <w:sz w:val="24"/>
        </w:rPr>
        <w:t>。凝结芽孢杆菌作为饵料添加剂具有耐热且可长期贮存的优点，孢子的稳定性、恢复性和抗逆性强于其他益生菌，能够在低</w:t>
      </w:r>
      <w:r>
        <w:rPr>
          <w:sz w:val="24"/>
        </w:rPr>
        <w:t>pH</w:t>
      </w:r>
      <w:r>
        <w:rPr>
          <w:sz w:val="24"/>
        </w:rPr>
        <w:t>值环境下活化，在肠道中有效附着与增殖</w:t>
      </w:r>
      <w:r>
        <w:rPr>
          <w:sz w:val="24"/>
          <w:vertAlign w:val="superscript"/>
        </w:rPr>
        <w:t>[2]</w:t>
      </w:r>
      <w:r>
        <w:rPr>
          <w:sz w:val="24"/>
        </w:rPr>
        <w:t>。研究</w:t>
      </w:r>
      <w:r>
        <w:rPr>
          <w:sz w:val="24"/>
        </w:rPr>
        <w:t xml:space="preserve"> </w:t>
      </w:r>
      <w:r>
        <w:rPr>
          <w:sz w:val="24"/>
        </w:rPr>
        <w:t>表明，在动物日粮中添加凝结芽孢杆菌可提高消化利用率</w:t>
      </w:r>
      <w:r>
        <w:rPr>
          <w:sz w:val="24"/>
          <w:vertAlign w:val="superscript"/>
        </w:rPr>
        <w:t>[3-4]</w:t>
      </w:r>
      <w:r>
        <w:rPr>
          <w:sz w:val="24"/>
        </w:rPr>
        <w:t>，提高动物机体免疫功能</w:t>
      </w:r>
      <w:r>
        <w:rPr>
          <w:sz w:val="24"/>
          <w:vertAlign w:val="superscript"/>
        </w:rPr>
        <w:t>[5]</w:t>
      </w:r>
      <w:r>
        <w:rPr>
          <w:sz w:val="24"/>
        </w:rPr>
        <w:t>，增强机体抗氧化性能</w:t>
      </w:r>
      <w:r>
        <w:rPr>
          <w:sz w:val="24"/>
          <w:vertAlign w:val="superscript"/>
        </w:rPr>
        <w:t>[6]</w:t>
      </w:r>
      <w:r>
        <w:rPr>
          <w:rFonts w:hint="eastAsia"/>
          <w:sz w:val="24"/>
        </w:rPr>
        <w:t>。</w:t>
      </w:r>
    </w:p>
    <w:p w14:paraId="11CB0B8E" w14:textId="77777777" w:rsidR="006D73E5" w:rsidRDefault="00000000">
      <w:pPr>
        <w:spacing w:line="360" w:lineRule="auto"/>
        <w:ind w:firstLineChars="200" w:firstLine="480"/>
        <w:rPr>
          <w:sz w:val="24"/>
        </w:rPr>
      </w:pPr>
      <w:r>
        <w:rPr>
          <w:sz w:val="24"/>
        </w:rPr>
        <w:t>白虾具有较高的营养价值，在水产消费市场具有重要地位，提高白虾的生长性能与健康水平对白虾养殖经济效益和产品安全均具有重要意义。因此，本研究以脊尾白虾为研究对象，在饵料中添加不同浓度的凝结芽杆菌，观察其对脊尾白虾生长性能和血清抗氧化指标及非特异性免疫指标的影响，为凝结芽孢杆菌在白虾养殖中的推广应用和白虾安全生产</w:t>
      </w:r>
      <w:r>
        <w:rPr>
          <w:sz w:val="24"/>
        </w:rPr>
        <w:lastRenderedPageBreak/>
        <w:t>提供参考。</w:t>
      </w:r>
    </w:p>
    <w:p w14:paraId="35870DC5" w14:textId="77777777" w:rsidR="006D73E5" w:rsidRDefault="00000000">
      <w:pPr>
        <w:spacing w:line="360" w:lineRule="auto"/>
        <w:rPr>
          <w:sz w:val="24"/>
        </w:rPr>
      </w:pPr>
      <w:r>
        <w:rPr>
          <w:sz w:val="24"/>
          <w:szCs w:val="22"/>
        </w:rPr>
        <w:t xml:space="preserve">1 </w:t>
      </w:r>
      <w:r>
        <w:rPr>
          <w:sz w:val="24"/>
          <w:szCs w:val="22"/>
        </w:rPr>
        <w:t>材料与方法</w:t>
      </w:r>
      <w:r>
        <w:rPr>
          <w:sz w:val="24"/>
          <w:szCs w:val="22"/>
        </w:rPr>
        <w:t xml:space="preserve"> </w:t>
      </w:r>
    </w:p>
    <w:p w14:paraId="19280779" w14:textId="77777777" w:rsidR="006D73E5" w:rsidRDefault="00000000">
      <w:pPr>
        <w:spacing w:line="360" w:lineRule="auto"/>
        <w:rPr>
          <w:sz w:val="24"/>
          <w:szCs w:val="22"/>
        </w:rPr>
      </w:pPr>
      <w:r>
        <w:rPr>
          <w:sz w:val="24"/>
          <w:szCs w:val="22"/>
        </w:rPr>
        <w:t xml:space="preserve">1.1 </w:t>
      </w:r>
      <w:r>
        <w:rPr>
          <w:sz w:val="24"/>
          <w:szCs w:val="22"/>
        </w:rPr>
        <w:t>试验材料与试验动物</w:t>
      </w:r>
    </w:p>
    <w:p w14:paraId="2FB37CAF" w14:textId="77777777" w:rsidR="006D73E5" w:rsidRDefault="00000000">
      <w:pPr>
        <w:spacing w:line="360" w:lineRule="auto"/>
        <w:ind w:firstLineChars="200" w:firstLine="480"/>
        <w:rPr>
          <w:sz w:val="24"/>
        </w:rPr>
      </w:pPr>
      <w:r>
        <w:rPr>
          <w:sz w:val="24"/>
        </w:rPr>
        <w:t>试验在厦门海洋职业技术学院海洋生物学院实验室进行。脊尾白虾幼虾购自赣榆区海洋源育苗场，幼虾体重约为</w:t>
      </w:r>
      <w:r>
        <w:rPr>
          <w:sz w:val="24"/>
        </w:rPr>
        <w:t>0.65 g</w:t>
      </w:r>
      <w:r>
        <w:rPr>
          <w:sz w:val="24"/>
        </w:rPr>
        <w:t>。凝结芽孢杆菌购自潍坊市青州市山东中科嘉亿生物工程有限公司。凝结芽孢杆菌的特征指标见表</w:t>
      </w:r>
      <w:r>
        <w:rPr>
          <w:sz w:val="24"/>
        </w:rPr>
        <w:t>1</w:t>
      </w:r>
      <w:r>
        <w:rPr>
          <w:sz w:val="24"/>
        </w:rPr>
        <w:t>。</w:t>
      </w:r>
    </w:p>
    <w:p w14:paraId="13C3033E" w14:textId="77777777" w:rsidR="006D73E5" w:rsidRDefault="00000000">
      <w:pPr>
        <w:spacing w:line="360" w:lineRule="auto"/>
        <w:ind w:firstLineChars="200" w:firstLine="480"/>
        <w:jc w:val="center"/>
        <w:rPr>
          <w:sz w:val="24"/>
        </w:rPr>
      </w:pPr>
      <w:r>
        <w:rPr>
          <w:noProof/>
          <w:sz w:val="24"/>
        </w:rPr>
        <w:drawing>
          <wp:inline distT="0" distB="0" distL="0" distR="0" wp14:anchorId="577088DB" wp14:editId="133F2B9A">
            <wp:extent cx="3330575" cy="1019175"/>
            <wp:effectExtent l="0" t="0" r="3175" b="952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noChangeArrowheads="1"/>
                    </pic:cNvPicPr>
                  </pic:nvPicPr>
                  <pic:blipFill>
                    <a:blip r:embed="rId47">
                      <a:extLst>
                        <a:ext uri="{28A0092B-C50C-407E-A947-70E740481C1C}">
                          <a14:useLocalDpi xmlns:a14="http://schemas.microsoft.com/office/drawing/2010/main" val="0"/>
                        </a:ext>
                      </a:extLst>
                    </a:blip>
                    <a:srcRect l="2874" t="8816"/>
                    <a:stretch>
                      <a:fillRect/>
                    </a:stretch>
                  </pic:blipFill>
                  <pic:spPr>
                    <a:xfrm>
                      <a:off x="0" y="0"/>
                      <a:ext cx="3331057" cy="1019657"/>
                    </a:xfrm>
                    <a:prstGeom prst="rect">
                      <a:avLst/>
                    </a:prstGeom>
                    <a:noFill/>
                    <a:ln>
                      <a:noFill/>
                    </a:ln>
                  </pic:spPr>
                </pic:pic>
              </a:graphicData>
            </a:graphic>
          </wp:inline>
        </w:drawing>
      </w:r>
    </w:p>
    <w:p w14:paraId="3B6027CF" w14:textId="77777777" w:rsidR="006D73E5" w:rsidRDefault="00000000">
      <w:pPr>
        <w:spacing w:line="360" w:lineRule="auto"/>
        <w:rPr>
          <w:sz w:val="24"/>
        </w:rPr>
      </w:pPr>
      <w:r>
        <w:rPr>
          <w:sz w:val="24"/>
        </w:rPr>
        <w:t xml:space="preserve">1.2 </w:t>
      </w:r>
      <w:r>
        <w:rPr>
          <w:sz w:val="24"/>
        </w:rPr>
        <w:t>试验设计与饲养管理</w:t>
      </w:r>
      <w:r>
        <w:rPr>
          <w:sz w:val="24"/>
        </w:rPr>
        <w:t xml:space="preserve"> </w:t>
      </w:r>
    </w:p>
    <w:p w14:paraId="72E3F235" w14:textId="77777777" w:rsidR="006D73E5" w:rsidRDefault="00000000">
      <w:pPr>
        <w:spacing w:line="360" w:lineRule="auto"/>
        <w:jc w:val="center"/>
        <w:rPr>
          <w:sz w:val="24"/>
        </w:rPr>
      </w:pPr>
      <w:r>
        <w:rPr>
          <w:noProof/>
          <w:sz w:val="24"/>
        </w:rPr>
        <w:drawing>
          <wp:inline distT="0" distB="0" distL="0" distR="0" wp14:anchorId="797877F3" wp14:editId="1D9EB0A5">
            <wp:extent cx="3409315" cy="3875405"/>
            <wp:effectExtent l="0" t="0" r="635"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3409315" cy="3875405"/>
                    </a:xfrm>
                    <a:prstGeom prst="rect">
                      <a:avLst/>
                    </a:prstGeom>
                    <a:noFill/>
                    <a:ln>
                      <a:noFill/>
                    </a:ln>
                  </pic:spPr>
                </pic:pic>
              </a:graphicData>
            </a:graphic>
          </wp:inline>
        </w:drawing>
      </w:r>
    </w:p>
    <w:p w14:paraId="2DCFDC6F" w14:textId="77777777" w:rsidR="006D73E5" w:rsidRDefault="00000000">
      <w:pPr>
        <w:spacing w:line="360" w:lineRule="auto"/>
        <w:ind w:firstLineChars="200" w:firstLine="480"/>
        <w:rPr>
          <w:sz w:val="24"/>
        </w:rPr>
      </w:pPr>
      <w:r>
        <w:rPr>
          <w:sz w:val="24"/>
        </w:rPr>
        <w:t>脊尾白虾试验前在水槽中饲养</w:t>
      </w:r>
      <w:r>
        <w:rPr>
          <w:sz w:val="24"/>
        </w:rPr>
        <w:t>7 d</w:t>
      </w:r>
      <w:r>
        <w:rPr>
          <w:sz w:val="24"/>
        </w:rPr>
        <w:t>，适应环境且减少应激，在水温（</w:t>
      </w:r>
      <w:r>
        <w:rPr>
          <w:sz w:val="24"/>
        </w:rPr>
        <w:t>24±0.5</w:t>
      </w:r>
      <w:r>
        <w:rPr>
          <w:sz w:val="24"/>
        </w:rPr>
        <w:t>）</w:t>
      </w:r>
      <w:r>
        <w:rPr>
          <w:sz w:val="24"/>
        </w:rPr>
        <w:t>℃</w:t>
      </w:r>
      <w:r>
        <w:rPr>
          <w:sz w:val="24"/>
        </w:rPr>
        <w:t>、盐度</w:t>
      </w:r>
      <w:r>
        <w:rPr>
          <w:sz w:val="24"/>
        </w:rPr>
        <w:t>15‰</w:t>
      </w:r>
      <w:r>
        <w:rPr>
          <w:sz w:val="24"/>
        </w:rPr>
        <w:t>的条件下进行饲养。基础饵料根据阎斌伦等</w:t>
      </w:r>
      <w:r>
        <w:rPr>
          <w:sz w:val="24"/>
          <w:vertAlign w:val="superscript"/>
        </w:rPr>
        <w:t>[7]</w:t>
      </w:r>
      <w:r>
        <w:rPr>
          <w:sz w:val="24"/>
        </w:rPr>
        <w:t>的研究进行优化配制，基础饵料组成及营养水平见表</w:t>
      </w:r>
      <w:r>
        <w:rPr>
          <w:sz w:val="24"/>
        </w:rPr>
        <w:t>2</w:t>
      </w:r>
      <w:r>
        <w:rPr>
          <w:sz w:val="24"/>
        </w:rPr>
        <w:t>。试验选取</w:t>
      </w:r>
      <w:r>
        <w:rPr>
          <w:sz w:val="24"/>
        </w:rPr>
        <w:t>480</w:t>
      </w:r>
      <w:r>
        <w:rPr>
          <w:sz w:val="24"/>
        </w:rPr>
        <w:t>尾脊尾白虾，随机分为</w:t>
      </w:r>
      <w:r>
        <w:rPr>
          <w:sz w:val="24"/>
        </w:rPr>
        <w:t>4</w:t>
      </w:r>
      <w:r>
        <w:rPr>
          <w:sz w:val="24"/>
        </w:rPr>
        <w:t>组，每组</w:t>
      </w:r>
      <w:r>
        <w:rPr>
          <w:sz w:val="24"/>
        </w:rPr>
        <w:t>6</w:t>
      </w:r>
      <w:r>
        <w:rPr>
          <w:sz w:val="24"/>
        </w:rPr>
        <w:t>个重复，每个重复</w:t>
      </w:r>
      <w:r>
        <w:rPr>
          <w:sz w:val="24"/>
        </w:rPr>
        <w:t>20</w:t>
      </w:r>
      <w:r>
        <w:rPr>
          <w:sz w:val="24"/>
        </w:rPr>
        <w:t>尾</w:t>
      </w:r>
      <w:r>
        <w:rPr>
          <w:sz w:val="24"/>
        </w:rPr>
        <w:t xml:space="preserve"> </w:t>
      </w:r>
      <w:r>
        <w:rPr>
          <w:sz w:val="24"/>
        </w:rPr>
        <w:t>虾。脊尾白虾饲养水族箱</w:t>
      </w:r>
      <w:r>
        <w:rPr>
          <w:sz w:val="24"/>
        </w:rPr>
        <w:t xml:space="preserve"> </w:t>
      </w:r>
      <w:r>
        <w:rPr>
          <w:sz w:val="24"/>
        </w:rPr>
        <w:t>（</w:t>
      </w:r>
      <w:r>
        <w:rPr>
          <w:sz w:val="24"/>
        </w:rPr>
        <w:t>30 cm×40 cm×50 cm</w:t>
      </w:r>
      <w:r>
        <w:rPr>
          <w:sz w:val="24"/>
        </w:rPr>
        <w:t>）中，每个重复单独使用</w:t>
      </w:r>
      <w:r>
        <w:rPr>
          <w:sz w:val="24"/>
        </w:rPr>
        <w:t>1</w:t>
      </w:r>
      <w:r>
        <w:rPr>
          <w:sz w:val="24"/>
        </w:rPr>
        <w:t>个水族箱。正式试验期每日</w:t>
      </w:r>
      <w:r>
        <w:rPr>
          <w:sz w:val="24"/>
        </w:rPr>
        <w:t>7</w:t>
      </w:r>
      <w:r>
        <w:rPr>
          <w:sz w:val="24"/>
        </w:rPr>
        <w:t>：</w:t>
      </w:r>
      <w:r>
        <w:rPr>
          <w:sz w:val="24"/>
        </w:rPr>
        <w:t>00</w:t>
      </w:r>
      <w:r>
        <w:rPr>
          <w:sz w:val="24"/>
        </w:rPr>
        <w:t>和</w:t>
      </w:r>
      <w:r>
        <w:rPr>
          <w:sz w:val="24"/>
        </w:rPr>
        <w:t>17</w:t>
      </w:r>
      <w:r>
        <w:rPr>
          <w:sz w:val="24"/>
        </w:rPr>
        <w:t>：</w:t>
      </w:r>
      <w:r>
        <w:rPr>
          <w:sz w:val="24"/>
        </w:rPr>
        <w:t>00</w:t>
      </w:r>
      <w:r>
        <w:rPr>
          <w:sz w:val="24"/>
        </w:rPr>
        <w:t>投饵，投饵</w:t>
      </w:r>
      <w:r>
        <w:rPr>
          <w:sz w:val="24"/>
        </w:rPr>
        <w:t>3 h</w:t>
      </w:r>
      <w:r>
        <w:rPr>
          <w:sz w:val="24"/>
        </w:rPr>
        <w:t>后，收集残饵、粪便与虾壳。水族箱每日换</w:t>
      </w:r>
      <w:r>
        <w:rPr>
          <w:sz w:val="24"/>
        </w:rPr>
        <w:lastRenderedPageBreak/>
        <w:t>水</w:t>
      </w:r>
      <w:r>
        <w:rPr>
          <w:sz w:val="24"/>
        </w:rPr>
        <w:t xml:space="preserve"> 3/5</w:t>
      </w:r>
      <w:r>
        <w:rPr>
          <w:sz w:val="24"/>
        </w:rPr>
        <w:t>，保证溶解氧不低于（</w:t>
      </w:r>
      <w:r>
        <w:rPr>
          <w:sz w:val="24"/>
        </w:rPr>
        <w:t>6.0±0.5</w:t>
      </w:r>
      <w:r>
        <w:rPr>
          <w:sz w:val="24"/>
        </w:rPr>
        <w:t>）</w:t>
      </w:r>
      <w:r>
        <w:rPr>
          <w:sz w:val="24"/>
        </w:rPr>
        <w:t>mg/L</w:t>
      </w:r>
      <w:r>
        <w:rPr>
          <w:sz w:val="24"/>
        </w:rPr>
        <w:t>，</w:t>
      </w:r>
      <w:r>
        <w:rPr>
          <w:sz w:val="24"/>
        </w:rPr>
        <w:t>pH</w:t>
      </w:r>
      <w:r>
        <w:rPr>
          <w:sz w:val="24"/>
        </w:rPr>
        <w:t>值约为</w:t>
      </w:r>
      <w:r>
        <w:rPr>
          <w:sz w:val="24"/>
        </w:rPr>
        <w:t>8</w:t>
      </w:r>
      <w:r>
        <w:rPr>
          <w:sz w:val="24"/>
        </w:rPr>
        <w:t>。在</w:t>
      </w:r>
      <w:r>
        <w:rPr>
          <w:sz w:val="24"/>
        </w:rPr>
        <w:t>A</w:t>
      </w:r>
      <w:r>
        <w:rPr>
          <w:sz w:val="24"/>
        </w:rPr>
        <w:t>组（对照组）、</w:t>
      </w:r>
      <w:r>
        <w:rPr>
          <w:sz w:val="24"/>
        </w:rPr>
        <w:t>B</w:t>
      </w:r>
      <w:r>
        <w:rPr>
          <w:sz w:val="24"/>
        </w:rPr>
        <w:t>组、</w:t>
      </w:r>
      <w:r>
        <w:rPr>
          <w:sz w:val="24"/>
        </w:rPr>
        <w:t>C</w:t>
      </w:r>
      <w:r>
        <w:rPr>
          <w:sz w:val="24"/>
        </w:rPr>
        <w:t>组、</w:t>
      </w:r>
      <w:r>
        <w:rPr>
          <w:sz w:val="24"/>
        </w:rPr>
        <w:t xml:space="preserve">D </w:t>
      </w:r>
      <w:r>
        <w:rPr>
          <w:sz w:val="24"/>
        </w:rPr>
        <w:t>组基础饵料中分别添加</w:t>
      </w:r>
      <w:r>
        <w:rPr>
          <w:sz w:val="24"/>
        </w:rPr>
        <w:t>0</w:t>
      </w:r>
      <w:r>
        <w:rPr>
          <w:sz w:val="24"/>
        </w:rPr>
        <w:t>、</w:t>
      </w:r>
      <w:r>
        <w:rPr>
          <w:sz w:val="24"/>
        </w:rPr>
        <w:t>500</w:t>
      </w:r>
      <w:r>
        <w:rPr>
          <w:sz w:val="24"/>
        </w:rPr>
        <w:t>、</w:t>
      </w:r>
      <w:r>
        <w:rPr>
          <w:sz w:val="24"/>
        </w:rPr>
        <w:t xml:space="preserve"> 1 000</w:t>
      </w:r>
      <w:r>
        <w:rPr>
          <w:sz w:val="24"/>
        </w:rPr>
        <w:t>、</w:t>
      </w:r>
      <w:r>
        <w:rPr>
          <w:sz w:val="24"/>
        </w:rPr>
        <w:t>1 500 g/t</w:t>
      </w:r>
      <w:r>
        <w:rPr>
          <w:sz w:val="24"/>
        </w:rPr>
        <w:t>剂量的凝结芽孢杆菌。试验期</w:t>
      </w:r>
      <w:r>
        <w:rPr>
          <w:sz w:val="24"/>
        </w:rPr>
        <w:t>30 d</w:t>
      </w:r>
      <w:r>
        <w:rPr>
          <w:sz w:val="24"/>
        </w:rPr>
        <w:t>。</w:t>
      </w:r>
    </w:p>
    <w:p w14:paraId="1A48477F" w14:textId="77777777" w:rsidR="006D73E5" w:rsidRDefault="00000000">
      <w:pPr>
        <w:spacing w:line="360" w:lineRule="auto"/>
        <w:rPr>
          <w:sz w:val="24"/>
        </w:rPr>
      </w:pPr>
      <w:r>
        <w:rPr>
          <w:sz w:val="24"/>
        </w:rPr>
        <w:t xml:space="preserve">1.3  </w:t>
      </w:r>
      <w:r>
        <w:rPr>
          <w:sz w:val="24"/>
        </w:rPr>
        <w:t>测定指标及方法</w:t>
      </w:r>
      <w:r>
        <w:rPr>
          <w:sz w:val="24"/>
        </w:rPr>
        <w:t xml:space="preserve"> </w:t>
      </w:r>
    </w:p>
    <w:p w14:paraId="61EB9D50" w14:textId="77777777" w:rsidR="006D73E5" w:rsidRDefault="00000000">
      <w:pPr>
        <w:spacing w:line="360" w:lineRule="auto"/>
        <w:rPr>
          <w:sz w:val="24"/>
        </w:rPr>
      </w:pPr>
      <w:r>
        <w:rPr>
          <w:sz w:val="24"/>
        </w:rPr>
        <w:t xml:space="preserve">1.3.1  </w:t>
      </w:r>
      <w:r>
        <w:rPr>
          <w:sz w:val="24"/>
        </w:rPr>
        <w:t>生长性能</w:t>
      </w:r>
    </w:p>
    <w:p w14:paraId="26FEFF86" w14:textId="77777777" w:rsidR="006D73E5" w:rsidRDefault="00000000">
      <w:pPr>
        <w:spacing w:line="360" w:lineRule="auto"/>
        <w:ind w:firstLineChars="200" w:firstLine="480"/>
        <w:rPr>
          <w:sz w:val="24"/>
        </w:rPr>
      </w:pPr>
      <w:r>
        <w:rPr>
          <w:sz w:val="24"/>
        </w:rPr>
        <w:t>正式试验开始前</w:t>
      </w:r>
      <w:r>
        <w:rPr>
          <w:sz w:val="24"/>
        </w:rPr>
        <w:t>1 d</w:t>
      </w:r>
      <w:r>
        <w:rPr>
          <w:sz w:val="24"/>
        </w:rPr>
        <w:t>对脊尾白虾禁食，称重（湿重）；试验结束再次称重。统计生长性能指标，包括特定生长率（</w:t>
      </w:r>
      <w:r>
        <w:rPr>
          <w:sz w:val="24"/>
        </w:rPr>
        <w:t>SGR</w:t>
      </w:r>
      <w:r>
        <w:rPr>
          <w:sz w:val="24"/>
        </w:rPr>
        <w:t>）、增重率（</w:t>
      </w:r>
      <w:r>
        <w:rPr>
          <w:sz w:val="24"/>
        </w:rPr>
        <w:t>GR</w:t>
      </w:r>
      <w:r>
        <w:rPr>
          <w:sz w:val="24"/>
        </w:rPr>
        <w:t>）、饵料系数（</w:t>
      </w:r>
      <w:r>
        <w:rPr>
          <w:sz w:val="24"/>
        </w:rPr>
        <w:t>FCR</w:t>
      </w:r>
      <w:r>
        <w:rPr>
          <w:sz w:val="24"/>
        </w:rPr>
        <w:t>）、饵料吸收效率（</w:t>
      </w:r>
      <w:r>
        <w:rPr>
          <w:sz w:val="24"/>
        </w:rPr>
        <w:t>AE</w:t>
      </w:r>
      <w:r>
        <w:rPr>
          <w:sz w:val="24"/>
        </w:rPr>
        <w:t>）、病死率（</w:t>
      </w:r>
      <w:r>
        <w:rPr>
          <w:sz w:val="24"/>
        </w:rPr>
        <w:t>SR</w:t>
      </w:r>
      <w:r>
        <w:rPr>
          <w:sz w:val="24"/>
        </w:rPr>
        <w:t>）。</w:t>
      </w:r>
      <w:r>
        <w:rPr>
          <w:sz w:val="24"/>
        </w:rPr>
        <w:t xml:space="preserve"> </w:t>
      </w:r>
    </w:p>
    <w:p w14:paraId="1F9D7C04" w14:textId="77777777" w:rsidR="006D73E5" w:rsidRDefault="00000000">
      <w:pPr>
        <w:spacing w:line="360" w:lineRule="auto"/>
        <w:ind w:firstLineChars="200" w:firstLine="480"/>
        <w:jc w:val="center"/>
        <w:rPr>
          <w:sz w:val="24"/>
        </w:rPr>
      </w:pPr>
      <w:r>
        <w:rPr>
          <w:sz w:val="24"/>
        </w:rPr>
        <w:t>SGR=(ln</w:t>
      </w:r>
      <w:r>
        <w:rPr>
          <w:i/>
          <w:iCs/>
          <w:sz w:val="24"/>
        </w:rPr>
        <w:t>w</w:t>
      </w:r>
      <w:r>
        <w:rPr>
          <w:i/>
          <w:iCs/>
          <w:sz w:val="24"/>
          <w:vertAlign w:val="subscript"/>
        </w:rPr>
        <w:t>2</w:t>
      </w:r>
      <w:r>
        <w:rPr>
          <w:sz w:val="24"/>
        </w:rPr>
        <w:t>-ln</w:t>
      </w:r>
      <w:r>
        <w:rPr>
          <w:i/>
          <w:iCs/>
          <w:sz w:val="24"/>
        </w:rPr>
        <w:t>w</w:t>
      </w:r>
      <w:r>
        <w:rPr>
          <w:i/>
          <w:iCs/>
          <w:sz w:val="24"/>
          <w:vertAlign w:val="subscript"/>
        </w:rPr>
        <w:t>1</w:t>
      </w:r>
      <w:r>
        <w:rPr>
          <w:sz w:val="24"/>
        </w:rPr>
        <w:t>)/</w:t>
      </w:r>
      <w:r>
        <w:rPr>
          <w:i/>
          <w:iCs/>
          <w:sz w:val="24"/>
        </w:rPr>
        <w:t>t</w:t>
      </w:r>
      <w:r>
        <w:rPr>
          <w:sz w:val="24"/>
        </w:rPr>
        <w:t xml:space="preserve"> (1)</w:t>
      </w:r>
    </w:p>
    <w:p w14:paraId="77AB721A" w14:textId="77777777" w:rsidR="006D73E5" w:rsidRDefault="00000000">
      <w:pPr>
        <w:spacing w:line="360" w:lineRule="auto"/>
        <w:ind w:firstLineChars="200" w:firstLine="480"/>
        <w:jc w:val="center"/>
        <w:rPr>
          <w:sz w:val="24"/>
        </w:rPr>
      </w:pPr>
      <w:r>
        <w:rPr>
          <w:sz w:val="24"/>
        </w:rPr>
        <w:t>GR=(</w:t>
      </w:r>
      <w:r>
        <w:rPr>
          <w:i/>
          <w:iCs/>
          <w:sz w:val="24"/>
        </w:rPr>
        <w:t>w</w:t>
      </w:r>
      <w:r>
        <w:rPr>
          <w:i/>
          <w:iCs/>
          <w:sz w:val="24"/>
          <w:vertAlign w:val="subscript"/>
        </w:rPr>
        <w:t>2</w:t>
      </w:r>
      <w:r>
        <w:rPr>
          <w:i/>
          <w:iCs/>
          <w:sz w:val="24"/>
        </w:rPr>
        <w:t>-w</w:t>
      </w:r>
      <w:r>
        <w:rPr>
          <w:i/>
          <w:iCs/>
          <w:sz w:val="24"/>
          <w:vertAlign w:val="subscript"/>
        </w:rPr>
        <w:t>1</w:t>
      </w:r>
      <w:r>
        <w:rPr>
          <w:sz w:val="24"/>
        </w:rPr>
        <w:t>)/</w:t>
      </w:r>
      <w:r>
        <w:rPr>
          <w:i/>
          <w:iCs/>
          <w:sz w:val="24"/>
        </w:rPr>
        <w:t>w</w:t>
      </w:r>
      <w:r>
        <w:rPr>
          <w:i/>
          <w:iCs/>
          <w:sz w:val="24"/>
          <w:vertAlign w:val="subscript"/>
        </w:rPr>
        <w:t>1</w:t>
      </w:r>
      <w:r>
        <w:rPr>
          <w:sz w:val="24"/>
        </w:rPr>
        <w:t xml:space="preserve"> (2)</w:t>
      </w:r>
    </w:p>
    <w:p w14:paraId="074548AF" w14:textId="77777777" w:rsidR="006D73E5" w:rsidRDefault="00000000">
      <w:pPr>
        <w:spacing w:line="360" w:lineRule="auto"/>
        <w:ind w:firstLineChars="200" w:firstLine="480"/>
        <w:jc w:val="center"/>
        <w:rPr>
          <w:sz w:val="24"/>
        </w:rPr>
      </w:pPr>
      <w:r>
        <w:rPr>
          <w:sz w:val="24"/>
        </w:rPr>
        <w:t>FCR=</w:t>
      </w:r>
      <w:r>
        <w:rPr>
          <w:i/>
          <w:iCs/>
          <w:sz w:val="24"/>
        </w:rPr>
        <w:t>w</w:t>
      </w:r>
      <w:r>
        <w:rPr>
          <w:i/>
          <w:iCs/>
          <w:sz w:val="24"/>
          <w:vertAlign w:val="subscript"/>
        </w:rPr>
        <w:t>3</w:t>
      </w:r>
      <w:r>
        <w:rPr>
          <w:sz w:val="24"/>
        </w:rPr>
        <w:t>/(</w:t>
      </w:r>
      <w:r>
        <w:rPr>
          <w:i/>
          <w:iCs/>
          <w:sz w:val="24"/>
        </w:rPr>
        <w:t>w</w:t>
      </w:r>
      <w:r>
        <w:rPr>
          <w:i/>
          <w:iCs/>
          <w:sz w:val="24"/>
          <w:vertAlign w:val="subscript"/>
        </w:rPr>
        <w:t>2</w:t>
      </w:r>
      <w:r>
        <w:rPr>
          <w:i/>
          <w:iCs/>
          <w:sz w:val="24"/>
        </w:rPr>
        <w:t>-w</w:t>
      </w:r>
      <w:r>
        <w:rPr>
          <w:i/>
          <w:iCs/>
          <w:sz w:val="24"/>
          <w:vertAlign w:val="subscript"/>
        </w:rPr>
        <w:t>1</w:t>
      </w:r>
      <w:r>
        <w:rPr>
          <w:sz w:val="24"/>
          <w:vertAlign w:val="subscript"/>
        </w:rPr>
        <w:t>)</w:t>
      </w:r>
      <w:r>
        <w:rPr>
          <w:sz w:val="24"/>
        </w:rPr>
        <w:t xml:space="preserve"> (3)</w:t>
      </w:r>
    </w:p>
    <w:p w14:paraId="08021128" w14:textId="77777777" w:rsidR="006D73E5" w:rsidRDefault="00000000">
      <w:pPr>
        <w:spacing w:line="360" w:lineRule="auto"/>
        <w:ind w:firstLineChars="200" w:firstLine="480"/>
        <w:jc w:val="center"/>
        <w:rPr>
          <w:sz w:val="24"/>
        </w:rPr>
      </w:pPr>
      <w:r>
        <w:rPr>
          <w:sz w:val="24"/>
        </w:rPr>
        <w:t>AE=(</w:t>
      </w:r>
      <w:r>
        <w:rPr>
          <w:i/>
          <w:iCs/>
          <w:sz w:val="24"/>
        </w:rPr>
        <w:t>w</w:t>
      </w:r>
      <w:r>
        <w:rPr>
          <w:i/>
          <w:iCs/>
          <w:sz w:val="24"/>
          <w:vertAlign w:val="subscript"/>
        </w:rPr>
        <w:t>3</w:t>
      </w:r>
      <w:r>
        <w:rPr>
          <w:i/>
          <w:iCs/>
          <w:sz w:val="24"/>
        </w:rPr>
        <w:t>-w</w:t>
      </w:r>
      <w:r>
        <w:rPr>
          <w:i/>
          <w:iCs/>
          <w:sz w:val="24"/>
          <w:vertAlign w:val="subscript"/>
        </w:rPr>
        <w:t>4</w:t>
      </w:r>
      <w:r>
        <w:rPr>
          <w:sz w:val="24"/>
        </w:rPr>
        <w:t>)/</w:t>
      </w:r>
      <w:r>
        <w:rPr>
          <w:i/>
          <w:iCs/>
          <w:sz w:val="24"/>
        </w:rPr>
        <w:t>w</w:t>
      </w:r>
      <w:r>
        <w:rPr>
          <w:i/>
          <w:iCs/>
          <w:sz w:val="24"/>
          <w:vertAlign w:val="subscript"/>
        </w:rPr>
        <w:t>3</w:t>
      </w:r>
      <w:r>
        <w:rPr>
          <w:sz w:val="24"/>
        </w:rPr>
        <w:t xml:space="preserve"> (4)</w:t>
      </w:r>
    </w:p>
    <w:p w14:paraId="5258EC1E" w14:textId="77777777" w:rsidR="006D73E5" w:rsidRDefault="00000000">
      <w:pPr>
        <w:spacing w:line="360" w:lineRule="auto"/>
        <w:ind w:firstLineChars="200" w:firstLine="480"/>
        <w:rPr>
          <w:sz w:val="24"/>
        </w:rPr>
      </w:pPr>
      <w:r>
        <w:rPr>
          <w:sz w:val="24"/>
        </w:rPr>
        <w:t>式中：</w:t>
      </w:r>
      <w:r>
        <w:rPr>
          <w:sz w:val="24"/>
        </w:rPr>
        <w:t>w</w:t>
      </w:r>
      <w:r>
        <w:rPr>
          <w:sz w:val="24"/>
          <w:vertAlign w:val="subscript"/>
        </w:rPr>
        <w:t>1</w:t>
      </w:r>
      <w:r>
        <w:rPr>
          <w:sz w:val="24"/>
        </w:rPr>
        <w:t>和</w:t>
      </w:r>
      <w:r>
        <w:rPr>
          <w:sz w:val="24"/>
        </w:rPr>
        <w:t>w</w:t>
      </w:r>
      <w:r>
        <w:rPr>
          <w:sz w:val="24"/>
          <w:vertAlign w:val="subscript"/>
        </w:rPr>
        <w:t>2</w:t>
      </w:r>
      <w:r>
        <w:rPr>
          <w:sz w:val="24"/>
        </w:rPr>
        <w:t>为白虾初重、末重，</w:t>
      </w:r>
      <w:r>
        <w:rPr>
          <w:sz w:val="24"/>
        </w:rPr>
        <w:t>w</w:t>
      </w:r>
      <w:r>
        <w:rPr>
          <w:sz w:val="24"/>
          <w:vertAlign w:val="subscript"/>
        </w:rPr>
        <w:t>3</w:t>
      </w:r>
      <w:r>
        <w:rPr>
          <w:sz w:val="24"/>
        </w:rPr>
        <w:t>为试验阶段白虾的总采食量，</w:t>
      </w:r>
      <w:r>
        <w:rPr>
          <w:sz w:val="24"/>
        </w:rPr>
        <w:t>w</w:t>
      </w:r>
      <w:r>
        <w:rPr>
          <w:sz w:val="24"/>
          <w:vertAlign w:val="subscript"/>
        </w:rPr>
        <w:t>4</w:t>
      </w:r>
      <w:r>
        <w:rPr>
          <w:sz w:val="24"/>
        </w:rPr>
        <w:t>为粪便重量，</w:t>
      </w:r>
      <w:r>
        <w:rPr>
          <w:sz w:val="24"/>
        </w:rPr>
        <w:t>t</w:t>
      </w:r>
      <w:r>
        <w:rPr>
          <w:sz w:val="24"/>
        </w:rPr>
        <w:t>为试验天数。</w:t>
      </w:r>
      <w:r>
        <w:rPr>
          <w:sz w:val="24"/>
        </w:rPr>
        <w:t xml:space="preserve"> </w:t>
      </w:r>
    </w:p>
    <w:p w14:paraId="38672AC4" w14:textId="77777777" w:rsidR="006D73E5" w:rsidRDefault="00000000">
      <w:pPr>
        <w:spacing w:line="360" w:lineRule="auto"/>
        <w:rPr>
          <w:sz w:val="24"/>
        </w:rPr>
      </w:pPr>
      <w:r>
        <w:rPr>
          <w:sz w:val="24"/>
        </w:rPr>
        <w:t xml:space="preserve">1.3.2  </w:t>
      </w:r>
      <w:r>
        <w:rPr>
          <w:sz w:val="24"/>
        </w:rPr>
        <w:t>血清抗氧化指标</w:t>
      </w:r>
      <w:r>
        <w:rPr>
          <w:sz w:val="24"/>
        </w:rPr>
        <w:t xml:space="preserve"> </w:t>
      </w:r>
    </w:p>
    <w:p w14:paraId="68E0824F" w14:textId="77777777" w:rsidR="006D73E5" w:rsidRDefault="00000000">
      <w:pPr>
        <w:spacing w:line="360" w:lineRule="auto"/>
        <w:ind w:firstLineChars="200" w:firstLine="480"/>
        <w:rPr>
          <w:sz w:val="24"/>
        </w:rPr>
      </w:pPr>
      <w:r>
        <w:rPr>
          <w:sz w:val="24"/>
        </w:rPr>
        <w:t>白虾称重后，清理白虾表面水分，从头胸甲处将注射器针头插入心区获取白虾血液。血液置于离心管中，常温</w:t>
      </w:r>
      <w:r>
        <w:rPr>
          <w:sz w:val="24"/>
        </w:rPr>
        <w:t xml:space="preserve"> 5 000 r/min </w:t>
      </w:r>
      <w:r>
        <w:rPr>
          <w:sz w:val="24"/>
        </w:rPr>
        <w:t>离心</w:t>
      </w:r>
      <w:r>
        <w:rPr>
          <w:sz w:val="24"/>
        </w:rPr>
        <w:t>20 min</w:t>
      </w:r>
      <w:r>
        <w:rPr>
          <w:sz w:val="24"/>
        </w:rPr>
        <w:t>，取上清液，</w:t>
      </w:r>
      <w:r>
        <w:rPr>
          <w:sz w:val="24"/>
        </w:rPr>
        <w:t>-20 ℃</w:t>
      </w:r>
      <w:r>
        <w:rPr>
          <w:sz w:val="24"/>
        </w:rPr>
        <w:t>冰箱</w:t>
      </w:r>
      <w:r>
        <w:rPr>
          <w:sz w:val="24"/>
        </w:rPr>
        <w:t xml:space="preserve"> </w:t>
      </w:r>
      <w:r>
        <w:rPr>
          <w:sz w:val="24"/>
        </w:rPr>
        <w:t>保存。本研究检测的抗氧化指标主要包括：总抗氧化能力（</w:t>
      </w:r>
      <w:r>
        <w:rPr>
          <w:sz w:val="24"/>
        </w:rPr>
        <w:t>T-AOC</w:t>
      </w:r>
      <w:r>
        <w:rPr>
          <w:sz w:val="24"/>
        </w:rPr>
        <w:t>）、超氧化物歧化酶（</w:t>
      </w:r>
      <w:r>
        <w:rPr>
          <w:sz w:val="24"/>
        </w:rPr>
        <w:t>SOD</w:t>
      </w:r>
      <w:r>
        <w:rPr>
          <w:sz w:val="24"/>
        </w:rPr>
        <w:t>）、谷胱甘肽过氧化物酶（</w:t>
      </w:r>
      <w:r>
        <w:rPr>
          <w:sz w:val="24"/>
        </w:rPr>
        <w:t>GHS-</w:t>
      </w:r>
      <w:proofErr w:type="spellStart"/>
      <w:r>
        <w:rPr>
          <w:sz w:val="24"/>
        </w:rPr>
        <w:t>Px</w:t>
      </w:r>
      <w:proofErr w:type="spellEnd"/>
      <w:r>
        <w:rPr>
          <w:sz w:val="24"/>
        </w:rPr>
        <w:t>）、过氧化物酶</w:t>
      </w:r>
      <w:r>
        <w:rPr>
          <w:sz w:val="24"/>
        </w:rPr>
        <w:t xml:space="preserve"> </w:t>
      </w:r>
      <w:r>
        <w:rPr>
          <w:sz w:val="24"/>
        </w:rPr>
        <w:t>（</w:t>
      </w:r>
      <w:r>
        <w:rPr>
          <w:sz w:val="24"/>
        </w:rPr>
        <w:t>POD</w:t>
      </w:r>
      <w:r>
        <w:rPr>
          <w:sz w:val="24"/>
        </w:rPr>
        <w:t>）活性及丙二醛（</w:t>
      </w:r>
      <w:r>
        <w:rPr>
          <w:sz w:val="24"/>
        </w:rPr>
        <w:t>MDA</w:t>
      </w:r>
      <w:r>
        <w:rPr>
          <w:sz w:val="24"/>
        </w:rPr>
        <w:t>）含量。试剂盒购自南京建成生物工程研究所，具体操作步骤按照试剂盒说明严格执行。</w:t>
      </w:r>
    </w:p>
    <w:p w14:paraId="07F3FA21" w14:textId="77777777" w:rsidR="006D73E5" w:rsidRDefault="00000000">
      <w:pPr>
        <w:spacing w:line="360" w:lineRule="auto"/>
        <w:rPr>
          <w:sz w:val="24"/>
        </w:rPr>
      </w:pPr>
      <w:r>
        <w:rPr>
          <w:sz w:val="24"/>
        </w:rPr>
        <w:t xml:space="preserve">1.3.3  </w:t>
      </w:r>
      <w:r>
        <w:rPr>
          <w:sz w:val="24"/>
        </w:rPr>
        <w:t>血清免疫指标</w:t>
      </w:r>
      <w:r>
        <w:rPr>
          <w:sz w:val="24"/>
        </w:rPr>
        <w:t xml:space="preserve"> </w:t>
      </w:r>
    </w:p>
    <w:p w14:paraId="35CF66E8" w14:textId="77777777" w:rsidR="006D73E5" w:rsidRDefault="00000000">
      <w:pPr>
        <w:spacing w:line="360" w:lineRule="auto"/>
        <w:ind w:firstLineChars="200" w:firstLine="480"/>
        <w:rPr>
          <w:sz w:val="24"/>
        </w:rPr>
      </w:pPr>
      <w:r>
        <w:rPr>
          <w:sz w:val="24"/>
        </w:rPr>
        <w:t>本研究检测免疫指标主要包括：血清溶菌酶（</w:t>
      </w:r>
      <w:r>
        <w:rPr>
          <w:sz w:val="24"/>
        </w:rPr>
        <w:t>LSZ</w:t>
      </w:r>
      <w:r>
        <w:rPr>
          <w:sz w:val="24"/>
        </w:rPr>
        <w:t>）、酸性磷酸酶（</w:t>
      </w:r>
      <w:r>
        <w:rPr>
          <w:sz w:val="24"/>
        </w:rPr>
        <w:t>ACP</w:t>
      </w:r>
      <w:r>
        <w:rPr>
          <w:sz w:val="24"/>
        </w:rPr>
        <w:t>）和碱性磷酸酶（</w:t>
      </w:r>
      <w:r>
        <w:rPr>
          <w:sz w:val="24"/>
        </w:rPr>
        <w:t>AKP</w:t>
      </w:r>
      <w:r>
        <w:rPr>
          <w:sz w:val="24"/>
        </w:rPr>
        <w:t>）的活</w:t>
      </w:r>
      <w:r>
        <w:rPr>
          <w:sz w:val="24"/>
        </w:rPr>
        <w:t xml:space="preserve"> </w:t>
      </w:r>
      <w:r>
        <w:rPr>
          <w:sz w:val="24"/>
        </w:rPr>
        <w:t>性。试剂盒购自南京建成生物工程研究所，具体操作步骤按照试剂盒说明严格执行。</w:t>
      </w:r>
      <w:r>
        <w:rPr>
          <w:sz w:val="24"/>
        </w:rPr>
        <w:t xml:space="preserve"> </w:t>
      </w:r>
    </w:p>
    <w:p w14:paraId="70AB9E7B" w14:textId="77777777" w:rsidR="006D73E5" w:rsidRDefault="00000000">
      <w:pPr>
        <w:spacing w:line="360" w:lineRule="auto"/>
        <w:rPr>
          <w:sz w:val="24"/>
        </w:rPr>
      </w:pPr>
      <w:r>
        <w:rPr>
          <w:sz w:val="24"/>
        </w:rPr>
        <w:t xml:space="preserve">1.4 </w:t>
      </w:r>
      <w:r>
        <w:rPr>
          <w:sz w:val="24"/>
        </w:rPr>
        <w:t>数据统计与分析</w:t>
      </w:r>
      <w:r>
        <w:rPr>
          <w:sz w:val="24"/>
        </w:rPr>
        <w:t xml:space="preserve"> </w:t>
      </w:r>
    </w:p>
    <w:p w14:paraId="02EBCA7A" w14:textId="77777777" w:rsidR="006D73E5" w:rsidRDefault="00000000">
      <w:pPr>
        <w:spacing w:line="360" w:lineRule="auto"/>
        <w:ind w:firstLineChars="200" w:firstLine="480"/>
        <w:rPr>
          <w:sz w:val="24"/>
        </w:rPr>
      </w:pPr>
      <w:r>
        <w:rPr>
          <w:sz w:val="24"/>
        </w:rPr>
        <w:t>采用</w:t>
      </w:r>
      <w:r>
        <w:rPr>
          <w:sz w:val="24"/>
        </w:rPr>
        <w:t>SPSS</w:t>
      </w:r>
      <w:r>
        <w:rPr>
          <w:sz w:val="24"/>
        </w:rPr>
        <w:t>软件进行单因素方差分析，</w:t>
      </w:r>
      <w:r>
        <w:rPr>
          <w:sz w:val="24"/>
        </w:rPr>
        <w:t>Duncan's</w:t>
      </w:r>
      <w:r>
        <w:rPr>
          <w:sz w:val="24"/>
        </w:rPr>
        <w:t>法进行多重比较。结果以</w:t>
      </w:r>
      <w:r>
        <w:rPr>
          <w:sz w:val="24"/>
        </w:rPr>
        <w:t>“</w:t>
      </w:r>
      <w:r>
        <w:rPr>
          <w:sz w:val="24"/>
        </w:rPr>
        <w:t>平均值</w:t>
      </w:r>
      <w:r>
        <w:rPr>
          <w:sz w:val="24"/>
        </w:rPr>
        <w:t>±</w:t>
      </w:r>
      <w:r>
        <w:rPr>
          <w:sz w:val="24"/>
        </w:rPr>
        <w:t>标准差</w:t>
      </w:r>
      <w:r>
        <w:rPr>
          <w:sz w:val="24"/>
        </w:rPr>
        <w:t>”</w:t>
      </w:r>
      <w:r>
        <w:rPr>
          <w:sz w:val="24"/>
        </w:rPr>
        <w:t>表示，</w:t>
      </w:r>
      <w:r>
        <w:rPr>
          <w:sz w:val="24"/>
        </w:rPr>
        <w:t>P&lt;0.055</w:t>
      </w:r>
      <w:r>
        <w:rPr>
          <w:sz w:val="24"/>
        </w:rPr>
        <w:t>表示差异极显著</w:t>
      </w:r>
      <w:r>
        <w:rPr>
          <w:rFonts w:hint="eastAsia"/>
          <w:sz w:val="24"/>
        </w:rPr>
        <w:t>。</w:t>
      </w:r>
    </w:p>
    <w:p w14:paraId="2AC34C1D" w14:textId="77777777" w:rsidR="006D73E5" w:rsidRDefault="00000000">
      <w:pPr>
        <w:spacing w:line="360" w:lineRule="auto"/>
        <w:rPr>
          <w:sz w:val="24"/>
        </w:rPr>
      </w:pPr>
      <w:r>
        <w:rPr>
          <w:rFonts w:hint="eastAsia"/>
          <w:sz w:val="24"/>
        </w:rPr>
        <w:t xml:space="preserve">2 </w:t>
      </w:r>
      <w:r>
        <w:rPr>
          <w:sz w:val="24"/>
        </w:rPr>
        <w:t xml:space="preserve"> </w:t>
      </w:r>
      <w:r>
        <w:rPr>
          <w:sz w:val="24"/>
        </w:rPr>
        <w:t>结果与分析</w:t>
      </w:r>
    </w:p>
    <w:p w14:paraId="214BCB4F" w14:textId="77777777" w:rsidR="006D73E5" w:rsidRDefault="00000000">
      <w:pPr>
        <w:spacing w:line="360" w:lineRule="auto"/>
        <w:rPr>
          <w:sz w:val="24"/>
        </w:rPr>
      </w:pPr>
      <w:r>
        <w:rPr>
          <w:sz w:val="24"/>
        </w:rPr>
        <w:t xml:space="preserve">2.1 </w:t>
      </w:r>
      <w:r>
        <w:rPr>
          <w:sz w:val="24"/>
        </w:rPr>
        <w:t>凝结芽杆菌对脊尾白虾生长性能的影响（见表</w:t>
      </w:r>
      <w:r>
        <w:rPr>
          <w:sz w:val="24"/>
        </w:rPr>
        <w:t>3</w:t>
      </w:r>
      <w:r>
        <w:rPr>
          <w:sz w:val="24"/>
        </w:rPr>
        <w:t>）</w:t>
      </w:r>
    </w:p>
    <w:p w14:paraId="73C346D9" w14:textId="77777777" w:rsidR="006D73E5" w:rsidRDefault="00000000">
      <w:pPr>
        <w:spacing w:line="360" w:lineRule="auto"/>
        <w:jc w:val="center"/>
        <w:rPr>
          <w:sz w:val="24"/>
        </w:rPr>
      </w:pPr>
      <w:r>
        <w:rPr>
          <w:noProof/>
          <w:sz w:val="24"/>
        </w:rPr>
        <w:lastRenderedPageBreak/>
        <w:drawing>
          <wp:inline distT="0" distB="0" distL="0" distR="0" wp14:anchorId="6BEB7E15" wp14:editId="4450EB28">
            <wp:extent cx="3956050" cy="1957705"/>
            <wp:effectExtent l="0" t="0" r="6350" b="444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a:xfrm>
                      <a:off x="0" y="0"/>
                      <a:ext cx="3956296" cy="1957972"/>
                    </a:xfrm>
                    <a:prstGeom prst="rect">
                      <a:avLst/>
                    </a:prstGeom>
                    <a:noFill/>
                    <a:ln>
                      <a:noFill/>
                    </a:ln>
                  </pic:spPr>
                </pic:pic>
              </a:graphicData>
            </a:graphic>
          </wp:inline>
        </w:drawing>
      </w:r>
    </w:p>
    <w:p w14:paraId="2581F908" w14:textId="77777777" w:rsidR="006D73E5" w:rsidRDefault="00000000">
      <w:pPr>
        <w:spacing w:line="360" w:lineRule="auto"/>
        <w:ind w:firstLineChars="200" w:firstLine="480"/>
        <w:rPr>
          <w:sz w:val="24"/>
        </w:rPr>
      </w:pPr>
      <w:r>
        <w:rPr>
          <w:sz w:val="24"/>
        </w:rPr>
        <w:t>由表</w:t>
      </w:r>
      <w:r>
        <w:rPr>
          <w:sz w:val="24"/>
        </w:rPr>
        <w:t>3</w:t>
      </w:r>
      <w:r>
        <w:rPr>
          <w:sz w:val="24"/>
        </w:rPr>
        <w:t>可知，与</w:t>
      </w:r>
      <w:r>
        <w:rPr>
          <w:sz w:val="24"/>
        </w:rPr>
        <w:t>A</w:t>
      </w:r>
      <w:r>
        <w:rPr>
          <w:sz w:val="24"/>
        </w:rPr>
        <w:t>组相比，</w:t>
      </w:r>
      <w:r>
        <w:rPr>
          <w:sz w:val="24"/>
        </w:rPr>
        <w:t>C</w:t>
      </w:r>
      <w:r>
        <w:rPr>
          <w:sz w:val="24"/>
        </w:rPr>
        <w:t>组、</w:t>
      </w:r>
      <w:r>
        <w:rPr>
          <w:sz w:val="24"/>
        </w:rPr>
        <w:t>D</w:t>
      </w:r>
      <w:r>
        <w:rPr>
          <w:sz w:val="24"/>
        </w:rPr>
        <w:t>组白虾的总采食</w:t>
      </w:r>
      <w:r>
        <w:rPr>
          <w:sz w:val="24"/>
        </w:rPr>
        <w:t xml:space="preserve"> </w:t>
      </w:r>
      <w:r>
        <w:rPr>
          <w:sz w:val="24"/>
        </w:rPr>
        <w:t>量和特定生长率均显著提高</w:t>
      </w:r>
      <w:r>
        <w:rPr>
          <w:sz w:val="24"/>
        </w:rPr>
        <w:t xml:space="preserve"> </w:t>
      </w:r>
      <w:r>
        <w:rPr>
          <w:sz w:val="24"/>
        </w:rPr>
        <w:t>（</w:t>
      </w:r>
      <w:r>
        <w:rPr>
          <w:i/>
          <w:iCs/>
          <w:sz w:val="24"/>
        </w:rPr>
        <w:t>P&lt;</w:t>
      </w:r>
      <w:r>
        <w:rPr>
          <w:sz w:val="24"/>
        </w:rPr>
        <w:t>0.05</w:t>
      </w:r>
      <w:r>
        <w:rPr>
          <w:sz w:val="24"/>
        </w:rPr>
        <w:t>），末重均显著升高（</w:t>
      </w:r>
      <w:r>
        <w:rPr>
          <w:i/>
          <w:iCs/>
          <w:sz w:val="24"/>
        </w:rPr>
        <w:t>P</w:t>
      </w:r>
      <w:r>
        <w:rPr>
          <w:sz w:val="24"/>
        </w:rPr>
        <w:t>&lt;0.05</w:t>
      </w:r>
      <w:r>
        <w:rPr>
          <w:sz w:val="24"/>
        </w:rPr>
        <w:t>）；</w:t>
      </w:r>
      <w:r>
        <w:rPr>
          <w:sz w:val="24"/>
        </w:rPr>
        <w:t>B</w:t>
      </w:r>
      <w:r>
        <w:rPr>
          <w:sz w:val="24"/>
        </w:rPr>
        <w:t>组、</w:t>
      </w:r>
      <w:r>
        <w:rPr>
          <w:sz w:val="24"/>
        </w:rPr>
        <w:t>C</w:t>
      </w:r>
      <w:r>
        <w:rPr>
          <w:sz w:val="24"/>
        </w:rPr>
        <w:t>组、</w:t>
      </w:r>
      <w:r>
        <w:rPr>
          <w:sz w:val="24"/>
        </w:rPr>
        <w:t>D</w:t>
      </w:r>
      <w:r>
        <w:rPr>
          <w:sz w:val="24"/>
        </w:rPr>
        <w:t>组白虾增重率均极显著升高（</w:t>
      </w:r>
      <w:r>
        <w:rPr>
          <w:i/>
          <w:iCs/>
          <w:sz w:val="24"/>
        </w:rPr>
        <w:t>P</w:t>
      </w:r>
      <w:r>
        <w:rPr>
          <w:sz w:val="24"/>
        </w:rPr>
        <w:t>&lt;0.05</w:t>
      </w:r>
      <w:r>
        <w:rPr>
          <w:sz w:val="24"/>
        </w:rPr>
        <w:t>），末重均显著升高（</w:t>
      </w:r>
      <w:bookmarkStart w:id="32" w:name="_Hlk110265140"/>
      <w:r>
        <w:rPr>
          <w:i/>
          <w:iCs/>
          <w:sz w:val="24"/>
        </w:rPr>
        <w:t>P</w:t>
      </w:r>
      <w:r>
        <w:rPr>
          <w:sz w:val="24"/>
        </w:rPr>
        <w:t>&lt;0.05</w:t>
      </w:r>
      <w:r>
        <w:rPr>
          <w:sz w:val="24"/>
        </w:rPr>
        <w:t>）</w:t>
      </w:r>
      <w:bookmarkEnd w:id="32"/>
      <w:r>
        <w:rPr>
          <w:sz w:val="24"/>
        </w:rPr>
        <w:t>；</w:t>
      </w:r>
      <w:r>
        <w:rPr>
          <w:sz w:val="24"/>
        </w:rPr>
        <w:t>D</w:t>
      </w:r>
      <w:r>
        <w:rPr>
          <w:sz w:val="24"/>
        </w:rPr>
        <w:t>组白虾的饵料吸收效率显著提高（</w:t>
      </w:r>
      <w:r>
        <w:rPr>
          <w:i/>
          <w:iCs/>
          <w:sz w:val="24"/>
        </w:rPr>
        <w:t>P</w:t>
      </w:r>
      <w:r>
        <w:rPr>
          <w:sz w:val="24"/>
        </w:rPr>
        <w:t>&lt;0.05</w:t>
      </w:r>
      <w:r>
        <w:rPr>
          <w:sz w:val="24"/>
        </w:rPr>
        <w:t>）。脊尾白虾生存条件相对</w:t>
      </w:r>
      <w:r>
        <w:rPr>
          <w:sz w:val="24"/>
        </w:rPr>
        <w:t xml:space="preserve"> </w:t>
      </w:r>
      <w:r>
        <w:rPr>
          <w:sz w:val="24"/>
        </w:rPr>
        <w:t>较好，试验过程中无死亡现象</w:t>
      </w:r>
      <w:r>
        <w:rPr>
          <w:rFonts w:hint="eastAsia"/>
          <w:sz w:val="24"/>
        </w:rPr>
        <w:t>。</w:t>
      </w:r>
    </w:p>
    <w:p w14:paraId="063B67AD" w14:textId="77777777" w:rsidR="006D73E5" w:rsidRDefault="00000000">
      <w:pPr>
        <w:spacing w:line="360" w:lineRule="auto"/>
        <w:rPr>
          <w:sz w:val="24"/>
        </w:rPr>
      </w:pPr>
      <w:r>
        <w:rPr>
          <w:rFonts w:hint="eastAsia"/>
          <w:sz w:val="24"/>
        </w:rPr>
        <w:t xml:space="preserve">2.2 </w:t>
      </w:r>
      <w:r>
        <w:rPr>
          <w:sz w:val="24"/>
        </w:rPr>
        <w:t xml:space="preserve"> </w:t>
      </w:r>
      <w:r>
        <w:rPr>
          <w:sz w:val="24"/>
        </w:rPr>
        <w:t>凝结芽孢杆菌对脊尾白虾血清抗氧化指标的影响（见表</w:t>
      </w:r>
      <w:r>
        <w:rPr>
          <w:sz w:val="24"/>
        </w:rPr>
        <w:t>4</w:t>
      </w:r>
      <w:r>
        <w:rPr>
          <w:sz w:val="24"/>
        </w:rPr>
        <w:t>）</w:t>
      </w:r>
    </w:p>
    <w:p w14:paraId="3004FB11" w14:textId="77777777" w:rsidR="006D73E5" w:rsidRDefault="00000000">
      <w:pPr>
        <w:spacing w:line="360" w:lineRule="auto"/>
        <w:ind w:firstLineChars="200" w:firstLine="480"/>
        <w:rPr>
          <w:sz w:val="24"/>
        </w:rPr>
      </w:pPr>
      <w:r>
        <w:rPr>
          <w:rFonts w:hint="eastAsia"/>
          <w:sz w:val="24"/>
        </w:rPr>
        <w:t>由表</w:t>
      </w:r>
      <w:r>
        <w:rPr>
          <w:sz w:val="24"/>
        </w:rPr>
        <w:t>4</w:t>
      </w:r>
      <w:r>
        <w:rPr>
          <w:sz w:val="24"/>
        </w:rPr>
        <w:t>可知，与</w:t>
      </w:r>
      <w:r>
        <w:rPr>
          <w:sz w:val="24"/>
        </w:rPr>
        <w:t>A</w:t>
      </w:r>
      <w:r>
        <w:rPr>
          <w:sz w:val="24"/>
        </w:rPr>
        <w:t>组相比，</w:t>
      </w:r>
      <w:r>
        <w:rPr>
          <w:sz w:val="24"/>
        </w:rPr>
        <w:t>B</w:t>
      </w:r>
      <w:r>
        <w:rPr>
          <w:sz w:val="24"/>
        </w:rPr>
        <w:t>组、</w:t>
      </w:r>
      <w:r>
        <w:rPr>
          <w:sz w:val="24"/>
        </w:rPr>
        <w:t>C</w:t>
      </w:r>
      <w:r>
        <w:rPr>
          <w:sz w:val="24"/>
        </w:rPr>
        <w:t>组、</w:t>
      </w:r>
      <w:r>
        <w:rPr>
          <w:sz w:val="24"/>
        </w:rPr>
        <w:t>D</w:t>
      </w:r>
      <w:r>
        <w:rPr>
          <w:sz w:val="24"/>
        </w:rPr>
        <w:t>组白虾血清</w:t>
      </w:r>
      <w:r>
        <w:rPr>
          <w:sz w:val="24"/>
        </w:rPr>
        <w:t>T</w:t>
      </w:r>
      <w:r>
        <w:rPr>
          <w:sz w:val="24"/>
        </w:rPr>
        <w:t>一</w:t>
      </w:r>
      <w:r>
        <w:rPr>
          <w:sz w:val="24"/>
        </w:rPr>
        <w:t>AOC</w:t>
      </w:r>
      <w:r>
        <w:rPr>
          <w:sz w:val="24"/>
        </w:rPr>
        <w:t>均极显著提高</w:t>
      </w:r>
      <w:r>
        <w:rPr>
          <w:sz w:val="24"/>
        </w:rPr>
        <w:t>(</w:t>
      </w:r>
      <w:r>
        <w:rPr>
          <w:i/>
          <w:iCs/>
          <w:sz w:val="24"/>
        </w:rPr>
        <w:t>P</w:t>
      </w:r>
      <w:r>
        <w:rPr>
          <w:sz w:val="24"/>
        </w:rPr>
        <w:t>&lt;0.01)</w:t>
      </w:r>
      <w:r>
        <w:rPr>
          <w:sz w:val="24"/>
        </w:rPr>
        <w:t>，血清</w:t>
      </w:r>
      <w:r>
        <w:rPr>
          <w:sz w:val="24"/>
        </w:rPr>
        <w:t>SOD</w:t>
      </w:r>
      <w:r>
        <w:rPr>
          <w:sz w:val="24"/>
        </w:rPr>
        <w:t>、</w:t>
      </w:r>
      <w:r>
        <w:rPr>
          <w:sz w:val="24"/>
        </w:rPr>
        <w:t>POD</w:t>
      </w:r>
      <w:r>
        <w:rPr>
          <w:sz w:val="24"/>
        </w:rPr>
        <w:t>的活性均显著提高</w:t>
      </w:r>
      <w:r>
        <w:rPr>
          <w:sz w:val="24"/>
        </w:rPr>
        <w:t>(</w:t>
      </w:r>
      <w:r>
        <w:rPr>
          <w:i/>
          <w:iCs/>
          <w:sz w:val="24"/>
        </w:rPr>
        <w:t>P</w:t>
      </w:r>
      <w:r>
        <w:rPr>
          <w:sz w:val="24"/>
        </w:rPr>
        <w:t>&lt;0.05)</w:t>
      </w:r>
      <w:r>
        <w:rPr>
          <w:sz w:val="24"/>
        </w:rPr>
        <w:t>，</w:t>
      </w:r>
      <w:r>
        <w:rPr>
          <w:sz w:val="24"/>
        </w:rPr>
        <w:t>MDA</w:t>
      </w:r>
      <w:r>
        <w:rPr>
          <w:sz w:val="24"/>
        </w:rPr>
        <w:t>含量显著降低</w:t>
      </w:r>
      <w:r>
        <w:rPr>
          <w:sz w:val="24"/>
        </w:rPr>
        <w:t>(</w:t>
      </w:r>
      <w:r>
        <w:rPr>
          <w:i/>
          <w:iCs/>
          <w:sz w:val="24"/>
        </w:rPr>
        <w:t>P</w:t>
      </w:r>
      <w:r>
        <w:rPr>
          <w:sz w:val="24"/>
        </w:rPr>
        <w:t>&lt;0.05)</w:t>
      </w:r>
      <w:r>
        <w:rPr>
          <w:sz w:val="24"/>
        </w:rPr>
        <w:t>。</w:t>
      </w:r>
      <w:r>
        <w:rPr>
          <w:sz w:val="24"/>
        </w:rPr>
        <w:t>C</w:t>
      </w:r>
      <w:r>
        <w:rPr>
          <w:sz w:val="24"/>
        </w:rPr>
        <w:t>组、</w:t>
      </w:r>
      <w:r>
        <w:rPr>
          <w:sz w:val="24"/>
        </w:rPr>
        <w:t>D</w:t>
      </w:r>
      <w:r>
        <w:rPr>
          <w:sz w:val="24"/>
        </w:rPr>
        <w:t>组白虾血清</w:t>
      </w:r>
      <w:r>
        <w:rPr>
          <w:sz w:val="24"/>
        </w:rPr>
        <w:t>T-AOC</w:t>
      </w:r>
      <w:r>
        <w:rPr>
          <w:sz w:val="24"/>
        </w:rPr>
        <w:t>极显著高于</w:t>
      </w:r>
      <w:r>
        <w:rPr>
          <w:sz w:val="24"/>
        </w:rPr>
        <w:t>B</w:t>
      </w:r>
      <w:r>
        <w:rPr>
          <w:sz w:val="24"/>
        </w:rPr>
        <w:t>组</w:t>
      </w:r>
      <w:r>
        <w:rPr>
          <w:sz w:val="24"/>
        </w:rPr>
        <w:t>(</w:t>
      </w:r>
      <w:r>
        <w:rPr>
          <w:i/>
          <w:iCs/>
          <w:sz w:val="24"/>
        </w:rPr>
        <w:t>P</w:t>
      </w:r>
      <w:r>
        <w:rPr>
          <w:sz w:val="24"/>
        </w:rPr>
        <w:t>&lt;0.01)</w:t>
      </w:r>
      <w:r>
        <w:rPr>
          <w:sz w:val="24"/>
        </w:rPr>
        <w:t>，</w:t>
      </w:r>
      <w:r>
        <w:rPr>
          <w:sz w:val="24"/>
        </w:rPr>
        <w:t>SOD</w:t>
      </w:r>
      <w:r>
        <w:rPr>
          <w:sz w:val="24"/>
        </w:rPr>
        <w:t>活性显著高于</w:t>
      </w:r>
      <w:r>
        <w:rPr>
          <w:sz w:val="24"/>
        </w:rPr>
        <w:t>B</w:t>
      </w:r>
      <w:r>
        <w:rPr>
          <w:sz w:val="24"/>
        </w:rPr>
        <w:t>组</w:t>
      </w:r>
      <w:r>
        <w:rPr>
          <w:sz w:val="24"/>
        </w:rPr>
        <w:t>(</w:t>
      </w:r>
      <w:r>
        <w:rPr>
          <w:i/>
          <w:iCs/>
          <w:sz w:val="24"/>
        </w:rPr>
        <w:t>P</w:t>
      </w:r>
      <w:r>
        <w:rPr>
          <w:sz w:val="24"/>
        </w:rPr>
        <w:t>&lt;0.05)</w:t>
      </w:r>
      <w:r>
        <w:rPr>
          <w:sz w:val="24"/>
        </w:rPr>
        <w:t>，</w:t>
      </w:r>
      <w:r>
        <w:rPr>
          <w:sz w:val="24"/>
        </w:rPr>
        <w:t>MDA</w:t>
      </w:r>
      <w:r>
        <w:rPr>
          <w:sz w:val="24"/>
        </w:rPr>
        <w:t>含量显著低于</w:t>
      </w:r>
      <w:r>
        <w:rPr>
          <w:sz w:val="24"/>
        </w:rPr>
        <w:t>B</w:t>
      </w:r>
      <w:r>
        <w:rPr>
          <w:sz w:val="24"/>
        </w:rPr>
        <w:t>组</w:t>
      </w:r>
      <w:r>
        <w:rPr>
          <w:sz w:val="24"/>
        </w:rPr>
        <w:t>(</w:t>
      </w:r>
      <w:r>
        <w:rPr>
          <w:i/>
          <w:iCs/>
          <w:sz w:val="24"/>
        </w:rPr>
        <w:t>P</w:t>
      </w:r>
      <w:r>
        <w:rPr>
          <w:sz w:val="24"/>
        </w:rPr>
        <w:t>&lt;0.05);D</w:t>
      </w:r>
      <w:r>
        <w:rPr>
          <w:sz w:val="24"/>
        </w:rPr>
        <w:t>组白虾血清</w:t>
      </w:r>
      <w:r>
        <w:rPr>
          <w:sz w:val="24"/>
        </w:rPr>
        <w:t>T-AOC</w:t>
      </w:r>
      <w:r>
        <w:rPr>
          <w:sz w:val="24"/>
        </w:rPr>
        <w:t>极显著高于</w:t>
      </w:r>
      <w:r>
        <w:rPr>
          <w:sz w:val="24"/>
        </w:rPr>
        <w:t>C</w:t>
      </w:r>
      <w:r>
        <w:rPr>
          <w:sz w:val="24"/>
        </w:rPr>
        <w:t>组</w:t>
      </w:r>
      <w:r>
        <w:rPr>
          <w:sz w:val="24"/>
        </w:rPr>
        <w:t>(</w:t>
      </w:r>
      <w:r>
        <w:rPr>
          <w:i/>
          <w:iCs/>
          <w:sz w:val="24"/>
        </w:rPr>
        <w:t>P</w:t>
      </w:r>
      <w:bookmarkStart w:id="33" w:name="_Hlk110265384"/>
      <w:r>
        <w:rPr>
          <w:sz w:val="24"/>
        </w:rPr>
        <w:t>&lt;</w:t>
      </w:r>
      <w:bookmarkEnd w:id="33"/>
      <w:r>
        <w:rPr>
          <w:sz w:val="24"/>
        </w:rPr>
        <w:t>0.01),SOD</w:t>
      </w:r>
      <w:r>
        <w:rPr>
          <w:sz w:val="24"/>
        </w:rPr>
        <w:t>活性显著高于</w:t>
      </w:r>
      <w:r>
        <w:rPr>
          <w:sz w:val="24"/>
        </w:rPr>
        <w:t>C</w:t>
      </w:r>
      <w:r>
        <w:rPr>
          <w:sz w:val="24"/>
        </w:rPr>
        <w:t>组</w:t>
      </w:r>
      <w:r>
        <w:rPr>
          <w:sz w:val="24"/>
        </w:rPr>
        <w:t>(</w:t>
      </w:r>
      <w:r>
        <w:rPr>
          <w:i/>
          <w:iCs/>
          <w:sz w:val="24"/>
        </w:rPr>
        <w:t>P</w:t>
      </w:r>
      <w:r>
        <w:rPr>
          <w:sz w:val="24"/>
        </w:rPr>
        <w:t>&lt;0.05)</w:t>
      </w:r>
      <w:r>
        <w:rPr>
          <w:sz w:val="24"/>
        </w:rPr>
        <w:t>，</w:t>
      </w:r>
      <w:r>
        <w:rPr>
          <w:sz w:val="24"/>
        </w:rPr>
        <w:t>MDA</w:t>
      </w:r>
      <w:r>
        <w:rPr>
          <w:sz w:val="24"/>
        </w:rPr>
        <w:t>含量显著低于</w:t>
      </w:r>
      <w:r>
        <w:rPr>
          <w:sz w:val="24"/>
        </w:rPr>
        <w:t>C</w:t>
      </w:r>
      <w:r>
        <w:rPr>
          <w:sz w:val="24"/>
        </w:rPr>
        <w:t>组</w:t>
      </w:r>
      <w:r>
        <w:rPr>
          <w:sz w:val="24"/>
        </w:rPr>
        <w:t>(P</w:t>
      </w:r>
      <w:r>
        <w:rPr>
          <w:i/>
          <w:iCs/>
          <w:sz w:val="24"/>
        </w:rPr>
        <w:t>&lt;</w:t>
      </w:r>
      <w:r>
        <w:rPr>
          <w:sz w:val="24"/>
        </w:rPr>
        <w:t>0.05)</w:t>
      </w:r>
      <w:r>
        <w:rPr>
          <w:sz w:val="24"/>
        </w:rPr>
        <w:t>。</w:t>
      </w:r>
    </w:p>
    <w:p w14:paraId="4A207CE3" w14:textId="77777777" w:rsidR="006D73E5" w:rsidRDefault="00000000">
      <w:pPr>
        <w:spacing w:line="360" w:lineRule="auto"/>
        <w:ind w:firstLineChars="200" w:firstLine="480"/>
        <w:jc w:val="center"/>
        <w:rPr>
          <w:sz w:val="24"/>
        </w:rPr>
      </w:pPr>
      <w:r>
        <w:rPr>
          <w:noProof/>
          <w:sz w:val="24"/>
        </w:rPr>
        <w:drawing>
          <wp:inline distT="0" distB="0" distL="0" distR="0" wp14:anchorId="6F5A3D5D" wp14:editId="73F0FED6">
            <wp:extent cx="5976620" cy="1765935"/>
            <wp:effectExtent l="0" t="0" r="5080" b="571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noChangeArrowheads="1"/>
                    </pic:cNvPicPr>
                  </pic:nvPicPr>
                  <pic:blipFill>
                    <a:blip r:embed="rId50">
                      <a:extLst>
                        <a:ext uri="{28A0092B-C50C-407E-A947-70E740481C1C}">
                          <a14:useLocalDpi xmlns:a14="http://schemas.microsoft.com/office/drawing/2010/main" val="0"/>
                        </a:ext>
                      </a:extLst>
                    </a:blip>
                    <a:srcRect t="2806" b="-1"/>
                    <a:stretch>
                      <a:fillRect/>
                    </a:stretch>
                  </pic:blipFill>
                  <pic:spPr>
                    <a:xfrm>
                      <a:off x="0" y="0"/>
                      <a:ext cx="5976620" cy="1766381"/>
                    </a:xfrm>
                    <a:prstGeom prst="rect">
                      <a:avLst/>
                    </a:prstGeom>
                    <a:noFill/>
                    <a:ln>
                      <a:noFill/>
                    </a:ln>
                  </pic:spPr>
                </pic:pic>
              </a:graphicData>
            </a:graphic>
          </wp:inline>
        </w:drawing>
      </w:r>
    </w:p>
    <w:p w14:paraId="5B63F5C4" w14:textId="77777777" w:rsidR="006D73E5" w:rsidRDefault="00000000">
      <w:pPr>
        <w:spacing w:line="360" w:lineRule="auto"/>
        <w:rPr>
          <w:sz w:val="24"/>
        </w:rPr>
      </w:pPr>
      <w:r>
        <w:rPr>
          <w:sz w:val="24"/>
        </w:rPr>
        <w:t xml:space="preserve">2.3 </w:t>
      </w:r>
      <w:r>
        <w:rPr>
          <w:sz w:val="24"/>
        </w:rPr>
        <w:t>凝结芽孢杆菌对脊尾白虾血清非特异性免疫指标的影响（见表</w:t>
      </w:r>
      <w:r>
        <w:rPr>
          <w:sz w:val="24"/>
        </w:rPr>
        <w:t>5</w:t>
      </w:r>
      <w:r>
        <w:rPr>
          <w:rFonts w:hint="eastAsia"/>
          <w:sz w:val="24"/>
        </w:rPr>
        <w:t>）</w:t>
      </w:r>
    </w:p>
    <w:p w14:paraId="24D85039" w14:textId="77777777" w:rsidR="006D73E5" w:rsidRDefault="00000000">
      <w:pPr>
        <w:spacing w:line="360" w:lineRule="auto"/>
        <w:rPr>
          <w:sz w:val="24"/>
        </w:rPr>
      </w:pPr>
      <w:r>
        <w:rPr>
          <w:rFonts w:hint="eastAsia"/>
          <w:sz w:val="24"/>
        </w:rPr>
        <w:t>由表</w:t>
      </w:r>
      <w:r>
        <w:rPr>
          <w:sz w:val="24"/>
        </w:rPr>
        <w:t>5</w:t>
      </w:r>
      <w:r>
        <w:rPr>
          <w:sz w:val="24"/>
        </w:rPr>
        <w:t>可知，与</w:t>
      </w:r>
      <w:r>
        <w:rPr>
          <w:sz w:val="24"/>
        </w:rPr>
        <w:t>A</w:t>
      </w:r>
      <w:r>
        <w:rPr>
          <w:sz w:val="24"/>
        </w:rPr>
        <w:t>组相比，各试验组白虾血清中</w:t>
      </w:r>
      <w:r>
        <w:rPr>
          <w:sz w:val="24"/>
        </w:rPr>
        <w:t>LSZ</w:t>
      </w:r>
      <w:r>
        <w:rPr>
          <w:sz w:val="24"/>
        </w:rPr>
        <w:t>活性均显著提高</w:t>
      </w:r>
      <w:r>
        <w:rPr>
          <w:sz w:val="24"/>
        </w:rPr>
        <w:t>(</w:t>
      </w:r>
      <w:r>
        <w:rPr>
          <w:i/>
          <w:iCs/>
          <w:sz w:val="24"/>
        </w:rPr>
        <w:t>P</w:t>
      </w:r>
      <w:r>
        <w:rPr>
          <w:sz w:val="24"/>
        </w:rPr>
        <w:t>&lt;0.05)</w:t>
      </w:r>
      <w:r>
        <w:rPr>
          <w:sz w:val="24"/>
        </w:rPr>
        <w:t>，且随着凝结芽孢杆菌添加量提高呈上升趋势，其中</w:t>
      </w:r>
      <w:r>
        <w:rPr>
          <w:sz w:val="24"/>
        </w:rPr>
        <w:t>D</w:t>
      </w:r>
      <w:r>
        <w:rPr>
          <w:sz w:val="24"/>
        </w:rPr>
        <w:t>组白虾血清</w:t>
      </w:r>
      <w:r>
        <w:rPr>
          <w:sz w:val="24"/>
        </w:rPr>
        <w:t>LSZ</w:t>
      </w:r>
      <w:r>
        <w:rPr>
          <w:sz w:val="24"/>
        </w:rPr>
        <w:t>活性显著高于</w:t>
      </w:r>
      <w:r>
        <w:rPr>
          <w:sz w:val="24"/>
        </w:rPr>
        <w:t>B</w:t>
      </w:r>
      <w:r>
        <w:rPr>
          <w:sz w:val="24"/>
        </w:rPr>
        <w:t>组</w:t>
      </w:r>
      <w:r>
        <w:rPr>
          <w:sz w:val="24"/>
        </w:rPr>
        <w:t>(</w:t>
      </w:r>
      <w:r>
        <w:rPr>
          <w:i/>
          <w:iCs/>
          <w:sz w:val="24"/>
        </w:rPr>
        <w:t>P</w:t>
      </w:r>
      <w:r>
        <w:rPr>
          <w:sz w:val="24"/>
        </w:rPr>
        <w:t>&lt;0.05)</w:t>
      </w:r>
      <w:r>
        <w:rPr>
          <w:sz w:val="24"/>
        </w:rPr>
        <w:t>。与</w:t>
      </w:r>
      <w:r>
        <w:rPr>
          <w:sz w:val="24"/>
        </w:rPr>
        <w:t>A</w:t>
      </w:r>
      <w:r>
        <w:rPr>
          <w:sz w:val="24"/>
        </w:rPr>
        <w:t>组相比，各试验组</w:t>
      </w:r>
      <w:r>
        <w:rPr>
          <w:sz w:val="24"/>
        </w:rPr>
        <w:t>ACP</w:t>
      </w:r>
      <w:r>
        <w:rPr>
          <w:sz w:val="24"/>
        </w:rPr>
        <w:t>活性均极显著提高</w:t>
      </w:r>
      <w:r>
        <w:rPr>
          <w:sz w:val="24"/>
        </w:rPr>
        <w:t>(</w:t>
      </w:r>
      <w:r>
        <w:rPr>
          <w:i/>
          <w:iCs/>
          <w:sz w:val="24"/>
        </w:rPr>
        <w:t>P&lt;</w:t>
      </w:r>
      <w:r>
        <w:rPr>
          <w:sz w:val="24"/>
        </w:rPr>
        <w:t>0.01)</w:t>
      </w:r>
      <w:r>
        <w:rPr>
          <w:sz w:val="24"/>
        </w:rPr>
        <w:t>，且随着凝结芽孢杆菌的添加量提高呈上升趋势，但</w:t>
      </w:r>
      <w:r>
        <w:rPr>
          <w:sz w:val="24"/>
        </w:rPr>
        <w:t>C</w:t>
      </w:r>
      <w:r>
        <w:rPr>
          <w:sz w:val="24"/>
        </w:rPr>
        <w:t>组和</w:t>
      </w:r>
      <w:r>
        <w:rPr>
          <w:sz w:val="24"/>
        </w:rPr>
        <w:t>D</w:t>
      </w:r>
      <w:r>
        <w:rPr>
          <w:sz w:val="24"/>
        </w:rPr>
        <w:t>组差异不显著</w:t>
      </w:r>
      <w:r>
        <w:rPr>
          <w:sz w:val="24"/>
        </w:rPr>
        <w:t>(</w:t>
      </w:r>
      <w:r>
        <w:rPr>
          <w:i/>
          <w:iCs/>
          <w:sz w:val="24"/>
        </w:rPr>
        <w:t>P</w:t>
      </w:r>
      <w:r>
        <w:rPr>
          <w:sz w:val="24"/>
        </w:rPr>
        <w:t>&gt;0.05)</w:t>
      </w:r>
      <w:r>
        <w:rPr>
          <w:sz w:val="24"/>
        </w:rPr>
        <w:t>。与</w:t>
      </w:r>
      <w:r>
        <w:rPr>
          <w:sz w:val="24"/>
        </w:rPr>
        <w:t>A</w:t>
      </w:r>
      <w:r>
        <w:rPr>
          <w:sz w:val="24"/>
        </w:rPr>
        <w:t>组相比，</w:t>
      </w:r>
      <w:r>
        <w:rPr>
          <w:sz w:val="24"/>
        </w:rPr>
        <w:t>B</w:t>
      </w:r>
      <w:r>
        <w:rPr>
          <w:sz w:val="24"/>
        </w:rPr>
        <w:t>组白虾血清</w:t>
      </w:r>
      <w:r>
        <w:rPr>
          <w:sz w:val="24"/>
        </w:rPr>
        <w:t>AKP</w:t>
      </w:r>
      <w:r>
        <w:rPr>
          <w:sz w:val="24"/>
        </w:rPr>
        <w:t>活性显著提高</w:t>
      </w:r>
      <w:r>
        <w:rPr>
          <w:sz w:val="24"/>
        </w:rPr>
        <w:t>(</w:t>
      </w:r>
      <w:r>
        <w:rPr>
          <w:i/>
          <w:iCs/>
          <w:sz w:val="24"/>
        </w:rPr>
        <w:t>P</w:t>
      </w:r>
      <w:r>
        <w:rPr>
          <w:sz w:val="24"/>
        </w:rPr>
        <w:t>&lt;0.05)</w:t>
      </w:r>
      <w:r>
        <w:rPr>
          <w:sz w:val="24"/>
        </w:rPr>
        <w:t>，</w:t>
      </w:r>
      <w:r>
        <w:rPr>
          <w:sz w:val="24"/>
        </w:rPr>
        <w:t>C</w:t>
      </w:r>
      <w:r>
        <w:rPr>
          <w:sz w:val="24"/>
        </w:rPr>
        <w:t>组、</w:t>
      </w:r>
      <w:r>
        <w:rPr>
          <w:sz w:val="24"/>
        </w:rPr>
        <w:t>D</w:t>
      </w:r>
      <w:r>
        <w:rPr>
          <w:sz w:val="24"/>
        </w:rPr>
        <w:t>组的</w:t>
      </w:r>
      <w:r>
        <w:rPr>
          <w:sz w:val="24"/>
        </w:rPr>
        <w:t>AKP</w:t>
      </w:r>
      <w:r>
        <w:rPr>
          <w:sz w:val="24"/>
        </w:rPr>
        <w:t>活性极显著提高</w:t>
      </w:r>
      <w:r>
        <w:rPr>
          <w:sz w:val="24"/>
        </w:rPr>
        <w:t>(</w:t>
      </w:r>
      <w:r>
        <w:rPr>
          <w:i/>
          <w:iCs/>
          <w:sz w:val="24"/>
        </w:rPr>
        <w:t>P</w:t>
      </w:r>
      <w:r>
        <w:rPr>
          <w:sz w:val="24"/>
        </w:rPr>
        <w:t>&lt;0.01)</w:t>
      </w:r>
      <w:r>
        <w:rPr>
          <w:sz w:val="24"/>
        </w:rPr>
        <w:t>。</w:t>
      </w:r>
    </w:p>
    <w:p w14:paraId="198A6364" w14:textId="77777777" w:rsidR="006D73E5" w:rsidRDefault="00000000">
      <w:pPr>
        <w:spacing w:line="360" w:lineRule="auto"/>
        <w:jc w:val="center"/>
        <w:rPr>
          <w:sz w:val="24"/>
        </w:rPr>
      </w:pPr>
      <w:r>
        <w:rPr>
          <w:noProof/>
          <w:sz w:val="24"/>
        </w:rPr>
        <w:lastRenderedPageBreak/>
        <w:drawing>
          <wp:inline distT="0" distB="0" distL="0" distR="0" wp14:anchorId="7F6D40DD" wp14:editId="1D5E587F">
            <wp:extent cx="3615055" cy="1997710"/>
            <wp:effectExtent l="0" t="0" r="4445" b="254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a:xfrm>
                      <a:off x="0" y="0"/>
                      <a:ext cx="3616198" cy="1998478"/>
                    </a:xfrm>
                    <a:prstGeom prst="rect">
                      <a:avLst/>
                    </a:prstGeom>
                    <a:noFill/>
                    <a:ln>
                      <a:noFill/>
                    </a:ln>
                  </pic:spPr>
                </pic:pic>
              </a:graphicData>
            </a:graphic>
          </wp:inline>
        </w:drawing>
      </w:r>
    </w:p>
    <w:p w14:paraId="6D13AE25" w14:textId="77777777" w:rsidR="006D73E5" w:rsidRDefault="00000000">
      <w:pPr>
        <w:spacing w:line="360" w:lineRule="auto"/>
        <w:rPr>
          <w:sz w:val="24"/>
        </w:rPr>
      </w:pPr>
      <w:r>
        <w:rPr>
          <w:sz w:val="24"/>
        </w:rPr>
        <w:t xml:space="preserve">3  </w:t>
      </w:r>
      <w:r>
        <w:rPr>
          <w:sz w:val="24"/>
        </w:rPr>
        <w:t>讨论</w:t>
      </w:r>
    </w:p>
    <w:p w14:paraId="270CB1D6" w14:textId="77777777" w:rsidR="006D73E5" w:rsidRDefault="00000000">
      <w:pPr>
        <w:spacing w:line="360" w:lineRule="auto"/>
        <w:rPr>
          <w:sz w:val="24"/>
        </w:rPr>
      </w:pPr>
      <w:r>
        <w:rPr>
          <w:sz w:val="24"/>
        </w:rPr>
        <w:t xml:space="preserve">3.1  </w:t>
      </w:r>
      <w:r>
        <w:rPr>
          <w:sz w:val="24"/>
        </w:rPr>
        <w:t>凝结芽孢杆菌对白虾生长性能的影响</w:t>
      </w:r>
    </w:p>
    <w:p w14:paraId="2D0F23E7" w14:textId="77777777" w:rsidR="006D73E5" w:rsidRDefault="00000000">
      <w:pPr>
        <w:spacing w:line="360" w:lineRule="auto"/>
        <w:ind w:firstLineChars="200" w:firstLine="480"/>
        <w:rPr>
          <w:sz w:val="24"/>
        </w:rPr>
      </w:pPr>
      <w:r>
        <w:rPr>
          <w:sz w:val="24"/>
        </w:rPr>
        <w:t>凝结芽孢杆菌在肠道繁殖过程中可产生淀粉酶</w:t>
      </w:r>
      <w:r>
        <w:rPr>
          <w:sz w:val="24"/>
        </w:rPr>
        <w:t xml:space="preserve">[8] </w:t>
      </w:r>
      <w:r>
        <w:rPr>
          <w:sz w:val="24"/>
        </w:rPr>
        <w:t>、脂</w:t>
      </w:r>
      <w:r>
        <w:rPr>
          <w:sz w:val="24"/>
        </w:rPr>
        <w:t xml:space="preserve"> </w:t>
      </w:r>
      <w:r>
        <w:rPr>
          <w:sz w:val="24"/>
        </w:rPr>
        <w:t>肪酶</w:t>
      </w:r>
      <w:r>
        <w:rPr>
          <w:sz w:val="24"/>
          <w:vertAlign w:val="superscript"/>
        </w:rPr>
        <w:t>[9]</w:t>
      </w:r>
      <w:r>
        <w:rPr>
          <w:sz w:val="24"/>
        </w:rPr>
        <w:t>、蛋白酶</w:t>
      </w:r>
      <w:r>
        <w:rPr>
          <w:sz w:val="24"/>
          <w:vertAlign w:val="superscript"/>
        </w:rPr>
        <w:t xml:space="preserve">[10] </w:t>
      </w:r>
      <w:r>
        <w:rPr>
          <w:sz w:val="24"/>
        </w:rPr>
        <w:t>等消化酶，增强动物对日粮的消化能</w:t>
      </w:r>
      <w:r>
        <w:rPr>
          <w:sz w:val="24"/>
        </w:rPr>
        <w:t xml:space="preserve"> </w:t>
      </w:r>
      <w:r>
        <w:rPr>
          <w:sz w:val="24"/>
        </w:rPr>
        <w:t>力。凝结芽孢杆菌在代谢过程中会产生小分子肽</w:t>
      </w:r>
      <w:r>
        <w:rPr>
          <w:sz w:val="24"/>
          <w:vertAlign w:val="superscript"/>
        </w:rPr>
        <w:t xml:space="preserve">[11] </w:t>
      </w:r>
      <w:r>
        <w:rPr>
          <w:sz w:val="24"/>
        </w:rPr>
        <w:t>、短</w:t>
      </w:r>
      <w:r>
        <w:rPr>
          <w:sz w:val="24"/>
        </w:rPr>
        <w:t xml:space="preserve"> </w:t>
      </w:r>
      <w:r>
        <w:rPr>
          <w:sz w:val="24"/>
        </w:rPr>
        <w:t>链脂肪酸</w:t>
      </w:r>
      <w:r>
        <w:rPr>
          <w:sz w:val="24"/>
          <w:vertAlign w:val="superscript"/>
        </w:rPr>
        <w:t xml:space="preserve">[12] </w:t>
      </w:r>
      <w:r>
        <w:rPr>
          <w:sz w:val="24"/>
        </w:rPr>
        <w:t>、维生素</w:t>
      </w:r>
      <w:r>
        <w:rPr>
          <w:sz w:val="24"/>
          <w:vertAlign w:val="superscript"/>
        </w:rPr>
        <w:t xml:space="preserve">[13] </w:t>
      </w:r>
      <w:r>
        <w:rPr>
          <w:sz w:val="24"/>
        </w:rPr>
        <w:t>、促生长因子</w:t>
      </w:r>
      <w:r>
        <w:rPr>
          <w:sz w:val="24"/>
          <w:vertAlign w:val="superscript"/>
        </w:rPr>
        <w:t xml:space="preserve">[14] </w:t>
      </w:r>
      <w:r>
        <w:rPr>
          <w:sz w:val="24"/>
        </w:rPr>
        <w:t>等多种物质满足</w:t>
      </w:r>
      <w:r>
        <w:rPr>
          <w:sz w:val="24"/>
        </w:rPr>
        <w:t xml:space="preserve"> </w:t>
      </w:r>
      <w:r>
        <w:rPr>
          <w:sz w:val="24"/>
        </w:rPr>
        <w:t>动物生长发育需求。凝结芽孢杆菌在消化道内产生乳酸</w:t>
      </w:r>
      <w:r>
        <w:rPr>
          <w:sz w:val="24"/>
        </w:rPr>
        <w:t xml:space="preserve"> </w:t>
      </w:r>
      <w:r>
        <w:rPr>
          <w:sz w:val="24"/>
        </w:rPr>
        <w:t>等物质，能够影响微量元素与维生素的吸收</w:t>
      </w:r>
      <w:r>
        <w:rPr>
          <w:sz w:val="24"/>
          <w:vertAlign w:val="superscript"/>
        </w:rPr>
        <w:t>[15]</w:t>
      </w:r>
      <w:r>
        <w:rPr>
          <w:sz w:val="24"/>
        </w:rPr>
        <w:t xml:space="preserve"> </w:t>
      </w:r>
      <w:r>
        <w:rPr>
          <w:sz w:val="24"/>
        </w:rPr>
        <w:t>，抑制大</w:t>
      </w:r>
      <w:r>
        <w:rPr>
          <w:sz w:val="24"/>
        </w:rPr>
        <w:t xml:space="preserve"> </w:t>
      </w:r>
      <w:r>
        <w:rPr>
          <w:sz w:val="24"/>
        </w:rPr>
        <w:t>肠杆菌等有害病原菌增殖，改善肠道健康，维持肠道微</w:t>
      </w:r>
      <w:r>
        <w:rPr>
          <w:sz w:val="24"/>
        </w:rPr>
        <w:t xml:space="preserve"> </w:t>
      </w:r>
      <w:r>
        <w:rPr>
          <w:sz w:val="24"/>
        </w:rPr>
        <w:t>生态环境的平衡</w:t>
      </w:r>
      <w:r>
        <w:rPr>
          <w:sz w:val="24"/>
          <w:vertAlign w:val="superscript"/>
        </w:rPr>
        <w:t>[16]</w:t>
      </w:r>
      <w:r>
        <w:rPr>
          <w:sz w:val="24"/>
        </w:rPr>
        <w:t>。</w:t>
      </w:r>
    </w:p>
    <w:p w14:paraId="38E1217F" w14:textId="77777777" w:rsidR="006D73E5" w:rsidRDefault="00000000">
      <w:pPr>
        <w:spacing w:line="360" w:lineRule="auto"/>
        <w:ind w:firstLineChars="200" w:firstLine="480"/>
        <w:rPr>
          <w:sz w:val="24"/>
        </w:rPr>
      </w:pPr>
      <w:r>
        <w:rPr>
          <w:sz w:val="24"/>
        </w:rPr>
        <w:t>汪波等</w:t>
      </w:r>
      <w:r>
        <w:rPr>
          <w:sz w:val="24"/>
          <w:vertAlign w:val="superscript"/>
        </w:rPr>
        <w:t xml:space="preserve">[17] </w:t>
      </w:r>
      <w:r>
        <w:rPr>
          <w:sz w:val="24"/>
        </w:rPr>
        <w:t>在凡纳滨对虾饵料中分别添加</w:t>
      </w:r>
      <w:r>
        <w:rPr>
          <w:sz w:val="24"/>
        </w:rPr>
        <w:t xml:space="preserve"> 0</w:t>
      </w:r>
      <w:r>
        <w:rPr>
          <w:sz w:val="24"/>
        </w:rPr>
        <w:t>、</w:t>
      </w:r>
      <w:r>
        <w:rPr>
          <w:sz w:val="24"/>
        </w:rPr>
        <w:t>500</w:t>
      </w:r>
      <w:r>
        <w:rPr>
          <w:sz w:val="24"/>
        </w:rPr>
        <w:t>、</w:t>
      </w:r>
      <w:r>
        <w:rPr>
          <w:sz w:val="24"/>
        </w:rPr>
        <w:t>1 000</w:t>
      </w:r>
      <w:r>
        <w:rPr>
          <w:sz w:val="24"/>
        </w:rPr>
        <w:t>、</w:t>
      </w:r>
      <w:r>
        <w:rPr>
          <w:sz w:val="24"/>
        </w:rPr>
        <w:t>1 500 g/t</w:t>
      </w:r>
      <w:r>
        <w:rPr>
          <w:sz w:val="24"/>
        </w:rPr>
        <w:t>剂量的凝结芽孢杆菌，结果显示，试验组凡纳滨对虾的增重率和</w:t>
      </w:r>
      <w:r>
        <w:rPr>
          <w:sz w:val="24"/>
        </w:rPr>
        <w:t>SGR</w:t>
      </w:r>
      <w:r>
        <w:rPr>
          <w:sz w:val="24"/>
        </w:rPr>
        <w:t>均显著高于对照组，与本研究基本一致。但由于本研究在水族箱环境中进行试验，白虾生存环境较好，未出现死亡现象，无存活率对比的统计。李佳徽等</w:t>
      </w:r>
      <w:r>
        <w:rPr>
          <w:sz w:val="24"/>
          <w:vertAlign w:val="superscript"/>
        </w:rPr>
        <w:t>[18]</w:t>
      </w:r>
      <w:r>
        <w:rPr>
          <w:sz w:val="24"/>
        </w:rPr>
        <w:t>对比了粪肠球菌、嗜酸乳杆菌、凝结</w:t>
      </w:r>
      <w:r>
        <w:rPr>
          <w:sz w:val="24"/>
        </w:rPr>
        <w:t xml:space="preserve"> </w:t>
      </w:r>
      <w:r>
        <w:rPr>
          <w:sz w:val="24"/>
        </w:rPr>
        <w:t>芽孢杆菌对虾生长、抗病力及肠道菌群结构的影响，结果显示，</w:t>
      </w:r>
      <w:r>
        <w:rPr>
          <w:sz w:val="24"/>
        </w:rPr>
        <w:t xml:space="preserve">3 </w:t>
      </w:r>
      <w:r>
        <w:rPr>
          <w:sz w:val="24"/>
        </w:rPr>
        <w:t>种益生菌制剂对虾的体重、</w:t>
      </w:r>
      <w:r>
        <w:rPr>
          <w:sz w:val="24"/>
        </w:rPr>
        <w:t>SGR</w:t>
      </w:r>
      <w:r>
        <w:rPr>
          <w:sz w:val="24"/>
        </w:rPr>
        <w:t>、</w:t>
      </w:r>
      <w:r>
        <w:rPr>
          <w:sz w:val="24"/>
        </w:rPr>
        <w:t>FCR</w:t>
      </w:r>
      <w:r>
        <w:rPr>
          <w:sz w:val="24"/>
        </w:rPr>
        <w:t>、</w:t>
      </w:r>
      <w:r>
        <w:rPr>
          <w:sz w:val="24"/>
        </w:rPr>
        <w:t xml:space="preserve">AE </w:t>
      </w:r>
      <w:r>
        <w:rPr>
          <w:sz w:val="24"/>
        </w:rPr>
        <w:t>等指标均有所改善，凝结芽孢杆菌对虾的促生长效果</w:t>
      </w:r>
      <w:r>
        <w:rPr>
          <w:sz w:val="24"/>
        </w:rPr>
        <w:t xml:space="preserve"> </w:t>
      </w:r>
      <w:r>
        <w:rPr>
          <w:sz w:val="24"/>
        </w:rPr>
        <w:t>最好。</w:t>
      </w:r>
    </w:p>
    <w:p w14:paraId="2FCED10A" w14:textId="77777777" w:rsidR="006D73E5" w:rsidRDefault="00000000">
      <w:pPr>
        <w:spacing w:line="360" w:lineRule="auto"/>
        <w:rPr>
          <w:sz w:val="24"/>
        </w:rPr>
      </w:pPr>
      <w:r>
        <w:rPr>
          <w:sz w:val="24"/>
        </w:rPr>
        <w:t xml:space="preserve">3.2  </w:t>
      </w:r>
      <w:r>
        <w:rPr>
          <w:sz w:val="24"/>
        </w:rPr>
        <w:t>凝结芽孢杆菌对白虾血清抗氧化能力的影响</w:t>
      </w:r>
      <w:r>
        <w:rPr>
          <w:sz w:val="24"/>
        </w:rPr>
        <w:t xml:space="preserve"> </w:t>
      </w:r>
    </w:p>
    <w:p w14:paraId="2C36468C" w14:textId="77777777" w:rsidR="006D73E5" w:rsidRDefault="00000000">
      <w:pPr>
        <w:spacing w:line="360" w:lineRule="auto"/>
        <w:ind w:firstLineChars="200" w:firstLine="480"/>
        <w:rPr>
          <w:sz w:val="24"/>
        </w:rPr>
      </w:pPr>
      <w:r>
        <w:rPr>
          <w:sz w:val="24"/>
        </w:rPr>
        <w:t>樊英等</w:t>
      </w:r>
      <w:r>
        <w:rPr>
          <w:sz w:val="24"/>
          <w:vertAlign w:val="superscript"/>
        </w:rPr>
        <w:t>[19]</w:t>
      </w:r>
      <w:r>
        <w:rPr>
          <w:sz w:val="24"/>
        </w:rPr>
        <w:t>在虾饵料中分别添加地衣芽孢杆菌和凝结</w:t>
      </w:r>
      <w:r>
        <w:rPr>
          <w:sz w:val="24"/>
        </w:rPr>
        <w:t xml:space="preserve"> </w:t>
      </w:r>
      <w:r>
        <w:rPr>
          <w:sz w:val="24"/>
        </w:rPr>
        <w:t>芽孢杆菌，观察其对虾抗氧化能力的影响，结果显示，</w:t>
      </w:r>
      <w:r>
        <w:rPr>
          <w:sz w:val="24"/>
        </w:rPr>
        <w:t xml:space="preserve"> </w:t>
      </w:r>
      <w:r>
        <w:rPr>
          <w:sz w:val="24"/>
        </w:rPr>
        <w:t>凝结芽孢杆菌组</w:t>
      </w:r>
      <w:r>
        <w:rPr>
          <w:sz w:val="24"/>
        </w:rPr>
        <w:t>T-AOC</w:t>
      </w:r>
      <w:r>
        <w:rPr>
          <w:sz w:val="24"/>
        </w:rPr>
        <w:t>在试验第</w:t>
      </w:r>
      <w:r>
        <w:rPr>
          <w:sz w:val="24"/>
        </w:rPr>
        <w:t>7 d</w:t>
      </w:r>
      <w:r>
        <w:rPr>
          <w:sz w:val="24"/>
        </w:rPr>
        <w:t>最高，该指标的提升速度优于地衣芽孢杆菌（</w:t>
      </w:r>
      <w:r>
        <w:rPr>
          <w:sz w:val="24"/>
        </w:rPr>
        <w:t>21d</w:t>
      </w:r>
      <w:r>
        <w:rPr>
          <w:sz w:val="24"/>
        </w:rPr>
        <w:t>）；</w:t>
      </w:r>
      <w:r>
        <w:rPr>
          <w:sz w:val="24"/>
        </w:rPr>
        <w:t>2</w:t>
      </w:r>
      <w:r>
        <w:rPr>
          <w:sz w:val="24"/>
        </w:rPr>
        <w:t>个试验组虾</w:t>
      </w:r>
      <w:r>
        <w:rPr>
          <w:sz w:val="24"/>
        </w:rPr>
        <w:t>CAT</w:t>
      </w:r>
      <w:r>
        <w:rPr>
          <w:sz w:val="24"/>
        </w:rPr>
        <w:t>活</w:t>
      </w:r>
      <w:r>
        <w:rPr>
          <w:sz w:val="24"/>
        </w:rPr>
        <w:t xml:space="preserve"> </w:t>
      </w:r>
      <w:r>
        <w:rPr>
          <w:sz w:val="24"/>
        </w:rPr>
        <w:t>性在第</w:t>
      </w:r>
      <w:r>
        <w:rPr>
          <w:sz w:val="24"/>
        </w:rPr>
        <w:t>21 d</w:t>
      </w:r>
      <w:r>
        <w:rPr>
          <w:sz w:val="24"/>
        </w:rPr>
        <w:t>最高，</w:t>
      </w:r>
      <w:r>
        <w:rPr>
          <w:sz w:val="24"/>
        </w:rPr>
        <w:t>SOD</w:t>
      </w:r>
      <w:r>
        <w:rPr>
          <w:sz w:val="24"/>
        </w:rPr>
        <w:t>活性在第</w:t>
      </w:r>
      <w:r>
        <w:rPr>
          <w:sz w:val="24"/>
        </w:rPr>
        <w:t>7 d</w:t>
      </w:r>
      <w:r>
        <w:rPr>
          <w:sz w:val="24"/>
        </w:rPr>
        <w:t>最高，且均显著高于对照组，表明凝结芽孢杆菌可有效提高虾体内抗氧化能力，与本研究结论基本一致。张维娜</w:t>
      </w:r>
      <w:r>
        <w:rPr>
          <w:sz w:val="24"/>
          <w:vertAlign w:val="superscript"/>
        </w:rPr>
        <w:t>[20]</w:t>
      </w:r>
      <w:r>
        <w:rPr>
          <w:sz w:val="24"/>
        </w:rPr>
        <w:t>研究发现，凝结</w:t>
      </w:r>
      <w:r>
        <w:rPr>
          <w:sz w:val="24"/>
        </w:rPr>
        <w:t xml:space="preserve"> </w:t>
      </w:r>
      <w:r>
        <w:rPr>
          <w:sz w:val="24"/>
        </w:rPr>
        <w:t>芽孢杆菌可显著提高异育银鲫</w:t>
      </w:r>
      <w:r>
        <w:rPr>
          <w:sz w:val="24"/>
        </w:rPr>
        <w:t>T-AOC</w:t>
      </w:r>
      <w:r>
        <w:rPr>
          <w:sz w:val="24"/>
        </w:rPr>
        <w:t>、</w:t>
      </w:r>
      <w:r>
        <w:rPr>
          <w:sz w:val="24"/>
        </w:rPr>
        <w:t>SOD</w:t>
      </w:r>
      <w:r>
        <w:rPr>
          <w:sz w:val="24"/>
        </w:rPr>
        <w:t>、</w:t>
      </w:r>
      <w:r>
        <w:rPr>
          <w:sz w:val="24"/>
        </w:rPr>
        <w:t>CAT</w:t>
      </w:r>
      <w:r>
        <w:rPr>
          <w:sz w:val="24"/>
        </w:rPr>
        <w:t>等指</w:t>
      </w:r>
      <w:r>
        <w:rPr>
          <w:sz w:val="24"/>
        </w:rPr>
        <w:t xml:space="preserve"> </w:t>
      </w:r>
      <w:r>
        <w:rPr>
          <w:sz w:val="24"/>
        </w:rPr>
        <w:t>标数值，抑制丙二醛生成。凝结芽孢杆菌可提高水产动物机体抗氧化能力并且能够提高猪、禽等动物机体抗氧</w:t>
      </w:r>
      <w:r>
        <w:rPr>
          <w:sz w:val="24"/>
        </w:rPr>
        <w:t xml:space="preserve"> </w:t>
      </w:r>
      <w:r>
        <w:rPr>
          <w:sz w:val="24"/>
        </w:rPr>
        <w:t>化能力</w:t>
      </w:r>
      <w:r>
        <w:rPr>
          <w:sz w:val="24"/>
          <w:vertAlign w:val="superscript"/>
        </w:rPr>
        <w:t>[21-22]</w:t>
      </w:r>
      <w:r>
        <w:rPr>
          <w:sz w:val="24"/>
        </w:rPr>
        <w:t>。</w:t>
      </w:r>
    </w:p>
    <w:p w14:paraId="393D4180" w14:textId="77777777" w:rsidR="006D73E5" w:rsidRDefault="00000000">
      <w:pPr>
        <w:spacing w:line="360" w:lineRule="auto"/>
        <w:rPr>
          <w:sz w:val="24"/>
        </w:rPr>
      </w:pPr>
      <w:r>
        <w:rPr>
          <w:sz w:val="24"/>
        </w:rPr>
        <w:t xml:space="preserve"> 3.3 </w:t>
      </w:r>
      <w:r>
        <w:rPr>
          <w:sz w:val="24"/>
        </w:rPr>
        <w:t>凝结芽孢杆菌对白虾血清非特异性免疫力的影响</w:t>
      </w:r>
      <w:r>
        <w:rPr>
          <w:sz w:val="24"/>
        </w:rPr>
        <w:t xml:space="preserve"> </w:t>
      </w:r>
    </w:p>
    <w:p w14:paraId="7E06A0C4" w14:textId="77777777" w:rsidR="006D73E5" w:rsidRDefault="00000000">
      <w:pPr>
        <w:spacing w:line="360" w:lineRule="auto"/>
        <w:ind w:firstLineChars="200" w:firstLine="480"/>
        <w:rPr>
          <w:sz w:val="24"/>
        </w:rPr>
      </w:pPr>
      <w:r>
        <w:rPr>
          <w:sz w:val="24"/>
        </w:rPr>
        <w:lastRenderedPageBreak/>
        <w:t>虾类生物主要依靠非特异性免疫酶抵御病原微生物</w:t>
      </w:r>
      <w:r>
        <w:rPr>
          <w:sz w:val="24"/>
        </w:rPr>
        <w:t xml:space="preserve"> </w:t>
      </w:r>
      <w:r>
        <w:rPr>
          <w:sz w:val="24"/>
        </w:rPr>
        <w:t>以维持生理正常功能</w:t>
      </w:r>
      <w:r>
        <w:rPr>
          <w:sz w:val="24"/>
          <w:vertAlign w:val="superscript"/>
        </w:rPr>
        <w:t>[23]</w:t>
      </w:r>
      <w:r>
        <w:rPr>
          <w:sz w:val="24"/>
        </w:rPr>
        <w:t>，主要的非特异性免疫指标包括</w:t>
      </w:r>
      <w:r>
        <w:rPr>
          <w:sz w:val="24"/>
        </w:rPr>
        <w:t xml:space="preserve"> LSZ</w:t>
      </w:r>
      <w:r>
        <w:rPr>
          <w:sz w:val="24"/>
        </w:rPr>
        <w:t>、</w:t>
      </w:r>
      <w:r>
        <w:rPr>
          <w:sz w:val="24"/>
        </w:rPr>
        <w:t xml:space="preserve">ACP </w:t>
      </w:r>
      <w:r>
        <w:rPr>
          <w:sz w:val="24"/>
        </w:rPr>
        <w:t>和</w:t>
      </w:r>
      <w:r>
        <w:rPr>
          <w:sz w:val="24"/>
        </w:rPr>
        <w:t xml:space="preserve"> AKP </w:t>
      </w:r>
      <w:r>
        <w:rPr>
          <w:sz w:val="24"/>
        </w:rPr>
        <w:t>等</w:t>
      </w:r>
      <w:r>
        <w:rPr>
          <w:sz w:val="24"/>
          <w:vertAlign w:val="superscript"/>
        </w:rPr>
        <w:t>[24]</w:t>
      </w:r>
      <w:r>
        <w:rPr>
          <w:sz w:val="24"/>
        </w:rPr>
        <w:t xml:space="preserve"> </w:t>
      </w:r>
      <w:r>
        <w:rPr>
          <w:sz w:val="24"/>
        </w:rPr>
        <w:t>。王明阳等</w:t>
      </w:r>
      <w:r>
        <w:rPr>
          <w:sz w:val="24"/>
          <w:vertAlign w:val="superscript"/>
        </w:rPr>
        <w:t>[25]</w:t>
      </w:r>
      <w:r>
        <w:rPr>
          <w:sz w:val="24"/>
        </w:rPr>
        <w:t>在饵料中分别添加</w:t>
      </w:r>
      <w:r>
        <w:rPr>
          <w:sz w:val="24"/>
        </w:rPr>
        <w:t xml:space="preserve"> 0</w:t>
      </w:r>
      <w:r>
        <w:rPr>
          <w:sz w:val="24"/>
        </w:rPr>
        <w:t>、</w:t>
      </w:r>
      <w:r>
        <w:rPr>
          <w:sz w:val="24"/>
        </w:rPr>
        <w:t>5×109</w:t>
      </w:r>
      <w:r>
        <w:rPr>
          <w:sz w:val="24"/>
        </w:rPr>
        <w:t>、</w:t>
      </w:r>
      <w:r>
        <w:rPr>
          <w:sz w:val="24"/>
        </w:rPr>
        <w:t>1×1010</w:t>
      </w:r>
      <w:r>
        <w:rPr>
          <w:sz w:val="24"/>
        </w:rPr>
        <w:t>、</w:t>
      </w:r>
      <w:r>
        <w:rPr>
          <w:sz w:val="24"/>
        </w:rPr>
        <w:t>1×1011 CFU/kg</w:t>
      </w:r>
      <w:r>
        <w:rPr>
          <w:sz w:val="24"/>
        </w:rPr>
        <w:t>的凝结芽孢杆菌，</w:t>
      </w:r>
      <w:r>
        <w:rPr>
          <w:sz w:val="24"/>
        </w:rPr>
        <w:t xml:space="preserve"> 1×1010 CFU/kg</w:t>
      </w:r>
      <w:r>
        <w:rPr>
          <w:sz w:val="24"/>
        </w:rPr>
        <w:t>添加组虾血清中</w:t>
      </w:r>
      <w:r>
        <w:rPr>
          <w:sz w:val="24"/>
        </w:rPr>
        <w:t xml:space="preserve"> LSZ </w:t>
      </w:r>
      <w:r>
        <w:rPr>
          <w:sz w:val="24"/>
        </w:rPr>
        <w:t>活性显著高于对照</w:t>
      </w:r>
      <w:r>
        <w:rPr>
          <w:sz w:val="24"/>
        </w:rPr>
        <w:t xml:space="preserve"> </w:t>
      </w:r>
      <w:r>
        <w:rPr>
          <w:sz w:val="24"/>
        </w:rPr>
        <w:t>组，</w:t>
      </w:r>
      <w:r>
        <w:rPr>
          <w:sz w:val="24"/>
        </w:rPr>
        <w:t xml:space="preserve">5×109 CFU/kg </w:t>
      </w:r>
      <w:r>
        <w:rPr>
          <w:sz w:val="24"/>
        </w:rPr>
        <w:t>添加组虾血清</w:t>
      </w:r>
      <w:r>
        <w:rPr>
          <w:sz w:val="24"/>
        </w:rPr>
        <w:t xml:space="preserve"> ACP </w:t>
      </w:r>
      <w:r>
        <w:rPr>
          <w:sz w:val="24"/>
        </w:rPr>
        <w:t>和</w:t>
      </w:r>
      <w:r>
        <w:rPr>
          <w:sz w:val="24"/>
        </w:rPr>
        <w:t xml:space="preserve"> AKP</w:t>
      </w:r>
      <w:r>
        <w:rPr>
          <w:sz w:val="24"/>
        </w:rPr>
        <w:t>活性显著高于试验组与对照组，结果与本研究一致。表明凝结芽孢杆菌可有效提高虾血清中非特异性免疫指标，改善虾</w:t>
      </w:r>
      <w:r>
        <w:rPr>
          <w:sz w:val="24"/>
        </w:rPr>
        <w:t xml:space="preserve"> </w:t>
      </w:r>
      <w:r>
        <w:rPr>
          <w:sz w:val="24"/>
        </w:rPr>
        <w:t>类生物非特异性免疫功能，提高虾养殖的生产水平。</w:t>
      </w:r>
      <w:r>
        <w:rPr>
          <w:sz w:val="24"/>
        </w:rPr>
        <w:t xml:space="preserve"> </w:t>
      </w:r>
    </w:p>
    <w:p w14:paraId="5F52742A" w14:textId="77777777" w:rsidR="006D73E5" w:rsidRDefault="00000000">
      <w:pPr>
        <w:spacing w:line="360" w:lineRule="auto"/>
        <w:rPr>
          <w:sz w:val="24"/>
        </w:rPr>
      </w:pPr>
      <w:r>
        <w:rPr>
          <w:sz w:val="24"/>
        </w:rPr>
        <w:t xml:space="preserve">4 </w:t>
      </w:r>
      <w:r>
        <w:rPr>
          <w:sz w:val="24"/>
        </w:rPr>
        <w:t>结论</w:t>
      </w:r>
      <w:r>
        <w:rPr>
          <w:sz w:val="24"/>
        </w:rPr>
        <w:t xml:space="preserve"> </w:t>
      </w:r>
    </w:p>
    <w:p w14:paraId="793F5DEC" w14:textId="77777777" w:rsidR="006D73E5" w:rsidRDefault="00000000">
      <w:pPr>
        <w:spacing w:line="360" w:lineRule="auto"/>
        <w:ind w:firstLineChars="200" w:firstLine="480"/>
        <w:rPr>
          <w:sz w:val="24"/>
        </w:rPr>
      </w:pPr>
      <w:r>
        <w:rPr>
          <w:sz w:val="24"/>
        </w:rPr>
        <w:t>在白虾饵料中添加凝结芽孢杆菌可以提高脊尾白虾生长性能、血清抗氧化能力和非特异性免疫能力，效果</w:t>
      </w:r>
      <w:r>
        <w:rPr>
          <w:sz w:val="24"/>
        </w:rPr>
        <w:t xml:space="preserve"> </w:t>
      </w:r>
      <w:r>
        <w:rPr>
          <w:sz w:val="24"/>
        </w:rPr>
        <w:t>随着凝结芽孢杆菌的使用量呈上升趋势，且凝结芽孢杆菌最适添加量为</w:t>
      </w:r>
      <w:r>
        <w:rPr>
          <w:sz w:val="24"/>
        </w:rPr>
        <w:t>1 500 g/t</w:t>
      </w:r>
      <w:r>
        <w:rPr>
          <w:sz w:val="24"/>
        </w:rPr>
        <w:t>。</w:t>
      </w:r>
    </w:p>
    <w:p w14:paraId="0F0331CE" w14:textId="77777777" w:rsidR="006D73E5" w:rsidRDefault="00000000">
      <w:pPr>
        <w:spacing w:line="360" w:lineRule="auto"/>
        <w:rPr>
          <w:sz w:val="24"/>
        </w:rPr>
      </w:pPr>
      <w:r>
        <w:rPr>
          <w:rFonts w:hint="eastAsia"/>
          <w:sz w:val="24"/>
        </w:rPr>
        <w:t>参考文献：略</w:t>
      </w:r>
    </w:p>
    <w:p w14:paraId="089A641C" w14:textId="77777777" w:rsidR="006D73E5" w:rsidRDefault="00000000">
      <w:pPr>
        <w:spacing w:line="360" w:lineRule="auto"/>
        <w:ind w:firstLineChars="700" w:firstLine="1470"/>
        <w:jc w:val="right"/>
        <w:rPr>
          <w:sz w:val="24"/>
          <w:szCs w:val="22"/>
        </w:rPr>
      </w:pPr>
      <w:r>
        <w:rPr>
          <w:rFonts w:hint="eastAsia"/>
          <w:szCs w:val="21"/>
        </w:rPr>
        <w:t>原</w:t>
      </w:r>
      <w:r>
        <w:rPr>
          <w:szCs w:val="21"/>
        </w:rPr>
        <w:t>文刊登在《饲料工业》</w:t>
      </w:r>
      <w:r>
        <w:rPr>
          <w:rFonts w:hint="eastAsia"/>
          <w:szCs w:val="21"/>
        </w:rPr>
        <w:t>，</w:t>
      </w:r>
      <w:r>
        <w:rPr>
          <w:szCs w:val="21"/>
        </w:rPr>
        <w:t>网络首发时间：</w:t>
      </w:r>
      <w:r>
        <w:rPr>
          <w:rFonts w:eastAsia="等线"/>
          <w:color w:val="333333"/>
          <w:szCs w:val="21"/>
          <w:shd w:val="clear" w:color="auto" w:fill="FFFFFF"/>
        </w:rPr>
        <w:t>2022-07-28 14:21:28</w:t>
      </w:r>
    </w:p>
    <w:p w14:paraId="25FF4976" w14:textId="77777777" w:rsidR="006D73E5" w:rsidRPr="00971756" w:rsidRDefault="00000000">
      <w:pPr>
        <w:spacing w:line="360" w:lineRule="auto"/>
        <w:jc w:val="left"/>
        <w:outlineLvl w:val="0"/>
        <w:rPr>
          <w:rFonts w:eastAsia="黑体"/>
          <w:b/>
          <w:bCs/>
          <w:sz w:val="32"/>
          <w:szCs w:val="32"/>
          <w:bdr w:val="single" w:sz="4" w:space="0" w:color="auto"/>
        </w:rPr>
      </w:pPr>
      <w:bookmarkStart w:id="34" w:name="_Toc114077823"/>
      <w:r w:rsidRPr="00971756">
        <w:rPr>
          <w:rFonts w:eastAsia="黑体" w:hint="eastAsia"/>
          <w:b/>
          <w:bCs/>
          <w:sz w:val="32"/>
          <w:szCs w:val="32"/>
          <w:bdr w:val="single" w:sz="4" w:space="0" w:color="auto"/>
        </w:rPr>
        <w:t>饲料研发</w:t>
      </w:r>
      <w:bookmarkEnd w:id="34"/>
    </w:p>
    <w:p w14:paraId="4DB1EBB0" w14:textId="77777777" w:rsidR="006D73E5" w:rsidRDefault="00000000">
      <w:pPr>
        <w:jc w:val="center"/>
        <w:outlineLvl w:val="1"/>
        <w:rPr>
          <w:rFonts w:ascii="黑体" w:eastAsia="黑体" w:hAnsi="黑体"/>
          <w:b/>
          <w:bCs/>
          <w:sz w:val="32"/>
          <w:szCs w:val="32"/>
        </w:rPr>
      </w:pPr>
      <w:bookmarkStart w:id="35" w:name="_Toc114077824"/>
      <w:r>
        <w:rPr>
          <w:rFonts w:ascii="黑体" w:eastAsia="黑体" w:hAnsi="黑体" w:hint="eastAsia"/>
          <w:b/>
          <w:bCs/>
          <w:sz w:val="32"/>
          <w:szCs w:val="32"/>
        </w:rPr>
        <w:t>无鱼粉饵料中补充限制性氨基酸对</w:t>
      </w:r>
      <w:r>
        <w:rPr>
          <w:rFonts w:ascii="黑体" w:eastAsia="黑体" w:hAnsi="黑体"/>
          <w:b/>
          <w:bCs/>
          <w:sz w:val="32"/>
          <w:szCs w:val="32"/>
        </w:rPr>
        <w:t>鲤含肉率、肌肉营养成分及质构特性的影响</w:t>
      </w:r>
      <w:bookmarkEnd w:id="35"/>
    </w:p>
    <w:p w14:paraId="3DABA524" w14:textId="77777777" w:rsidR="006D73E5" w:rsidRDefault="00000000">
      <w:pPr>
        <w:jc w:val="center"/>
        <w:rPr>
          <w:szCs w:val="22"/>
        </w:rPr>
      </w:pPr>
      <w:r>
        <w:rPr>
          <w:rFonts w:hint="eastAsia"/>
          <w:szCs w:val="22"/>
        </w:rPr>
        <w:t>彭祖想</w:t>
      </w:r>
      <w:r>
        <w:rPr>
          <w:rFonts w:hint="eastAsia"/>
          <w:szCs w:val="22"/>
          <w:vertAlign w:val="superscript"/>
        </w:rPr>
        <w:t>1,2</w:t>
      </w:r>
      <w:r>
        <w:rPr>
          <w:rFonts w:hint="eastAsia"/>
          <w:szCs w:val="22"/>
        </w:rPr>
        <w:t xml:space="preserve"> </w:t>
      </w:r>
      <w:r>
        <w:rPr>
          <w:rFonts w:hint="eastAsia"/>
          <w:szCs w:val="22"/>
        </w:rPr>
        <w:t>严林</w:t>
      </w:r>
      <w:r>
        <w:rPr>
          <w:rFonts w:hint="eastAsia"/>
          <w:szCs w:val="22"/>
          <w:vertAlign w:val="superscript"/>
        </w:rPr>
        <w:t>1,2</w:t>
      </w:r>
      <w:r>
        <w:rPr>
          <w:rFonts w:hint="eastAsia"/>
          <w:szCs w:val="22"/>
        </w:rPr>
        <w:t xml:space="preserve"> </w:t>
      </w:r>
      <w:r>
        <w:rPr>
          <w:rFonts w:hint="eastAsia"/>
          <w:szCs w:val="22"/>
        </w:rPr>
        <w:t>卫力博</w:t>
      </w:r>
      <w:r>
        <w:rPr>
          <w:rFonts w:hint="eastAsia"/>
          <w:szCs w:val="22"/>
          <w:vertAlign w:val="superscript"/>
        </w:rPr>
        <w:t>1,2</w:t>
      </w:r>
      <w:r>
        <w:rPr>
          <w:rFonts w:hint="eastAsia"/>
          <w:szCs w:val="22"/>
        </w:rPr>
        <w:t xml:space="preserve"> </w:t>
      </w:r>
      <w:r>
        <w:rPr>
          <w:rFonts w:hint="eastAsia"/>
          <w:szCs w:val="22"/>
        </w:rPr>
        <w:t>王悦晗</w:t>
      </w:r>
      <w:r>
        <w:rPr>
          <w:rFonts w:hint="eastAsia"/>
          <w:szCs w:val="22"/>
          <w:vertAlign w:val="superscript"/>
        </w:rPr>
        <w:t>1,2</w:t>
      </w:r>
      <w:r>
        <w:rPr>
          <w:rFonts w:hint="eastAsia"/>
          <w:szCs w:val="22"/>
        </w:rPr>
        <w:t xml:space="preserve"> </w:t>
      </w:r>
      <w:r>
        <w:rPr>
          <w:rFonts w:hint="eastAsia"/>
          <w:szCs w:val="22"/>
        </w:rPr>
        <w:t>高欣</w:t>
      </w:r>
      <w:r>
        <w:rPr>
          <w:rFonts w:hint="eastAsia"/>
          <w:szCs w:val="22"/>
          <w:vertAlign w:val="superscript"/>
        </w:rPr>
        <w:t>1,2</w:t>
      </w:r>
      <w:r>
        <w:rPr>
          <w:rFonts w:hint="eastAsia"/>
          <w:szCs w:val="22"/>
        </w:rPr>
        <w:t xml:space="preserve"> </w:t>
      </w:r>
      <w:r>
        <w:rPr>
          <w:rFonts w:hint="eastAsia"/>
          <w:szCs w:val="22"/>
        </w:rPr>
        <w:t>王伟</w:t>
      </w:r>
      <w:r>
        <w:rPr>
          <w:rFonts w:hint="eastAsia"/>
          <w:szCs w:val="22"/>
          <w:vertAlign w:val="superscript"/>
        </w:rPr>
        <w:t>1,2,3</w:t>
      </w:r>
      <w:r>
        <w:rPr>
          <w:rFonts w:hint="eastAsia"/>
          <w:szCs w:val="22"/>
        </w:rPr>
        <w:t xml:space="preserve"> </w:t>
      </w:r>
      <w:r>
        <w:rPr>
          <w:rFonts w:hint="eastAsia"/>
          <w:szCs w:val="22"/>
        </w:rPr>
        <w:t>任同军</w:t>
      </w:r>
      <w:r>
        <w:rPr>
          <w:rFonts w:hint="eastAsia"/>
          <w:szCs w:val="22"/>
          <w:vertAlign w:val="superscript"/>
        </w:rPr>
        <w:t>1,2,3</w:t>
      </w:r>
      <w:r>
        <w:rPr>
          <w:rFonts w:hint="eastAsia"/>
          <w:szCs w:val="22"/>
        </w:rPr>
        <w:t xml:space="preserve"> </w:t>
      </w:r>
      <w:r>
        <w:rPr>
          <w:rFonts w:hint="eastAsia"/>
          <w:szCs w:val="22"/>
        </w:rPr>
        <w:t>韩雨哲</w:t>
      </w:r>
      <w:r>
        <w:rPr>
          <w:rFonts w:hint="eastAsia"/>
          <w:szCs w:val="22"/>
          <w:vertAlign w:val="superscript"/>
        </w:rPr>
        <w:t>1,2.3*</w:t>
      </w:r>
    </w:p>
    <w:p w14:paraId="7CEB269F" w14:textId="77777777" w:rsidR="006D73E5" w:rsidRDefault="00000000">
      <w:pPr>
        <w:jc w:val="center"/>
        <w:rPr>
          <w:szCs w:val="22"/>
        </w:rPr>
      </w:pPr>
      <w:r>
        <w:rPr>
          <w:rFonts w:hint="eastAsia"/>
          <w:szCs w:val="22"/>
        </w:rPr>
        <w:t>(1.</w:t>
      </w:r>
      <w:r>
        <w:rPr>
          <w:rFonts w:hint="eastAsia"/>
          <w:szCs w:val="22"/>
        </w:rPr>
        <w:t>大连海洋大学水产与生命学院，辽宁</w:t>
      </w:r>
      <w:r>
        <w:rPr>
          <w:rFonts w:hint="eastAsia"/>
          <w:szCs w:val="22"/>
        </w:rPr>
        <w:t xml:space="preserve"> </w:t>
      </w:r>
      <w:r>
        <w:rPr>
          <w:rFonts w:hint="eastAsia"/>
          <w:szCs w:val="22"/>
        </w:rPr>
        <w:t>大连</w:t>
      </w:r>
      <w:r>
        <w:rPr>
          <w:rFonts w:hint="eastAsia"/>
          <w:szCs w:val="22"/>
        </w:rPr>
        <w:t xml:space="preserve"> 116023</w:t>
      </w:r>
      <w:r>
        <w:rPr>
          <w:rFonts w:hint="eastAsia"/>
          <w:szCs w:val="22"/>
        </w:rPr>
        <w:t>；</w:t>
      </w:r>
      <w:r>
        <w:rPr>
          <w:rFonts w:hint="eastAsia"/>
          <w:szCs w:val="22"/>
        </w:rPr>
        <w:t>2.</w:t>
      </w:r>
      <w:r>
        <w:rPr>
          <w:rFonts w:hint="eastAsia"/>
          <w:szCs w:val="22"/>
        </w:rPr>
        <w:t>大连海洋大学</w:t>
      </w:r>
      <w:r>
        <w:rPr>
          <w:rFonts w:hint="eastAsia"/>
          <w:szCs w:val="22"/>
        </w:rPr>
        <w:t xml:space="preserve"> </w:t>
      </w:r>
      <w:r>
        <w:rPr>
          <w:rFonts w:hint="eastAsia"/>
          <w:szCs w:val="22"/>
        </w:rPr>
        <w:t>水产动物营养与饲料实验室，</w:t>
      </w:r>
      <w:r>
        <w:rPr>
          <w:rFonts w:hint="eastAsia"/>
          <w:szCs w:val="22"/>
        </w:rPr>
        <w:t xml:space="preserve"> </w:t>
      </w:r>
      <w:r>
        <w:rPr>
          <w:rFonts w:hint="eastAsia"/>
          <w:szCs w:val="22"/>
        </w:rPr>
        <w:t>辽宁</w:t>
      </w:r>
      <w:r>
        <w:rPr>
          <w:rFonts w:hint="eastAsia"/>
          <w:szCs w:val="22"/>
        </w:rPr>
        <w:t xml:space="preserve"> </w:t>
      </w:r>
      <w:r>
        <w:rPr>
          <w:rFonts w:hint="eastAsia"/>
          <w:szCs w:val="22"/>
        </w:rPr>
        <w:t>大连</w:t>
      </w:r>
      <w:r>
        <w:rPr>
          <w:rFonts w:hint="eastAsia"/>
          <w:szCs w:val="22"/>
        </w:rPr>
        <w:t xml:space="preserve"> 116023</w:t>
      </w:r>
      <w:r>
        <w:rPr>
          <w:rFonts w:hint="eastAsia"/>
          <w:szCs w:val="22"/>
        </w:rPr>
        <w:t>；</w:t>
      </w:r>
      <w:r>
        <w:rPr>
          <w:rFonts w:hint="eastAsia"/>
          <w:szCs w:val="22"/>
        </w:rPr>
        <w:t>3.</w:t>
      </w:r>
      <w:r>
        <w:rPr>
          <w:rFonts w:hint="eastAsia"/>
          <w:szCs w:val="22"/>
        </w:rPr>
        <w:t>大连海洋大学</w:t>
      </w:r>
      <w:r>
        <w:rPr>
          <w:rFonts w:hint="eastAsia"/>
          <w:szCs w:val="22"/>
        </w:rPr>
        <w:t xml:space="preserve"> </w:t>
      </w:r>
      <w:r>
        <w:rPr>
          <w:rFonts w:hint="eastAsia"/>
          <w:szCs w:val="22"/>
        </w:rPr>
        <w:t>辽宁省北方鱼类应用生物学与增养殖重点实验室，辽宁</w:t>
      </w:r>
      <w:r>
        <w:rPr>
          <w:rFonts w:hint="eastAsia"/>
          <w:szCs w:val="22"/>
        </w:rPr>
        <w:t xml:space="preserve"> </w:t>
      </w:r>
      <w:r>
        <w:rPr>
          <w:rFonts w:hint="eastAsia"/>
          <w:szCs w:val="22"/>
        </w:rPr>
        <w:t>大连</w:t>
      </w:r>
      <w:r>
        <w:rPr>
          <w:rFonts w:hint="eastAsia"/>
          <w:szCs w:val="22"/>
        </w:rPr>
        <w:t xml:space="preserve"> 116023</w:t>
      </w:r>
      <w:r>
        <w:rPr>
          <w:rFonts w:hint="eastAsia"/>
          <w:szCs w:val="22"/>
        </w:rPr>
        <w:t>）</w:t>
      </w:r>
    </w:p>
    <w:p w14:paraId="6435AC14" w14:textId="77777777" w:rsidR="006D73E5" w:rsidRDefault="00000000">
      <w:pPr>
        <w:rPr>
          <w:szCs w:val="22"/>
        </w:rPr>
      </w:pPr>
      <w:r>
        <w:rPr>
          <w:rFonts w:hint="eastAsia"/>
          <w:b/>
          <w:bCs/>
          <w:szCs w:val="22"/>
        </w:rPr>
        <w:t>摘要：</w:t>
      </w:r>
      <w:r>
        <w:rPr>
          <w:rFonts w:hint="eastAsia"/>
          <w:szCs w:val="22"/>
        </w:rPr>
        <w:t>试验探究在不添加鱼粉、以鸡肠粉作为饵料中动物蛋白源，补充不同水平的赖氨酸和蛋氨酸的条件下，研究其对鲤的含肉率、肌肉常规营养成分、氨基酸组成及质构特性的影响。选取初重（</w:t>
      </w:r>
      <w:r>
        <w:rPr>
          <w:rFonts w:hint="eastAsia"/>
          <w:szCs w:val="22"/>
        </w:rPr>
        <w:t>55.54</w:t>
      </w:r>
      <w:r>
        <w:rPr>
          <w:rFonts w:hint="eastAsia"/>
          <w:szCs w:val="22"/>
        </w:rPr>
        <w:t>±</w:t>
      </w:r>
      <w:r>
        <w:rPr>
          <w:rFonts w:hint="eastAsia"/>
          <w:szCs w:val="22"/>
        </w:rPr>
        <w:t>0.09</w:t>
      </w:r>
      <w:r>
        <w:rPr>
          <w:rFonts w:hint="eastAsia"/>
          <w:szCs w:val="22"/>
        </w:rPr>
        <w:t>）</w:t>
      </w:r>
      <w:r>
        <w:rPr>
          <w:rFonts w:hint="eastAsia"/>
          <w:szCs w:val="22"/>
        </w:rPr>
        <w:t>g</w:t>
      </w:r>
      <w:r>
        <w:rPr>
          <w:rFonts w:hint="eastAsia"/>
          <w:szCs w:val="22"/>
        </w:rPr>
        <w:t>的鲤</w:t>
      </w:r>
      <w:r>
        <w:rPr>
          <w:rFonts w:hint="eastAsia"/>
          <w:szCs w:val="22"/>
        </w:rPr>
        <w:t>150</w:t>
      </w:r>
      <w:r>
        <w:rPr>
          <w:rFonts w:hint="eastAsia"/>
          <w:szCs w:val="22"/>
        </w:rPr>
        <w:t>尾，随机分为</w:t>
      </w:r>
      <w:r>
        <w:rPr>
          <w:rFonts w:hint="eastAsia"/>
          <w:szCs w:val="22"/>
        </w:rPr>
        <w:t>5</w:t>
      </w:r>
      <w:r>
        <w:rPr>
          <w:rFonts w:hint="eastAsia"/>
          <w:szCs w:val="22"/>
        </w:rPr>
        <w:t>组，每组</w:t>
      </w:r>
      <w:r>
        <w:rPr>
          <w:rFonts w:hint="eastAsia"/>
          <w:szCs w:val="22"/>
        </w:rPr>
        <w:t>3</w:t>
      </w:r>
      <w:r>
        <w:rPr>
          <w:rFonts w:hint="eastAsia"/>
          <w:szCs w:val="22"/>
        </w:rPr>
        <w:t>个重复，每个重复</w:t>
      </w:r>
      <w:r>
        <w:rPr>
          <w:rFonts w:hint="eastAsia"/>
          <w:szCs w:val="22"/>
        </w:rPr>
        <w:t>10</w:t>
      </w:r>
      <w:r>
        <w:rPr>
          <w:rFonts w:hint="eastAsia"/>
          <w:szCs w:val="22"/>
        </w:rPr>
        <w:t>尾，配制</w:t>
      </w:r>
      <w:r>
        <w:rPr>
          <w:rFonts w:hint="eastAsia"/>
          <w:szCs w:val="22"/>
        </w:rPr>
        <w:t>5</w:t>
      </w:r>
      <w:r>
        <w:rPr>
          <w:rFonts w:hint="eastAsia"/>
          <w:szCs w:val="22"/>
        </w:rPr>
        <w:t>组等氮等脂的饵料，限制性氨基酸（</w:t>
      </w:r>
      <w:r>
        <w:rPr>
          <w:rFonts w:hint="eastAsia"/>
          <w:szCs w:val="22"/>
        </w:rPr>
        <w:t>Met</w:t>
      </w:r>
      <w:r>
        <w:rPr>
          <w:rFonts w:hint="eastAsia"/>
          <w:szCs w:val="22"/>
        </w:rPr>
        <w:t>∶</w:t>
      </w:r>
      <w:r>
        <w:rPr>
          <w:rFonts w:hint="eastAsia"/>
          <w:szCs w:val="22"/>
        </w:rPr>
        <w:t>Lys=0.318</w:t>
      </w:r>
      <w:r>
        <w:rPr>
          <w:rFonts w:hint="eastAsia"/>
          <w:szCs w:val="22"/>
        </w:rPr>
        <w:t>）添加水平分别为</w:t>
      </w:r>
      <w:r>
        <w:rPr>
          <w:rFonts w:hint="eastAsia"/>
          <w:szCs w:val="22"/>
        </w:rPr>
        <w:t>0</w:t>
      </w:r>
      <w:r>
        <w:rPr>
          <w:rFonts w:hint="eastAsia"/>
          <w:szCs w:val="22"/>
        </w:rPr>
        <w:t>（</w:t>
      </w:r>
      <w:r>
        <w:rPr>
          <w:rFonts w:hint="eastAsia"/>
          <w:szCs w:val="22"/>
        </w:rPr>
        <w:t>G1</w:t>
      </w:r>
      <w:r>
        <w:rPr>
          <w:rFonts w:hint="eastAsia"/>
          <w:szCs w:val="22"/>
        </w:rPr>
        <w:t>组，即对照组）、</w:t>
      </w:r>
      <w:r>
        <w:rPr>
          <w:rFonts w:hint="eastAsia"/>
          <w:szCs w:val="22"/>
        </w:rPr>
        <w:t>0.5 %</w:t>
      </w:r>
      <w:r>
        <w:rPr>
          <w:rFonts w:hint="eastAsia"/>
          <w:szCs w:val="22"/>
        </w:rPr>
        <w:t>（</w:t>
      </w:r>
      <w:r>
        <w:rPr>
          <w:rFonts w:hint="eastAsia"/>
          <w:szCs w:val="22"/>
        </w:rPr>
        <w:t>G2</w:t>
      </w:r>
      <w:r>
        <w:rPr>
          <w:rFonts w:hint="eastAsia"/>
          <w:szCs w:val="22"/>
        </w:rPr>
        <w:t>组）、</w:t>
      </w:r>
      <w:r>
        <w:rPr>
          <w:rFonts w:hint="eastAsia"/>
          <w:szCs w:val="22"/>
        </w:rPr>
        <w:t>1.0 %</w:t>
      </w:r>
      <w:r>
        <w:rPr>
          <w:rFonts w:hint="eastAsia"/>
          <w:szCs w:val="22"/>
        </w:rPr>
        <w:t>（</w:t>
      </w:r>
      <w:r>
        <w:rPr>
          <w:rFonts w:hint="eastAsia"/>
          <w:szCs w:val="22"/>
        </w:rPr>
        <w:t>G3</w:t>
      </w:r>
      <w:r>
        <w:rPr>
          <w:rFonts w:hint="eastAsia"/>
          <w:szCs w:val="22"/>
        </w:rPr>
        <w:t>组）、</w:t>
      </w:r>
      <w:r>
        <w:rPr>
          <w:rFonts w:hint="eastAsia"/>
          <w:szCs w:val="22"/>
        </w:rPr>
        <w:t>1.5 %</w:t>
      </w:r>
      <w:r>
        <w:rPr>
          <w:rFonts w:hint="eastAsia"/>
          <w:szCs w:val="22"/>
        </w:rPr>
        <w:t>（</w:t>
      </w:r>
      <w:r>
        <w:rPr>
          <w:rFonts w:hint="eastAsia"/>
          <w:szCs w:val="22"/>
        </w:rPr>
        <w:t>G4</w:t>
      </w:r>
      <w:r>
        <w:rPr>
          <w:rFonts w:hint="eastAsia"/>
          <w:szCs w:val="22"/>
        </w:rPr>
        <w:t>组）、</w:t>
      </w:r>
      <w:r>
        <w:rPr>
          <w:rFonts w:hint="eastAsia"/>
          <w:szCs w:val="22"/>
        </w:rPr>
        <w:t>2.0 %</w:t>
      </w:r>
      <w:r>
        <w:rPr>
          <w:rFonts w:hint="eastAsia"/>
          <w:szCs w:val="22"/>
        </w:rPr>
        <w:t>（</w:t>
      </w:r>
      <w:r>
        <w:rPr>
          <w:rFonts w:hint="eastAsia"/>
          <w:szCs w:val="22"/>
        </w:rPr>
        <w:t>G5</w:t>
      </w:r>
      <w:r>
        <w:rPr>
          <w:rFonts w:hint="eastAsia"/>
          <w:szCs w:val="22"/>
        </w:rPr>
        <w:t>组）。试验期</w:t>
      </w:r>
      <w:r>
        <w:rPr>
          <w:rFonts w:hint="eastAsia"/>
          <w:szCs w:val="22"/>
        </w:rPr>
        <w:t>8w</w:t>
      </w:r>
      <w:r>
        <w:rPr>
          <w:rFonts w:hint="eastAsia"/>
          <w:szCs w:val="22"/>
        </w:rPr>
        <w:t>。结果显示：</w:t>
      </w:r>
      <w:r>
        <w:rPr>
          <w:rFonts w:hint="eastAsia"/>
          <w:szCs w:val="22"/>
        </w:rPr>
        <w:t>G4</w:t>
      </w:r>
      <w:r>
        <w:rPr>
          <w:rFonts w:hint="eastAsia"/>
          <w:szCs w:val="22"/>
        </w:rPr>
        <w:t>组和</w:t>
      </w:r>
      <w:r>
        <w:rPr>
          <w:rFonts w:hint="eastAsia"/>
          <w:szCs w:val="22"/>
        </w:rPr>
        <w:t>G5</w:t>
      </w:r>
      <w:r>
        <w:rPr>
          <w:rFonts w:hint="eastAsia"/>
          <w:szCs w:val="22"/>
        </w:rPr>
        <w:t>组鲤的含肉率和粗蛋白含量显著高于对照组（</w:t>
      </w:r>
      <w:r>
        <w:rPr>
          <w:rFonts w:hint="eastAsia"/>
          <w:i/>
          <w:szCs w:val="22"/>
        </w:rPr>
        <w:t>P</w:t>
      </w:r>
      <w:r>
        <w:rPr>
          <w:rFonts w:hint="eastAsia"/>
          <w:szCs w:val="22"/>
        </w:rPr>
        <w:t>&lt;0.05</w:t>
      </w:r>
      <w:r>
        <w:rPr>
          <w:rFonts w:hint="eastAsia"/>
          <w:szCs w:val="22"/>
        </w:rPr>
        <w:t>）。各试验组鲤肌肉的氨基酸总量、必需氨基酸总量、非必需氨基酸总量和鲜味氨基酸总量均显著高于对照组（</w:t>
      </w:r>
      <w:r>
        <w:rPr>
          <w:rFonts w:hint="eastAsia"/>
          <w:i/>
          <w:szCs w:val="22"/>
        </w:rPr>
        <w:t>P</w:t>
      </w:r>
      <w:r>
        <w:rPr>
          <w:rFonts w:hint="eastAsia"/>
          <w:szCs w:val="22"/>
        </w:rPr>
        <w:t>&lt;0.05</w:t>
      </w:r>
      <w:r>
        <w:rPr>
          <w:rFonts w:hint="eastAsia"/>
          <w:szCs w:val="22"/>
        </w:rPr>
        <w:t>）。随着限制性氨基酸添加水平的增加，各组鲤肌肉的必需氨基酸指数（</w:t>
      </w:r>
      <w:r>
        <w:rPr>
          <w:rFonts w:hint="eastAsia"/>
          <w:szCs w:val="22"/>
        </w:rPr>
        <w:t>EAAI</w:t>
      </w:r>
      <w:r>
        <w:rPr>
          <w:rFonts w:hint="eastAsia"/>
          <w:szCs w:val="22"/>
        </w:rPr>
        <w:t>）呈上升趋势。</w:t>
      </w:r>
      <w:r>
        <w:rPr>
          <w:rFonts w:hint="eastAsia"/>
          <w:szCs w:val="22"/>
        </w:rPr>
        <w:t>G3</w:t>
      </w:r>
      <w:r>
        <w:rPr>
          <w:rFonts w:hint="eastAsia"/>
          <w:szCs w:val="22"/>
        </w:rPr>
        <w:t>组、</w:t>
      </w:r>
      <w:r>
        <w:rPr>
          <w:rFonts w:hint="eastAsia"/>
          <w:szCs w:val="22"/>
        </w:rPr>
        <w:t>G4</w:t>
      </w:r>
      <w:r>
        <w:rPr>
          <w:rFonts w:hint="eastAsia"/>
          <w:szCs w:val="22"/>
        </w:rPr>
        <w:t>组和</w:t>
      </w:r>
      <w:r>
        <w:rPr>
          <w:rFonts w:hint="eastAsia"/>
          <w:szCs w:val="22"/>
        </w:rPr>
        <w:t>G5</w:t>
      </w:r>
      <w:r>
        <w:rPr>
          <w:rFonts w:hint="eastAsia"/>
          <w:szCs w:val="22"/>
        </w:rPr>
        <w:t>组鲤肌肉弹性显著高于对照组（</w:t>
      </w:r>
      <w:r>
        <w:rPr>
          <w:rFonts w:hint="eastAsia"/>
          <w:i/>
          <w:szCs w:val="22"/>
        </w:rPr>
        <w:t>P</w:t>
      </w:r>
      <w:r>
        <w:rPr>
          <w:rFonts w:hint="eastAsia"/>
          <w:szCs w:val="22"/>
        </w:rPr>
        <w:t>&lt;0.05</w:t>
      </w:r>
      <w:r>
        <w:rPr>
          <w:rFonts w:hint="eastAsia"/>
          <w:szCs w:val="22"/>
        </w:rPr>
        <w:t>），</w:t>
      </w:r>
      <w:r>
        <w:rPr>
          <w:rFonts w:hint="eastAsia"/>
          <w:szCs w:val="22"/>
        </w:rPr>
        <w:t>G5</w:t>
      </w:r>
      <w:r>
        <w:rPr>
          <w:rFonts w:hint="eastAsia"/>
          <w:szCs w:val="22"/>
        </w:rPr>
        <w:t>组鲤肌肉咀嚼性显著高于对照组（</w:t>
      </w:r>
      <w:r>
        <w:rPr>
          <w:rFonts w:hint="eastAsia"/>
          <w:i/>
          <w:szCs w:val="22"/>
        </w:rPr>
        <w:t>P</w:t>
      </w:r>
      <w:r>
        <w:rPr>
          <w:rFonts w:hint="eastAsia"/>
          <w:szCs w:val="22"/>
        </w:rPr>
        <w:t>&lt;0.05</w:t>
      </w:r>
      <w:r>
        <w:rPr>
          <w:rFonts w:hint="eastAsia"/>
          <w:szCs w:val="22"/>
        </w:rPr>
        <w:t>）。研究表明，无鱼粉饵料中添加适量的限制性氨基酸能够提高鲤的含肉率，增加鲤肌肉粗蛋白、总氨基酸、必需氨基酸及鲜味氨基酸含量，提升鲤肌肉质构参数，改善鲤肌肉品质，且以</w:t>
      </w:r>
      <w:r>
        <w:rPr>
          <w:rFonts w:hint="eastAsia"/>
          <w:szCs w:val="22"/>
        </w:rPr>
        <w:t>2.0 %</w:t>
      </w:r>
      <w:r>
        <w:rPr>
          <w:rFonts w:hint="eastAsia"/>
          <w:szCs w:val="22"/>
        </w:rPr>
        <w:t>的补充量效果较好。</w:t>
      </w:r>
    </w:p>
    <w:p w14:paraId="7A176117" w14:textId="77777777" w:rsidR="006D73E5" w:rsidRDefault="00000000">
      <w:pPr>
        <w:rPr>
          <w:szCs w:val="22"/>
        </w:rPr>
      </w:pPr>
      <w:r>
        <w:rPr>
          <w:rFonts w:hint="eastAsia"/>
          <w:b/>
          <w:bCs/>
          <w:szCs w:val="22"/>
        </w:rPr>
        <w:t>关键词：</w:t>
      </w:r>
      <w:r>
        <w:rPr>
          <w:rFonts w:hint="eastAsia"/>
          <w:szCs w:val="22"/>
        </w:rPr>
        <w:t>鱼粉；鸡肠粉；限制性氨基酸；鲤；含肉率；营养成分；质构特性</w:t>
      </w:r>
    </w:p>
    <w:p w14:paraId="6DF4A9C9" w14:textId="77777777" w:rsidR="006D73E5" w:rsidRDefault="00000000">
      <w:pPr>
        <w:jc w:val="center"/>
        <w:rPr>
          <w:b/>
          <w:bCs/>
          <w:sz w:val="24"/>
        </w:rPr>
      </w:pPr>
      <w:r>
        <w:rPr>
          <w:rFonts w:hint="eastAsia"/>
          <w:b/>
          <w:bCs/>
          <w:sz w:val="24"/>
        </w:rPr>
        <w:t xml:space="preserve">Effect of supplementation of fishmeal-free diets with restrictive amino acids </w:t>
      </w:r>
    </w:p>
    <w:p w14:paraId="5E227CBA" w14:textId="77777777" w:rsidR="006D73E5" w:rsidRDefault="00000000">
      <w:pPr>
        <w:jc w:val="center"/>
        <w:rPr>
          <w:b/>
          <w:bCs/>
          <w:sz w:val="24"/>
        </w:rPr>
      </w:pPr>
      <w:r>
        <w:rPr>
          <w:rFonts w:hint="eastAsia"/>
          <w:b/>
          <w:bCs/>
          <w:sz w:val="24"/>
        </w:rPr>
        <w:t>on flesh content</w:t>
      </w:r>
      <w:r>
        <w:rPr>
          <w:rFonts w:hint="eastAsia"/>
          <w:b/>
          <w:bCs/>
          <w:sz w:val="24"/>
        </w:rPr>
        <w:t>，</w:t>
      </w:r>
      <w:r>
        <w:rPr>
          <w:rFonts w:hint="eastAsia"/>
          <w:b/>
          <w:bCs/>
          <w:sz w:val="24"/>
        </w:rPr>
        <w:t xml:space="preserve">muscle nutrient composition and quality characteristics of </w:t>
      </w:r>
      <w:proofErr w:type="spellStart"/>
      <w:r>
        <w:rPr>
          <w:rFonts w:hint="eastAsia"/>
          <w:b/>
          <w:bCs/>
          <w:sz w:val="24"/>
        </w:rPr>
        <w:t>comcarp</w:t>
      </w:r>
      <w:proofErr w:type="spellEnd"/>
      <w:r>
        <w:rPr>
          <w:rFonts w:hint="eastAsia"/>
          <w:b/>
          <w:bCs/>
          <w:sz w:val="24"/>
        </w:rPr>
        <w:t>（</w:t>
      </w:r>
      <w:r>
        <w:rPr>
          <w:rFonts w:hint="eastAsia"/>
          <w:b/>
          <w:bCs/>
          <w:i/>
          <w:iCs/>
          <w:sz w:val="24"/>
        </w:rPr>
        <w:t xml:space="preserve">Cyprinus </w:t>
      </w:r>
      <w:proofErr w:type="spellStart"/>
      <w:r>
        <w:rPr>
          <w:rFonts w:hint="eastAsia"/>
          <w:b/>
          <w:bCs/>
          <w:i/>
          <w:iCs/>
          <w:sz w:val="24"/>
        </w:rPr>
        <w:t>carpio</w:t>
      </w:r>
      <w:proofErr w:type="spellEnd"/>
      <w:r>
        <w:rPr>
          <w:rFonts w:hint="eastAsia"/>
          <w:b/>
          <w:bCs/>
          <w:sz w:val="24"/>
        </w:rPr>
        <w:t>）</w:t>
      </w:r>
    </w:p>
    <w:p w14:paraId="6C17DD62" w14:textId="77777777" w:rsidR="006D73E5" w:rsidRDefault="00000000">
      <w:pPr>
        <w:jc w:val="center"/>
        <w:rPr>
          <w:szCs w:val="22"/>
        </w:rPr>
      </w:pPr>
      <w:r>
        <w:rPr>
          <w:rFonts w:hint="eastAsia"/>
          <w:szCs w:val="22"/>
        </w:rPr>
        <w:t>PENG Zuxiang</w:t>
      </w:r>
      <w:r>
        <w:rPr>
          <w:rFonts w:hint="eastAsia"/>
          <w:szCs w:val="22"/>
          <w:vertAlign w:val="superscript"/>
        </w:rPr>
        <w:t>1,2</w:t>
      </w:r>
      <w:r>
        <w:rPr>
          <w:rFonts w:hint="eastAsia"/>
          <w:szCs w:val="22"/>
        </w:rPr>
        <w:t xml:space="preserve"> YAN Lin</w:t>
      </w:r>
      <w:r>
        <w:rPr>
          <w:rFonts w:hint="eastAsia"/>
          <w:szCs w:val="22"/>
          <w:vertAlign w:val="superscript"/>
        </w:rPr>
        <w:t>1,2</w:t>
      </w:r>
      <w:r>
        <w:rPr>
          <w:rFonts w:hint="eastAsia"/>
          <w:szCs w:val="22"/>
        </w:rPr>
        <w:t xml:space="preserve"> WEI </w:t>
      </w:r>
      <w:proofErr w:type="spellStart"/>
      <w:r>
        <w:rPr>
          <w:rFonts w:hint="eastAsia"/>
          <w:szCs w:val="22"/>
        </w:rPr>
        <w:t>Libo</w:t>
      </w:r>
      <w:proofErr w:type="spellEnd"/>
      <w:r>
        <w:rPr>
          <w:rFonts w:hint="eastAsia"/>
          <w:szCs w:val="22"/>
        </w:rPr>
        <w:t xml:space="preserve"> WANG Yuehan</w:t>
      </w:r>
      <w:r>
        <w:rPr>
          <w:rFonts w:hint="eastAsia"/>
          <w:szCs w:val="22"/>
          <w:vertAlign w:val="superscript"/>
        </w:rPr>
        <w:t>1,2</w:t>
      </w:r>
      <w:r>
        <w:rPr>
          <w:rFonts w:hint="eastAsia"/>
          <w:szCs w:val="22"/>
        </w:rPr>
        <w:t xml:space="preserve"> GAO Xin</w:t>
      </w:r>
      <w:r>
        <w:rPr>
          <w:rFonts w:hint="eastAsia"/>
          <w:szCs w:val="22"/>
          <w:vertAlign w:val="superscript"/>
        </w:rPr>
        <w:t>1,2</w:t>
      </w:r>
      <w:r>
        <w:rPr>
          <w:rFonts w:hint="eastAsia"/>
          <w:szCs w:val="22"/>
        </w:rPr>
        <w:t xml:space="preserve"> WANG Wei</w:t>
      </w:r>
      <w:r>
        <w:rPr>
          <w:rFonts w:hint="eastAsia"/>
          <w:szCs w:val="22"/>
          <w:vertAlign w:val="superscript"/>
        </w:rPr>
        <w:t>1,2,3</w:t>
      </w:r>
      <w:r>
        <w:rPr>
          <w:rFonts w:hint="eastAsia"/>
          <w:szCs w:val="22"/>
        </w:rPr>
        <w:t xml:space="preserve"> REN Tongjun</w:t>
      </w:r>
      <w:r>
        <w:rPr>
          <w:rFonts w:hint="eastAsia"/>
          <w:szCs w:val="22"/>
          <w:vertAlign w:val="superscript"/>
        </w:rPr>
        <w:t>1,2,3</w:t>
      </w:r>
      <w:r>
        <w:rPr>
          <w:rFonts w:hint="eastAsia"/>
          <w:szCs w:val="22"/>
        </w:rPr>
        <w:t xml:space="preserve"> HAN </w:t>
      </w:r>
      <w:r>
        <w:rPr>
          <w:rFonts w:hint="eastAsia"/>
          <w:szCs w:val="22"/>
        </w:rPr>
        <w:lastRenderedPageBreak/>
        <w:t>Yuzhe</w:t>
      </w:r>
      <w:r>
        <w:rPr>
          <w:rFonts w:hint="eastAsia"/>
          <w:szCs w:val="22"/>
          <w:vertAlign w:val="superscript"/>
        </w:rPr>
        <w:t>1,2,3*</w:t>
      </w:r>
    </w:p>
    <w:p w14:paraId="6A94F56E" w14:textId="77777777" w:rsidR="006D73E5" w:rsidRDefault="00000000">
      <w:pPr>
        <w:rPr>
          <w:szCs w:val="22"/>
        </w:rPr>
      </w:pPr>
      <w:r>
        <w:rPr>
          <w:rFonts w:hint="eastAsia"/>
          <w:b/>
          <w:bCs/>
          <w:szCs w:val="22"/>
        </w:rPr>
        <w:t xml:space="preserve">Abstract: </w:t>
      </w:r>
      <w:r>
        <w:rPr>
          <w:rFonts w:hint="eastAsia"/>
          <w:szCs w:val="22"/>
        </w:rPr>
        <w:t>The experiment was conducted to explore the effect of different levels of lysine and methionine supplementation on meat content, muscle conventional nutrition, amino acid composition and texture characteristics of carp without adding fish meal and chicken intestine meal as animal protein source. A total of 150 fish with an initial weight of (55.54</w:t>
      </w:r>
      <w:r>
        <w:rPr>
          <w:rFonts w:hint="eastAsia"/>
          <w:szCs w:val="22"/>
        </w:rPr>
        <w:t>±</w:t>
      </w:r>
      <w:r>
        <w:rPr>
          <w:rFonts w:hint="eastAsia"/>
          <w:szCs w:val="22"/>
        </w:rPr>
        <w:t xml:space="preserve">0.09) g were selected and randomly divided into five groups with three replicates in each group, and ten fish in each replicate. Five groups of isonitrogenous and </w:t>
      </w:r>
      <w:proofErr w:type="spellStart"/>
      <w:r>
        <w:rPr>
          <w:rFonts w:hint="eastAsia"/>
          <w:szCs w:val="22"/>
        </w:rPr>
        <w:t>isolipidic</w:t>
      </w:r>
      <w:proofErr w:type="spellEnd"/>
      <w:r>
        <w:rPr>
          <w:rFonts w:hint="eastAsia"/>
          <w:szCs w:val="22"/>
        </w:rPr>
        <w:t xml:space="preserve"> diets were prepared with 0 (group G1, the control group), 0.5% (group G2), 1.0% (group G3), 1.5% (group G4) and 2.0% (group G5) levels of restricted amino acids (Met</w:t>
      </w:r>
      <w:r>
        <w:rPr>
          <w:rFonts w:hint="eastAsia"/>
          <w:szCs w:val="22"/>
        </w:rPr>
        <w:t>∶</w:t>
      </w:r>
      <w:r>
        <w:rPr>
          <w:rFonts w:hint="eastAsia"/>
          <w:szCs w:val="22"/>
        </w:rPr>
        <w:t xml:space="preserve"> Lys=0.318). The experiment lasted for 8 w. The results showed that the meat content and crude protein content of carp in group G4 and group G5 were significantly higher than those in control group (</w:t>
      </w:r>
      <w:r>
        <w:rPr>
          <w:rFonts w:hint="eastAsia"/>
          <w:i/>
          <w:szCs w:val="22"/>
        </w:rPr>
        <w:t>P</w:t>
      </w:r>
      <w:r>
        <w:rPr>
          <w:rFonts w:hint="eastAsia"/>
          <w:szCs w:val="22"/>
        </w:rPr>
        <w:t>&lt;0.05). Total amino acids, total essential amino acids, total non-essential amino acids and total fresh amino acids were significantly higher in experiment groups than that in control group (</w:t>
      </w:r>
      <w:r>
        <w:rPr>
          <w:rFonts w:hint="eastAsia"/>
          <w:i/>
          <w:szCs w:val="22"/>
        </w:rPr>
        <w:t>P</w:t>
      </w:r>
      <w:r>
        <w:rPr>
          <w:rFonts w:hint="eastAsia"/>
          <w:szCs w:val="22"/>
        </w:rPr>
        <w:t>&lt;0.05). The essential amino acid index (EAAI) tended to increase in all groups as the level of restricted amino acid addition increased. Muscle elasticity of carp in group G3, group G4 and group G5 was significantly higher than that in control group (</w:t>
      </w:r>
      <w:r>
        <w:rPr>
          <w:rFonts w:hint="eastAsia"/>
          <w:i/>
          <w:szCs w:val="22"/>
        </w:rPr>
        <w:t>P</w:t>
      </w:r>
      <w:r>
        <w:rPr>
          <w:rFonts w:hint="eastAsia"/>
          <w:szCs w:val="22"/>
        </w:rPr>
        <w:t>&lt;0.05), and muscle masticatory properties in group G5 were significantly higher than that in control group (</w:t>
      </w:r>
      <w:r>
        <w:rPr>
          <w:rFonts w:hint="eastAsia"/>
          <w:i/>
          <w:szCs w:val="22"/>
        </w:rPr>
        <w:t>P</w:t>
      </w:r>
      <w:r>
        <w:rPr>
          <w:rFonts w:hint="eastAsia"/>
          <w:szCs w:val="22"/>
        </w:rPr>
        <w:t xml:space="preserve">&lt;0.05). The experiment indicates that the addition of limiting amino acids to fishmeal-free diets can improve the meat content of carp, increase the crude protein, total amino acids, essential amino acids and fresh amino acids, enhance muscle texture parameters and improve muscle quality, and the supplemental dose of 2.0% is better. </w:t>
      </w:r>
    </w:p>
    <w:p w14:paraId="6F986E7A" w14:textId="77777777" w:rsidR="006D73E5" w:rsidRDefault="00000000">
      <w:pPr>
        <w:rPr>
          <w:szCs w:val="22"/>
        </w:rPr>
      </w:pPr>
      <w:r>
        <w:rPr>
          <w:rFonts w:hint="eastAsia"/>
          <w:b/>
          <w:bCs/>
          <w:szCs w:val="22"/>
        </w:rPr>
        <w:t xml:space="preserve">Key words: </w:t>
      </w:r>
      <w:r>
        <w:rPr>
          <w:rFonts w:hint="eastAsia"/>
          <w:szCs w:val="22"/>
        </w:rPr>
        <w:t xml:space="preserve">fishmeal; chicken intestine powder; restrictive amino acids; </w:t>
      </w:r>
      <w:proofErr w:type="spellStart"/>
      <w:r>
        <w:rPr>
          <w:rFonts w:hint="eastAsia"/>
          <w:szCs w:val="22"/>
        </w:rPr>
        <w:t>conmon</w:t>
      </w:r>
      <w:proofErr w:type="spellEnd"/>
      <w:r>
        <w:rPr>
          <w:rFonts w:hint="eastAsia"/>
          <w:szCs w:val="22"/>
        </w:rPr>
        <w:t xml:space="preserve"> carp (</w:t>
      </w:r>
      <w:r>
        <w:rPr>
          <w:rFonts w:hint="eastAsia"/>
          <w:i/>
          <w:szCs w:val="22"/>
        </w:rPr>
        <w:t xml:space="preserve">Cyprinus </w:t>
      </w:r>
      <w:proofErr w:type="spellStart"/>
      <w:r>
        <w:rPr>
          <w:rFonts w:hint="eastAsia"/>
          <w:i/>
          <w:szCs w:val="22"/>
        </w:rPr>
        <w:t>carpio</w:t>
      </w:r>
      <w:proofErr w:type="spellEnd"/>
      <w:r>
        <w:rPr>
          <w:rFonts w:hint="eastAsia"/>
          <w:szCs w:val="22"/>
        </w:rPr>
        <w:t xml:space="preserve">); flesh content; nutritional </w:t>
      </w:r>
      <w:proofErr w:type="spellStart"/>
      <w:r>
        <w:rPr>
          <w:rFonts w:hint="eastAsia"/>
          <w:szCs w:val="22"/>
        </w:rPr>
        <w:t>compontent</w:t>
      </w:r>
      <w:proofErr w:type="spellEnd"/>
      <w:r>
        <w:rPr>
          <w:rFonts w:hint="eastAsia"/>
          <w:szCs w:val="22"/>
        </w:rPr>
        <w:t>; textural profile</w:t>
      </w:r>
    </w:p>
    <w:p w14:paraId="45D31F47" w14:textId="77777777" w:rsidR="006D73E5" w:rsidRDefault="006D73E5">
      <w:pPr>
        <w:rPr>
          <w:rFonts w:ascii="Calibri" w:hAnsi="Calibri"/>
        </w:rPr>
      </w:pPr>
    </w:p>
    <w:p w14:paraId="4F63C26E" w14:textId="77777777" w:rsidR="006D73E5" w:rsidRDefault="00000000">
      <w:pPr>
        <w:spacing w:line="360" w:lineRule="auto"/>
        <w:ind w:firstLineChars="200" w:firstLine="480"/>
        <w:rPr>
          <w:sz w:val="24"/>
        </w:rPr>
      </w:pPr>
      <w:r>
        <w:rPr>
          <w:rFonts w:hint="eastAsia"/>
          <w:sz w:val="24"/>
        </w:rPr>
        <w:t>鱼粉是氨基酸组成较合理的优质动物蛋白，鱼粉需求量和价格提升导致鱼粉资源紧张。在实际生产中，通常采用动植物蛋白源替代饲料中的鱼粉开发无鱼粉饲料；但普通动植物蛋白源中缺少一些必需氨基酸，需要补充适量的必需氨基酸以平衡饲料中氨基酸组成</w:t>
      </w:r>
      <w:r>
        <w:rPr>
          <w:rFonts w:hint="eastAsia"/>
          <w:sz w:val="24"/>
          <w:vertAlign w:val="superscript"/>
        </w:rPr>
        <w:t>[1-3]</w:t>
      </w:r>
      <w:r>
        <w:rPr>
          <w:rFonts w:hint="eastAsia"/>
          <w:sz w:val="24"/>
        </w:rPr>
        <w:t>。鸡肠粉是利用新鲜鸡肠加工的新型蛋白源，营养成分与鱼粉接近，部分氨基酸含量高于鱼粉</w:t>
      </w:r>
      <w:r>
        <w:rPr>
          <w:rFonts w:hint="eastAsia"/>
          <w:sz w:val="24"/>
          <w:vertAlign w:val="superscript"/>
        </w:rPr>
        <w:t>[4]</w:t>
      </w:r>
      <w:r>
        <w:rPr>
          <w:rFonts w:hint="eastAsia"/>
          <w:sz w:val="24"/>
        </w:rPr>
        <w:t>，但仍缺少一些必需氨基酸，如赖氨酸和蛋氨酸。因此，补充适量赖氨酸和蛋氨酸以平衡鸡肠粉中氨基酸的组成，是合理利用鸡肠粉并使之成为理想蛋白源的基础。目前，人们对水产品的消费需求已经从“数量”转换为“质量”，更关心水产品的营养、风味和质地等</w:t>
      </w:r>
      <w:r>
        <w:rPr>
          <w:rFonts w:hint="eastAsia"/>
          <w:sz w:val="24"/>
          <w:vertAlign w:val="superscript"/>
        </w:rPr>
        <w:t>[5]</w:t>
      </w:r>
      <w:r>
        <w:rPr>
          <w:rFonts w:hint="eastAsia"/>
          <w:sz w:val="24"/>
        </w:rPr>
        <w:t>。国内外大部分研究主要侧重于饵料中补充限制性氨基酸对水产动物生长性能的影响</w:t>
      </w:r>
      <w:r>
        <w:rPr>
          <w:rFonts w:hint="eastAsia"/>
          <w:sz w:val="24"/>
          <w:vertAlign w:val="superscript"/>
        </w:rPr>
        <w:t>[6-8]</w:t>
      </w:r>
      <w:r>
        <w:rPr>
          <w:rFonts w:hint="eastAsia"/>
          <w:sz w:val="24"/>
        </w:rPr>
        <w:t>，针对饵料中补充限制性氨基酸对水产动物肌肉营养成分和品质特性的相关研究鲜有报道。</w:t>
      </w:r>
    </w:p>
    <w:p w14:paraId="4126D56B" w14:textId="77777777" w:rsidR="006D73E5" w:rsidRDefault="00000000">
      <w:pPr>
        <w:spacing w:line="360" w:lineRule="auto"/>
        <w:ind w:firstLineChars="200" w:firstLine="480"/>
        <w:rPr>
          <w:sz w:val="24"/>
        </w:rPr>
      </w:pPr>
      <w:r>
        <w:rPr>
          <w:rFonts w:hint="eastAsia"/>
          <w:sz w:val="24"/>
        </w:rPr>
        <w:t>本试验选取鲤为研究对象，在不添加鱼粉，以鸡肠粉作为饲料中主要动物蛋白源并补充赖氨酸和蛋氨酸的条件下，探究添加不同水平的限制性氨基酸对鲤肌肉营养成分和质构特性的影响，为合理利用鸡肠粉、开发无鱼粉饵料提供参考。</w:t>
      </w:r>
    </w:p>
    <w:p w14:paraId="09D65373" w14:textId="77777777" w:rsidR="006D73E5" w:rsidRDefault="00000000">
      <w:pPr>
        <w:spacing w:line="360" w:lineRule="auto"/>
        <w:rPr>
          <w:sz w:val="24"/>
        </w:rPr>
      </w:pPr>
      <w:r>
        <w:rPr>
          <w:rFonts w:hint="eastAsia"/>
          <w:sz w:val="24"/>
        </w:rPr>
        <w:t xml:space="preserve">1  </w:t>
      </w:r>
      <w:r>
        <w:rPr>
          <w:rFonts w:hint="eastAsia"/>
          <w:sz w:val="24"/>
        </w:rPr>
        <w:t>材料与方法</w:t>
      </w:r>
      <w:r>
        <w:rPr>
          <w:rFonts w:hint="eastAsia"/>
          <w:sz w:val="24"/>
        </w:rPr>
        <w:t xml:space="preserve"> </w:t>
      </w:r>
    </w:p>
    <w:p w14:paraId="7E4C13A1" w14:textId="77777777" w:rsidR="006D73E5" w:rsidRDefault="00000000">
      <w:pPr>
        <w:spacing w:line="360" w:lineRule="auto"/>
        <w:rPr>
          <w:sz w:val="24"/>
        </w:rPr>
      </w:pPr>
      <w:r>
        <w:rPr>
          <w:rFonts w:hint="eastAsia"/>
          <w:sz w:val="24"/>
        </w:rPr>
        <w:t xml:space="preserve">1.1  </w:t>
      </w:r>
      <w:r>
        <w:rPr>
          <w:rFonts w:hint="eastAsia"/>
          <w:sz w:val="24"/>
        </w:rPr>
        <w:t>试验设计与饲养管理</w:t>
      </w:r>
      <w:r>
        <w:rPr>
          <w:rFonts w:hint="eastAsia"/>
          <w:sz w:val="24"/>
        </w:rPr>
        <w:t xml:space="preserve"> </w:t>
      </w:r>
    </w:p>
    <w:p w14:paraId="4799F1D0" w14:textId="77777777" w:rsidR="006D73E5" w:rsidRDefault="00000000">
      <w:pPr>
        <w:spacing w:line="360" w:lineRule="auto"/>
        <w:ind w:firstLineChars="200" w:firstLine="480"/>
        <w:rPr>
          <w:sz w:val="24"/>
        </w:rPr>
      </w:pPr>
      <w:r>
        <w:rPr>
          <w:rFonts w:hint="eastAsia"/>
          <w:sz w:val="24"/>
        </w:rPr>
        <w:t>试验鲤购自辽宁省丹东市当地养殖场，在</w:t>
      </w:r>
      <w:r>
        <w:rPr>
          <w:rFonts w:hint="eastAsia"/>
          <w:sz w:val="24"/>
        </w:rPr>
        <w:t>4.3 m</w:t>
      </w:r>
      <w:r>
        <w:rPr>
          <w:rFonts w:hint="eastAsia"/>
          <w:sz w:val="24"/>
        </w:rPr>
        <w:t>×</w:t>
      </w:r>
      <w:r>
        <w:rPr>
          <w:rFonts w:hint="eastAsia"/>
          <w:sz w:val="24"/>
        </w:rPr>
        <w:t>1.5 m</w:t>
      </w:r>
      <w:r>
        <w:rPr>
          <w:rFonts w:hint="eastAsia"/>
          <w:sz w:val="24"/>
        </w:rPr>
        <w:t>×</w:t>
      </w:r>
      <w:r>
        <w:rPr>
          <w:rFonts w:hint="eastAsia"/>
          <w:sz w:val="24"/>
        </w:rPr>
        <w:t>1.3 m</w:t>
      </w:r>
      <w:r>
        <w:rPr>
          <w:rFonts w:hint="eastAsia"/>
          <w:sz w:val="24"/>
        </w:rPr>
        <w:t>的水泥池中暂养</w:t>
      </w:r>
      <w:r>
        <w:rPr>
          <w:rFonts w:hint="eastAsia"/>
          <w:sz w:val="24"/>
        </w:rPr>
        <w:t>2</w:t>
      </w:r>
      <w:r>
        <w:rPr>
          <w:rFonts w:hint="eastAsia"/>
          <w:sz w:val="24"/>
        </w:rPr>
        <w:t>周以</w:t>
      </w:r>
      <w:r>
        <w:rPr>
          <w:rFonts w:hint="eastAsia"/>
          <w:sz w:val="24"/>
        </w:rPr>
        <w:lastRenderedPageBreak/>
        <w:t>适应试验环境，期间投喂对照组饵料。正式养殖试验在大连海洋大学的辽宁省北方鱼类生物学及增养殖学重点实验室中进行，采用网箱养殖。选取初重（</w:t>
      </w:r>
      <w:r>
        <w:rPr>
          <w:rFonts w:hint="eastAsia"/>
          <w:sz w:val="24"/>
        </w:rPr>
        <w:t>55.54</w:t>
      </w:r>
      <w:r>
        <w:rPr>
          <w:rFonts w:hint="eastAsia"/>
          <w:sz w:val="24"/>
        </w:rPr>
        <w:t>±</w:t>
      </w:r>
      <w:r>
        <w:rPr>
          <w:rFonts w:hint="eastAsia"/>
          <w:sz w:val="24"/>
        </w:rPr>
        <w:t>0.20</w:t>
      </w:r>
      <w:r>
        <w:rPr>
          <w:rFonts w:hint="eastAsia"/>
          <w:sz w:val="24"/>
        </w:rPr>
        <w:t>）</w:t>
      </w:r>
      <w:r>
        <w:rPr>
          <w:rFonts w:hint="eastAsia"/>
          <w:sz w:val="24"/>
        </w:rPr>
        <w:t>g</w:t>
      </w:r>
      <w:r>
        <w:rPr>
          <w:rFonts w:hint="eastAsia"/>
          <w:sz w:val="24"/>
        </w:rPr>
        <w:t>的鲤</w:t>
      </w:r>
      <w:r>
        <w:rPr>
          <w:rFonts w:hint="eastAsia"/>
          <w:sz w:val="24"/>
        </w:rPr>
        <w:t>150</w:t>
      </w:r>
      <w:r>
        <w:rPr>
          <w:rFonts w:hint="eastAsia"/>
          <w:sz w:val="24"/>
        </w:rPr>
        <w:t>尾，随机分为</w:t>
      </w:r>
      <w:r>
        <w:rPr>
          <w:rFonts w:hint="eastAsia"/>
          <w:sz w:val="24"/>
        </w:rPr>
        <w:t>5</w:t>
      </w:r>
      <w:r>
        <w:rPr>
          <w:rFonts w:hint="eastAsia"/>
          <w:sz w:val="24"/>
        </w:rPr>
        <w:t>组，每组</w:t>
      </w:r>
      <w:r>
        <w:rPr>
          <w:rFonts w:hint="eastAsia"/>
          <w:sz w:val="24"/>
        </w:rPr>
        <w:t>3</w:t>
      </w:r>
      <w:r>
        <w:rPr>
          <w:rFonts w:hint="eastAsia"/>
          <w:sz w:val="24"/>
        </w:rPr>
        <w:t>个重复，每个重复</w:t>
      </w:r>
      <w:r>
        <w:rPr>
          <w:rFonts w:hint="eastAsia"/>
          <w:sz w:val="24"/>
        </w:rPr>
        <w:t>10</w:t>
      </w:r>
      <w:r>
        <w:rPr>
          <w:rFonts w:hint="eastAsia"/>
          <w:sz w:val="24"/>
        </w:rPr>
        <w:t>尾，置于</w:t>
      </w:r>
      <w:r>
        <w:rPr>
          <w:rFonts w:hint="eastAsia"/>
          <w:sz w:val="24"/>
        </w:rPr>
        <w:t>15</w:t>
      </w:r>
      <w:r>
        <w:rPr>
          <w:rFonts w:hint="eastAsia"/>
          <w:sz w:val="24"/>
        </w:rPr>
        <w:t>个</w:t>
      </w:r>
      <w:r>
        <w:rPr>
          <w:rFonts w:hint="eastAsia"/>
          <w:sz w:val="24"/>
        </w:rPr>
        <w:t>1.3 m</w:t>
      </w:r>
      <w:r>
        <w:rPr>
          <w:rFonts w:hint="eastAsia"/>
          <w:sz w:val="24"/>
        </w:rPr>
        <w:t>×</w:t>
      </w:r>
      <w:r>
        <w:rPr>
          <w:rFonts w:hint="eastAsia"/>
          <w:sz w:val="24"/>
        </w:rPr>
        <w:t>0.8 m</w:t>
      </w:r>
      <w:r>
        <w:rPr>
          <w:rFonts w:hint="eastAsia"/>
          <w:sz w:val="24"/>
        </w:rPr>
        <w:t>×</w:t>
      </w:r>
      <w:r>
        <w:rPr>
          <w:rFonts w:hint="eastAsia"/>
          <w:sz w:val="24"/>
        </w:rPr>
        <w:t>0.7 m</w:t>
      </w:r>
      <w:r>
        <w:rPr>
          <w:rFonts w:hint="eastAsia"/>
          <w:sz w:val="24"/>
        </w:rPr>
        <w:t>的聚乙烯网箱中。养殖</w:t>
      </w:r>
      <w:r>
        <w:rPr>
          <w:rFonts w:hint="eastAsia"/>
          <w:sz w:val="24"/>
        </w:rPr>
        <w:t>8 w</w:t>
      </w:r>
      <w:r>
        <w:rPr>
          <w:rFonts w:hint="eastAsia"/>
          <w:sz w:val="24"/>
        </w:rPr>
        <w:t>（</w:t>
      </w:r>
      <w:r>
        <w:rPr>
          <w:rFonts w:hint="eastAsia"/>
          <w:sz w:val="24"/>
        </w:rPr>
        <w:t>2021</w:t>
      </w:r>
      <w:r>
        <w:rPr>
          <w:rFonts w:hint="eastAsia"/>
          <w:sz w:val="24"/>
        </w:rPr>
        <w:t>年</w:t>
      </w:r>
      <w:r>
        <w:rPr>
          <w:rFonts w:hint="eastAsia"/>
          <w:sz w:val="24"/>
        </w:rPr>
        <w:t>6</w:t>
      </w:r>
      <w:r>
        <w:rPr>
          <w:rFonts w:hint="eastAsia"/>
          <w:sz w:val="24"/>
        </w:rPr>
        <w:t>月</w:t>
      </w:r>
      <w:r>
        <w:rPr>
          <w:rFonts w:hint="eastAsia"/>
          <w:sz w:val="24"/>
        </w:rPr>
        <w:t>19</w:t>
      </w:r>
      <w:r>
        <w:rPr>
          <w:rFonts w:hint="eastAsia"/>
          <w:sz w:val="24"/>
        </w:rPr>
        <w:t>日—</w:t>
      </w:r>
      <w:r>
        <w:rPr>
          <w:rFonts w:hint="eastAsia"/>
          <w:sz w:val="24"/>
        </w:rPr>
        <w:t>2021</w:t>
      </w:r>
      <w:r>
        <w:rPr>
          <w:rFonts w:hint="eastAsia"/>
          <w:sz w:val="24"/>
        </w:rPr>
        <w:t>年</w:t>
      </w:r>
      <w:r>
        <w:rPr>
          <w:rFonts w:hint="eastAsia"/>
          <w:sz w:val="24"/>
        </w:rPr>
        <w:t>8</w:t>
      </w:r>
      <w:r>
        <w:rPr>
          <w:rFonts w:hint="eastAsia"/>
          <w:sz w:val="24"/>
        </w:rPr>
        <w:t>月</w:t>
      </w:r>
      <w:r>
        <w:rPr>
          <w:rFonts w:hint="eastAsia"/>
          <w:sz w:val="24"/>
        </w:rPr>
        <w:t>14</w:t>
      </w:r>
      <w:r>
        <w:rPr>
          <w:rFonts w:hint="eastAsia"/>
          <w:sz w:val="24"/>
        </w:rPr>
        <w:t>日）。</w:t>
      </w:r>
    </w:p>
    <w:p w14:paraId="77DE88CF" w14:textId="77777777" w:rsidR="006D73E5" w:rsidRDefault="00000000">
      <w:pPr>
        <w:spacing w:line="360" w:lineRule="auto"/>
        <w:ind w:firstLineChars="200" w:firstLine="480"/>
        <w:rPr>
          <w:sz w:val="24"/>
        </w:rPr>
      </w:pPr>
      <w:r>
        <w:rPr>
          <w:rFonts w:hint="eastAsia"/>
          <w:sz w:val="24"/>
        </w:rPr>
        <w:t>每日投喂</w:t>
      </w:r>
      <w:r>
        <w:rPr>
          <w:rFonts w:hint="eastAsia"/>
          <w:sz w:val="24"/>
        </w:rPr>
        <w:t>2</w:t>
      </w:r>
      <w:r>
        <w:rPr>
          <w:rFonts w:hint="eastAsia"/>
          <w:sz w:val="24"/>
        </w:rPr>
        <w:t>次（</w:t>
      </w:r>
      <w:r>
        <w:rPr>
          <w:rFonts w:hint="eastAsia"/>
          <w:sz w:val="24"/>
        </w:rPr>
        <w:t>9</w:t>
      </w:r>
      <w:r>
        <w:rPr>
          <w:rFonts w:hint="eastAsia"/>
          <w:sz w:val="24"/>
        </w:rPr>
        <w:t>：</w:t>
      </w:r>
      <w:r>
        <w:rPr>
          <w:rFonts w:hint="eastAsia"/>
          <w:sz w:val="24"/>
        </w:rPr>
        <w:t>00</w:t>
      </w:r>
      <w:r>
        <w:rPr>
          <w:rFonts w:hint="eastAsia"/>
          <w:sz w:val="24"/>
        </w:rPr>
        <w:t>，</w:t>
      </w:r>
      <w:r>
        <w:rPr>
          <w:rFonts w:hint="eastAsia"/>
          <w:sz w:val="24"/>
        </w:rPr>
        <w:t>17</w:t>
      </w:r>
      <w:r>
        <w:rPr>
          <w:rFonts w:hint="eastAsia"/>
          <w:sz w:val="24"/>
        </w:rPr>
        <w:t>：</w:t>
      </w:r>
      <w:r>
        <w:rPr>
          <w:rFonts w:hint="eastAsia"/>
          <w:sz w:val="24"/>
        </w:rPr>
        <w:t>00</w:t>
      </w:r>
      <w:r>
        <w:rPr>
          <w:rFonts w:hint="eastAsia"/>
          <w:sz w:val="24"/>
        </w:rPr>
        <w:t>）表观饱食，每日吸底</w:t>
      </w:r>
      <w:r>
        <w:rPr>
          <w:rFonts w:hint="eastAsia"/>
          <w:sz w:val="24"/>
        </w:rPr>
        <w:t>1</w:t>
      </w:r>
      <w:r>
        <w:rPr>
          <w:rFonts w:hint="eastAsia"/>
          <w:sz w:val="24"/>
        </w:rPr>
        <w:t>次、换水</w:t>
      </w:r>
      <w:r>
        <w:rPr>
          <w:rFonts w:hint="eastAsia"/>
          <w:sz w:val="24"/>
        </w:rPr>
        <w:t>1</w:t>
      </w:r>
      <w:r>
        <w:rPr>
          <w:rFonts w:hint="eastAsia"/>
          <w:sz w:val="24"/>
        </w:rPr>
        <w:t>次，换水量约为</w:t>
      </w:r>
      <w:r>
        <w:rPr>
          <w:rFonts w:hint="eastAsia"/>
          <w:sz w:val="24"/>
        </w:rPr>
        <w:t>1/5</w:t>
      </w:r>
      <w:r>
        <w:rPr>
          <w:rFonts w:hint="eastAsia"/>
          <w:sz w:val="24"/>
        </w:rPr>
        <w:t>。试验水体为曝气</w:t>
      </w:r>
      <w:r>
        <w:rPr>
          <w:rFonts w:hint="eastAsia"/>
          <w:sz w:val="24"/>
        </w:rPr>
        <w:t>24h</w:t>
      </w:r>
      <w:r>
        <w:rPr>
          <w:rFonts w:hint="eastAsia"/>
          <w:sz w:val="24"/>
        </w:rPr>
        <w:t>以上的自来水，试验期间采用自然光照，水体温度为（</w:t>
      </w:r>
      <w:r>
        <w:rPr>
          <w:rFonts w:hint="eastAsia"/>
          <w:sz w:val="24"/>
        </w:rPr>
        <w:t>27.0</w:t>
      </w:r>
      <w:r>
        <w:rPr>
          <w:rFonts w:hint="eastAsia"/>
          <w:sz w:val="24"/>
        </w:rPr>
        <w:t>±</w:t>
      </w:r>
      <w:r>
        <w:rPr>
          <w:rFonts w:hint="eastAsia"/>
          <w:sz w:val="24"/>
        </w:rPr>
        <w:t>1.0</w:t>
      </w:r>
      <w:r>
        <w:rPr>
          <w:rFonts w:hint="eastAsia"/>
          <w:sz w:val="24"/>
        </w:rPr>
        <w:t>）℃，溶氧为（</w:t>
      </w:r>
      <w:r>
        <w:rPr>
          <w:rFonts w:hint="eastAsia"/>
          <w:sz w:val="24"/>
        </w:rPr>
        <w:t>7.0</w:t>
      </w:r>
      <w:r>
        <w:rPr>
          <w:rFonts w:hint="eastAsia"/>
          <w:sz w:val="24"/>
        </w:rPr>
        <w:t>±</w:t>
      </w:r>
      <w:r>
        <w:rPr>
          <w:rFonts w:hint="eastAsia"/>
          <w:sz w:val="24"/>
        </w:rPr>
        <w:t>0.5</w:t>
      </w:r>
      <w:r>
        <w:rPr>
          <w:rFonts w:hint="eastAsia"/>
          <w:sz w:val="24"/>
        </w:rPr>
        <w:t>）</w:t>
      </w:r>
      <w:r>
        <w:rPr>
          <w:rFonts w:hint="eastAsia"/>
          <w:sz w:val="24"/>
        </w:rPr>
        <w:t>mg/L</w:t>
      </w:r>
      <w:r>
        <w:rPr>
          <w:rFonts w:hint="eastAsia"/>
          <w:sz w:val="24"/>
        </w:rPr>
        <w:t>，</w:t>
      </w:r>
      <w:r>
        <w:rPr>
          <w:rFonts w:hint="eastAsia"/>
          <w:sz w:val="24"/>
        </w:rPr>
        <w:t>pH</w:t>
      </w:r>
      <w:r>
        <w:rPr>
          <w:rFonts w:hint="eastAsia"/>
          <w:sz w:val="24"/>
        </w:rPr>
        <w:t>值为（</w:t>
      </w:r>
      <w:r>
        <w:rPr>
          <w:rFonts w:hint="eastAsia"/>
          <w:sz w:val="24"/>
        </w:rPr>
        <w:t>7.6</w:t>
      </w:r>
      <w:r>
        <w:rPr>
          <w:rFonts w:hint="eastAsia"/>
          <w:sz w:val="24"/>
        </w:rPr>
        <w:t>±</w:t>
      </w:r>
      <w:r>
        <w:rPr>
          <w:rFonts w:hint="eastAsia"/>
          <w:sz w:val="24"/>
        </w:rPr>
        <w:t>0.5</w:t>
      </w:r>
      <w:r>
        <w:rPr>
          <w:rFonts w:hint="eastAsia"/>
          <w:sz w:val="24"/>
        </w:rPr>
        <w:t>）。</w:t>
      </w:r>
    </w:p>
    <w:p w14:paraId="2F335BA5" w14:textId="77777777" w:rsidR="006D73E5" w:rsidRDefault="00000000">
      <w:pPr>
        <w:spacing w:line="360" w:lineRule="auto"/>
        <w:rPr>
          <w:sz w:val="24"/>
        </w:rPr>
      </w:pPr>
      <w:r>
        <w:rPr>
          <w:rFonts w:hint="eastAsia"/>
          <w:sz w:val="24"/>
        </w:rPr>
        <w:t xml:space="preserve">1.2  </w:t>
      </w:r>
      <w:r>
        <w:rPr>
          <w:rFonts w:hint="eastAsia"/>
          <w:sz w:val="24"/>
        </w:rPr>
        <w:t>试验饵料</w:t>
      </w:r>
      <w:r>
        <w:rPr>
          <w:rFonts w:hint="eastAsia"/>
          <w:sz w:val="24"/>
        </w:rPr>
        <w:t xml:space="preserve"> </w:t>
      </w:r>
    </w:p>
    <w:p w14:paraId="604F98E3" w14:textId="77777777" w:rsidR="006D73E5" w:rsidRDefault="00000000">
      <w:pPr>
        <w:spacing w:line="360" w:lineRule="auto"/>
        <w:ind w:firstLineChars="200" w:firstLine="480"/>
        <w:rPr>
          <w:sz w:val="24"/>
        </w:rPr>
      </w:pPr>
      <w:r>
        <w:rPr>
          <w:rFonts w:hint="eastAsia"/>
          <w:sz w:val="24"/>
        </w:rPr>
        <w:t>试验用鸡肠粉由辽宁省鞍山裕丰饲料有限公司提供，其他原料均购自大连当地市场。鸡肠粉和鱼粉的营养水平及氨基酸组成见表</w:t>
      </w:r>
      <w:r>
        <w:rPr>
          <w:rFonts w:hint="eastAsia"/>
          <w:sz w:val="24"/>
        </w:rPr>
        <w:t>1</w:t>
      </w:r>
      <w:r>
        <w:rPr>
          <w:rFonts w:hint="eastAsia"/>
          <w:sz w:val="24"/>
        </w:rPr>
        <w:t>。</w:t>
      </w:r>
    </w:p>
    <w:p w14:paraId="68A93566" w14:textId="77777777" w:rsidR="006D73E5" w:rsidRDefault="00000000">
      <w:pPr>
        <w:spacing w:line="360" w:lineRule="auto"/>
        <w:jc w:val="center"/>
        <w:rPr>
          <w:sz w:val="24"/>
        </w:rPr>
      </w:pPr>
      <w:r>
        <w:rPr>
          <w:rFonts w:hint="eastAsia"/>
          <w:noProof/>
          <w:sz w:val="24"/>
        </w:rPr>
        <w:drawing>
          <wp:inline distT="0" distB="0" distL="114300" distR="114300" wp14:anchorId="4775BD81" wp14:editId="0AF3CEA4">
            <wp:extent cx="2799080" cy="4389120"/>
            <wp:effectExtent l="0" t="0" r="127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52"/>
                    <a:stretch>
                      <a:fillRect/>
                    </a:stretch>
                  </pic:blipFill>
                  <pic:spPr>
                    <a:xfrm>
                      <a:off x="0" y="0"/>
                      <a:ext cx="2803612" cy="4396027"/>
                    </a:xfrm>
                    <a:prstGeom prst="rect">
                      <a:avLst/>
                    </a:prstGeom>
                    <a:noFill/>
                    <a:ln>
                      <a:noFill/>
                    </a:ln>
                  </pic:spPr>
                </pic:pic>
              </a:graphicData>
            </a:graphic>
          </wp:inline>
        </w:drawing>
      </w:r>
    </w:p>
    <w:p w14:paraId="3E726A57" w14:textId="77777777" w:rsidR="006D73E5" w:rsidRDefault="00000000">
      <w:pPr>
        <w:spacing w:line="360" w:lineRule="auto"/>
        <w:ind w:firstLineChars="200" w:firstLine="480"/>
        <w:rPr>
          <w:sz w:val="24"/>
        </w:rPr>
      </w:pPr>
      <w:r>
        <w:rPr>
          <w:rFonts w:hint="eastAsia"/>
          <w:sz w:val="24"/>
        </w:rPr>
        <w:t>以鸡肠粉、豆粕等为主要蛋白源，以豆油为主要脂肪源配制</w:t>
      </w:r>
      <w:r>
        <w:rPr>
          <w:rFonts w:hint="eastAsia"/>
          <w:sz w:val="24"/>
        </w:rPr>
        <w:t>5</w:t>
      </w:r>
      <w:r>
        <w:rPr>
          <w:rFonts w:hint="eastAsia"/>
          <w:sz w:val="24"/>
        </w:rPr>
        <w:t>组等氮等脂饵料。参考鲤的营养需求</w:t>
      </w:r>
      <w:r>
        <w:rPr>
          <w:rFonts w:hint="eastAsia"/>
          <w:sz w:val="24"/>
          <w:vertAlign w:val="superscript"/>
        </w:rPr>
        <w:t>[9]</w:t>
      </w:r>
      <w:r>
        <w:rPr>
          <w:rFonts w:hint="eastAsia"/>
          <w:sz w:val="24"/>
        </w:rPr>
        <w:t>和原料中蛋氨酸和赖氨酸含量，确定蛋氨酸与赖氨酸比值为</w:t>
      </w:r>
      <w:r>
        <w:rPr>
          <w:rFonts w:hint="eastAsia"/>
          <w:sz w:val="24"/>
        </w:rPr>
        <w:t>0.318</w:t>
      </w:r>
      <w:r>
        <w:rPr>
          <w:rFonts w:hint="eastAsia"/>
          <w:sz w:val="24"/>
        </w:rPr>
        <w:t>，配制限制性氨基酸，限制性氨基酸添加量分别为</w:t>
      </w:r>
      <w:r>
        <w:rPr>
          <w:rFonts w:hint="eastAsia"/>
          <w:sz w:val="24"/>
        </w:rPr>
        <w:t>0</w:t>
      </w:r>
      <w:r>
        <w:rPr>
          <w:rFonts w:hint="eastAsia"/>
          <w:sz w:val="24"/>
        </w:rPr>
        <w:t>（</w:t>
      </w:r>
      <w:r>
        <w:rPr>
          <w:rFonts w:hint="eastAsia"/>
          <w:sz w:val="24"/>
        </w:rPr>
        <w:t>G1</w:t>
      </w:r>
      <w:r>
        <w:rPr>
          <w:rFonts w:hint="eastAsia"/>
          <w:sz w:val="24"/>
        </w:rPr>
        <w:t>组，即对照组）、</w:t>
      </w:r>
      <w:r>
        <w:rPr>
          <w:rFonts w:hint="eastAsia"/>
          <w:sz w:val="24"/>
        </w:rPr>
        <w:t>0.5 %</w:t>
      </w:r>
      <w:r>
        <w:rPr>
          <w:rFonts w:hint="eastAsia"/>
          <w:sz w:val="24"/>
        </w:rPr>
        <w:t>（</w:t>
      </w:r>
      <w:r>
        <w:rPr>
          <w:rFonts w:hint="eastAsia"/>
          <w:sz w:val="24"/>
        </w:rPr>
        <w:t>G2</w:t>
      </w:r>
      <w:r>
        <w:rPr>
          <w:rFonts w:hint="eastAsia"/>
          <w:sz w:val="24"/>
        </w:rPr>
        <w:t>组）、</w:t>
      </w:r>
      <w:r>
        <w:rPr>
          <w:rFonts w:hint="eastAsia"/>
          <w:sz w:val="24"/>
        </w:rPr>
        <w:t>1.0 %</w:t>
      </w:r>
      <w:r>
        <w:rPr>
          <w:rFonts w:hint="eastAsia"/>
          <w:sz w:val="24"/>
        </w:rPr>
        <w:t>（</w:t>
      </w:r>
      <w:r>
        <w:rPr>
          <w:rFonts w:hint="eastAsia"/>
          <w:sz w:val="24"/>
        </w:rPr>
        <w:t>G3</w:t>
      </w:r>
      <w:r>
        <w:rPr>
          <w:rFonts w:hint="eastAsia"/>
          <w:sz w:val="24"/>
        </w:rPr>
        <w:t>组）、</w:t>
      </w:r>
      <w:r>
        <w:rPr>
          <w:rFonts w:hint="eastAsia"/>
          <w:sz w:val="24"/>
        </w:rPr>
        <w:t>1.5 %</w:t>
      </w:r>
      <w:r>
        <w:rPr>
          <w:rFonts w:hint="eastAsia"/>
          <w:sz w:val="24"/>
        </w:rPr>
        <w:t>（</w:t>
      </w:r>
      <w:r>
        <w:rPr>
          <w:rFonts w:hint="eastAsia"/>
          <w:sz w:val="24"/>
        </w:rPr>
        <w:t>G4</w:t>
      </w:r>
      <w:r>
        <w:rPr>
          <w:rFonts w:hint="eastAsia"/>
          <w:sz w:val="24"/>
        </w:rPr>
        <w:t>组）、</w:t>
      </w:r>
      <w:r>
        <w:rPr>
          <w:rFonts w:hint="eastAsia"/>
          <w:sz w:val="24"/>
        </w:rPr>
        <w:t>2.0 %</w:t>
      </w:r>
      <w:r>
        <w:rPr>
          <w:rFonts w:hint="eastAsia"/>
          <w:sz w:val="24"/>
        </w:rPr>
        <w:t>（</w:t>
      </w:r>
      <w:r>
        <w:rPr>
          <w:rFonts w:hint="eastAsia"/>
          <w:sz w:val="24"/>
        </w:rPr>
        <w:t>G5</w:t>
      </w:r>
      <w:r>
        <w:rPr>
          <w:rFonts w:hint="eastAsia"/>
          <w:sz w:val="24"/>
        </w:rPr>
        <w:t>组）。试验饵料组成及营养水平见表</w:t>
      </w:r>
      <w:r>
        <w:rPr>
          <w:rFonts w:hint="eastAsia"/>
          <w:sz w:val="24"/>
        </w:rPr>
        <w:t>2</w:t>
      </w:r>
      <w:r>
        <w:rPr>
          <w:rFonts w:hint="eastAsia"/>
          <w:sz w:val="24"/>
        </w:rPr>
        <w:t>，维生素预</w:t>
      </w:r>
      <w:r>
        <w:rPr>
          <w:rFonts w:hint="eastAsia"/>
          <w:sz w:val="24"/>
        </w:rPr>
        <w:lastRenderedPageBreak/>
        <w:t>混料和矿物质预混料配方参照石立冬等</w:t>
      </w:r>
      <w:r>
        <w:rPr>
          <w:rFonts w:hint="eastAsia"/>
          <w:sz w:val="24"/>
          <w:vertAlign w:val="superscript"/>
        </w:rPr>
        <w:t>[10]</w:t>
      </w:r>
      <w:r>
        <w:rPr>
          <w:rFonts w:hint="eastAsia"/>
          <w:sz w:val="24"/>
        </w:rPr>
        <w:t>研究结果进行配制，饵料原料过</w:t>
      </w:r>
      <w:r>
        <w:rPr>
          <w:rFonts w:hint="eastAsia"/>
          <w:sz w:val="24"/>
        </w:rPr>
        <w:t>60</w:t>
      </w:r>
      <w:r>
        <w:rPr>
          <w:rFonts w:hint="eastAsia"/>
          <w:sz w:val="24"/>
        </w:rPr>
        <w:t>目筛，混匀加水搅拌，制粒机挤压成</w:t>
      </w:r>
      <w:r>
        <w:rPr>
          <w:rFonts w:hint="eastAsia"/>
          <w:sz w:val="24"/>
        </w:rPr>
        <w:t>2 mm</w:t>
      </w:r>
      <w:r>
        <w:rPr>
          <w:rFonts w:hint="eastAsia"/>
          <w:sz w:val="24"/>
        </w:rPr>
        <w:t>的颗粒饵料，放入托盘，</w:t>
      </w:r>
      <w:r>
        <w:rPr>
          <w:rFonts w:hint="eastAsia"/>
          <w:sz w:val="24"/>
        </w:rPr>
        <w:t xml:space="preserve">40 </w:t>
      </w:r>
      <w:r>
        <w:rPr>
          <w:rFonts w:hint="eastAsia"/>
          <w:sz w:val="24"/>
        </w:rPr>
        <w:t>℃烘干至水分含量约</w:t>
      </w:r>
      <w:r>
        <w:rPr>
          <w:rFonts w:hint="eastAsia"/>
          <w:sz w:val="24"/>
        </w:rPr>
        <w:t>10 %</w:t>
      </w:r>
      <w:r>
        <w:rPr>
          <w:rFonts w:hint="eastAsia"/>
          <w:sz w:val="24"/>
        </w:rPr>
        <w:t>，密封于</w:t>
      </w:r>
      <w:r>
        <w:rPr>
          <w:rFonts w:hint="eastAsia"/>
          <w:sz w:val="24"/>
        </w:rPr>
        <w:t xml:space="preserve">-20 </w:t>
      </w:r>
      <w:r>
        <w:rPr>
          <w:rFonts w:hint="eastAsia"/>
          <w:sz w:val="24"/>
        </w:rPr>
        <w:t>℃冰箱中保存。</w:t>
      </w:r>
    </w:p>
    <w:p w14:paraId="46664EBE" w14:textId="77777777" w:rsidR="006D73E5" w:rsidRDefault="00000000">
      <w:pPr>
        <w:spacing w:line="360" w:lineRule="auto"/>
        <w:rPr>
          <w:sz w:val="24"/>
        </w:rPr>
      </w:pPr>
      <w:r>
        <w:rPr>
          <w:rFonts w:hint="eastAsia"/>
          <w:sz w:val="24"/>
        </w:rPr>
        <w:t xml:space="preserve">1.3  </w:t>
      </w:r>
      <w:r>
        <w:rPr>
          <w:rFonts w:hint="eastAsia"/>
          <w:sz w:val="24"/>
        </w:rPr>
        <w:t>样品采集</w:t>
      </w:r>
      <w:r>
        <w:rPr>
          <w:rFonts w:hint="eastAsia"/>
          <w:sz w:val="24"/>
        </w:rPr>
        <w:t xml:space="preserve"> </w:t>
      </w:r>
    </w:p>
    <w:p w14:paraId="5DE79F45" w14:textId="77777777" w:rsidR="006D73E5" w:rsidRDefault="00000000">
      <w:pPr>
        <w:spacing w:line="360" w:lineRule="auto"/>
        <w:ind w:firstLineChars="200" w:firstLine="480"/>
        <w:rPr>
          <w:sz w:val="24"/>
        </w:rPr>
      </w:pPr>
      <w:r>
        <w:rPr>
          <w:rFonts w:hint="eastAsia"/>
          <w:sz w:val="24"/>
        </w:rPr>
        <w:t>试验结束后，试验鱼停食</w:t>
      </w:r>
      <w:r>
        <w:rPr>
          <w:rFonts w:hint="eastAsia"/>
          <w:sz w:val="24"/>
        </w:rPr>
        <w:t>24 h</w:t>
      </w:r>
      <w:r>
        <w:rPr>
          <w:rFonts w:hint="eastAsia"/>
          <w:sz w:val="24"/>
        </w:rPr>
        <w:t>，使用</w:t>
      </w:r>
      <w:r>
        <w:rPr>
          <w:rFonts w:hint="eastAsia"/>
          <w:sz w:val="24"/>
        </w:rPr>
        <w:t>50 mg/L MS-222</w:t>
      </w:r>
      <w:r>
        <w:rPr>
          <w:rFonts w:hint="eastAsia"/>
          <w:sz w:val="24"/>
        </w:rPr>
        <w:t>溶液麻醉。每个网箱随机取</w:t>
      </w:r>
      <w:r>
        <w:rPr>
          <w:rFonts w:hint="eastAsia"/>
          <w:sz w:val="24"/>
        </w:rPr>
        <w:t>5</w:t>
      </w:r>
      <w:r>
        <w:rPr>
          <w:rFonts w:hint="eastAsia"/>
          <w:sz w:val="24"/>
        </w:rPr>
        <w:t>尾鱼，用于测定含肉率、肝体比和脏体比。每个网箱随机取</w:t>
      </w:r>
      <w:r>
        <w:rPr>
          <w:rFonts w:hint="eastAsia"/>
          <w:sz w:val="24"/>
        </w:rPr>
        <w:t>5</w:t>
      </w:r>
      <w:r>
        <w:rPr>
          <w:rFonts w:hint="eastAsia"/>
          <w:sz w:val="24"/>
        </w:rPr>
        <w:t>尾鱼，解剖鱼体，去皮取背部肌肉样品（侧线以上背鳍以下）。样品分为两部分，一部分鲜样剪切成</w:t>
      </w:r>
      <w:r>
        <w:rPr>
          <w:rFonts w:hint="eastAsia"/>
          <w:sz w:val="24"/>
        </w:rPr>
        <w:t>2 cm</w:t>
      </w:r>
      <w:r>
        <w:rPr>
          <w:rFonts w:hint="eastAsia"/>
          <w:sz w:val="24"/>
        </w:rPr>
        <w:t>×</w:t>
      </w:r>
      <w:r>
        <w:rPr>
          <w:rFonts w:hint="eastAsia"/>
          <w:sz w:val="24"/>
        </w:rPr>
        <w:t>1 cm</w:t>
      </w:r>
      <w:r>
        <w:rPr>
          <w:rFonts w:hint="eastAsia"/>
          <w:sz w:val="24"/>
        </w:rPr>
        <w:t>×</w:t>
      </w:r>
      <w:r>
        <w:rPr>
          <w:rFonts w:hint="eastAsia"/>
          <w:sz w:val="24"/>
        </w:rPr>
        <w:t>1 cm</w:t>
      </w:r>
      <w:r>
        <w:rPr>
          <w:rFonts w:hint="eastAsia"/>
          <w:sz w:val="24"/>
        </w:rPr>
        <w:t>小块，每尾鱼取</w:t>
      </w:r>
      <w:r>
        <w:rPr>
          <w:rFonts w:hint="eastAsia"/>
          <w:sz w:val="24"/>
        </w:rPr>
        <w:t>6</w:t>
      </w:r>
      <w:r>
        <w:rPr>
          <w:rFonts w:hint="eastAsia"/>
          <w:sz w:val="24"/>
        </w:rPr>
        <w:t>块以上的样品，用于肌肉质构特性的测定；剩余部分使用剪刀剪成肉糜状，用于肌肉的常规营养成分和氨基酸含量的测定。</w:t>
      </w:r>
    </w:p>
    <w:p w14:paraId="19D60883" w14:textId="77777777" w:rsidR="006D73E5" w:rsidRDefault="00000000">
      <w:pPr>
        <w:spacing w:line="360" w:lineRule="auto"/>
        <w:rPr>
          <w:sz w:val="24"/>
        </w:rPr>
      </w:pPr>
      <w:r>
        <w:rPr>
          <w:rFonts w:hint="eastAsia"/>
          <w:sz w:val="24"/>
        </w:rPr>
        <w:t xml:space="preserve">1.4  </w:t>
      </w:r>
      <w:r>
        <w:rPr>
          <w:rFonts w:hint="eastAsia"/>
          <w:sz w:val="24"/>
        </w:rPr>
        <w:t>测定指标及方法</w:t>
      </w:r>
      <w:r>
        <w:rPr>
          <w:rFonts w:hint="eastAsia"/>
          <w:sz w:val="24"/>
        </w:rPr>
        <w:t xml:space="preserve"> </w:t>
      </w:r>
    </w:p>
    <w:p w14:paraId="43115963" w14:textId="77777777" w:rsidR="006D73E5" w:rsidRDefault="00000000">
      <w:pPr>
        <w:spacing w:line="360" w:lineRule="auto"/>
        <w:jc w:val="center"/>
        <w:rPr>
          <w:sz w:val="24"/>
        </w:rPr>
      </w:pPr>
      <w:r>
        <w:rPr>
          <w:rFonts w:hint="eastAsia"/>
          <w:noProof/>
          <w:sz w:val="24"/>
        </w:rPr>
        <w:drawing>
          <wp:inline distT="0" distB="0" distL="114300" distR="114300" wp14:anchorId="464B15B6" wp14:editId="498CC06E">
            <wp:extent cx="3157855" cy="5801360"/>
            <wp:effectExtent l="0" t="0" r="4445" b="889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icPr>
                  <pic:blipFill>
                    <a:blip r:embed="rId53"/>
                    <a:stretch>
                      <a:fillRect/>
                    </a:stretch>
                  </pic:blipFill>
                  <pic:spPr>
                    <a:xfrm>
                      <a:off x="0" y="0"/>
                      <a:ext cx="3168837" cy="5821049"/>
                    </a:xfrm>
                    <a:prstGeom prst="rect">
                      <a:avLst/>
                    </a:prstGeom>
                    <a:noFill/>
                    <a:ln>
                      <a:noFill/>
                    </a:ln>
                  </pic:spPr>
                </pic:pic>
              </a:graphicData>
            </a:graphic>
          </wp:inline>
        </w:drawing>
      </w:r>
    </w:p>
    <w:p w14:paraId="0B9F15F7" w14:textId="77777777" w:rsidR="006D73E5" w:rsidRDefault="00000000">
      <w:pPr>
        <w:spacing w:line="360" w:lineRule="auto"/>
        <w:ind w:firstLineChars="200" w:firstLine="480"/>
        <w:rPr>
          <w:sz w:val="24"/>
        </w:rPr>
      </w:pPr>
      <w:r>
        <w:rPr>
          <w:rFonts w:hint="eastAsia"/>
          <w:sz w:val="24"/>
        </w:rPr>
        <w:lastRenderedPageBreak/>
        <w:t>含肉率的测定参照（</w:t>
      </w:r>
      <w:r>
        <w:rPr>
          <w:rFonts w:hint="eastAsia"/>
          <w:sz w:val="24"/>
        </w:rPr>
        <w:t>GB/T 18654.9</w:t>
      </w:r>
      <w:r>
        <w:rPr>
          <w:rFonts w:hint="eastAsia"/>
          <w:sz w:val="24"/>
        </w:rPr>
        <w:t>—</w:t>
      </w:r>
      <w:r>
        <w:rPr>
          <w:rFonts w:hint="eastAsia"/>
          <w:sz w:val="24"/>
        </w:rPr>
        <w:t>2008</w:t>
      </w:r>
      <w:r>
        <w:rPr>
          <w:rFonts w:hint="eastAsia"/>
          <w:sz w:val="24"/>
        </w:rPr>
        <w:t>）方法。肝体比、脏体比参照本实验室先前的研究方法进行测定</w:t>
      </w:r>
      <w:r>
        <w:rPr>
          <w:rFonts w:hint="eastAsia"/>
          <w:sz w:val="24"/>
          <w:vertAlign w:val="superscript"/>
        </w:rPr>
        <w:t>[4]</w:t>
      </w:r>
      <w:r>
        <w:rPr>
          <w:rFonts w:hint="eastAsia"/>
          <w:sz w:val="24"/>
        </w:rPr>
        <w:t>。测定饵料和肌肉中的水分、粗蛋白、粗脂肪和粗灰分含量参照本实验室先前的研究方法进行</w:t>
      </w:r>
      <w:r>
        <w:rPr>
          <w:rFonts w:hint="eastAsia"/>
          <w:sz w:val="24"/>
          <w:vertAlign w:val="superscript"/>
        </w:rPr>
        <w:t>[4]</w:t>
      </w:r>
      <w:r>
        <w:rPr>
          <w:rFonts w:hint="eastAsia"/>
          <w:sz w:val="24"/>
        </w:rPr>
        <w:t>。肌肉氨基酸组成测定的前处理参考（</w:t>
      </w:r>
      <w:r>
        <w:rPr>
          <w:rFonts w:hint="eastAsia"/>
          <w:sz w:val="24"/>
        </w:rPr>
        <w:t>GB 5009.124</w:t>
      </w:r>
      <w:r>
        <w:rPr>
          <w:rFonts w:hint="eastAsia"/>
          <w:sz w:val="24"/>
        </w:rPr>
        <w:t>—</w:t>
      </w:r>
      <w:r>
        <w:rPr>
          <w:rFonts w:hint="eastAsia"/>
          <w:sz w:val="24"/>
        </w:rPr>
        <w:t>2016</w:t>
      </w:r>
      <w:r>
        <w:rPr>
          <w:rFonts w:hint="eastAsia"/>
          <w:sz w:val="24"/>
        </w:rPr>
        <w:t>），使用全自动氨基酸分析仪（</w:t>
      </w:r>
      <w:r>
        <w:rPr>
          <w:rFonts w:hint="eastAsia"/>
          <w:sz w:val="24"/>
        </w:rPr>
        <w:t>L-8900</w:t>
      </w:r>
      <w:r>
        <w:rPr>
          <w:rFonts w:hint="eastAsia"/>
          <w:sz w:val="24"/>
        </w:rPr>
        <w:t>型，日立制作所）测定。根据联合国粮农组织</w:t>
      </w:r>
      <w:r>
        <w:rPr>
          <w:rFonts w:hint="eastAsia"/>
          <w:sz w:val="24"/>
        </w:rPr>
        <w:t>/</w:t>
      </w:r>
      <w:r>
        <w:rPr>
          <w:rFonts w:hint="eastAsia"/>
          <w:sz w:val="24"/>
        </w:rPr>
        <w:t>世界卫生组织（</w:t>
      </w:r>
      <w:r>
        <w:rPr>
          <w:rFonts w:hint="eastAsia"/>
          <w:sz w:val="24"/>
        </w:rPr>
        <w:t>FAO/WHO</w:t>
      </w:r>
      <w:r>
        <w:rPr>
          <w:rFonts w:hint="eastAsia"/>
          <w:sz w:val="24"/>
        </w:rPr>
        <w:t>，</w:t>
      </w:r>
      <w:r>
        <w:rPr>
          <w:rFonts w:hint="eastAsia"/>
          <w:sz w:val="24"/>
        </w:rPr>
        <w:t>1973</w:t>
      </w:r>
      <w:r>
        <w:rPr>
          <w:rFonts w:hint="eastAsia"/>
          <w:sz w:val="24"/>
        </w:rPr>
        <w:t>）建议的蛋白质评价的氨基酸标准模式对鲤肌肉氨基酸营养进行评价。评价内容包括氨基酸评分（</w:t>
      </w:r>
      <w:r>
        <w:rPr>
          <w:rFonts w:hint="eastAsia"/>
          <w:sz w:val="24"/>
        </w:rPr>
        <w:t>AAS</w:t>
      </w:r>
      <w:r>
        <w:rPr>
          <w:rFonts w:hint="eastAsia"/>
          <w:sz w:val="24"/>
        </w:rPr>
        <w:t>）、化学评分（</w:t>
      </w:r>
      <w:r>
        <w:rPr>
          <w:rFonts w:hint="eastAsia"/>
          <w:sz w:val="24"/>
        </w:rPr>
        <w:t>CS</w:t>
      </w:r>
      <w:r>
        <w:rPr>
          <w:rFonts w:hint="eastAsia"/>
          <w:sz w:val="24"/>
        </w:rPr>
        <w:t>）和必需氨基酸指数（</w:t>
      </w:r>
      <w:r>
        <w:rPr>
          <w:rFonts w:hint="eastAsia"/>
          <w:sz w:val="24"/>
        </w:rPr>
        <w:t>EAAI</w:t>
      </w:r>
      <w:r>
        <w:rPr>
          <w:rFonts w:hint="eastAsia"/>
          <w:sz w:val="24"/>
        </w:rPr>
        <w:t>），</w:t>
      </w:r>
      <w:r>
        <w:rPr>
          <w:rFonts w:hint="eastAsia"/>
          <w:sz w:val="24"/>
        </w:rPr>
        <w:t>AAS</w:t>
      </w:r>
      <w:r>
        <w:rPr>
          <w:rFonts w:hint="eastAsia"/>
          <w:sz w:val="24"/>
        </w:rPr>
        <w:t>、</w:t>
      </w:r>
      <w:r>
        <w:rPr>
          <w:rFonts w:hint="eastAsia"/>
          <w:sz w:val="24"/>
        </w:rPr>
        <w:t>CS</w:t>
      </w:r>
      <w:r>
        <w:rPr>
          <w:rFonts w:hint="eastAsia"/>
          <w:sz w:val="24"/>
        </w:rPr>
        <w:t>和</w:t>
      </w:r>
      <w:r>
        <w:rPr>
          <w:rFonts w:hint="eastAsia"/>
          <w:sz w:val="24"/>
        </w:rPr>
        <w:t>EAAI</w:t>
      </w:r>
      <w:r>
        <w:rPr>
          <w:rFonts w:hint="eastAsia"/>
          <w:sz w:val="24"/>
        </w:rPr>
        <w:t>计算方法参考杜强等</w:t>
      </w:r>
      <w:r>
        <w:rPr>
          <w:rFonts w:hint="eastAsia"/>
          <w:sz w:val="24"/>
          <w:vertAlign w:val="superscript"/>
        </w:rPr>
        <w:t>[11]</w:t>
      </w:r>
      <w:r>
        <w:rPr>
          <w:rFonts w:hint="eastAsia"/>
          <w:sz w:val="24"/>
        </w:rPr>
        <w:t>研究方法。</w:t>
      </w:r>
    </w:p>
    <w:p w14:paraId="711A66E4" w14:textId="77777777" w:rsidR="006D73E5" w:rsidRDefault="00000000">
      <w:pPr>
        <w:spacing w:line="360" w:lineRule="auto"/>
        <w:ind w:firstLineChars="200" w:firstLine="480"/>
        <w:rPr>
          <w:sz w:val="24"/>
        </w:rPr>
      </w:pPr>
      <w:r>
        <w:rPr>
          <w:rFonts w:hint="eastAsia"/>
          <w:sz w:val="24"/>
        </w:rPr>
        <w:t>肌肉</w:t>
      </w:r>
      <w:r>
        <w:rPr>
          <w:rFonts w:hint="eastAsia"/>
          <w:sz w:val="24"/>
        </w:rPr>
        <w:t>TPA</w:t>
      </w:r>
      <w:r>
        <w:rPr>
          <w:rFonts w:hint="eastAsia"/>
          <w:sz w:val="24"/>
        </w:rPr>
        <w:t>质构分析：取已切好的小块肌肉样品，置于</w:t>
      </w:r>
      <w:r>
        <w:rPr>
          <w:rFonts w:hint="eastAsia"/>
          <w:sz w:val="24"/>
        </w:rPr>
        <w:t>TPA</w:t>
      </w:r>
      <w:r>
        <w:rPr>
          <w:rFonts w:hint="eastAsia"/>
          <w:sz w:val="24"/>
        </w:rPr>
        <w:t>质构仪（</w:t>
      </w:r>
      <w:r>
        <w:rPr>
          <w:rFonts w:hint="eastAsia"/>
          <w:sz w:val="24"/>
        </w:rPr>
        <w:t>TA-XT2i</w:t>
      </w:r>
      <w:r>
        <w:rPr>
          <w:rFonts w:hint="eastAsia"/>
          <w:sz w:val="24"/>
        </w:rPr>
        <w:t>型），使用</w:t>
      </w:r>
      <w:r>
        <w:rPr>
          <w:rFonts w:hint="eastAsia"/>
          <w:sz w:val="24"/>
        </w:rPr>
        <w:t>P/36</w:t>
      </w:r>
      <w:r>
        <w:rPr>
          <w:rFonts w:hint="eastAsia"/>
          <w:sz w:val="24"/>
        </w:rPr>
        <w:t>型探头，测试前、测试时、测试后探头速度均为</w:t>
      </w:r>
      <w:r>
        <w:rPr>
          <w:rFonts w:hint="eastAsia"/>
          <w:sz w:val="24"/>
        </w:rPr>
        <w:t>60 mm/min</w:t>
      </w:r>
      <w:r>
        <w:rPr>
          <w:rFonts w:hint="eastAsia"/>
          <w:sz w:val="24"/>
        </w:rPr>
        <w:t>，测试间隔时间</w:t>
      </w:r>
      <w:r>
        <w:rPr>
          <w:rFonts w:hint="eastAsia"/>
          <w:sz w:val="24"/>
        </w:rPr>
        <w:t>5 s</w:t>
      </w:r>
      <w:r>
        <w:rPr>
          <w:rFonts w:hint="eastAsia"/>
          <w:sz w:val="24"/>
        </w:rPr>
        <w:t>，压缩程度</w:t>
      </w:r>
      <w:r>
        <w:rPr>
          <w:rFonts w:hint="eastAsia"/>
          <w:sz w:val="24"/>
        </w:rPr>
        <w:t>70 %</w:t>
      </w:r>
      <w:r>
        <w:rPr>
          <w:rFonts w:hint="eastAsia"/>
          <w:sz w:val="24"/>
        </w:rPr>
        <w:t>。</w:t>
      </w:r>
    </w:p>
    <w:p w14:paraId="1CEA2195" w14:textId="77777777" w:rsidR="006D73E5" w:rsidRDefault="00000000">
      <w:pPr>
        <w:spacing w:line="360" w:lineRule="auto"/>
        <w:ind w:firstLineChars="200" w:firstLine="480"/>
        <w:rPr>
          <w:sz w:val="24"/>
        </w:rPr>
      </w:pPr>
      <w:r>
        <w:rPr>
          <w:rFonts w:hint="eastAsia"/>
          <w:sz w:val="24"/>
        </w:rPr>
        <w:t>肌肉</w:t>
      </w:r>
      <w:r>
        <w:rPr>
          <w:rFonts w:hint="eastAsia"/>
          <w:sz w:val="24"/>
        </w:rPr>
        <w:t>TPA</w:t>
      </w:r>
      <w:r>
        <w:rPr>
          <w:rFonts w:hint="eastAsia"/>
          <w:sz w:val="24"/>
        </w:rPr>
        <w:t>质构分析：取已切好的小块肌肉样品，置于</w:t>
      </w:r>
      <w:r>
        <w:rPr>
          <w:rFonts w:hint="eastAsia"/>
          <w:sz w:val="24"/>
        </w:rPr>
        <w:t>TPA</w:t>
      </w:r>
      <w:r>
        <w:rPr>
          <w:rFonts w:hint="eastAsia"/>
          <w:sz w:val="24"/>
        </w:rPr>
        <w:t>质构仪（</w:t>
      </w:r>
      <w:r>
        <w:rPr>
          <w:rFonts w:hint="eastAsia"/>
          <w:sz w:val="24"/>
        </w:rPr>
        <w:t>TA-XT2i</w:t>
      </w:r>
      <w:r>
        <w:rPr>
          <w:rFonts w:hint="eastAsia"/>
          <w:sz w:val="24"/>
        </w:rPr>
        <w:t>型），使用</w:t>
      </w:r>
      <w:r>
        <w:rPr>
          <w:rFonts w:hint="eastAsia"/>
          <w:sz w:val="24"/>
        </w:rPr>
        <w:t>P/36</w:t>
      </w:r>
      <w:r>
        <w:rPr>
          <w:rFonts w:hint="eastAsia"/>
          <w:sz w:val="24"/>
        </w:rPr>
        <w:t>型探头，测试前、测试时、测试后探头速度均为</w:t>
      </w:r>
      <w:r>
        <w:rPr>
          <w:rFonts w:hint="eastAsia"/>
          <w:sz w:val="24"/>
        </w:rPr>
        <w:t>60 mm/min</w:t>
      </w:r>
      <w:r>
        <w:rPr>
          <w:rFonts w:hint="eastAsia"/>
          <w:sz w:val="24"/>
        </w:rPr>
        <w:t>，测试间隔时间</w:t>
      </w:r>
      <w:r>
        <w:rPr>
          <w:rFonts w:hint="eastAsia"/>
          <w:sz w:val="24"/>
        </w:rPr>
        <w:t>5 s</w:t>
      </w:r>
      <w:r>
        <w:rPr>
          <w:rFonts w:hint="eastAsia"/>
          <w:sz w:val="24"/>
        </w:rPr>
        <w:t>，压缩程度</w:t>
      </w:r>
      <w:r>
        <w:rPr>
          <w:rFonts w:hint="eastAsia"/>
          <w:sz w:val="24"/>
        </w:rPr>
        <w:t>70 %</w:t>
      </w:r>
      <w:r>
        <w:rPr>
          <w:rFonts w:hint="eastAsia"/>
          <w:sz w:val="24"/>
        </w:rPr>
        <w:t>。</w:t>
      </w:r>
    </w:p>
    <w:p w14:paraId="5D170235" w14:textId="77777777" w:rsidR="006D73E5" w:rsidRDefault="00000000">
      <w:pPr>
        <w:spacing w:line="360" w:lineRule="auto"/>
        <w:rPr>
          <w:sz w:val="24"/>
        </w:rPr>
      </w:pPr>
      <w:r>
        <w:rPr>
          <w:rFonts w:hint="eastAsia"/>
          <w:sz w:val="24"/>
        </w:rPr>
        <w:t xml:space="preserve">1.5  </w:t>
      </w:r>
      <w:r>
        <w:rPr>
          <w:rFonts w:hint="eastAsia"/>
          <w:sz w:val="24"/>
        </w:rPr>
        <w:t>数据处统计与分析</w:t>
      </w:r>
      <w:r>
        <w:rPr>
          <w:rFonts w:hint="eastAsia"/>
          <w:sz w:val="24"/>
        </w:rPr>
        <w:t xml:space="preserve"> </w:t>
      </w:r>
    </w:p>
    <w:p w14:paraId="56BC841E" w14:textId="77777777" w:rsidR="006D73E5" w:rsidRDefault="00000000">
      <w:pPr>
        <w:spacing w:line="360" w:lineRule="auto"/>
        <w:ind w:firstLineChars="200" w:firstLine="480"/>
        <w:rPr>
          <w:sz w:val="24"/>
        </w:rPr>
      </w:pPr>
      <w:r>
        <w:rPr>
          <w:rFonts w:hint="eastAsia"/>
          <w:sz w:val="24"/>
        </w:rPr>
        <w:t>数据采用</w:t>
      </w:r>
      <w:r>
        <w:rPr>
          <w:rFonts w:hint="eastAsia"/>
          <w:sz w:val="24"/>
        </w:rPr>
        <w:t>SPSS 25.0</w:t>
      </w:r>
      <w:r>
        <w:rPr>
          <w:rFonts w:hint="eastAsia"/>
          <w:sz w:val="24"/>
        </w:rPr>
        <w:t>软件进行单因素方差分析，</w:t>
      </w:r>
      <w:r>
        <w:rPr>
          <w:rFonts w:hint="eastAsia"/>
          <w:sz w:val="24"/>
        </w:rPr>
        <w:t>Duncan's</w:t>
      </w:r>
      <w:r>
        <w:rPr>
          <w:rFonts w:hint="eastAsia"/>
          <w:sz w:val="24"/>
        </w:rPr>
        <w:t>法进行多重比较。结果以“平均值±标准误”表示，</w:t>
      </w:r>
      <w:r>
        <w:rPr>
          <w:rFonts w:hint="eastAsia"/>
          <w:i/>
          <w:sz w:val="24"/>
        </w:rPr>
        <w:t>P</w:t>
      </w:r>
      <w:r>
        <w:rPr>
          <w:rFonts w:hint="eastAsia"/>
          <w:sz w:val="24"/>
        </w:rPr>
        <w:t>&lt;0.05</w:t>
      </w:r>
      <w:r>
        <w:rPr>
          <w:rFonts w:hint="eastAsia"/>
          <w:sz w:val="24"/>
        </w:rPr>
        <w:t>表示差异显著。</w:t>
      </w:r>
    </w:p>
    <w:p w14:paraId="19255D13" w14:textId="77777777" w:rsidR="006D73E5" w:rsidRDefault="00000000">
      <w:pPr>
        <w:spacing w:line="360" w:lineRule="auto"/>
        <w:rPr>
          <w:sz w:val="24"/>
        </w:rPr>
      </w:pPr>
      <w:r>
        <w:rPr>
          <w:rFonts w:hint="eastAsia"/>
          <w:sz w:val="24"/>
        </w:rPr>
        <w:t xml:space="preserve">2  </w:t>
      </w:r>
      <w:r>
        <w:rPr>
          <w:rFonts w:hint="eastAsia"/>
          <w:sz w:val="24"/>
        </w:rPr>
        <w:t>结果与分析</w:t>
      </w:r>
    </w:p>
    <w:p w14:paraId="49706424" w14:textId="77777777" w:rsidR="006D73E5" w:rsidRDefault="00000000">
      <w:pPr>
        <w:spacing w:line="360" w:lineRule="auto"/>
        <w:rPr>
          <w:sz w:val="24"/>
        </w:rPr>
      </w:pPr>
      <w:r>
        <w:rPr>
          <w:rFonts w:hint="eastAsia"/>
          <w:sz w:val="24"/>
        </w:rPr>
        <w:t xml:space="preserve">2.1  </w:t>
      </w:r>
      <w:r>
        <w:rPr>
          <w:rFonts w:hint="eastAsia"/>
          <w:sz w:val="24"/>
        </w:rPr>
        <w:t>无鱼粉饵料中补充限制性氨基酸对鲤含肉率和形态学相关指标的影响</w:t>
      </w:r>
      <w:r>
        <w:rPr>
          <w:rFonts w:hint="eastAsia"/>
          <w:sz w:val="24"/>
        </w:rPr>
        <w:t>2</w:t>
      </w:r>
      <w:r>
        <w:rPr>
          <w:rFonts w:hint="eastAsia"/>
          <w:sz w:val="24"/>
        </w:rPr>
        <w:t>（见表</w:t>
      </w:r>
      <w:r>
        <w:rPr>
          <w:rFonts w:hint="eastAsia"/>
          <w:sz w:val="24"/>
        </w:rPr>
        <w:t>3</w:t>
      </w:r>
      <w:r>
        <w:rPr>
          <w:rFonts w:hint="eastAsia"/>
          <w:sz w:val="24"/>
        </w:rPr>
        <w:t>）</w:t>
      </w:r>
    </w:p>
    <w:p w14:paraId="77BE826E" w14:textId="77777777" w:rsidR="006D73E5" w:rsidRDefault="00000000">
      <w:pPr>
        <w:spacing w:line="360" w:lineRule="auto"/>
        <w:ind w:firstLineChars="200" w:firstLine="480"/>
        <w:rPr>
          <w:sz w:val="24"/>
        </w:rPr>
      </w:pPr>
      <w:r>
        <w:rPr>
          <w:rFonts w:hint="eastAsia"/>
          <w:sz w:val="24"/>
        </w:rPr>
        <w:t>由表</w:t>
      </w:r>
      <w:r>
        <w:rPr>
          <w:rFonts w:hint="eastAsia"/>
          <w:sz w:val="24"/>
        </w:rPr>
        <w:t>3</w:t>
      </w:r>
      <w:r>
        <w:rPr>
          <w:rFonts w:hint="eastAsia"/>
          <w:sz w:val="24"/>
        </w:rPr>
        <w:t>可知，鲤的含肉率随着限制性氨基酸水平的增加而增加，</w:t>
      </w:r>
      <w:r>
        <w:rPr>
          <w:rFonts w:hint="eastAsia"/>
          <w:sz w:val="24"/>
        </w:rPr>
        <w:t>G4</w:t>
      </w:r>
      <w:r>
        <w:rPr>
          <w:rFonts w:hint="eastAsia"/>
          <w:sz w:val="24"/>
        </w:rPr>
        <w:t>组和</w:t>
      </w:r>
      <w:r>
        <w:rPr>
          <w:rFonts w:hint="eastAsia"/>
          <w:sz w:val="24"/>
        </w:rPr>
        <w:t>G5</w:t>
      </w:r>
      <w:r>
        <w:rPr>
          <w:rFonts w:hint="eastAsia"/>
          <w:sz w:val="24"/>
        </w:rPr>
        <w:t>组鲤的含肉率显著高于</w:t>
      </w:r>
      <w:r>
        <w:rPr>
          <w:rFonts w:hint="eastAsia"/>
          <w:sz w:val="24"/>
        </w:rPr>
        <w:t>G1</w:t>
      </w:r>
      <w:r>
        <w:rPr>
          <w:rFonts w:hint="eastAsia"/>
          <w:sz w:val="24"/>
        </w:rPr>
        <w:t>组、</w:t>
      </w:r>
      <w:r>
        <w:rPr>
          <w:rFonts w:hint="eastAsia"/>
          <w:sz w:val="24"/>
        </w:rPr>
        <w:t>G2</w:t>
      </w:r>
      <w:r>
        <w:rPr>
          <w:rFonts w:hint="eastAsia"/>
          <w:sz w:val="24"/>
        </w:rPr>
        <w:t>组和</w:t>
      </w:r>
      <w:r>
        <w:rPr>
          <w:rFonts w:hint="eastAsia"/>
          <w:sz w:val="24"/>
        </w:rPr>
        <w:t>G3</w:t>
      </w:r>
      <w:r>
        <w:rPr>
          <w:rFonts w:hint="eastAsia"/>
          <w:sz w:val="24"/>
        </w:rPr>
        <w:t>组（</w:t>
      </w:r>
      <w:r>
        <w:rPr>
          <w:rFonts w:hint="eastAsia"/>
          <w:i/>
          <w:sz w:val="24"/>
        </w:rPr>
        <w:t>P</w:t>
      </w:r>
      <w:r>
        <w:rPr>
          <w:rFonts w:hint="eastAsia"/>
          <w:sz w:val="24"/>
        </w:rPr>
        <w:t>&lt;0.05</w:t>
      </w:r>
      <w:r>
        <w:rPr>
          <w:rFonts w:hint="eastAsia"/>
          <w:sz w:val="24"/>
        </w:rPr>
        <w:t>）；</w:t>
      </w:r>
      <w:r>
        <w:rPr>
          <w:rFonts w:hint="eastAsia"/>
          <w:sz w:val="24"/>
        </w:rPr>
        <w:t>G4</w:t>
      </w:r>
      <w:r>
        <w:rPr>
          <w:rFonts w:hint="eastAsia"/>
          <w:sz w:val="24"/>
        </w:rPr>
        <w:t>组和</w:t>
      </w:r>
      <w:r>
        <w:rPr>
          <w:rFonts w:hint="eastAsia"/>
          <w:sz w:val="24"/>
        </w:rPr>
        <w:t>G5</w:t>
      </w:r>
      <w:r>
        <w:rPr>
          <w:rFonts w:hint="eastAsia"/>
          <w:sz w:val="24"/>
        </w:rPr>
        <w:t>组鲤的肝体比显著低于</w:t>
      </w:r>
      <w:r>
        <w:rPr>
          <w:rFonts w:hint="eastAsia"/>
          <w:sz w:val="24"/>
        </w:rPr>
        <w:t>G1</w:t>
      </w:r>
      <w:r>
        <w:rPr>
          <w:rFonts w:hint="eastAsia"/>
          <w:sz w:val="24"/>
        </w:rPr>
        <w:t>组和</w:t>
      </w:r>
      <w:r>
        <w:rPr>
          <w:rFonts w:hint="eastAsia"/>
          <w:sz w:val="24"/>
        </w:rPr>
        <w:t>G2</w:t>
      </w:r>
      <w:r>
        <w:rPr>
          <w:rFonts w:hint="eastAsia"/>
          <w:sz w:val="24"/>
        </w:rPr>
        <w:t>组（</w:t>
      </w:r>
      <w:r>
        <w:rPr>
          <w:rFonts w:hint="eastAsia"/>
          <w:i/>
          <w:sz w:val="24"/>
        </w:rPr>
        <w:t>P</w:t>
      </w:r>
      <w:r>
        <w:rPr>
          <w:rFonts w:hint="eastAsia"/>
          <w:sz w:val="24"/>
        </w:rPr>
        <w:t>&lt;0.05</w:t>
      </w:r>
      <w:r>
        <w:rPr>
          <w:rFonts w:hint="eastAsia"/>
          <w:sz w:val="24"/>
        </w:rPr>
        <w:t>），</w:t>
      </w:r>
      <w:r>
        <w:rPr>
          <w:rFonts w:hint="eastAsia"/>
          <w:sz w:val="24"/>
        </w:rPr>
        <w:t>G3</w:t>
      </w:r>
      <w:r>
        <w:rPr>
          <w:rFonts w:hint="eastAsia"/>
          <w:sz w:val="24"/>
        </w:rPr>
        <w:t>组、</w:t>
      </w:r>
      <w:r>
        <w:rPr>
          <w:rFonts w:hint="eastAsia"/>
          <w:sz w:val="24"/>
        </w:rPr>
        <w:t>G4</w:t>
      </w:r>
      <w:r>
        <w:rPr>
          <w:rFonts w:hint="eastAsia"/>
          <w:sz w:val="24"/>
        </w:rPr>
        <w:t>组和</w:t>
      </w:r>
      <w:r>
        <w:rPr>
          <w:rFonts w:hint="eastAsia"/>
          <w:sz w:val="24"/>
        </w:rPr>
        <w:t>G5</w:t>
      </w:r>
      <w:r>
        <w:rPr>
          <w:rFonts w:hint="eastAsia"/>
          <w:sz w:val="24"/>
        </w:rPr>
        <w:t>组鲤的脏体比显著低于</w:t>
      </w:r>
      <w:r>
        <w:rPr>
          <w:rFonts w:hint="eastAsia"/>
          <w:sz w:val="24"/>
        </w:rPr>
        <w:t>G1</w:t>
      </w:r>
      <w:r>
        <w:rPr>
          <w:rFonts w:hint="eastAsia"/>
          <w:sz w:val="24"/>
        </w:rPr>
        <w:t>组和</w:t>
      </w:r>
      <w:r>
        <w:rPr>
          <w:rFonts w:hint="eastAsia"/>
          <w:sz w:val="24"/>
        </w:rPr>
        <w:t>G2</w:t>
      </w:r>
      <w:r>
        <w:rPr>
          <w:rFonts w:hint="eastAsia"/>
          <w:sz w:val="24"/>
        </w:rPr>
        <w:t>组（</w:t>
      </w:r>
      <w:r>
        <w:rPr>
          <w:rFonts w:hint="eastAsia"/>
          <w:i/>
          <w:sz w:val="24"/>
        </w:rPr>
        <w:t>P</w:t>
      </w:r>
      <w:r>
        <w:rPr>
          <w:rFonts w:hint="eastAsia"/>
          <w:sz w:val="24"/>
        </w:rPr>
        <w:t>&lt;0.05</w:t>
      </w:r>
      <w:r>
        <w:rPr>
          <w:rFonts w:hint="eastAsia"/>
          <w:sz w:val="24"/>
        </w:rPr>
        <w:t>）。</w:t>
      </w:r>
    </w:p>
    <w:p w14:paraId="629EAF7E" w14:textId="77777777" w:rsidR="006D73E5" w:rsidRDefault="00000000">
      <w:pPr>
        <w:spacing w:line="360" w:lineRule="auto"/>
        <w:jc w:val="center"/>
        <w:rPr>
          <w:sz w:val="24"/>
        </w:rPr>
      </w:pPr>
      <w:r>
        <w:rPr>
          <w:rFonts w:hint="eastAsia"/>
          <w:noProof/>
          <w:sz w:val="24"/>
        </w:rPr>
        <w:drawing>
          <wp:inline distT="0" distB="0" distL="114300" distR="114300" wp14:anchorId="37BF2995" wp14:editId="3BAB0901">
            <wp:extent cx="3986530" cy="2569845"/>
            <wp:effectExtent l="0" t="0" r="0" b="190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54"/>
                    <a:stretch>
                      <a:fillRect/>
                    </a:stretch>
                  </pic:blipFill>
                  <pic:spPr>
                    <a:xfrm>
                      <a:off x="0" y="0"/>
                      <a:ext cx="3990330" cy="2572626"/>
                    </a:xfrm>
                    <a:prstGeom prst="rect">
                      <a:avLst/>
                    </a:prstGeom>
                    <a:noFill/>
                    <a:ln>
                      <a:noFill/>
                    </a:ln>
                  </pic:spPr>
                </pic:pic>
              </a:graphicData>
            </a:graphic>
          </wp:inline>
        </w:drawing>
      </w:r>
    </w:p>
    <w:p w14:paraId="7CBF6696" w14:textId="77777777" w:rsidR="006D73E5" w:rsidRDefault="00000000">
      <w:pPr>
        <w:spacing w:line="360" w:lineRule="auto"/>
        <w:rPr>
          <w:sz w:val="24"/>
        </w:rPr>
      </w:pPr>
      <w:r>
        <w:rPr>
          <w:rFonts w:hint="eastAsia"/>
          <w:sz w:val="24"/>
        </w:rPr>
        <w:lastRenderedPageBreak/>
        <w:t xml:space="preserve">2.2  </w:t>
      </w:r>
      <w:r>
        <w:rPr>
          <w:rFonts w:hint="eastAsia"/>
          <w:sz w:val="24"/>
        </w:rPr>
        <w:t>无鱼粉饵料中补充限制性氨基酸对鲤肌肉常规营养成分的影响（见表</w:t>
      </w:r>
      <w:r>
        <w:rPr>
          <w:rFonts w:hint="eastAsia"/>
          <w:sz w:val="24"/>
        </w:rPr>
        <w:t>4</w:t>
      </w:r>
      <w:r>
        <w:rPr>
          <w:rFonts w:hint="eastAsia"/>
          <w:sz w:val="24"/>
        </w:rPr>
        <w:t>）</w:t>
      </w:r>
    </w:p>
    <w:p w14:paraId="55CF8552" w14:textId="77777777" w:rsidR="006D73E5" w:rsidRDefault="00000000">
      <w:pPr>
        <w:spacing w:line="360" w:lineRule="auto"/>
        <w:ind w:firstLineChars="200" w:firstLine="480"/>
        <w:rPr>
          <w:sz w:val="24"/>
        </w:rPr>
      </w:pPr>
      <w:r>
        <w:rPr>
          <w:rFonts w:hint="eastAsia"/>
          <w:sz w:val="24"/>
        </w:rPr>
        <w:t>由表</w:t>
      </w:r>
      <w:r>
        <w:rPr>
          <w:rFonts w:hint="eastAsia"/>
          <w:sz w:val="24"/>
        </w:rPr>
        <w:t>4</w:t>
      </w:r>
      <w:r>
        <w:rPr>
          <w:rFonts w:hint="eastAsia"/>
          <w:sz w:val="24"/>
        </w:rPr>
        <w:t>可知，鲤肌肉粗蛋白含量随限制性氨基酸补充水平的增加呈增加趋势，</w:t>
      </w:r>
      <w:r>
        <w:rPr>
          <w:rFonts w:hint="eastAsia"/>
          <w:sz w:val="24"/>
        </w:rPr>
        <w:t>G4</w:t>
      </w:r>
      <w:r>
        <w:rPr>
          <w:rFonts w:hint="eastAsia"/>
          <w:sz w:val="24"/>
        </w:rPr>
        <w:t>组和</w:t>
      </w:r>
      <w:r>
        <w:rPr>
          <w:rFonts w:hint="eastAsia"/>
          <w:sz w:val="24"/>
        </w:rPr>
        <w:t>G5</w:t>
      </w:r>
      <w:r>
        <w:rPr>
          <w:rFonts w:hint="eastAsia"/>
          <w:sz w:val="24"/>
        </w:rPr>
        <w:t>组鲤的粗蛋白含量显著高于</w:t>
      </w:r>
      <w:r>
        <w:rPr>
          <w:rFonts w:hint="eastAsia"/>
          <w:sz w:val="24"/>
        </w:rPr>
        <w:t>G1</w:t>
      </w:r>
      <w:r>
        <w:rPr>
          <w:rFonts w:hint="eastAsia"/>
          <w:sz w:val="24"/>
        </w:rPr>
        <w:t>组和</w:t>
      </w:r>
      <w:r>
        <w:rPr>
          <w:rFonts w:hint="eastAsia"/>
          <w:sz w:val="24"/>
        </w:rPr>
        <w:t>G2</w:t>
      </w:r>
      <w:r>
        <w:rPr>
          <w:rFonts w:hint="eastAsia"/>
          <w:sz w:val="24"/>
        </w:rPr>
        <w:t>组（</w:t>
      </w:r>
      <w:r>
        <w:rPr>
          <w:rFonts w:hint="eastAsia"/>
          <w:i/>
          <w:sz w:val="24"/>
        </w:rPr>
        <w:t>P</w:t>
      </w:r>
      <w:r>
        <w:rPr>
          <w:rFonts w:hint="eastAsia"/>
          <w:sz w:val="24"/>
        </w:rPr>
        <w:t>&lt;0.05</w:t>
      </w:r>
      <w:r>
        <w:rPr>
          <w:rFonts w:hint="eastAsia"/>
          <w:sz w:val="24"/>
        </w:rPr>
        <w:t>）。</w:t>
      </w:r>
    </w:p>
    <w:p w14:paraId="153A8C4F" w14:textId="77777777" w:rsidR="006D73E5" w:rsidRDefault="00000000">
      <w:pPr>
        <w:spacing w:line="360" w:lineRule="auto"/>
        <w:jc w:val="center"/>
        <w:rPr>
          <w:sz w:val="24"/>
        </w:rPr>
      </w:pPr>
      <w:r>
        <w:rPr>
          <w:rFonts w:hint="eastAsia"/>
          <w:noProof/>
          <w:sz w:val="24"/>
        </w:rPr>
        <w:drawing>
          <wp:inline distT="0" distB="0" distL="114300" distR="114300" wp14:anchorId="2B8536F8" wp14:editId="309A8623">
            <wp:extent cx="3401060" cy="1935480"/>
            <wp:effectExtent l="0" t="0" r="8890" b="762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55"/>
                    <a:stretch>
                      <a:fillRect/>
                    </a:stretch>
                  </pic:blipFill>
                  <pic:spPr>
                    <a:xfrm>
                      <a:off x="0" y="0"/>
                      <a:ext cx="3406814" cy="1938993"/>
                    </a:xfrm>
                    <a:prstGeom prst="rect">
                      <a:avLst/>
                    </a:prstGeom>
                    <a:noFill/>
                    <a:ln>
                      <a:noFill/>
                    </a:ln>
                  </pic:spPr>
                </pic:pic>
              </a:graphicData>
            </a:graphic>
          </wp:inline>
        </w:drawing>
      </w:r>
    </w:p>
    <w:p w14:paraId="02256D4C" w14:textId="77777777" w:rsidR="006D73E5" w:rsidRDefault="00000000">
      <w:pPr>
        <w:spacing w:line="360" w:lineRule="auto"/>
        <w:rPr>
          <w:sz w:val="24"/>
        </w:rPr>
      </w:pPr>
      <w:r>
        <w:rPr>
          <w:rFonts w:hint="eastAsia"/>
          <w:sz w:val="24"/>
        </w:rPr>
        <w:t xml:space="preserve">2.3  </w:t>
      </w:r>
      <w:r>
        <w:rPr>
          <w:rFonts w:hint="eastAsia"/>
          <w:sz w:val="24"/>
        </w:rPr>
        <w:t>无鱼粉饵料中补充限制性氨基酸对鲤肌肉氨基酸组成的影响（见表</w:t>
      </w:r>
      <w:r>
        <w:rPr>
          <w:rFonts w:hint="eastAsia"/>
          <w:sz w:val="24"/>
        </w:rPr>
        <w:t>5</w:t>
      </w:r>
      <w:r>
        <w:rPr>
          <w:rFonts w:hint="eastAsia"/>
          <w:sz w:val="24"/>
        </w:rPr>
        <w:t>）</w:t>
      </w:r>
    </w:p>
    <w:p w14:paraId="70DEB1BB" w14:textId="77777777" w:rsidR="006D73E5" w:rsidRDefault="00000000">
      <w:pPr>
        <w:spacing w:line="360" w:lineRule="auto"/>
        <w:ind w:firstLineChars="200" w:firstLine="480"/>
        <w:rPr>
          <w:sz w:val="24"/>
        </w:rPr>
      </w:pPr>
      <w:r>
        <w:rPr>
          <w:rFonts w:hint="eastAsia"/>
          <w:sz w:val="24"/>
        </w:rPr>
        <w:t>由表</w:t>
      </w:r>
      <w:r>
        <w:rPr>
          <w:rFonts w:hint="eastAsia"/>
          <w:sz w:val="24"/>
        </w:rPr>
        <w:t>5</w:t>
      </w:r>
      <w:r>
        <w:rPr>
          <w:rFonts w:hint="eastAsia"/>
          <w:sz w:val="24"/>
        </w:rPr>
        <w:t>可知，鲤的肌肉中共检测出</w:t>
      </w:r>
      <w:r>
        <w:rPr>
          <w:rFonts w:hint="eastAsia"/>
          <w:sz w:val="24"/>
        </w:rPr>
        <w:t>17</w:t>
      </w:r>
      <w:r>
        <w:rPr>
          <w:rFonts w:hint="eastAsia"/>
          <w:sz w:val="24"/>
        </w:rPr>
        <w:t>种氨基酸，其中必需氨基酸（</w:t>
      </w:r>
      <w:r>
        <w:rPr>
          <w:rFonts w:hint="eastAsia"/>
          <w:sz w:val="24"/>
        </w:rPr>
        <w:t>EAA</w:t>
      </w:r>
      <w:r>
        <w:rPr>
          <w:rFonts w:hint="eastAsia"/>
          <w:sz w:val="24"/>
        </w:rPr>
        <w:t>）</w:t>
      </w:r>
      <w:r>
        <w:rPr>
          <w:rFonts w:hint="eastAsia"/>
          <w:sz w:val="24"/>
        </w:rPr>
        <w:t>7</w:t>
      </w:r>
      <w:r>
        <w:rPr>
          <w:rFonts w:hint="eastAsia"/>
          <w:sz w:val="24"/>
        </w:rPr>
        <w:t>种，鲜味氨基酸（</w:t>
      </w:r>
      <w:r>
        <w:rPr>
          <w:rFonts w:hint="eastAsia"/>
          <w:sz w:val="24"/>
        </w:rPr>
        <w:t>DAA</w:t>
      </w:r>
      <w:r>
        <w:rPr>
          <w:rFonts w:hint="eastAsia"/>
          <w:sz w:val="24"/>
        </w:rPr>
        <w:t>）</w:t>
      </w:r>
      <w:r>
        <w:rPr>
          <w:rFonts w:hint="eastAsia"/>
          <w:sz w:val="24"/>
        </w:rPr>
        <w:t>4</w:t>
      </w:r>
      <w:r>
        <w:rPr>
          <w:rFonts w:hint="eastAsia"/>
          <w:sz w:val="24"/>
        </w:rPr>
        <w:t>种，非必需氨基酸（</w:t>
      </w:r>
      <w:r>
        <w:rPr>
          <w:rFonts w:hint="eastAsia"/>
          <w:sz w:val="24"/>
        </w:rPr>
        <w:t>NEAA</w:t>
      </w:r>
      <w:r>
        <w:rPr>
          <w:rFonts w:hint="eastAsia"/>
          <w:sz w:val="24"/>
        </w:rPr>
        <w:t>）</w:t>
      </w:r>
      <w:r>
        <w:rPr>
          <w:rFonts w:hint="eastAsia"/>
          <w:sz w:val="24"/>
        </w:rPr>
        <w:t>10</w:t>
      </w:r>
      <w:r>
        <w:rPr>
          <w:rFonts w:hint="eastAsia"/>
          <w:sz w:val="24"/>
        </w:rPr>
        <w:t>种。</w:t>
      </w:r>
    </w:p>
    <w:p w14:paraId="2A554AD3" w14:textId="77777777" w:rsidR="006D73E5" w:rsidRDefault="00000000">
      <w:pPr>
        <w:spacing w:line="360" w:lineRule="auto"/>
        <w:ind w:firstLineChars="200" w:firstLine="480"/>
        <w:rPr>
          <w:sz w:val="24"/>
        </w:rPr>
      </w:pPr>
      <w:r>
        <w:rPr>
          <w:rFonts w:hint="eastAsia"/>
          <w:sz w:val="24"/>
        </w:rPr>
        <w:t>EAA</w:t>
      </w:r>
      <w:r>
        <w:rPr>
          <w:rFonts w:hint="eastAsia"/>
          <w:sz w:val="24"/>
        </w:rPr>
        <w:t>中，鲤肌肉苏氨酸、赖氨酸和蛋氨酸含量随着限制性氨基酸补充水平的提高呈增加趋势，</w:t>
      </w:r>
      <w:r>
        <w:rPr>
          <w:rFonts w:hint="eastAsia"/>
          <w:sz w:val="24"/>
        </w:rPr>
        <w:t>G2</w:t>
      </w:r>
      <w:r>
        <w:rPr>
          <w:rFonts w:hint="eastAsia"/>
          <w:sz w:val="24"/>
        </w:rPr>
        <w:t>组、</w:t>
      </w:r>
      <w:r>
        <w:rPr>
          <w:rFonts w:hint="eastAsia"/>
          <w:sz w:val="24"/>
        </w:rPr>
        <w:t>G3</w:t>
      </w:r>
      <w:r>
        <w:rPr>
          <w:rFonts w:hint="eastAsia"/>
          <w:sz w:val="24"/>
        </w:rPr>
        <w:t>组、</w:t>
      </w:r>
      <w:r>
        <w:rPr>
          <w:rFonts w:hint="eastAsia"/>
          <w:sz w:val="24"/>
        </w:rPr>
        <w:t>G4</w:t>
      </w:r>
      <w:r>
        <w:rPr>
          <w:rFonts w:hint="eastAsia"/>
          <w:sz w:val="24"/>
        </w:rPr>
        <w:t>组和</w:t>
      </w:r>
      <w:r>
        <w:rPr>
          <w:rFonts w:hint="eastAsia"/>
          <w:sz w:val="24"/>
        </w:rPr>
        <w:t>G5</w:t>
      </w:r>
      <w:r>
        <w:rPr>
          <w:rFonts w:hint="eastAsia"/>
          <w:sz w:val="24"/>
        </w:rPr>
        <w:t>组鲤肌肉苏氨酸含量显著高于对照组（</w:t>
      </w:r>
      <w:r>
        <w:rPr>
          <w:rFonts w:hint="eastAsia"/>
          <w:i/>
          <w:sz w:val="24"/>
        </w:rPr>
        <w:t>P</w:t>
      </w:r>
      <w:r>
        <w:rPr>
          <w:rFonts w:hint="eastAsia"/>
          <w:sz w:val="24"/>
        </w:rPr>
        <w:t>&lt;0.05</w:t>
      </w:r>
      <w:r>
        <w:rPr>
          <w:rFonts w:hint="eastAsia"/>
          <w:sz w:val="24"/>
        </w:rPr>
        <w:t>），</w:t>
      </w:r>
      <w:r>
        <w:rPr>
          <w:rFonts w:hint="eastAsia"/>
          <w:sz w:val="24"/>
        </w:rPr>
        <w:t>G5</w:t>
      </w:r>
      <w:r>
        <w:rPr>
          <w:rFonts w:hint="eastAsia"/>
          <w:sz w:val="24"/>
        </w:rPr>
        <w:t>组赖氨酸含量显著高于对照组（</w:t>
      </w:r>
      <w:r>
        <w:rPr>
          <w:rFonts w:hint="eastAsia"/>
          <w:i/>
          <w:sz w:val="24"/>
        </w:rPr>
        <w:t>P</w:t>
      </w:r>
      <w:r>
        <w:rPr>
          <w:rFonts w:hint="eastAsia"/>
          <w:sz w:val="24"/>
        </w:rPr>
        <w:t>&lt;0.05</w:t>
      </w:r>
      <w:r>
        <w:rPr>
          <w:rFonts w:hint="eastAsia"/>
          <w:sz w:val="24"/>
        </w:rPr>
        <w:t>），</w:t>
      </w:r>
      <w:r>
        <w:rPr>
          <w:rFonts w:hint="eastAsia"/>
          <w:sz w:val="24"/>
        </w:rPr>
        <w:t>G3</w:t>
      </w:r>
      <w:r>
        <w:rPr>
          <w:rFonts w:hint="eastAsia"/>
          <w:sz w:val="24"/>
        </w:rPr>
        <w:t>组、</w:t>
      </w:r>
      <w:r>
        <w:rPr>
          <w:rFonts w:hint="eastAsia"/>
          <w:sz w:val="24"/>
        </w:rPr>
        <w:t>G4</w:t>
      </w:r>
      <w:r>
        <w:rPr>
          <w:rFonts w:hint="eastAsia"/>
          <w:sz w:val="24"/>
        </w:rPr>
        <w:t>组和</w:t>
      </w:r>
      <w:r>
        <w:rPr>
          <w:rFonts w:hint="eastAsia"/>
          <w:sz w:val="24"/>
        </w:rPr>
        <w:t>G5</w:t>
      </w:r>
      <w:r>
        <w:rPr>
          <w:rFonts w:hint="eastAsia"/>
          <w:sz w:val="24"/>
        </w:rPr>
        <w:t>组鲤肌肉蛋氨酸含量显著高于对照组（</w:t>
      </w:r>
      <w:r>
        <w:rPr>
          <w:rFonts w:hint="eastAsia"/>
          <w:i/>
          <w:sz w:val="24"/>
        </w:rPr>
        <w:t>P</w:t>
      </w:r>
      <w:r>
        <w:rPr>
          <w:rFonts w:hint="eastAsia"/>
          <w:sz w:val="24"/>
        </w:rPr>
        <w:t>&lt;0.05</w:t>
      </w:r>
      <w:r>
        <w:rPr>
          <w:rFonts w:hint="eastAsia"/>
          <w:sz w:val="24"/>
        </w:rPr>
        <w:t>）。</w:t>
      </w:r>
      <w:r>
        <w:rPr>
          <w:rFonts w:hint="eastAsia"/>
          <w:sz w:val="24"/>
        </w:rPr>
        <w:t>DAA</w:t>
      </w:r>
      <w:r>
        <w:rPr>
          <w:rFonts w:hint="eastAsia"/>
          <w:sz w:val="24"/>
        </w:rPr>
        <w:t>中，鲤肌肉丙氨酸、谷氨酸、天冬氨酸和甘氨酸含量均随限制性氨基酸补充水平的增加呈上升趋势，</w:t>
      </w:r>
      <w:r>
        <w:rPr>
          <w:rFonts w:hint="eastAsia"/>
          <w:sz w:val="24"/>
        </w:rPr>
        <w:t>G2</w:t>
      </w:r>
      <w:r>
        <w:rPr>
          <w:rFonts w:hint="eastAsia"/>
          <w:sz w:val="24"/>
        </w:rPr>
        <w:t>组、</w:t>
      </w:r>
      <w:r>
        <w:rPr>
          <w:rFonts w:hint="eastAsia"/>
          <w:sz w:val="24"/>
        </w:rPr>
        <w:t>G3</w:t>
      </w:r>
      <w:r>
        <w:rPr>
          <w:rFonts w:hint="eastAsia"/>
          <w:sz w:val="24"/>
        </w:rPr>
        <w:t>组、</w:t>
      </w:r>
      <w:r>
        <w:rPr>
          <w:rFonts w:hint="eastAsia"/>
          <w:sz w:val="24"/>
        </w:rPr>
        <w:t>G4</w:t>
      </w:r>
      <w:r>
        <w:rPr>
          <w:rFonts w:hint="eastAsia"/>
          <w:sz w:val="24"/>
        </w:rPr>
        <w:t>组和</w:t>
      </w:r>
      <w:r>
        <w:rPr>
          <w:rFonts w:hint="eastAsia"/>
          <w:sz w:val="24"/>
        </w:rPr>
        <w:t>G5</w:t>
      </w:r>
      <w:r>
        <w:rPr>
          <w:rFonts w:hint="eastAsia"/>
          <w:sz w:val="24"/>
        </w:rPr>
        <w:t>组鲤肌肉谷氨酸、天冬氨酸和甘氨酸含量显著高于对照组（</w:t>
      </w:r>
      <w:r>
        <w:rPr>
          <w:rFonts w:hint="eastAsia"/>
          <w:i/>
          <w:sz w:val="24"/>
        </w:rPr>
        <w:t>P</w:t>
      </w:r>
      <w:r>
        <w:rPr>
          <w:rFonts w:hint="eastAsia"/>
          <w:sz w:val="24"/>
        </w:rPr>
        <w:t>&lt;0.05</w:t>
      </w:r>
      <w:r>
        <w:rPr>
          <w:rFonts w:hint="eastAsia"/>
          <w:sz w:val="24"/>
        </w:rPr>
        <w:t>）。</w:t>
      </w:r>
      <w:r>
        <w:rPr>
          <w:rFonts w:hint="eastAsia"/>
          <w:sz w:val="24"/>
        </w:rPr>
        <w:t>NEAA</w:t>
      </w:r>
      <w:r>
        <w:rPr>
          <w:rFonts w:hint="eastAsia"/>
          <w:sz w:val="24"/>
        </w:rPr>
        <w:t>中，鲤肌肉酪氨酸、精氨酸和脯氨酸含量均随着限制性氨基酸补充水平的提高呈上升趋势，</w:t>
      </w:r>
      <w:r>
        <w:rPr>
          <w:rFonts w:hint="eastAsia"/>
          <w:sz w:val="24"/>
        </w:rPr>
        <w:t>G4</w:t>
      </w:r>
      <w:r>
        <w:rPr>
          <w:rFonts w:hint="eastAsia"/>
          <w:sz w:val="24"/>
        </w:rPr>
        <w:t>组和</w:t>
      </w:r>
      <w:r>
        <w:rPr>
          <w:rFonts w:hint="eastAsia"/>
          <w:sz w:val="24"/>
        </w:rPr>
        <w:t>G5</w:t>
      </w:r>
      <w:r>
        <w:rPr>
          <w:rFonts w:hint="eastAsia"/>
          <w:sz w:val="24"/>
        </w:rPr>
        <w:t>组鲤肌肉酪氨酸含量显著高于对照组，</w:t>
      </w:r>
      <w:r>
        <w:rPr>
          <w:rFonts w:hint="eastAsia"/>
          <w:sz w:val="24"/>
        </w:rPr>
        <w:t>G5</w:t>
      </w:r>
      <w:r>
        <w:rPr>
          <w:rFonts w:hint="eastAsia"/>
          <w:sz w:val="24"/>
        </w:rPr>
        <w:t>组鲤肌肉精氨酸含量显著高于对照组，</w:t>
      </w:r>
      <w:r>
        <w:rPr>
          <w:rFonts w:hint="eastAsia"/>
          <w:sz w:val="24"/>
        </w:rPr>
        <w:t>G2</w:t>
      </w:r>
      <w:r>
        <w:rPr>
          <w:rFonts w:hint="eastAsia"/>
          <w:sz w:val="24"/>
        </w:rPr>
        <w:t>组、</w:t>
      </w:r>
      <w:r>
        <w:rPr>
          <w:rFonts w:hint="eastAsia"/>
          <w:sz w:val="24"/>
        </w:rPr>
        <w:t>G3</w:t>
      </w:r>
      <w:r>
        <w:rPr>
          <w:rFonts w:hint="eastAsia"/>
          <w:sz w:val="24"/>
        </w:rPr>
        <w:t>组、</w:t>
      </w:r>
      <w:r>
        <w:rPr>
          <w:rFonts w:hint="eastAsia"/>
          <w:sz w:val="24"/>
        </w:rPr>
        <w:t>G4</w:t>
      </w:r>
      <w:r>
        <w:rPr>
          <w:rFonts w:hint="eastAsia"/>
          <w:sz w:val="24"/>
        </w:rPr>
        <w:t>组和</w:t>
      </w:r>
      <w:r>
        <w:rPr>
          <w:rFonts w:hint="eastAsia"/>
          <w:sz w:val="24"/>
        </w:rPr>
        <w:t>G5</w:t>
      </w:r>
      <w:r>
        <w:rPr>
          <w:rFonts w:hint="eastAsia"/>
          <w:sz w:val="24"/>
        </w:rPr>
        <w:t>组鲤肌肉脯氨酸含量均显著高于对照组（</w:t>
      </w:r>
      <w:r>
        <w:rPr>
          <w:rFonts w:hint="eastAsia"/>
          <w:i/>
          <w:sz w:val="24"/>
        </w:rPr>
        <w:t>P</w:t>
      </w:r>
      <w:r>
        <w:rPr>
          <w:rFonts w:hint="eastAsia"/>
          <w:sz w:val="24"/>
        </w:rPr>
        <w:t>&lt;0.05</w:t>
      </w:r>
      <w:r>
        <w:rPr>
          <w:rFonts w:hint="eastAsia"/>
          <w:sz w:val="24"/>
        </w:rPr>
        <w:t>）。鲤肌肉氨基酸总量（</w:t>
      </w:r>
      <w:r>
        <w:rPr>
          <w:rFonts w:hint="eastAsia"/>
          <w:sz w:val="24"/>
        </w:rPr>
        <w:t>TAA</w:t>
      </w:r>
      <w:r>
        <w:rPr>
          <w:rFonts w:hint="eastAsia"/>
          <w:sz w:val="24"/>
        </w:rPr>
        <w:t>）为</w:t>
      </w:r>
      <w:r>
        <w:rPr>
          <w:rFonts w:hint="eastAsia"/>
          <w:sz w:val="24"/>
        </w:rPr>
        <w:t>11.29 %~21.73 %</w:t>
      </w:r>
      <w:r>
        <w:rPr>
          <w:rFonts w:hint="eastAsia"/>
          <w:sz w:val="24"/>
        </w:rPr>
        <w:t>，</w:t>
      </w:r>
      <w:r>
        <w:rPr>
          <w:rFonts w:hint="eastAsia"/>
          <w:sz w:val="24"/>
        </w:rPr>
        <w:t>EAA</w:t>
      </w:r>
      <w:r>
        <w:rPr>
          <w:rFonts w:hint="eastAsia"/>
          <w:sz w:val="24"/>
        </w:rPr>
        <w:t>为</w:t>
      </w:r>
      <w:r>
        <w:rPr>
          <w:rFonts w:hint="eastAsia"/>
          <w:sz w:val="24"/>
        </w:rPr>
        <w:t>4.72 %~9.94 %</w:t>
      </w:r>
      <w:r>
        <w:rPr>
          <w:rFonts w:hint="eastAsia"/>
          <w:sz w:val="24"/>
        </w:rPr>
        <w:t>，</w:t>
      </w:r>
      <w:r>
        <w:rPr>
          <w:rFonts w:hint="eastAsia"/>
          <w:sz w:val="24"/>
        </w:rPr>
        <w:t>NEAA</w:t>
      </w:r>
      <w:r>
        <w:rPr>
          <w:rFonts w:hint="eastAsia"/>
          <w:sz w:val="24"/>
        </w:rPr>
        <w:t>为</w:t>
      </w:r>
      <w:r>
        <w:rPr>
          <w:rFonts w:hint="eastAsia"/>
          <w:sz w:val="24"/>
        </w:rPr>
        <w:t>6.56 %~12.09 %</w:t>
      </w:r>
      <w:r>
        <w:rPr>
          <w:rFonts w:hint="eastAsia"/>
          <w:sz w:val="24"/>
        </w:rPr>
        <w:t>，</w:t>
      </w:r>
      <w:r>
        <w:rPr>
          <w:rFonts w:hint="eastAsia"/>
          <w:sz w:val="24"/>
        </w:rPr>
        <w:t>DAA</w:t>
      </w:r>
      <w:r>
        <w:rPr>
          <w:rFonts w:hint="eastAsia"/>
          <w:sz w:val="24"/>
        </w:rPr>
        <w:t>为</w:t>
      </w:r>
      <w:r>
        <w:rPr>
          <w:rFonts w:hint="eastAsia"/>
          <w:sz w:val="24"/>
        </w:rPr>
        <w:t>3.77 %~7.89 %</w:t>
      </w:r>
      <w:r>
        <w:rPr>
          <w:rFonts w:hint="eastAsia"/>
          <w:sz w:val="24"/>
        </w:rPr>
        <w:t>。随限制性氨基酸补充水平的提高，</w:t>
      </w:r>
      <w:r>
        <w:rPr>
          <w:rFonts w:hint="eastAsia"/>
          <w:sz w:val="24"/>
        </w:rPr>
        <w:t>TAA</w:t>
      </w:r>
      <w:r>
        <w:rPr>
          <w:rFonts w:hint="eastAsia"/>
          <w:sz w:val="24"/>
        </w:rPr>
        <w:t>、</w:t>
      </w:r>
      <w:r>
        <w:rPr>
          <w:rFonts w:hint="eastAsia"/>
          <w:sz w:val="24"/>
        </w:rPr>
        <w:t>EAA</w:t>
      </w:r>
      <w:r>
        <w:rPr>
          <w:rFonts w:hint="eastAsia"/>
          <w:sz w:val="24"/>
        </w:rPr>
        <w:t>、</w:t>
      </w:r>
      <w:r>
        <w:rPr>
          <w:rFonts w:hint="eastAsia"/>
          <w:sz w:val="24"/>
        </w:rPr>
        <w:t>NEAA</w:t>
      </w:r>
      <w:r>
        <w:rPr>
          <w:rFonts w:hint="eastAsia"/>
          <w:sz w:val="24"/>
        </w:rPr>
        <w:t>和</w:t>
      </w:r>
      <w:r>
        <w:rPr>
          <w:rFonts w:hint="eastAsia"/>
          <w:sz w:val="24"/>
        </w:rPr>
        <w:t>DAA</w:t>
      </w:r>
      <w:r>
        <w:rPr>
          <w:rFonts w:hint="eastAsia"/>
          <w:sz w:val="24"/>
        </w:rPr>
        <w:t>含量均呈上升趋势，且显著高于对照组（</w:t>
      </w:r>
      <w:r>
        <w:rPr>
          <w:rFonts w:hint="eastAsia"/>
          <w:i/>
          <w:sz w:val="24"/>
        </w:rPr>
        <w:t>P</w:t>
      </w:r>
      <w:r>
        <w:rPr>
          <w:rFonts w:hint="eastAsia"/>
          <w:sz w:val="24"/>
        </w:rPr>
        <w:t>&lt;0.05</w:t>
      </w:r>
      <w:r>
        <w:rPr>
          <w:rFonts w:hint="eastAsia"/>
          <w:sz w:val="24"/>
        </w:rPr>
        <w:t>）。</w:t>
      </w:r>
      <w:r>
        <w:rPr>
          <w:rFonts w:hint="eastAsia"/>
          <w:sz w:val="24"/>
        </w:rPr>
        <w:t>EAA/TAA</w:t>
      </w:r>
      <w:r>
        <w:rPr>
          <w:rFonts w:hint="eastAsia"/>
          <w:sz w:val="24"/>
        </w:rPr>
        <w:t>为</w:t>
      </w:r>
      <w:r>
        <w:rPr>
          <w:rFonts w:hint="eastAsia"/>
          <w:sz w:val="24"/>
        </w:rPr>
        <w:t>40.33 %~41.81 %</w:t>
      </w:r>
      <w:r>
        <w:rPr>
          <w:rFonts w:hint="eastAsia"/>
          <w:sz w:val="24"/>
        </w:rPr>
        <w:t>，</w:t>
      </w:r>
      <w:r>
        <w:rPr>
          <w:rFonts w:hint="eastAsia"/>
          <w:sz w:val="24"/>
        </w:rPr>
        <w:t>EAA/NEAA</w:t>
      </w:r>
      <w:r>
        <w:rPr>
          <w:rFonts w:hint="eastAsia"/>
          <w:sz w:val="24"/>
        </w:rPr>
        <w:t>为</w:t>
      </w:r>
      <w:r>
        <w:rPr>
          <w:rFonts w:hint="eastAsia"/>
          <w:sz w:val="24"/>
        </w:rPr>
        <w:t>67.50 %~82.22 %</w:t>
      </w:r>
      <w:r>
        <w:rPr>
          <w:rFonts w:hint="eastAsia"/>
          <w:sz w:val="24"/>
        </w:rPr>
        <w:t>，</w:t>
      </w:r>
      <w:r>
        <w:rPr>
          <w:rFonts w:hint="eastAsia"/>
          <w:sz w:val="24"/>
        </w:rPr>
        <w:t>DAA/TAA</w:t>
      </w:r>
      <w:r>
        <w:rPr>
          <w:rFonts w:hint="eastAsia"/>
          <w:sz w:val="24"/>
        </w:rPr>
        <w:t>为</w:t>
      </w:r>
      <w:r>
        <w:rPr>
          <w:rFonts w:hint="eastAsia"/>
          <w:sz w:val="24"/>
        </w:rPr>
        <w:t>29.85 %~37.66 %</w:t>
      </w:r>
      <w:r>
        <w:rPr>
          <w:rFonts w:hint="eastAsia"/>
          <w:sz w:val="24"/>
        </w:rPr>
        <w:t>。</w:t>
      </w:r>
    </w:p>
    <w:p w14:paraId="25243CD2" w14:textId="77777777" w:rsidR="006D73E5" w:rsidRDefault="00000000">
      <w:pPr>
        <w:spacing w:line="360" w:lineRule="auto"/>
        <w:jc w:val="center"/>
        <w:rPr>
          <w:sz w:val="24"/>
        </w:rPr>
      </w:pPr>
      <w:r>
        <w:rPr>
          <w:rFonts w:hint="eastAsia"/>
          <w:noProof/>
          <w:sz w:val="24"/>
        </w:rPr>
        <w:lastRenderedPageBreak/>
        <w:drawing>
          <wp:inline distT="0" distB="0" distL="114300" distR="114300" wp14:anchorId="3318AF7A" wp14:editId="5510AF17">
            <wp:extent cx="5249545" cy="5737860"/>
            <wp:effectExtent l="0" t="0" r="8255"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r:embed="rId56"/>
                    <a:stretch>
                      <a:fillRect/>
                    </a:stretch>
                  </pic:blipFill>
                  <pic:spPr>
                    <a:xfrm>
                      <a:off x="0" y="0"/>
                      <a:ext cx="5252741" cy="5740708"/>
                    </a:xfrm>
                    <a:prstGeom prst="rect">
                      <a:avLst/>
                    </a:prstGeom>
                    <a:noFill/>
                    <a:ln>
                      <a:noFill/>
                    </a:ln>
                  </pic:spPr>
                </pic:pic>
              </a:graphicData>
            </a:graphic>
          </wp:inline>
        </w:drawing>
      </w:r>
    </w:p>
    <w:p w14:paraId="7A3E18A8" w14:textId="77777777" w:rsidR="006D73E5" w:rsidRDefault="00000000">
      <w:pPr>
        <w:spacing w:line="360" w:lineRule="auto"/>
        <w:rPr>
          <w:sz w:val="24"/>
        </w:rPr>
      </w:pPr>
      <w:r>
        <w:rPr>
          <w:rFonts w:hint="eastAsia"/>
          <w:sz w:val="24"/>
        </w:rPr>
        <w:t xml:space="preserve">2.4  </w:t>
      </w:r>
      <w:r>
        <w:rPr>
          <w:rFonts w:hint="eastAsia"/>
          <w:sz w:val="24"/>
        </w:rPr>
        <w:t>无鱼粉饵料中补充限制性氨基酸对鲤肌肉蛋白质品质评价的影响（见表</w:t>
      </w:r>
      <w:r>
        <w:rPr>
          <w:rFonts w:hint="eastAsia"/>
          <w:sz w:val="24"/>
        </w:rPr>
        <w:t>6</w:t>
      </w:r>
      <w:r>
        <w:rPr>
          <w:rFonts w:hint="eastAsia"/>
          <w:sz w:val="24"/>
        </w:rPr>
        <w:t>）</w:t>
      </w:r>
    </w:p>
    <w:p w14:paraId="3B44D31A" w14:textId="77777777" w:rsidR="006D73E5" w:rsidRDefault="00000000">
      <w:pPr>
        <w:spacing w:line="360" w:lineRule="auto"/>
        <w:ind w:firstLineChars="200" w:firstLine="480"/>
        <w:rPr>
          <w:sz w:val="24"/>
        </w:rPr>
      </w:pPr>
      <w:r>
        <w:rPr>
          <w:rFonts w:hint="eastAsia"/>
          <w:sz w:val="24"/>
        </w:rPr>
        <w:t>由表</w:t>
      </w:r>
      <w:r>
        <w:rPr>
          <w:rFonts w:hint="eastAsia"/>
          <w:sz w:val="24"/>
        </w:rPr>
        <w:t>6</w:t>
      </w:r>
      <w:r>
        <w:rPr>
          <w:rFonts w:hint="eastAsia"/>
          <w:sz w:val="24"/>
        </w:rPr>
        <w:t>可知，对照组苏氨酸和蛋氨酸</w:t>
      </w:r>
      <w:r>
        <w:rPr>
          <w:rFonts w:hint="eastAsia"/>
          <w:sz w:val="24"/>
        </w:rPr>
        <w:t>+</w:t>
      </w:r>
      <w:r>
        <w:rPr>
          <w:rFonts w:hint="eastAsia"/>
          <w:sz w:val="24"/>
        </w:rPr>
        <w:t>胱氨酸的</w:t>
      </w:r>
      <w:r>
        <w:rPr>
          <w:rFonts w:hint="eastAsia"/>
          <w:sz w:val="24"/>
        </w:rPr>
        <w:t>AAS</w:t>
      </w:r>
      <w:r>
        <w:rPr>
          <w:rFonts w:hint="eastAsia"/>
          <w:sz w:val="24"/>
        </w:rPr>
        <w:t>和</w:t>
      </w:r>
      <w:r>
        <w:rPr>
          <w:rFonts w:hint="eastAsia"/>
          <w:sz w:val="24"/>
        </w:rPr>
        <w:t>CS</w:t>
      </w:r>
      <w:r>
        <w:rPr>
          <w:rFonts w:hint="eastAsia"/>
          <w:sz w:val="24"/>
        </w:rPr>
        <w:t>最低，根据</w:t>
      </w:r>
      <w:r>
        <w:rPr>
          <w:rFonts w:hint="eastAsia"/>
          <w:sz w:val="24"/>
        </w:rPr>
        <w:t>AAS</w:t>
      </w:r>
      <w:r>
        <w:rPr>
          <w:rFonts w:hint="eastAsia"/>
          <w:sz w:val="24"/>
        </w:rPr>
        <w:t>和</w:t>
      </w:r>
      <w:r>
        <w:rPr>
          <w:rFonts w:hint="eastAsia"/>
          <w:sz w:val="24"/>
        </w:rPr>
        <w:t>CS</w:t>
      </w:r>
      <w:r>
        <w:rPr>
          <w:rFonts w:hint="eastAsia"/>
          <w:sz w:val="24"/>
        </w:rPr>
        <w:t>判断对照组鲤的第一限制性氨基酸为苏氨酸，第二限制性氨基酸为蛋氨酸</w:t>
      </w:r>
      <w:r>
        <w:rPr>
          <w:rFonts w:hint="eastAsia"/>
          <w:sz w:val="24"/>
        </w:rPr>
        <w:t>+</w:t>
      </w:r>
      <w:r>
        <w:rPr>
          <w:rFonts w:hint="eastAsia"/>
          <w:sz w:val="24"/>
        </w:rPr>
        <w:t>胱氨酸。</w:t>
      </w:r>
      <w:r>
        <w:rPr>
          <w:rFonts w:hint="eastAsia"/>
          <w:sz w:val="24"/>
        </w:rPr>
        <w:t>G2</w:t>
      </w:r>
      <w:r>
        <w:rPr>
          <w:rFonts w:hint="eastAsia"/>
          <w:sz w:val="24"/>
        </w:rPr>
        <w:t>组、</w:t>
      </w:r>
      <w:r>
        <w:rPr>
          <w:rFonts w:hint="eastAsia"/>
          <w:sz w:val="24"/>
        </w:rPr>
        <w:t>G3</w:t>
      </w:r>
      <w:r>
        <w:rPr>
          <w:rFonts w:hint="eastAsia"/>
          <w:sz w:val="24"/>
        </w:rPr>
        <w:t>组、</w:t>
      </w:r>
      <w:r>
        <w:rPr>
          <w:rFonts w:hint="eastAsia"/>
          <w:sz w:val="24"/>
        </w:rPr>
        <w:t>G4</w:t>
      </w:r>
      <w:r>
        <w:rPr>
          <w:rFonts w:hint="eastAsia"/>
          <w:sz w:val="24"/>
        </w:rPr>
        <w:t>组和</w:t>
      </w:r>
      <w:r>
        <w:rPr>
          <w:rFonts w:hint="eastAsia"/>
          <w:sz w:val="24"/>
        </w:rPr>
        <w:t>G5</w:t>
      </w:r>
      <w:r>
        <w:rPr>
          <w:rFonts w:hint="eastAsia"/>
          <w:sz w:val="24"/>
        </w:rPr>
        <w:t>组蛋氨酸</w:t>
      </w:r>
      <w:r>
        <w:rPr>
          <w:rFonts w:hint="eastAsia"/>
          <w:sz w:val="24"/>
        </w:rPr>
        <w:t>+</w:t>
      </w:r>
      <w:r>
        <w:rPr>
          <w:rFonts w:hint="eastAsia"/>
          <w:sz w:val="24"/>
        </w:rPr>
        <w:t>胱氨酸和缬氨酸的</w:t>
      </w:r>
      <w:r>
        <w:rPr>
          <w:rFonts w:hint="eastAsia"/>
          <w:sz w:val="24"/>
        </w:rPr>
        <w:t>AAS</w:t>
      </w:r>
      <w:r>
        <w:rPr>
          <w:rFonts w:hint="eastAsia"/>
          <w:sz w:val="24"/>
        </w:rPr>
        <w:t>和</w:t>
      </w:r>
      <w:r>
        <w:rPr>
          <w:rFonts w:hint="eastAsia"/>
          <w:sz w:val="24"/>
        </w:rPr>
        <w:t>CS</w:t>
      </w:r>
      <w:r>
        <w:rPr>
          <w:rFonts w:hint="eastAsia"/>
          <w:sz w:val="24"/>
        </w:rPr>
        <w:t>均最低，根据</w:t>
      </w:r>
      <w:r>
        <w:rPr>
          <w:rFonts w:hint="eastAsia"/>
          <w:sz w:val="24"/>
        </w:rPr>
        <w:t>AAS</w:t>
      </w:r>
      <w:r>
        <w:rPr>
          <w:rFonts w:hint="eastAsia"/>
          <w:sz w:val="24"/>
        </w:rPr>
        <w:t>和</w:t>
      </w:r>
      <w:r>
        <w:rPr>
          <w:rFonts w:hint="eastAsia"/>
          <w:sz w:val="24"/>
        </w:rPr>
        <w:t>CS</w:t>
      </w:r>
      <w:r>
        <w:rPr>
          <w:rFonts w:hint="eastAsia"/>
          <w:sz w:val="24"/>
        </w:rPr>
        <w:t>判断</w:t>
      </w:r>
      <w:r>
        <w:rPr>
          <w:rFonts w:hint="eastAsia"/>
          <w:sz w:val="24"/>
        </w:rPr>
        <w:t>G2</w:t>
      </w:r>
      <w:r>
        <w:rPr>
          <w:rFonts w:hint="eastAsia"/>
          <w:sz w:val="24"/>
        </w:rPr>
        <w:t>组、</w:t>
      </w:r>
      <w:r>
        <w:rPr>
          <w:rFonts w:hint="eastAsia"/>
          <w:sz w:val="24"/>
        </w:rPr>
        <w:t>G3</w:t>
      </w:r>
      <w:r>
        <w:rPr>
          <w:rFonts w:hint="eastAsia"/>
          <w:sz w:val="24"/>
        </w:rPr>
        <w:t>组、</w:t>
      </w:r>
      <w:r>
        <w:rPr>
          <w:rFonts w:hint="eastAsia"/>
          <w:sz w:val="24"/>
        </w:rPr>
        <w:t>G4</w:t>
      </w:r>
      <w:r>
        <w:rPr>
          <w:rFonts w:hint="eastAsia"/>
          <w:sz w:val="24"/>
        </w:rPr>
        <w:t>组和</w:t>
      </w:r>
      <w:r>
        <w:rPr>
          <w:rFonts w:hint="eastAsia"/>
          <w:sz w:val="24"/>
        </w:rPr>
        <w:t>G5</w:t>
      </w:r>
      <w:r>
        <w:rPr>
          <w:rFonts w:hint="eastAsia"/>
          <w:sz w:val="24"/>
        </w:rPr>
        <w:t>组鲤的第一限制性氨基酸为蛋氨酸</w:t>
      </w:r>
      <w:r>
        <w:rPr>
          <w:rFonts w:hint="eastAsia"/>
          <w:sz w:val="24"/>
        </w:rPr>
        <w:t>+</w:t>
      </w:r>
      <w:r>
        <w:rPr>
          <w:rFonts w:hint="eastAsia"/>
          <w:sz w:val="24"/>
        </w:rPr>
        <w:t>胱氨酸，第二限制性氨基酸为缬氨酸。</w:t>
      </w:r>
    </w:p>
    <w:p w14:paraId="5A635FD7" w14:textId="77777777" w:rsidR="006D73E5" w:rsidRDefault="00000000">
      <w:pPr>
        <w:spacing w:line="360" w:lineRule="auto"/>
        <w:rPr>
          <w:sz w:val="24"/>
        </w:rPr>
      </w:pPr>
      <w:r>
        <w:rPr>
          <w:rFonts w:hint="eastAsia"/>
          <w:sz w:val="24"/>
        </w:rPr>
        <w:t xml:space="preserve">2.4  </w:t>
      </w:r>
      <w:r>
        <w:rPr>
          <w:rFonts w:hint="eastAsia"/>
          <w:sz w:val="24"/>
        </w:rPr>
        <w:t>无鱼粉饵料中补充限制性氨基酸对鲤肌肉蛋白质品质评价的影响（见表</w:t>
      </w:r>
      <w:r>
        <w:rPr>
          <w:rFonts w:hint="eastAsia"/>
          <w:sz w:val="24"/>
        </w:rPr>
        <w:t>6</w:t>
      </w:r>
      <w:r>
        <w:rPr>
          <w:rFonts w:hint="eastAsia"/>
          <w:sz w:val="24"/>
        </w:rPr>
        <w:t>）</w:t>
      </w:r>
      <w:r>
        <w:rPr>
          <w:rFonts w:hint="eastAsia"/>
          <w:sz w:val="24"/>
        </w:rPr>
        <w:t xml:space="preserve"> </w:t>
      </w:r>
    </w:p>
    <w:p w14:paraId="31609B51" w14:textId="77777777" w:rsidR="006D73E5" w:rsidRDefault="00000000">
      <w:pPr>
        <w:spacing w:line="360" w:lineRule="auto"/>
        <w:ind w:firstLineChars="200" w:firstLine="480"/>
        <w:rPr>
          <w:sz w:val="24"/>
        </w:rPr>
      </w:pPr>
      <w:r>
        <w:rPr>
          <w:rFonts w:hint="eastAsia"/>
          <w:sz w:val="24"/>
        </w:rPr>
        <w:t>随着无鱼粉饵料中补充限制性氨基酸水平的升高，</w:t>
      </w:r>
      <w:r>
        <w:rPr>
          <w:rFonts w:hint="eastAsia"/>
          <w:sz w:val="24"/>
        </w:rPr>
        <w:t>EAAI</w:t>
      </w:r>
      <w:r>
        <w:rPr>
          <w:rFonts w:hint="eastAsia"/>
          <w:sz w:val="24"/>
        </w:rPr>
        <w:t>呈上升趋势，</w:t>
      </w:r>
      <w:r>
        <w:rPr>
          <w:rFonts w:hint="eastAsia"/>
          <w:sz w:val="24"/>
        </w:rPr>
        <w:t>EAAI</w:t>
      </w:r>
      <w:r>
        <w:rPr>
          <w:rFonts w:hint="eastAsia"/>
          <w:sz w:val="24"/>
        </w:rPr>
        <w:t>由</w:t>
      </w:r>
      <w:r>
        <w:rPr>
          <w:rFonts w:hint="eastAsia"/>
          <w:sz w:val="24"/>
        </w:rPr>
        <w:t>60.83</w:t>
      </w:r>
      <w:r>
        <w:rPr>
          <w:rFonts w:hint="eastAsia"/>
          <w:sz w:val="24"/>
        </w:rPr>
        <w:t>升高至</w:t>
      </w:r>
      <w:r>
        <w:rPr>
          <w:rFonts w:hint="eastAsia"/>
          <w:sz w:val="24"/>
        </w:rPr>
        <w:t>71.23</w:t>
      </w:r>
      <w:r>
        <w:rPr>
          <w:rFonts w:hint="eastAsia"/>
          <w:sz w:val="24"/>
        </w:rPr>
        <w:t>。</w:t>
      </w:r>
    </w:p>
    <w:p w14:paraId="62332E97" w14:textId="77777777" w:rsidR="006D73E5" w:rsidRDefault="00000000">
      <w:pPr>
        <w:spacing w:line="360" w:lineRule="auto"/>
        <w:rPr>
          <w:sz w:val="24"/>
        </w:rPr>
      </w:pPr>
      <w:r>
        <w:rPr>
          <w:rFonts w:hint="eastAsia"/>
          <w:sz w:val="24"/>
        </w:rPr>
        <w:t xml:space="preserve">2.5  </w:t>
      </w:r>
      <w:r>
        <w:rPr>
          <w:rFonts w:hint="eastAsia"/>
          <w:sz w:val="24"/>
        </w:rPr>
        <w:t>无鱼粉饵料中补充限制性氨基酸对鲤肌肉质构特性</w:t>
      </w:r>
      <w:r>
        <w:rPr>
          <w:rFonts w:hint="eastAsia"/>
          <w:sz w:val="24"/>
        </w:rPr>
        <w:t xml:space="preserve"> </w:t>
      </w:r>
      <w:r>
        <w:rPr>
          <w:rFonts w:hint="eastAsia"/>
          <w:sz w:val="24"/>
        </w:rPr>
        <w:t>的影响（见表</w:t>
      </w:r>
      <w:r>
        <w:rPr>
          <w:rFonts w:hint="eastAsia"/>
          <w:sz w:val="24"/>
        </w:rPr>
        <w:t>7</w:t>
      </w:r>
      <w:r>
        <w:rPr>
          <w:rFonts w:hint="eastAsia"/>
          <w:sz w:val="24"/>
        </w:rPr>
        <w:t>）</w:t>
      </w:r>
      <w:r>
        <w:rPr>
          <w:rFonts w:hint="eastAsia"/>
          <w:sz w:val="24"/>
        </w:rPr>
        <w:t xml:space="preserve"> </w:t>
      </w:r>
    </w:p>
    <w:p w14:paraId="608F5196" w14:textId="77777777" w:rsidR="006D73E5" w:rsidRDefault="00000000">
      <w:pPr>
        <w:spacing w:line="360" w:lineRule="auto"/>
        <w:ind w:firstLineChars="200" w:firstLine="480"/>
        <w:rPr>
          <w:sz w:val="24"/>
        </w:rPr>
      </w:pPr>
      <w:r>
        <w:rPr>
          <w:rFonts w:hint="eastAsia"/>
          <w:sz w:val="24"/>
        </w:rPr>
        <w:lastRenderedPageBreak/>
        <w:t>由表</w:t>
      </w:r>
      <w:r>
        <w:rPr>
          <w:rFonts w:hint="eastAsia"/>
          <w:sz w:val="24"/>
        </w:rPr>
        <w:t>7</w:t>
      </w:r>
      <w:r>
        <w:rPr>
          <w:rFonts w:hint="eastAsia"/>
          <w:sz w:val="24"/>
        </w:rPr>
        <w:t>可知，无鱼粉饵料中补充限制性氨基酸后，鲤肌肉的硬度、内聚性、弹性、胶黏性和咀嚼性均呈上升趋势。</w:t>
      </w:r>
      <w:r>
        <w:rPr>
          <w:rFonts w:hint="eastAsia"/>
          <w:sz w:val="24"/>
        </w:rPr>
        <w:t>G3</w:t>
      </w:r>
      <w:r>
        <w:rPr>
          <w:rFonts w:hint="eastAsia"/>
          <w:sz w:val="24"/>
        </w:rPr>
        <w:t>组、</w:t>
      </w:r>
      <w:r>
        <w:rPr>
          <w:rFonts w:hint="eastAsia"/>
          <w:sz w:val="24"/>
        </w:rPr>
        <w:t>G4</w:t>
      </w:r>
      <w:r>
        <w:rPr>
          <w:rFonts w:hint="eastAsia"/>
          <w:sz w:val="24"/>
        </w:rPr>
        <w:t>组和</w:t>
      </w:r>
      <w:r>
        <w:rPr>
          <w:rFonts w:hint="eastAsia"/>
          <w:sz w:val="24"/>
        </w:rPr>
        <w:t>G5</w:t>
      </w:r>
      <w:r>
        <w:rPr>
          <w:rFonts w:hint="eastAsia"/>
          <w:sz w:val="24"/>
        </w:rPr>
        <w:t>组鲤的肌肉弹性显著高于对照组（</w:t>
      </w:r>
      <w:r>
        <w:rPr>
          <w:rFonts w:hint="eastAsia"/>
          <w:i/>
          <w:sz w:val="24"/>
        </w:rPr>
        <w:t>P</w:t>
      </w:r>
      <w:r>
        <w:rPr>
          <w:rFonts w:hint="eastAsia"/>
          <w:sz w:val="24"/>
        </w:rPr>
        <w:t>&lt;0.05</w:t>
      </w:r>
      <w:r>
        <w:rPr>
          <w:rFonts w:hint="eastAsia"/>
          <w:sz w:val="24"/>
        </w:rPr>
        <w:t>），</w:t>
      </w:r>
      <w:r>
        <w:rPr>
          <w:rFonts w:hint="eastAsia"/>
          <w:sz w:val="24"/>
        </w:rPr>
        <w:t>G5</w:t>
      </w:r>
      <w:r>
        <w:rPr>
          <w:rFonts w:hint="eastAsia"/>
          <w:sz w:val="24"/>
        </w:rPr>
        <w:t>组鲤的肌肉咀嚼性显著高于对照组（</w:t>
      </w:r>
      <w:r>
        <w:rPr>
          <w:rFonts w:hint="eastAsia"/>
          <w:i/>
          <w:sz w:val="24"/>
        </w:rPr>
        <w:t>P</w:t>
      </w:r>
      <w:r>
        <w:rPr>
          <w:rFonts w:hint="eastAsia"/>
          <w:sz w:val="24"/>
        </w:rPr>
        <w:t>&lt;0.05</w:t>
      </w:r>
      <w:r>
        <w:rPr>
          <w:rFonts w:hint="eastAsia"/>
          <w:sz w:val="24"/>
        </w:rPr>
        <w:t>）。</w:t>
      </w:r>
    </w:p>
    <w:p w14:paraId="7539D58F" w14:textId="77777777" w:rsidR="006D73E5" w:rsidRDefault="00000000">
      <w:pPr>
        <w:spacing w:line="360" w:lineRule="auto"/>
        <w:jc w:val="center"/>
        <w:rPr>
          <w:sz w:val="24"/>
        </w:rPr>
      </w:pPr>
      <w:r>
        <w:rPr>
          <w:rFonts w:hint="eastAsia"/>
          <w:noProof/>
          <w:sz w:val="24"/>
        </w:rPr>
        <w:drawing>
          <wp:inline distT="0" distB="0" distL="114300" distR="114300" wp14:anchorId="7C19E20A" wp14:editId="08018DED">
            <wp:extent cx="4662170" cy="4655185"/>
            <wp:effectExtent l="0" t="0" r="11430" b="571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icPr>
                  <pic:blipFill>
                    <a:blip r:embed="rId57"/>
                    <a:stretch>
                      <a:fillRect/>
                    </a:stretch>
                  </pic:blipFill>
                  <pic:spPr>
                    <a:xfrm>
                      <a:off x="0" y="0"/>
                      <a:ext cx="4662170" cy="4655185"/>
                    </a:xfrm>
                    <a:prstGeom prst="rect">
                      <a:avLst/>
                    </a:prstGeom>
                    <a:noFill/>
                    <a:ln>
                      <a:noFill/>
                    </a:ln>
                  </pic:spPr>
                </pic:pic>
              </a:graphicData>
            </a:graphic>
          </wp:inline>
        </w:drawing>
      </w:r>
    </w:p>
    <w:p w14:paraId="46C2C8A2" w14:textId="77777777" w:rsidR="006D73E5" w:rsidRDefault="00000000">
      <w:pPr>
        <w:spacing w:line="360" w:lineRule="auto"/>
        <w:rPr>
          <w:sz w:val="24"/>
        </w:rPr>
      </w:pPr>
      <w:r>
        <w:rPr>
          <w:rFonts w:hint="eastAsia"/>
          <w:sz w:val="24"/>
        </w:rPr>
        <w:t xml:space="preserve">3  </w:t>
      </w:r>
      <w:r>
        <w:rPr>
          <w:rFonts w:hint="eastAsia"/>
          <w:sz w:val="24"/>
        </w:rPr>
        <w:t>讨论</w:t>
      </w:r>
      <w:r>
        <w:rPr>
          <w:rFonts w:hint="eastAsia"/>
          <w:sz w:val="24"/>
        </w:rPr>
        <w:t xml:space="preserve"> </w:t>
      </w:r>
    </w:p>
    <w:p w14:paraId="3997C818" w14:textId="77777777" w:rsidR="006D73E5" w:rsidRDefault="00000000">
      <w:pPr>
        <w:spacing w:line="360" w:lineRule="auto"/>
        <w:rPr>
          <w:sz w:val="24"/>
        </w:rPr>
      </w:pPr>
      <w:r>
        <w:rPr>
          <w:rFonts w:hint="eastAsia"/>
          <w:sz w:val="24"/>
        </w:rPr>
        <w:t xml:space="preserve">3.1  </w:t>
      </w:r>
      <w:r>
        <w:rPr>
          <w:rFonts w:hint="eastAsia"/>
          <w:sz w:val="24"/>
        </w:rPr>
        <w:t>无鱼粉饵料中补充限制性氨基酸对鲤含肉率的影响</w:t>
      </w:r>
      <w:r>
        <w:rPr>
          <w:rFonts w:hint="eastAsia"/>
          <w:sz w:val="24"/>
        </w:rPr>
        <w:t xml:space="preserve"> </w:t>
      </w:r>
    </w:p>
    <w:p w14:paraId="0EE40103" w14:textId="77777777" w:rsidR="006D73E5" w:rsidRDefault="00000000">
      <w:pPr>
        <w:spacing w:line="360" w:lineRule="auto"/>
        <w:ind w:firstLineChars="200" w:firstLine="480"/>
        <w:rPr>
          <w:sz w:val="24"/>
        </w:rPr>
      </w:pPr>
      <w:r>
        <w:rPr>
          <w:rFonts w:hint="eastAsia"/>
          <w:sz w:val="24"/>
        </w:rPr>
        <w:t>鱼类含肉率指肌肉质量占体质量的百分比，是评价鱼类品质、经济价值和生产性能的重要依据，受鱼类品种、饵料种类和生活环境等因素的影响</w:t>
      </w:r>
      <w:r>
        <w:rPr>
          <w:rFonts w:hint="eastAsia"/>
          <w:sz w:val="24"/>
          <w:vertAlign w:val="superscript"/>
        </w:rPr>
        <w:t>[12-13]</w:t>
      </w:r>
      <w:r>
        <w:rPr>
          <w:rFonts w:hint="eastAsia"/>
          <w:sz w:val="24"/>
        </w:rPr>
        <w:t>。本研究中，鲤的含肉率随着无鱼粉饵料中补充限制性氨基酸水平的提高而增加，</w:t>
      </w:r>
      <w:r>
        <w:rPr>
          <w:rFonts w:hint="eastAsia"/>
          <w:sz w:val="24"/>
        </w:rPr>
        <w:t>G4</w:t>
      </w:r>
      <w:r>
        <w:rPr>
          <w:rFonts w:hint="eastAsia"/>
          <w:sz w:val="24"/>
        </w:rPr>
        <w:t>组和</w:t>
      </w:r>
      <w:r>
        <w:rPr>
          <w:rFonts w:hint="eastAsia"/>
          <w:sz w:val="24"/>
        </w:rPr>
        <w:t>G5</w:t>
      </w:r>
      <w:r>
        <w:rPr>
          <w:rFonts w:hint="eastAsia"/>
          <w:sz w:val="24"/>
        </w:rPr>
        <w:t>组鲤的含肉率显著高于对照组，表明无鱼粉饵料中补充适量限制性氨基酸能够促进肌肉合成，提高鲤的含肉率。</w:t>
      </w:r>
    </w:p>
    <w:p w14:paraId="5C077DB8" w14:textId="77777777" w:rsidR="006D73E5" w:rsidRDefault="00000000">
      <w:pPr>
        <w:spacing w:line="360" w:lineRule="auto"/>
        <w:ind w:firstLineChars="200" w:firstLine="480"/>
        <w:rPr>
          <w:sz w:val="24"/>
        </w:rPr>
      </w:pPr>
      <w:r>
        <w:rPr>
          <w:rFonts w:hint="eastAsia"/>
          <w:sz w:val="24"/>
        </w:rPr>
        <w:t>张新党等</w:t>
      </w:r>
      <w:r>
        <w:rPr>
          <w:rFonts w:hint="eastAsia"/>
          <w:sz w:val="24"/>
          <w:vertAlign w:val="superscript"/>
        </w:rPr>
        <w:t>[14]</w:t>
      </w:r>
      <w:r>
        <w:rPr>
          <w:rFonts w:hint="eastAsia"/>
          <w:sz w:val="24"/>
        </w:rPr>
        <w:t>使用缺乏蛋氨酸的饵料饲喂丝尾鳠，发现丝尾鳠肝脏谷草转氨酶和谷丙转氨酶活性异常，引发肝脏氨基酸代谢不平衡和蛋白质代谢紊乱，导致蛋白沉积率下降。刘梦梅</w:t>
      </w:r>
      <w:r>
        <w:rPr>
          <w:rFonts w:hint="eastAsia"/>
          <w:sz w:val="24"/>
          <w:vertAlign w:val="superscript"/>
        </w:rPr>
        <w:t>[15]</w:t>
      </w:r>
      <w:r>
        <w:rPr>
          <w:rFonts w:hint="eastAsia"/>
          <w:sz w:val="24"/>
        </w:rPr>
        <w:t>研究表明，低蛋白饵料中补充适量赖氨酸和蛋氨酸能够提高草鱼肝脏谷草转氨酶活性，促进转氨作用，利于肌肉合成。无鱼粉饵料中补充适量限制性氨基酸能够提高鲤的含</w:t>
      </w:r>
      <w:r>
        <w:rPr>
          <w:rFonts w:hint="eastAsia"/>
          <w:sz w:val="24"/>
        </w:rPr>
        <w:lastRenderedPageBreak/>
        <w:t>肉率，原因可能是饵料中氨基酸组成趋于平衡，促进机体对蛋白质的代谢和肌肉合成</w:t>
      </w:r>
      <w:r>
        <w:rPr>
          <w:rFonts w:hint="eastAsia"/>
          <w:sz w:val="24"/>
          <w:vertAlign w:val="superscript"/>
        </w:rPr>
        <w:t>[16]</w:t>
      </w:r>
      <w:r>
        <w:rPr>
          <w:rFonts w:hint="eastAsia"/>
          <w:sz w:val="24"/>
        </w:rPr>
        <w:t>。</w:t>
      </w:r>
    </w:p>
    <w:p w14:paraId="266EED70" w14:textId="77777777" w:rsidR="006D73E5" w:rsidRDefault="00000000">
      <w:pPr>
        <w:spacing w:line="360" w:lineRule="auto"/>
        <w:ind w:firstLineChars="200" w:firstLine="480"/>
        <w:rPr>
          <w:sz w:val="24"/>
        </w:rPr>
      </w:pPr>
      <w:r>
        <w:rPr>
          <w:rFonts w:hint="eastAsia"/>
          <w:sz w:val="24"/>
        </w:rPr>
        <w:t>本研究中，无鱼粉饵料中补充适量限制性氨基酸，</w:t>
      </w:r>
      <w:r>
        <w:rPr>
          <w:rFonts w:hint="eastAsia"/>
          <w:sz w:val="24"/>
        </w:rPr>
        <w:t>G4</w:t>
      </w:r>
      <w:r>
        <w:rPr>
          <w:rFonts w:hint="eastAsia"/>
          <w:sz w:val="24"/>
        </w:rPr>
        <w:t>组和</w:t>
      </w:r>
      <w:r>
        <w:rPr>
          <w:rFonts w:hint="eastAsia"/>
          <w:sz w:val="24"/>
        </w:rPr>
        <w:t>G5</w:t>
      </w:r>
      <w:r>
        <w:rPr>
          <w:rFonts w:hint="eastAsia"/>
          <w:sz w:val="24"/>
        </w:rPr>
        <w:t>组鲤的肝体比与</w:t>
      </w:r>
      <w:r>
        <w:rPr>
          <w:rFonts w:hint="eastAsia"/>
          <w:sz w:val="24"/>
        </w:rPr>
        <w:t>G3</w:t>
      </w:r>
      <w:r>
        <w:rPr>
          <w:rFonts w:hint="eastAsia"/>
          <w:sz w:val="24"/>
        </w:rPr>
        <w:t>组、</w:t>
      </w:r>
      <w:r>
        <w:rPr>
          <w:rFonts w:hint="eastAsia"/>
          <w:sz w:val="24"/>
        </w:rPr>
        <w:t>G4</w:t>
      </w:r>
      <w:r>
        <w:rPr>
          <w:rFonts w:hint="eastAsia"/>
          <w:sz w:val="24"/>
        </w:rPr>
        <w:t>组和</w:t>
      </w:r>
      <w:r>
        <w:rPr>
          <w:rFonts w:hint="eastAsia"/>
          <w:sz w:val="24"/>
        </w:rPr>
        <w:t>G5</w:t>
      </w:r>
      <w:r>
        <w:rPr>
          <w:rFonts w:hint="eastAsia"/>
          <w:sz w:val="24"/>
        </w:rPr>
        <w:t>组鲤的脏体比均显著低于对照组，表明无鱼粉饵料中补充适量限制性氨基酸能够促进内脏脂肪和糖原的转化，与对团头鲂</w:t>
      </w:r>
      <w:r>
        <w:rPr>
          <w:rFonts w:hint="eastAsia"/>
          <w:sz w:val="24"/>
          <w:vertAlign w:val="superscript"/>
        </w:rPr>
        <w:t>[17]</w:t>
      </w:r>
      <w:r>
        <w:rPr>
          <w:rFonts w:hint="eastAsia"/>
          <w:sz w:val="24"/>
        </w:rPr>
        <w:t>、草鱼</w:t>
      </w:r>
      <w:r>
        <w:rPr>
          <w:rFonts w:hint="eastAsia"/>
          <w:sz w:val="24"/>
          <w:vertAlign w:val="superscript"/>
        </w:rPr>
        <w:t>[18]</w:t>
      </w:r>
      <w:r>
        <w:rPr>
          <w:rFonts w:hint="eastAsia"/>
          <w:sz w:val="24"/>
        </w:rPr>
        <w:t>和吉富罗非鱼</w:t>
      </w:r>
      <w:r>
        <w:rPr>
          <w:rFonts w:hint="eastAsia"/>
          <w:sz w:val="24"/>
          <w:vertAlign w:val="superscript"/>
        </w:rPr>
        <w:t>[19]</w:t>
      </w:r>
      <w:r>
        <w:rPr>
          <w:rFonts w:hint="eastAsia"/>
          <w:sz w:val="24"/>
        </w:rPr>
        <w:t>的研究结果相似，适宜的赖氨酸和蛋氨酸能够降低鱼体的脏体比和肝体比，促进脂肪和糖原向蛋白质转化。</w:t>
      </w:r>
    </w:p>
    <w:p w14:paraId="0897A341" w14:textId="77777777" w:rsidR="006D73E5" w:rsidRDefault="00000000">
      <w:pPr>
        <w:spacing w:line="360" w:lineRule="auto"/>
        <w:rPr>
          <w:sz w:val="24"/>
        </w:rPr>
      </w:pPr>
      <w:r>
        <w:rPr>
          <w:rFonts w:hint="eastAsia"/>
          <w:sz w:val="24"/>
        </w:rPr>
        <w:t xml:space="preserve">3.2  </w:t>
      </w:r>
      <w:r>
        <w:rPr>
          <w:rFonts w:hint="eastAsia"/>
          <w:sz w:val="24"/>
        </w:rPr>
        <w:t>无鱼粉饵料中补充限制性氨基酸对鲤肌肉常规营养成分的影响</w:t>
      </w:r>
    </w:p>
    <w:p w14:paraId="3C5EA59E" w14:textId="77777777" w:rsidR="006D73E5" w:rsidRDefault="00000000">
      <w:pPr>
        <w:spacing w:line="360" w:lineRule="auto"/>
        <w:ind w:firstLineChars="200" w:firstLine="480"/>
        <w:rPr>
          <w:sz w:val="24"/>
        </w:rPr>
      </w:pPr>
      <w:r>
        <w:rPr>
          <w:rFonts w:hint="eastAsia"/>
          <w:sz w:val="24"/>
        </w:rPr>
        <w:t>鱼肉常规营养成分是评估鱼肉质量和营养价值的依据，受饲料成分、生长环境和加工技术等因素的影响</w:t>
      </w:r>
      <w:r>
        <w:rPr>
          <w:rFonts w:hint="eastAsia"/>
          <w:sz w:val="24"/>
          <w:vertAlign w:val="superscript"/>
        </w:rPr>
        <w:t>[20]</w:t>
      </w:r>
      <w:r>
        <w:rPr>
          <w:rFonts w:hint="eastAsia"/>
          <w:sz w:val="24"/>
        </w:rPr>
        <w:t>。本试验中，鲤肌肉粗蛋白含量随限制性氨基酸补充水平的提高呈增加趋势，</w:t>
      </w:r>
      <w:r>
        <w:rPr>
          <w:rFonts w:hint="eastAsia"/>
          <w:sz w:val="24"/>
        </w:rPr>
        <w:t>G4</w:t>
      </w:r>
      <w:r>
        <w:rPr>
          <w:rFonts w:hint="eastAsia"/>
          <w:sz w:val="24"/>
        </w:rPr>
        <w:t>组和</w:t>
      </w:r>
      <w:r>
        <w:rPr>
          <w:rFonts w:hint="eastAsia"/>
          <w:sz w:val="24"/>
        </w:rPr>
        <w:t>G5</w:t>
      </w:r>
      <w:r>
        <w:rPr>
          <w:rFonts w:hint="eastAsia"/>
          <w:sz w:val="24"/>
        </w:rPr>
        <w:t>组粗蛋白含量显著高于对照组，表明无鱼粉饵料中添加适量限制性氨基酸能够提高了鲤肌肉中粗蛋白含量，与对吉富罗非鱼</w:t>
      </w:r>
      <w:r>
        <w:rPr>
          <w:rFonts w:hint="eastAsia"/>
          <w:sz w:val="24"/>
          <w:vertAlign w:val="superscript"/>
        </w:rPr>
        <w:t>[19]</w:t>
      </w:r>
      <w:r>
        <w:rPr>
          <w:rFonts w:hint="eastAsia"/>
          <w:sz w:val="24"/>
        </w:rPr>
        <w:t>、雅罗鱼</w:t>
      </w:r>
      <w:r>
        <w:rPr>
          <w:rFonts w:hint="eastAsia"/>
          <w:sz w:val="24"/>
          <w:vertAlign w:val="superscript"/>
        </w:rPr>
        <w:t>[20]</w:t>
      </w:r>
      <w:r>
        <w:rPr>
          <w:rFonts w:hint="eastAsia"/>
          <w:sz w:val="24"/>
        </w:rPr>
        <w:t>、大黄鱼</w:t>
      </w:r>
      <w:r>
        <w:rPr>
          <w:rFonts w:hint="eastAsia"/>
          <w:sz w:val="24"/>
          <w:vertAlign w:val="superscript"/>
        </w:rPr>
        <w:t>[21]</w:t>
      </w:r>
      <w:r>
        <w:rPr>
          <w:rFonts w:hint="eastAsia"/>
          <w:sz w:val="24"/>
        </w:rPr>
        <w:t>和大口黑鲈</w:t>
      </w:r>
      <w:r>
        <w:rPr>
          <w:rFonts w:hint="eastAsia"/>
          <w:sz w:val="24"/>
          <w:vertAlign w:val="superscript"/>
        </w:rPr>
        <w:t>[22]</w:t>
      </w:r>
      <w:r>
        <w:rPr>
          <w:rFonts w:hint="eastAsia"/>
          <w:sz w:val="24"/>
        </w:rPr>
        <w:t>的研究结果相似。</w:t>
      </w:r>
      <w:r>
        <w:rPr>
          <w:rFonts w:hint="eastAsia"/>
          <w:sz w:val="24"/>
        </w:rPr>
        <w:t>Berge</w:t>
      </w:r>
      <w:r>
        <w:rPr>
          <w:rFonts w:hint="eastAsia"/>
          <w:sz w:val="24"/>
        </w:rPr>
        <w:t>等</w:t>
      </w:r>
      <w:r>
        <w:rPr>
          <w:rFonts w:hint="eastAsia"/>
          <w:sz w:val="24"/>
          <w:vertAlign w:val="superscript"/>
        </w:rPr>
        <w:t>[23]</w:t>
      </w:r>
      <w:r>
        <w:rPr>
          <w:rFonts w:hint="eastAsia"/>
          <w:sz w:val="24"/>
        </w:rPr>
        <w:t>研究表明，随着饵料中限制性氨基酸添加水平的增加，饵料中的氨基酸组成趋于平衡，促进了饵料中蛋白质向鱼体蛋白质的转化。本试验中，无鱼粉饵料中补充限制性氨基酸，各组鲤肌肉粗脂肪、灰分和水分含量无显著差异，与在草鱼</w:t>
      </w:r>
      <w:r>
        <w:rPr>
          <w:rFonts w:hint="eastAsia"/>
          <w:sz w:val="24"/>
          <w:vertAlign w:val="superscript"/>
        </w:rPr>
        <w:t>[15]</w:t>
      </w:r>
      <w:r>
        <w:rPr>
          <w:rFonts w:hint="eastAsia"/>
          <w:sz w:val="24"/>
        </w:rPr>
        <w:t>、雅罗鱼</w:t>
      </w:r>
      <w:r>
        <w:rPr>
          <w:rFonts w:hint="eastAsia"/>
          <w:sz w:val="24"/>
          <w:vertAlign w:val="superscript"/>
        </w:rPr>
        <w:t>[20]</w:t>
      </w:r>
      <w:r>
        <w:rPr>
          <w:rFonts w:hint="eastAsia"/>
          <w:sz w:val="24"/>
        </w:rPr>
        <w:t>和克氏原螯虾</w:t>
      </w:r>
      <w:r>
        <w:rPr>
          <w:rFonts w:hint="eastAsia"/>
          <w:sz w:val="24"/>
          <w:vertAlign w:val="superscript"/>
        </w:rPr>
        <w:t>[24]</w:t>
      </w:r>
      <w:r>
        <w:rPr>
          <w:rFonts w:hint="eastAsia"/>
          <w:sz w:val="24"/>
        </w:rPr>
        <w:t>上的研究相似，但与吉富罗非鱼</w:t>
      </w:r>
      <w:r>
        <w:rPr>
          <w:rFonts w:hint="eastAsia"/>
          <w:sz w:val="24"/>
          <w:vertAlign w:val="superscript"/>
        </w:rPr>
        <w:t>[19]</w:t>
      </w:r>
      <w:r>
        <w:rPr>
          <w:rFonts w:hint="eastAsia"/>
          <w:sz w:val="24"/>
        </w:rPr>
        <w:t>的研究结果不一致，原因可能是试验鱼种类、养殖环境及基础饵料存在差异。</w:t>
      </w:r>
    </w:p>
    <w:p w14:paraId="1604704C" w14:textId="77777777" w:rsidR="006D73E5" w:rsidRDefault="00000000">
      <w:pPr>
        <w:spacing w:line="360" w:lineRule="auto"/>
        <w:rPr>
          <w:sz w:val="24"/>
        </w:rPr>
      </w:pPr>
      <w:r>
        <w:rPr>
          <w:rFonts w:hint="eastAsia"/>
          <w:sz w:val="24"/>
        </w:rPr>
        <w:t xml:space="preserve">3.3  </w:t>
      </w:r>
      <w:r>
        <w:rPr>
          <w:rFonts w:hint="eastAsia"/>
          <w:sz w:val="24"/>
        </w:rPr>
        <w:t>无鱼粉饵料中补充限制性氨基酸对鲤肌肉氨基酸组成的影响</w:t>
      </w:r>
      <w:r>
        <w:rPr>
          <w:rFonts w:hint="eastAsia"/>
          <w:sz w:val="24"/>
        </w:rPr>
        <w:t xml:space="preserve"> </w:t>
      </w:r>
    </w:p>
    <w:p w14:paraId="4354DB8A" w14:textId="77777777" w:rsidR="006D73E5" w:rsidRDefault="00000000">
      <w:pPr>
        <w:spacing w:line="360" w:lineRule="auto"/>
        <w:ind w:firstLineChars="200" w:firstLine="480"/>
        <w:rPr>
          <w:sz w:val="24"/>
        </w:rPr>
      </w:pPr>
      <w:r>
        <w:rPr>
          <w:rFonts w:hint="eastAsia"/>
          <w:sz w:val="24"/>
        </w:rPr>
        <w:t>鱼肉氨基酸含量和组成决定其营养价值，鱼肉的风味和口感会受氨基酸种类影响</w:t>
      </w:r>
      <w:r>
        <w:rPr>
          <w:rFonts w:hint="eastAsia"/>
          <w:sz w:val="24"/>
          <w:vertAlign w:val="superscript"/>
        </w:rPr>
        <w:t>[25]</w:t>
      </w:r>
      <w:r>
        <w:rPr>
          <w:rFonts w:hint="eastAsia"/>
          <w:sz w:val="24"/>
        </w:rPr>
        <w:t>。本研究中，无鱼粉饵料中补充限制性氨基酸后，鲤肌肉必需氨基酸含量呈上升趋势，</w:t>
      </w:r>
      <w:r>
        <w:rPr>
          <w:rFonts w:hint="eastAsia"/>
          <w:sz w:val="24"/>
        </w:rPr>
        <w:t>G2</w:t>
      </w:r>
      <w:r>
        <w:rPr>
          <w:rFonts w:hint="eastAsia"/>
          <w:sz w:val="24"/>
        </w:rPr>
        <w:t>组、</w:t>
      </w:r>
      <w:r>
        <w:rPr>
          <w:rFonts w:hint="eastAsia"/>
          <w:sz w:val="24"/>
        </w:rPr>
        <w:t>G3</w:t>
      </w:r>
      <w:r>
        <w:rPr>
          <w:rFonts w:hint="eastAsia"/>
          <w:sz w:val="24"/>
        </w:rPr>
        <w:t>组、</w:t>
      </w:r>
      <w:r>
        <w:rPr>
          <w:rFonts w:hint="eastAsia"/>
          <w:sz w:val="24"/>
        </w:rPr>
        <w:t>G4</w:t>
      </w:r>
      <w:r>
        <w:rPr>
          <w:rFonts w:hint="eastAsia"/>
          <w:sz w:val="24"/>
        </w:rPr>
        <w:t>组和</w:t>
      </w:r>
      <w:r>
        <w:rPr>
          <w:rFonts w:hint="eastAsia"/>
          <w:sz w:val="24"/>
        </w:rPr>
        <w:t>G5</w:t>
      </w:r>
      <w:r>
        <w:rPr>
          <w:rFonts w:hint="eastAsia"/>
          <w:sz w:val="24"/>
        </w:rPr>
        <w:t>组鲤肌肉苏氨酸含量均显著高于对照组，</w:t>
      </w:r>
      <w:r>
        <w:rPr>
          <w:rFonts w:hint="eastAsia"/>
          <w:sz w:val="24"/>
        </w:rPr>
        <w:t>G5</w:t>
      </w:r>
      <w:r>
        <w:rPr>
          <w:rFonts w:hint="eastAsia"/>
          <w:sz w:val="24"/>
        </w:rPr>
        <w:t>组鲤肌肉赖氨酸含量显著高于对照组，</w:t>
      </w:r>
      <w:r>
        <w:rPr>
          <w:rFonts w:hint="eastAsia"/>
          <w:sz w:val="24"/>
        </w:rPr>
        <w:t>G3</w:t>
      </w:r>
      <w:r>
        <w:rPr>
          <w:rFonts w:hint="eastAsia"/>
          <w:sz w:val="24"/>
        </w:rPr>
        <w:t>组、</w:t>
      </w:r>
      <w:r>
        <w:rPr>
          <w:rFonts w:hint="eastAsia"/>
          <w:sz w:val="24"/>
        </w:rPr>
        <w:t>G4</w:t>
      </w:r>
      <w:r>
        <w:rPr>
          <w:rFonts w:hint="eastAsia"/>
          <w:sz w:val="24"/>
        </w:rPr>
        <w:t>组和</w:t>
      </w:r>
      <w:r>
        <w:rPr>
          <w:rFonts w:hint="eastAsia"/>
          <w:sz w:val="24"/>
        </w:rPr>
        <w:t>G5</w:t>
      </w:r>
      <w:r>
        <w:rPr>
          <w:rFonts w:hint="eastAsia"/>
          <w:sz w:val="24"/>
        </w:rPr>
        <w:t>组鲤肌肉蛋氨酸含量显著高于对照组，表明无鱼粉饵料中补充适量的限制性氨基酸能够提高鲤肌肉中的部分必需氨基酸含量，与在雅罗鱼</w:t>
      </w:r>
      <w:r>
        <w:rPr>
          <w:rFonts w:hint="eastAsia"/>
          <w:sz w:val="24"/>
          <w:vertAlign w:val="superscript"/>
        </w:rPr>
        <w:t>[20]</w:t>
      </w:r>
      <w:r>
        <w:rPr>
          <w:rFonts w:hint="eastAsia"/>
          <w:sz w:val="24"/>
        </w:rPr>
        <w:t>、吉富罗非鱼</w:t>
      </w:r>
      <w:r>
        <w:rPr>
          <w:rFonts w:hint="eastAsia"/>
          <w:sz w:val="24"/>
          <w:vertAlign w:val="superscript"/>
        </w:rPr>
        <w:t>[19]</w:t>
      </w:r>
      <w:r>
        <w:rPr>
          <w:rFonts w:hint="eastAsia"/>
          <w:sz w:val="24"/>
        </w:rPr>
        <w:t>、军曹鱼</w:t>
      </w:r>
      <w:r>
        <w:rPr>
          <w:rFonts w:hint="eastAsia"/>
          <w:sz w:val="24"/>
          <w:vertAlign w:val="superscript"/>
        </w:rPr>
        <w:t>[26]</w:t>
      </w:r>
      <w:r>
        <w:rPr>
          <w:rFonts w:hint="eastAsia"/>
          <w:sz w:val="24"/>
        </w:rPr>
        <w:t>和胭脂鱼</w:t>
      </w:r>
      <w:r>
        <w:rPr>
          <w:rFonts w:hint="eastAsia"/>
          <w:sz w:val="24"/>
          <w:vertAlign w:val="superscript"/>
        </w:rPr>
        <w:t>[27]</w:t>
      </w:r>
      <w:r>
        <w:rPr>
          <w:rFonts w:hint="eastAsia"/>
          <w:sz w:val="24"/>
        </w:rPr>
        <w:t>上的研究结果相似。</w:t>
      </w:r>
    </w:p>
    <w:p w14:paraId="2977255C" w14:textId="77777777" w:rsidR="006D73E5" w:rsidRDefault="00000000">
      <w:pPr>
        <w:spacing w:line="360" w:lineRule="auto"/>
        <w:ind w:firstLineChars="200" w:firstLine="480"/>
        <w:rPr>
          <w:sz w:val="24"/>
        </w:rPr>
      </w:pPr>
      <w:r>
        <w:rPr>
          <w:rFonts w:hint="eastAsia"/>
          <w:sz w:val="24"/>
        </w:rPr>
        <w:t>本试验中，各试验组鲤肌肉氨基酸总量、必需氨基酸总量、非必需氨基酸总量和鲜味氨基酸总量均显著高于对照组，表明无鱼粉饵料中补充适量的限制性氨基酸能够提高鲤肌肉中氨基酸含量，增加鱼肉的营养价值，改善肌肉品质。张玲等</w:t>
      </w:r>
      <w:r>
        <w:rPr>
          <w:rFonts w:hint="eastAsia"/>
          <w:sz w:val="24"/>
          <w:vertAlign w:val="superscript"/>
        </w:rPr>
        <w:t>[28]</w:t>
      </w:r>
      <w:r>
        <w:rPr>
          <w:rFonts w:hint="eastAsia"/>
          <w:sz w:val="24"/>
        </w:rPr>
        <w:t>认为，饵料中添加适量的赖氨酸和蛋氨酸可以使饵料中氨基酸的组成趋于平衡，能够促进其他氨基酸在肌肉中沉积。鱼肉的鲜嫩滋味很大限度上取决于鲜味氨基酸含量</w:t>
      </w:r>
      <w:r>
        <w:rPr>
          <w:rFonts w:hint="eastAsia"/>
          <w:sz w:val="24"/>
          <w:vertAlign w:val="superscript"/>
        </w:rPr>
        <w:t>[25]</w:t>
      </w:r>
      <w:r>
        <w:rPr>
          <w:rFonts w:hint="eastAsia"/>
          <w:sz w:val="24"/>
        </w:rPr>
        <w:t>。</w:t>
      </w:r>
    </w:p>
    <w:p w14:paraId="5AE1074C" w14:textId="77777777" w:rsidR="006D73E5" w:rsidRDefault="00000000">
      <w:pPr>
        <w:spacing w:line="360" w:lineRule="auto"/>
        <w:ind w:firstLineChars="200" w:firstLine="480"/>
        <w:rPr>
          <w:sz w:val="24"/>
        </w:rPr>
      </w:pPr>
      <w:r>
        <w:rPr>
          <w:rFonts w:hint="eastAsia"/>
          <w:sz w:val="24"/>
        </w:rPr>
        <w:t>本试验中，无鱼粉饵料中补充限制性氨基酸，鲤肌肉鲜味氨基酸含量逐渐增加，各试验组甘氨酸、天冬氨酸和谷氨酸含量显著高于对照组，各组鲜味氨基酸总量显著高于对照</w:t>
      </w:r>
      <w:r>
        <w:rPr>
          <w:rFonts w:hint="eastAsia"/>
          <w:sz w:val="24"/>
        </w:rPr>
        <w:lastRenderedPageBreak/>
        <w:t>组，</w:t>
      </w:r>
      <w:r>
        <w:rPr>
          <w:rFonts w:hint="eastAsia"/>
          <w:sz w:val="24"/>
        </w:rPr>
        <w:t>DAA/TAA</w:t>
      </w:r>
      <w:r>
        <w:rPr>
          <w:rFonts w:hint="eastAsia"/>
          <w:sz w:val="24"/>
        </w:rPr>
        <w:t>逐渐升高，表明无鱼粉饵料中补充适量的限制性氨基酸能够增加鲤肌肉鲜味氨基酸，改善鲤肌肉的风味。本研究中，各组</w:t>
      </w:r>
      <w:r>
        <w:rPr>
          <w:rFonts w:hint="eastAsia"/>
          <w:sz w:val="24"/>
        </w:rPr>
        <w:t>EAA/TAA</w:t>
      </w:r>
      <w:r>
        <w:rPr>
          <w:rFonts w:hint="eastAsia"/>
          <w:sz w:val="24"/>
        </w:rPr>
        <w:t>和</w:t>
      </w:r>
      <w:r>
        <w:rPr>
          <w:rFonts w:hint="eastAsia"/>
          <w:sz w:val="24"/>
        </w:rPr>
        <w:t>EAA/NEAA</w:t>
      </w:r>
      <w:r>
        <w:rPr>
          <w:rFonts w:hint="eastAsia"/>
          <w:sz w:val="24"/>
        </w:rPr>
        <w:t>分别在</w:t>
      </w:r>
      <w:r>
        <w:rPr>
          <w:rFonts w:hint="eastAsia"/>
          <w:sz w:val="24"/>
        </w:rPr>
        <w:t>40 %</w:t>
      </w:r>
      <w:r>
        <w:rPr>
          <w:rFonts w:hint="eastAsia"/>
          <w:sz w:val="24"/>
        </w:rPr>
        <w:t>和</w:t>
      </w:r>
      <w:r>
        <w:rPr>
          <w:rFonts w:hint="eastAsia"/>
          <w:sz w:val="24"/>
        </w:rPr>
        <w:t>60 %</w:t>
      </w:r>
      <w:r>
        <w:rPr>
          <w:rFonts w:hint="eastAsia"/>
          <w:sz w:val="24"/>
        </w:rPr>
        <w:t>以上，高于</w:t>
      </w:r>
      <w:r>
        <w:rPr>
          <w:rFonts w:hint="eastAsia"/>
          <w:sz w:val="24"/>
        </w:rPr>
        <w:t>FAO/WHO</w:t>
      </w:r>
      <w:r>
        <w:rPr>
          <w:rFonts w:hint="eastAsia"/>
          <w:sz w:val="24"/>
        </w:rPr>
        <w:t>理想蛋白标准，表明各组鲤肌肉为优质蛋白质。</w:t>
      </w:r>
      <w:r>
        <w:rPr>
          <w:rFonts w:hint="eastAsia"/>
          <w:sz w:val="24"/>
        </w:rPr>
        <w:t xml:space="preserve"> </w:t>
      </w:r>
    </w:p>
    <w:p w14:paraId="05E1D664" w14:textId="77777777" w:rsidR="006D73E5" w:rsidRDefault="00000000">
      <w:pPr>
        <w:spacing w:line="360" w:lineRule="auto"/>
        <w:rPr>
          <w:sz w:val="24"/>
        </w:rPr>
      </w:pPr>
      <w:r>
        <w:rPr>
          <w:rFonts w:hint="eastAsia"/>
          <w:sz w:val="24"/>
        </w:rPr>
        <w:t xml:space="preserve">3.4  </w:t>
      </w:r>
      <w:r>
        <w:rPr>
          <w:rFonts w:hint="eastAsia"/>
          <w:sz w:val="24"/>
        </w:rPr>
        <w:t>无鱼粉饵料中补充限制性氨基酸对鲤肌肉蛋白质评价的影响</w:t>
      </w:r>
      <w:r>
        <w:rPr>
          <w:rFonts w:hint="eastAsia"/>
          <w:sz w:val="24"/>
        </w:rPr>
        <w:t xml:space="preserve"> </w:t>
      </w:r>
    </w:p>
    <w:p w14:paraId="43EA5D65" w14:textId="77777777" w:rsidR="006D73E5" w:rsidRDefault="00000000">
      <w:pPr>
        <w:spacing w:line="360" w:lineRule="auto"/>
        <w:ind w:firstLineChars="200" w:firstLine="480"/>
        <w:rPr>
          <w:sz w:val="24"/>
        </w:rPr>
      </w:pPr>
      <w:r>
        <w:rPr>
          <w:rFonts w:hint="eastAsia"/>
          <w:sz w:val="24"/>
        </w:rPr>
        <w:t>针对</w:t>
      </w:r>
      <w:r>
        <w:rPr>
          <w:rFonts w:hint="eastAsia"/>
          <w:sz w:val="24"/>
        </w:rPr>
        <w:t>AAS</w:t>
      </w:r>
      <w:r>
        <w:rPr>
          <w:rFonts w:hint="eastAsia"/>
          <w:sz w:val="24"/>
        </w:rPr>
        <w:t>和</w:t>
      </w:r>
      <w:r>
        <w:rPr>
          <w:rFonts w:hint="eastAsia"/>
          <w:sz w:val="24"/>
        </w:rPr>
        <w:t>CS</w:t>
      </w:r>
      <w:r>
        <w:rPr>
          <w:rFonts w:hint="eastAsia"/>
          <w:sz w:val="24"/>
        </w:rPr>
        <w:t>分析，对照组第一限制性氨基酸为苏氨酸，第二限制性氨基酸为蛋氨酸</w:t>
      </w:r>
      <w:r>
        <w:rPr>
          <w:rFonts w:hint="eastAsia"/>
          <w:sz w:val="24"/>
        </w:rPr>
        <w:t>+</w:t>
      </w:r>
      <w:r>
        <w:rPr>
          <w:rFonts w:hint="eastAsia"/>
          <w:sz w:val="24"/>
        </w:rPr>
        <w:t>胱氨酸，</w:t>
      </w:r>
      <w:r>
        <w:rPr>
          <w:rFonts w:hint="eastAsia"/>
          <w:sz w:val="24"/>
        </w:rPr>
        <w:t>G2</w:t>
      </w:r>
      <w:r>
        <w:rPr>
          <w:rFonts w:hint="eastAsia"/>
          <w:sz w:val="24"/>
        </w:rPr>
        <w:t>组、</w:t>
      </w:r>
      <w:r>
        <w:rPr>
          <w:rFonts w:hint="eastAsia"/>
          <w:sz w:val="24"/>
        </w:rPr>
        <w:t>G3</w:t>
      </w:r>
      <w:r>
        <w:rPr>
          <w:rFonts w:hint="eastAsia"/>
          <w:sz w:val="24"/>
        </w:rPr>
        <w:t>组、</w:t>
      </w:r>
      <w:r>
        <w:rPr>
          <w:rFonts w:hint="eastAsia"/>
          <w:sz w:val="24"/>
        </w:rPr>
        <w:t>G4</w:t>
      </w:r>
      <w:r>
        <w:rPr>
          <w:rFonts w:hint="eastAsia"/>
          <w:sz w:val="24"/>
        </w:rPr>
        <w:t>组和</w:t>
      </w:r>
      <w:r>
        <w:rPr>
          <w:rFonts w:hint="eastAsia"/>
          <w:sz w:val="24"/>
        </w:rPr>
        <w:t>G5</w:t>
      </w:r>
      <w:r>
        <w:rPr>
          <w:rFonts w:hint="eastAsia"/>
          <w:sz w:val="24"/>
        </w:rPr>
        <w:t>组第一限制性氨基酸为蛋氨酸</w:t>
      </w:r>
      <w:r>
        <w:rPr>
          <w:rFonts w:hint="eastAsia"/>
          <w:sz w:val="24"/>
        </w:rPr>
        <w:t>+</w:t>
      </w:r>
      <w:r>
        <w:rPr>
          <w:rFonts w:hint="eastAsia"/>
          <w:sz w:val="24"/>
        </w:rPr>
        <w:t>胱氨酸，第二限制性氨基酸为缬氨酸，各组鲤肌肉赖氨酸均评分最高。杜强等</w:t>
      </w:r>
      <w:r>
        <w:rPr>
          <w:rFonts w:hint="eastAsia"/>
          <w:sz w:val="24"/>
          <w:vertAlign w:val="superscript"/>
        </w:rPr>
        <w:t>[11]</w:t>
      </w:r>
      <w:r>
        <w:rPr>
          <w:rFonts w:hint="eastAsia"/>
          <w:sz w:val="24"/>
        </w:rPr>
        <w:t>发现，鲤鱼的限制性氨基酸存在差异，同属鲤鱼的限制性氨基酸也存在不同。李艳华等</w:t>
      </w:r>
      <w:r>
        <w:rPr>
          <w:rFonts w:hint="eastAsia"/>
          <w:sz w:val="24"/>
          <w:vertAlign w:val="superscript"/>
        </w:rPr>
        <w:t>[29]</w:t>
      </w:r>
      <w:r>
        <w:rPr>
          <w:rFonts w:hint="eastAsia"/>
          <w:sz w:val="24"/>
        </w:rPr>
        <w:t>研究表明，饵料氨基酸组成的差异会影响鱼类蛋白质的合成，造成肌肉中限制性氨基酸的组成差异。何远法等</w:t>
      </w:r>
      <w:r>
        <w:rPr>
          <w:rFonts w:hint="eastAsia"/>
          <w:sz w:val="24"/>
          <w:vertAlign w:val="superscript"/>
        </w:rPr>
        <w:t>[26]</w:t>
      </w:r>
      <w:r>
        <w:rPr>
          <w:rFonts w:hint="eastAsia"/>
          <w:sz w:val="24"/>
        </w:rPr>
        <w:t>认为，鱼体对一种氨基酸的摄入会影响其他氨基酸含量的变化。</w:t>
      </w:r>
    </w:p>
    <w:p w14:paraId="110DC5D5" w14:textId="77777777" w:rsidR="006D73E5" w:rsidRDefault="00000000">
      <w:pPr>
        <w:spacing w:line="360" w:lineRule="auto"/>
        <w:ind w:firstLineChars="200" w:firstLine="480"/>
        <w:rPr>
          <w:sz w:val="24"/>
        </w:rPr>
      </w:pPr>
      <w:r>
        <w:rPr>
          <w:rFonts w:hint="eastAsia"/>
          <w:sz w:val="24"/>
        </w:rPr>
        <w:t>EAAI</w:t>
      </w:r>
      <w:r>
        <w:rPr>
          <w:rFonts w:hint="eastAsia"/>
          <w:sz w:val="24"/>
        </w:rPr>
        <w:t>可以反映样品中必需氨基酸含量与标准蛋白质中必需氨基酸含量的相似度，数值越大越接近标准蛋白的氨基酸组成，蛋白质质量越高</w:t>
      </w:r>
      <w:r>
        <w:rPr>
          <w:rFonts w:hint="eastAsia"/>
          <w:sz w:val="24"/>
          <w:vertAlign w:val="superscript"/>
        </w:rPr>
        <w:t>[29]</w:t>
      </w:r>
      <w:r>
        <w:rPr>
          <w:rFonts w:hint="eastAsia"/>
          <w:sz w:val="24"/>
        </w:rPr>
        <w:t>。本研究中，随着无鱼粉饵料中补充限制性氨基酸水平升高，</w:t>
      </w:r>
      <w:r>
        <w:rPr>
          <w:rFonts w:hint="eastAsia"/>
          <w:sz w:val="24"/>
        </w:rPr>
        <w:t>EAAI</w:t>
      </w:r>
      <w:r>
        <w:rPr>
          <w:rFonts w:hint="eastAsia"/>
          <w:sz w:val="24"/>
        </w:rPr>
        <w:t>呈上升趋势，</w:t>
      </w:r>
      <w:r>
        <w:rPr>
          <w:rFonts w:hint="eastAsia"/>
          <w:sz w:val="24"/>
        </w:rPr>
        <w:t>EAAI</w:t>
      </w:r>
      <w:r>
        <w:rPr>
          <w:rFonts w:hint="eastAsia"/>
          <w:sz w:val="24"/>
        </w:rPr>
        <w:t>由</w:t>
      </w:r>
      <w:r>
        <w:rPr>
          <w:rFonts w:hint="eastAsia"/>
          <w:sz w:val="24"/>
        </w:rPr>
        <w:t>60.83</w:t>
      </w:r>
      <w:r>
        <w:rPr>
          <w:rFonts w:hint="eastAsia"/>
          <w:sz w:val="24"/>
        </w:rPr>
        <w:t>升至</w:t>
      </w:r>
      <w:r>
        <w:rPr>
          <w:rFonts w:hint="eastAsia"/>
          <w:sz w:val="24"/>
        </w:rPr>
        <w:t>71.23</w:t>
      </w:r>
      <w:r>
        <w:rPr>
          <w:rFonts w:hint="eastAsia"/>
          <w:sz w:val="24"/>
        </w:rPr>
        <w:t>，远高于俄罗斯鲟的</w:t>
      </w:r>
      <w:r>
        <w:rPr>
          <w:rFonts w:hint="eastAsia"/>
          <w:sz w:val="24"/>
        </w:rPr>
        <w:t>48.58~50.23</w:t>
      </w:r>
      <w:r>
        <w:rPr>
          <w:rFonts w:hint="eastAsia"/>
          <w:sz w:val="24"/>
          <w:vertAlign w:val="superscript"/>
        </w:rPr>
        <w:t>[30]</w:t>
      </w:r>
      <w:r>
        <w:rPr>
          <w:rFonts w:hint="eastAsia"/>
          <w:sz w:val="24"/>
        </w:rPr>
        <w:t>、秀丽高原鳅的</w:t>
      </w:r>
      <w:r>
        <w:rPr>
          <w:rFonts w:hint="eastAsia"/>
          <w:sz w:val="24"/>
        </w:rPr>
        <w:t>48.11</w:t>
      </w:r>
      <w:r>
        <w:rPr>
          <w:rFonts w:hint="eastAsia"/>
          <w:sz w:val="24"/>
          <w:vertAlign w:val="superscript"/>
        </w:rPr>
        <w:t>[31]</w:t>
      </w:r>
      <w:r>
        <w:rPr>
          <w:rFonts w:hint="eastAsia"/>
          <w:sz w:val="24"/>
        </w:rPr>
        <w:t>和大口黑鲈的</w:t>
      </w:r>
      <w:r>
        <w:rPr>
          <w:rFonts w:hint="eastAsia"/>
          <w:sz w:val="24"/>
        </w:rPr>
        <w:t>52.89~54.32</w:t>
      </w:r>
      <w:r>
        <w:rPr>
          <w:rFonts w:hint="eastAsia"/>
          <w:sz w:val="24"/>
          <w:vertAlign w:val="superscript"/>
        </w:rPr>
        <w:t>[32]</w:t>
      </w:r>
      <w:r>
        <w:rPr>
          <w:rFonts w:hint="eastAsia"/>
          <w:sz w:val="24"/>
        </w:rPr>
        <w:t>，与养殖群体的马苏大马哈鱼的</w:t>
      </w:r>
      <w:r>
        <w:rPr>
          <w:rFonts w:hint="eastAsia"/>
          <w:sz w:val="24"/>
        </w:rPr>
        <w:t>70.77</w:t>
      </w:r>
      <w:r>
        <w:rPr>
          <w:rFonts w:hint="eastAsia"/>
          <w:sz w:val="24"/>
          <w:vertAlign w:val="superscript"/>
        </w:rPr>
        <w:t>[33]</w:t>
      </w:r>
      <w:r>
        <w:rPr>
          <w:rFonts w:hint="eastAsia"/>
          <w:sz w:val="24"/>
        </w:rPr>
        <w:t>接近，表明鲤蛋白质营养价值较高，无鱼粉饵料中补充适量的限制性氨基酸能够增加鲤肌肉的蛋白质营养。</w:t>
      </w:r>
    </w:p>
    <w:p w14:paraId="586B438F" w14:textId="77777777" w:rsidR="006D73E5" w:rsidRDefault="00000000">
      <w:pPr>
        <w:spacing w:line="360" w:lineRule="auto"/>
        <w:rPr>
          <w:sz w:val="24"/>
        </w:rPr>
      </w:pPr>
      <w:r>
        <w:rPr>
          <w:rFonts w:hint="eastAsia"/>
          <w:sz w:val="24"/>
        </w:rPr>
        <w:t xml:space="preserve">3.5  </w:t>
      </w:r>
      <w:r>
        <w:rPr>
          <w:rFonts w:hint="eastAsia"/>
          <w:sz w:val="24"/>
        </w:rPr>
        <w:t>无鱼粉饵料中补充限制性氨基酸对鲤肌肉质构特性的影响</w:t>
      </w:r>
      <w:r>
        <w:rPr>
          <w:rFonts w:hint="eastAsia"/>
          <w:sz w:val="24"/>
        </w:rPr>
        <w:t xml:space="preserve"> </w:t>
      </w:r>
    </w:p>
    <w:p w14:paraId="260BB438" w14:textId="77777777" w:rsidR="006D73E5" w:rsidRDefault="00000000">
      <w:pPr>
        <w:spacing w:line="360" w:lineRule="auto"/>
        <w:ind w:firstLineChars="200" w:firstLine="480"/>
        <w:rPr>
          <w:sz w:val="24"/>
        </w:rPr>
      </w:pPr>
      <w:r>
        <w:rPr>
          <w:rFonts w:hint="eastAsia"/>
          <w:sz w:val="24"/>
        </w:rPr>
        <w:t>肌肉的质构特性是评价肌肉品质的有效依据，通常由硬度、内聚性、弹性、胶黏性和咀嚼性等表示</w:t>
      </w:r>
      <w:r>
        <w:rPr>
          <w:rFonts w:hint="eastAsia"/>
          <w:sz w:val="24"/>
          <w:vertAlign w:val="superscript"/>
        </w:rPr>
        <w:t>[34]</w:t>
      </w:r>
      <w:r>
        <w:rPr>
          <w:rFonts w:hint="eastAsia"/>
          <w:sz w:val="24"/>
        </w:rPr>
        <w:t>。质构仪通过力学的测试方法，模拟口腔咀嚼动作分析肌肉的质构特性，将感官评价进行量化</w:t>
      </w:r>
      <w:r>
        <w:rPr>
          <w:rFonts w:hint="eastAsia"/>
          <w:sz w:val="24"/>
          <w:vertAlign w:val="superscript"/>
        </w:rPr>
        <w:t>[35]</w:t>
      </w:r>
      <w:r>
        <w:rPr>
          <w:rFonts w:hint="eastAsia"/>
          <w:sz w:val="24"/>
        </w:rPr>
        <w:t>。硬度高、弹性大和有韧性的鱼肉更被消费者喜爱</w:t>
      </w:r>
      <w:r>
        <w:rPr>
          <w:rFonts w:hint="eastAsia"/>
          <w:sz w:val="24"/>
          <w:vertAlign w:val="superscript"/>
        </w:rPr>
        <w:t>[36]</w:t>
      </w:r>
      <w:r>
        <w:rPr>
          <w:rFonts w:hint="eastAsia"/>
          <w:sz w:val="24"/>
        </w:rPr>
        <w:t>。硬度、弹性和咀嚼性存在联系，硬度越大弹性越大，咀嚼性表示咀嚼到吞咽时需要做的功</w:t>
      </w:r>
      <w:r>
        <w:rPr>
          <w:rFonts w:hint="eastAsia"/>
          <w:sz w:val="24"/>
          <w:vertAlign w:val="superscript"/>
        </w:rPr>
        <w:t>[37]</w:t>
      </w:r>
      <w:r>
        <w:rPr>
          <w:rFonts w:hint="eastAsia"/>
          <w:sz w:val="24"/>
        </w:rPr>
        <w:t>。</w:t>
      </w:r>
    </w:p>
    <w:p w14:paraId="2A0D9812" w14:textId="77777777" w:rsidR="006D73E5" w:rsidRDefault="00000000">
      <w:pPr>
        <w:spacing w:line="360" w:lineRule="auto"/>
        <w:ind w:firstLineChars="200" w:firstLine="480"/>
        <w:rPr>
          <w:sz w:val="24"/>
        </w:rPr>
      </w:pPr>
      <w:r>
        <w:rPr>
          <w:rFonts w:hint="eastAsia"/>
          <w:sz w:val="24"/>
        </w:rPr>
        <w:t>本研究中，无鱼粉饵料中补充限制性氨基酸，鲤肌肉的质构参数呈上升趋势，</w:t>
      </w:r>
      <w:r>
        <w:rPr>
          <w:rFonts w:hint="eastAsia"/>
          <w:sz w:val="24"/>
        </w:rPr>
        <w:t>G3</w:t>
      </w:r>
      <w:r>
        <w:rPr>
          <w:rFonts w:hint="eastAsia"/>
          <w:sz w:val="24"/>
        </w:rPr>
        <w:t>组、</w:t>
      </w:r>
      <w:r>
        <w:rPr>
          <w:rFonts w:hint="eastAsia"/>
          <w:sz w:val="24"/>
        </w:rPr>
        <w:t>G4</w:t>
      </w:r>
      <w:r>
        <w:rPr>
          <w:rFonts w:hint="eastAsia"/>
          <w:sz w:val="24"/>
        </w:rPr>
        <w:t>组和</w:t>
      </w:r>
      <w:r>
        <w:rPr>
          <w:rFonts w:hint="eastAsia"/>
          <w:sz w:val="24"/>
        </w:rPr>
        <w:t>G5</w:t>
      </w:r>
      <w:r>
        <w:rPr>
          <w:rFonts w:hint="eastAsia"/>
          <w:sz w:val="24"/>
        </w:rPr>
        <w:t>组肌肉弹性显著高于对照组，</w:t>
      </w:r>
      <w:r>
        <w:rPr>
          <w:rFonts w:hint="eastAsia"/>
          <w:sz w:val="24"/>
        </w:rPr>
        <w:t>G5</w:t>
      </w:r>
      <w:r>
        <w:rPr>
          <w:rFonts w:hint="eastAsia"/>
          <w:sz w:val="24"/>
        </w:rPr>
        <w:t>组肌肉咀嚼性显著高于对照组，表明无鱼粉饵料中补充适量的限制性氨基酸能够提高鲤肌肉质构参数，改善肌肉品质，与胡亚军等</w:t>
      </w:r>
      <w:r>
        <w:rPr>
          <w:rFonts w:hint="eastAsia"/>
          <w:sz w:val="24"/>
          <w:vertAlign w:val="superscript"/>
        </w:rPr>
        <w:t>[38]</w:t>
      </w:r>
      <w:r>
        <w:rPr>
          <w:rFonts w:hint="eastAsia"/>
          <w:sz w:val="24"/>
        </w:rPr>
        <w:t>研究结果相似，低鱼粉饵料中补充蛋氨酸能够提高黄鳝肌肉的硬度、弹性和咀嚼性。胡亚军等</w:t>
      </w:r>
      <w:r>
        <w:rPr>
          <w:rFonts w:hint="eastAsia"/>
          <w:sz w:val="24"/>
          <w:vertAlign w:val="superscript"/>
        </w:rPr>
        <w:t>[38]</w:t>
      </w:r>
      <w:r>
        <w:rPr>
          <w:rFonts w:hint="eastAsia"/>
          <w:sz w:val="24"/>
        </w:rPr>
        <w:t>研究表明，低鱼粉饵料中补充蛋氨酸，饵料中氨基酸组成趋于平衡，吸收达到同步有利于蛋白质合成，促进了肌肉的发育。肌肉纤维的类型、直径、长短和密度间存在密切联系</w:t>
      </w:r>
      <w:r>
        <w:rPr>
          <w:rFonts w:hint="eastAsia"/>
          <w:sz w:val="24"/>
          <w:vertAlign w:val="superscript"/>
        </w:rPr>
        <w:t>[39]</w:t>
      </w:r>
      <w:r>
        <w:rPr>
          <w:rFonts w:hint="eastAsia"/>
          <w:sz w:val="24"/>
        </w:rPr>
        <w:t>，饵料中补充适量的复合氨基酸能够改变赛马的肌肉纤维组成，提高肌肉质量</w:t>
      </w:r>
      <w:r>
        <w:rPr>
          <w:rFonts w:hint="eastAsia"/>
          <w:sz w:val="24"/>
          <w:vertAlign w:val="superscript"/>
        </w:rPr>
        <w:t>[40]</w:t>
      </w:r>
      <w:r>
        <w:rPr>
          <w:rFonts w:hint="eastAsia"/>
          <w:sz w:val="24"/>
        </w:rPr>
        <w:t>。因此，推测无鱼粉饵料中补充适量的限制性氨基酸能够通过影响鲤肌肉细胞的发育改善肌肉</w:t>
      </w:r>
      <w:r>
        <w:rPr>
          <w:rFonts w:hint="eastAsia"/>
          <w:sz w:val="24"/>
        </w:rPr>
        <w:lastRenderedPageBreak/>
        <w:t>品质。</w:t>
      </w:r>
    </w:p>
    <w:p w14:paraId="668FA834" w14:textId="77777777" w:rsidR="006D73E5" w:rsidRDefault="00000000">
      <w:pPr>
        <w:spacing w:line="360" w:lineRule="auto"/>
        <w:rPr>
          <w:sz w:val="24"/>
        </w:rPr>
      </w:pPr>
      <w:r>
        <w:rPr>
          <w:rFonts w:hint="eastAsia"/>
          <w:sz w:val="24"/>
        </w:rPr>
        <w:t xml:space="preserve">4  </w:t>
      </w:r>
      <w:r>
        <w:rPr>
          <w:rFonts w:hint="eastAsia"/>
          <w:sz w:val="24"/>
        </w:rPr>
        <w:t>结论</w:t>
      </w:r>
      <w:r>
        <w:rPr>
          <w:rFonts w:hint="eastAsia"/>
          <w:sz w:val="24"/>
        </w:rPr>
        <w:t xml:space="preserve"> </w:t>
      </w:r>
    </w:p>
    <w:p w14:paraId="3034BF8A" w14:textId="77777777" w:rsidR="006D73E5" w:rsidRDefault="00000000">
      <w:pPr>
        <w:spacing w:line="360" w:lineRule="auto"/>
        <w:ind w:firstLineChars="200" w:firstLine="480"/>
        <w:rPr>
          <w:sz w:val="24"/>
        </w:rPr>
      </w:pPr>
      <w:r>
        <w:rPr>
          <w:rFonts w:hint="eastAsia"/>
          <w:sz w:val="24"/>
        </w:rPr>
        <w:t>本试验条件下，无鱼粉饵料中添加适量的限制性氨基酸能够提高鲤的含肉率，增加肌肉粗蛋白、总氨基酸、必需氨基酸及鲜味氨基酸含量，改善肌肉质构参数及肉品质，且以</w:t>
      </w:r>
      <w:r>
        <w:rPr>
          <w:rFonts w:hint="eastAsia"/>
          <w:sz w:val="24"/>
        </w:rPr>
        <w:t>2.0 %</w:t>
      </w:r>
      <w:r>
        <w:rPr>
          <w:rFonts w:hint="eastAsia"/>
          <w:sz w:val="24"/>
        </w:rPr>
        <w:t>的补充量效果最好。</w:t>
      </w:r>
    </w:p>
    <w:p w14:paraId="72A4D324" w14:textId="77777777" w:rsidR="006D73E5" w:rsidRDefault="00000000">
      <w:pPr>
        <w:spacing w:line="360" w:lineRule="auto"/>
        <w:rPr>
          <w:sz w:val="24"/>
        </w:rPr>
      </w:pPr>
      <w:r>
        <w:rPr>
          <w:rFonts w:hint="eastAsia"/>
          <w:sz w:val="24"/>
        </w:rPr>
        <w:t>参考文献：略</w:t>
      </w:r>
    </w:p>
    <w:p w14:paraId="38450D41" w14:textId="77777777" w:rsidR="006D73E5" w:rsidRDefault="00000000">
      <w:pPr>
        <w:spacing w:line="360" w:lineRule="auto"/>
        <w:ind w:firstLineChars="1200" w:firstLine="2520"/>
        <w:jc w:val="right"/>
        <w:rPr>
          <w:sz w:val="24"/>
        </w:rPr>
      </w:pPr>
      <w:r>
        <w:rPr>
          <w:rFonts w:hint="eastAsia"/>
          <w:szCs w:val="21"/>
        </w:rPr>
        <w:t>原文刊登在《水生动物营养》，网络首发时间</w:t>
      </w:r>
      <w:r>
        <w:rPr>
          <w:szCs w:val="21"/>
        </w:rPr>
        <w:t>: 202</w:t>
      </w:r>
      <w:r>
        <w:rPr>
          <w:rFonts w:hint="eastAsia"/>
          <w:szCs w:val="21"/>
        </w:rPr>
        <w:t>2</w:t>
      </w:r>
      <w:r>
        <w:rPr>
          <w:szCs w:val="21"/>
        </w:rPr>
        <w:t>-08-</w:t>
      </w:r>
      <w:r>
        <w:rPr>
          <w:rFonts w:hint="eastAsia"/>
          <w:szCs w:val="21"/>
        </w:rPr>
        <w:t>30</w:t>
      </w:r>
      <w:r>
        <w:rPr>
          <w:szCs w:val="21"/>
        </w:rPr>
        <w:t xml:space="preserve"> 1</w:t>
      </w:r>
      <w:r>
        <w:rPr>
          <w:rFonts w:hint="eastAsia"/>
          <w:szCs w:val="21"/>
        </w:rPr>
        <w:t>3</w:t>
      </w:r>
      <w:r>
        <w:rPr>
          <w:szCs w:val="21"/>
        </w:rPr>
        <w:t>:34:37</w:t>
      </w:r>
    </w:p>
    <w:p w14:paraId="4C1A5625" w14:textId="77777777" w:rsidR="006D73E5" w:rsidRDefault="00000000">
      <w:pPr>
        <w:jc w:val="center"/>
        <w:outlineLvl w:val="1"/>
        <w:rPr>
          <w:rFonts w:ascii="黑体" w:eastAsia="黑体" w:hAnsi="黑体"/>
          <w:b/>
          <w:bCs/>
          <w:sz w:val="32"/>
          <w:szCs w:val="32"/>
        </w:rPr>
      </w:pPr>
      <w:bookmarkStart w:id="36" w:name="_Toc114077825"/>
      <w:r>
        <w:rPr>
          <w:rFonts w:ascii="黑体" w:eastAsia="黑体" w:hAnsi="黑体"/>
          <w:b/>
          <w:bCs/>
          <w:sz w:val="32"/>
          <w:szCs w:val="32"/>
        </w:rPr>
        <w:t>饲料添加 L-精氨酸或N-氨甲酰谷氨酸对杂交鳢肠道黏膜形态和肠道菌群的影响</w:t>
      </w:r>
      <w:bookmarkEnd w:id="36"/>
    </w:p>
    <w:p w14:paraId="2967B9FC" w14:textId="77777777" w:rsidR="006D73E5" w:rsidRDefault="00000000">
      <w:pPr>
        <w:jc w:val="center"/>
        <w:rPr>
          <w:szCs w:val="22"/>
        </w:rPr>
      </w:pPr>
      <w:r>
        <w:rPr>
          <w:szCs w:val="22"/>
        </w:rPr>
        <w:t>李培佳</w:t>
      </w:r>
      <w:r>
        <w:rPr>
          <w:szCs w:val="22"/>
          <w:vertAlign w:val="superscript"/>
        </w:rPr>
        <w:t>1,2</w:t>
      </w:r>
      <w:r>
        <w:rPr>
          <w:szCs w:val="22"/>
        </w:rPr>
        <w:t xml:space="preserve"> </w:t>
      </w:r>
      <w:r>
        <w:rPr>
          <w:szCs w:val="22"/>
        </w:rPr>
        <w:t>侯冬强</w:t>
      </w:r>
      <w:r>
        <w:rPr>
          <w:szCs w:val="22"/>
          <w:vertAlign w:val="superscript"/>
        </w:rPr>
        <w:t>1,2</w:t>
      </w:r>
      <w:r>
        <w:rPr>
          <w:szCs w:val="22"/>
        </w:rPr>
        <w:t xml:space="preserve"> </w:t>
      </w:r>
      <w:r>
        <w:rPr>
          <w:szCs w:val="22"/>
        </w:rPr>
        <w:t>赵红霞</w:t>
      </w:r>
      <w:r>
        <w:rPr>
          <w:szCs w:val="22"/>
          <w:vertAlign w:val="superscript"/>
        </w:rPr>
        <w:t>1</w:t>
      </w:r>
      <w:r>
        <w:rPr>
          <w:szCs w:val="22"/>
        </w:rPr>
        <w:t xml:space="preserve"> </w:t>
      </w:r>
      <w:r>
        <w:rPr>
          <w:szCs w:val="22"/>
        </w:rPr>
        <w:t>黄</w:t>
      </w:r>
      <w:r>
        <w:rPr>
          <w:szCs w:val="22"/>
        </w:rPr>
        <w:t xml:space="preserve"> </w:t>
      </w:r>
      <w:r>
        <w:rPr>
          <w:szCs w:val="22"/>
        </w:rPr>
        <w:t>文</w:t>
      </w:r>
      <w:r>
        <w:rPr>
          <w:szCs w:val="22"/>
          <w:vertAlign w:val="superscript"/>
        </w:rPr>
        <w:t>1</w:t>
      </w:r>
      <w:r>
        <w:rPr>
          <w:szCs w:val="22"/>
        </w:rPr>
        <w:t xml:space="preserve"> </w:t>
      </w:r>
      <w:r>
        <w:rPr>
          <w:szCs w:val="22"/>
        </w:rPr>
        <w:t>郑春田</w:t>
      </w:r>
      <w:r>
        <w:rPr>
          <w:szCs w:val="22"/>
          <w:vertAlign w:val="superscript"/>
        </w:rPr>
        <w:t>1</w:t>
      </w:r>
      <w:r>
        <w:rPr>
          <w:szCs w:val="22"/>
        </w:rPr>
        <w:t xml:space="preserve"> </w:t>
      </w:r>
      <w:r>
        <w:rPr>
          <w:szCs w:val="22"/>
        </w:rPr>
        <w:t>曹俊明</w:t>
      </w:r>
      <w:r>
        <w:rPr>
          <w:szCs w:val="22"/>
          <w:vertAlign w:val="superscript"/>
        </w:rPr>
        <w:t>2</w:t>
      </w:r>
    </w:p>
    <w:p w14:paraId="0B56CBA5" w14:textId="77777777" w:rsidR="006D73E5" w:rsidRDefault="00000000">
      <w:pPr>
        <w:jc w:val="center"/>
        <w:rPr>
          <w:szCs w:val="22"/>
        </w:rPr>
      </w:pPr>
      <w:r>
        <w:rPr>
          <w:szCs w:val="22"/>
        </w:rPr>
        <w:t>(1.</w:t>
      </w:r>
      <w:r>
        <w:rPr>
          <w:szCs w:val="22"/>
        </w:rPr>
        <w:t>广东省农业科学院动物科学研究所，农业农村部华南动物营养与饲料重点实验室，广东省畜禽育种与营养研究重点实验室，广东</w:t>
      </w:r>
      <w:r>
        <w:rPr>
          <w:szCs w:val="22"/>
        </w:rPr>
        <w:t xml:space="preserve"> </w:t>
      </w:r>
      <w:r>
        <w:rPr>
          <w:szCs w:val="22"/>
        </w:rPr>
        <w:t>广州</w:t>
      </w:r>
      <w:r>
        <w:rPr>
          <w:szCs w:val="22"/>
        </w:rPr>
        <w:t xml:space="preserve"> 510640</w:t>
      </w:r>
      <w:r>
        <w:rPr>
          <w:szCs w:val="22"/>
        </w:rPr>
        <w:t>；</w:t>
      </w:r>
      <w:r>
        <w:rPr>
          <w:szCs w:val="22"/>
        </w:rPr>
        <w:t xml:space="preserve"> 2.</w:t>
      </w:r>
      <w:r>
        <w:rPr>
          <w:szCs w:val="22"/>
        </w:rPr>
        <w:t>广东海洋大学水产学院，广东</w:t>
      </w:r>
      <w:r>
        <w:rPr>
          <w:szCs w:val="22"/>
        </w:rPr>
        <w:t xml:space="preserve"> </w:t>
      </w:r>
      <w:r>
        <w:rPr>
          <w:szCs w:val="22"/>
        </w:rPr>
        <w:t>湛江</w:t>
      </w:r>
      <w:r>
        <w:rPr>
          <w:szCs w:val="22"/>
        </w:rPr>
        <w:t xml:space="preserve"> 524088) </w:t>
      </w:r>
    </w:p>
    <w:p w14:paraId="1BCF3D47" w14:textId="77777777" w:rsidR="006D73E5" w:rsidRDefault="00000000">
      <w:pPr>
        <w:rPr>
          <w:szCs w:val="22"/>
        </w:rPr>
      </w:pPr>
      <w:r>
        <w:rPr>
          <w:b/>
          <w:bCs/>
          <w:szCs w:val="22"/>
        </w:rPr>
        <w:t>摘要</w:t>
      </w:r>
      <w:r>
        <w:rPr>
          <w:rFonts w:hint="eastAsia"/>
          <w:b/>
          <w:bCs/>
          <w:szCs w:val="22"/>
        </w:rPr>
        <w:t>：</w:t>
      </w:r>
      <w:r>
        <w:rPr>
          <w:szCs w:val="22"/>
        </w:rPr>
        <w:t>本实验旨在研究饲料添加精氨酸或</w:t>
      </w:r>
      <w:r>
        <w:rPr>
          <w:szCs w:val="22"/>
        </w:rPr>
        <w:t>NCG</w:t>
      </w:r>
      <w:r>
        <w:rPr>
          <w:szCs w:val="22"/>
        </w:rPr>
        <w:t>对杂交鳢肠道黏膜形态和肠道菌群的影响。选用初始体质量</w:t>
      </w:r>
      <w:r>
        <w:rPr>
          <w:rFonts w:hint="eastAsia"/>
          <w:szCs w:val="22"/>
        </w:rPr>
        <w:t>(</w:t>
      </w:r>
      <w:r>
        <w:rPr>
          <w:szCs w:val="22"/>
        </w:rPr>
        <w:t>22.02±0.02</w:t>
      </w:r>
      <w:r>
        <w:rPr>
          <w:rFonts w:hint="eastAsia"/>
          <w:szCs w:val="22"/>
        </w:rPr>
        <w:t>)</w:t>
      </w:r>
      <w:r>
        <w:rPr>
          <w:szCs w:val="22"/>
        </w:rPr>
        <w:t xml:space="preserve">g </w:t>
      </w:r>
      <w:r>
        <w:rPr>
          <w:szCs w:val="22"/>
        </w:rPr>
        <w:t>的杂交鳢</w:t>
      </w:r>
      <w:r>
        <w:rPr>
          <w:szCs w:val="22"/>
        </w:rPr>
        <w:t xml:space="preserve"> 450 </w:t>
      </w:r>
      <w:r>
        <w:rPr>
          <w:szCs w:val="22"/>
        </w:rPr>
        <w:t>尾。随机分为</w:t>
      </w:r>
      <w:r>
        <w:rPr>
          <w:szCs w:val="22"/>
        </w:rPr>
        <w:t xml:space="preserve"> 3 </w:t>
      </w:r>
      <w:r>
        <w:rPr>
          <w:szCs w:val="22"/>
        </w:rPr>
        <w:t>个组，每组</w:t>
      </w:r>
      <w:r>
        <w:rPr>
          <w:szCs w:val="22"/>
        </w:rPr>
        <w:t xml:space="preserve"> 3 </w:t>
      </w:r>
      <w:r>
        <w:rPr>
          <w:szCs w:val="22"/>
        </w:rPr>
        <w:t>个重复，每个重复</w:t>
      </w:r>
      <w:r>
        <w:rPr>
          <w:szCs w:val="22"/>
        </w:rPr>
        <w:t xml:space="preserve"> 50 </w:t>
      </w:r>
      <w:r>
        <w:rPr>
          <w:szCs w:val="22"/>
        </w:rPr>
        <w:t>尾，分别饲喂基础饲料以及在基础</w:t>
      </w:r>
      <w:r>
        <w:rPr>
          <w:szCs w:val="22"/>
        </w:rPr>
        <w:t xml:space="preserve"> </w:t>
      </w:r>
      <w:r>
        <w:rPr>
          <w:szCs w:val="22"/>
        </w:rPr>
        <w:t>饲料中添加</w:t>
      </w:r>
      <w:r>
        <w:rPr>
          <w:szCs w:val="22"/>
        </w:rPr>
        <w:t xml:space="preserve"> 0.60% L-</w:t>
      </w:r>
      <w:r>
        <w:rPr>
          <w:szCs w:val="22"/>
        </w:rPr>
        <w:t>精氨酸</w:t>
      </w:r>
      <w:r>
        <w:rPr>
          <w:rFonts w:hint="eastAsia"/>
          <w:szCs w:val="22"/>
        </w:rPr>
        <w:t>(</w:t>
      </w:r>
      <w:r>
        <w:rPr>
          <w:szCs w:val="22"/>
        </w:rPr>
        <w:t>Arg</w:t>
      </w:r>
      <w:r>
        <w:rPr>
          <w:rFonts w:hint="eastAsia"/>
          <w:szCs w:val="22"/>
        </w:rPr>
        <w:t>)</w:t>
      </w:r>
      <w:r>
        <w:rPr>
          <w:szCs w:val="22"/>
        </w:rPr>
        <w:t>、</w:t>
      </w:r>
      <w:r>
        <w:rPr>
          <w:szCs w:val="22"/>
        </w:rPr>
        <w:t>0.03% N-</w:t>
      </w:r>
      <w:r>
        <w:rPr>
          <w:szCs w:val="22"/>
        </w:rPr>
        <w:t>氨甲酰谷氨酸</w:t>
      </w:r>
      <w:r>
        <w:rPr>
          <w:rFonts w:hint="eastAsia"/>
          <w:szCs w:val="22"/>
        </w:rPr>
        <w:t>(</w:t>
      </w:r>
      <w:r>
        <w:rPr>
          <w:szCs w:val="22"/>
        </w:rPr>
        <w:t>NCG</w:t>
      </w:r>
      <w:r>
        <w:rPr>
          <w:rFonts w:hint="eastAsia"/>
          <w:szCs w:val="22"/>
        </w:rPr>
        <w:t>)</w:t>
      </w:r>
      <w:r>
        <w:rPr>
          <w:szCs w:val="22"/>
        </w:rPr>
        <w:t>三种实验饲料，饲养周期为</w:t>
      </w:r>
      <w:r>
        <w:rPr>
          <w:szCs w:val="22"/>
        </w:rPr>
        <w:t xml:space="preserve"> 56 d</w:t>
      </w:r>
      <w:r>
        <w:rPr>
          <w:szCs w:val="22"/>
        </w:rPr>
        <w:t>。结果显示，与对照组相比，饲料中添加</w:t>
      </w:r>
      <w:r>
        <w:rPr>
          <w:szCs w:val="22"/>
        </w:rPr>
        <w:t xml:space="preserve"> 0.60% Arg</w:t>
      </w:r>
      <w:r>
        <w:rPr>
          <w:szCs w:val="22"/>
        </w:rPr>
        <w:t>显著提高了杂交鳢终末体质量、特定生长率，添加</w:t>
      </w:r>
      <w:r>
        <w:rPr>
          <w:szCs w:val="22"/>
        </w:rPr>
        <w:t xml:space="preserve"> 0.60% Arg</w:t>
      </w:r>
      <w:r>
        <w:rPr>
          <w:szCs w:val="22"/>
        </w:rPr>
        <w:t>或</w:t>
      </w:r>
      <w:r>
        <w:rPr>
          <w:szCs w:val="22"/>
        </w:rPr>
        <w:t>0.03% NCG</w:t>
      </w:r>
      <w:r>
        <w:rPr>
          <w:szCs w:val="22"/>
        </w:rPr>
        <w:t>显著提高了杂交鳢的蛋白质沉积率，显著降低了饲料系数。与对照组相比，</w:t>
      </w:r>
      <w:r>
        <w:rPr>
          <w:szCs w:val="22"/>
        </w:rPr>
        <w:t xml:space="preserve">NCG </w:t>
      </w:r>
      <w:r>
        <w:rPr>
          <w:szCs w:val="22"/>
        </w:rPr>
        <w:t>组杂交鳢全鱼异亮氨酸、谷氨酸、赖氨酸含量显著升高。与对照组相比，</w:t>
      </w:r>
      <w:r>
        <w:rPr>
          <w:szCs w:val="22"/>
        </w:rPr>
        <w:t xml:space="preserve">Arg </w:t>
      </w:r>
      <w:r>
        <w:rPr>
          <w:szCs w:val="22"/>
        </w:rPr>
        <w:t>组和</w:t>
      </w:r>
      <w:r>
        <w:rPr>
          <w:szCs w:val="22"/>
        </w:rPr>
        <w:t xml:space="preserve">NCG </w:t>
      </w:r>
      <w:r>
        <w:rPr>
          <w:szCs w:val="22"/>
        </w:rPr>
        <w:t>组杂交鳢全鱼精氨酸和亮氨酸含量显著升高，其他氨基酸无显著差异性。与对照组相比，饲料添加</w:t>
      </w:r>
      <w:r>
        <w:rPr>
          <w:szCs w:val="22"/>
        </w:rPr>
        <w:t>Arg</w:t>
      </w:r>
      <w:r>
        <w:rPr>
          <w:szCs w:val="22"/>
        </w:rPr>
        <w:t>或</w:t>
      </w:r>
      <w:r>
        <w:rPr>
          <w:szCs w:val="22"/>
        </w:rPr>
        <w:t xml:space="preserve"> NCG </w:t>
      </w:r>
      <w:r>
        <w:rPr>
          <w:szCs w:val="22"/>
        </w:rPr>
        <w:t>可显著提高杂交鳢肠道中肠、后肠肌层厚度，中肠绒毛宽度，</w:t>
      </w:r>
      <w:r>
        <w:rPr>
          <w:szCs w:val="22"/>
        </w:rPr>
        <w:t xml:space="preserve">NCG </w:t>
      </w:r>
      <w:r>
        <w:rPr>
          <w:szCs w:val="22"/>
        </w:rPr>
        <w:t>组后肠肌层厚度显著高于对照组与</w:t>
      </w:r>
      <w:r>
        <w:rPr>
          <w:szCs w:val="22"/>
        </w:rPr>
        <w:t xml:space="preserve"> Arg </w:t>
      </w:r>
      <w:r>
        <w:rPr>
          <w:szCs w:val="22"/>
        </w:rPr>
        <w:t>组。各实验组肠道黏膜层、肌层结构清晰紧密、黏膜层绒毛丰富，对照组与</w:t>
      </w:r>
      <w:r>
        <w:rPr>
          <w:szCs w:val="22"/>
        </w:rPr>
        <w:t xml:space="preserve"> Arg </w:t>
      </w:r>
      <w:r>
        <w:rPr>
          <w:szCs w:val="22"/>
        </w:rPr>
        <w:t>组出现少量绒毛顶部上皮与固有层间隙增宽，</w:t>
      </w:r>
      <w:r>
        <w:rPr>
          <w:szCs w:val="22"/>
        </w:rPr>
        <w:t xml:space="preserve">NCG </w:t>
      </w:r>
      <w:r>
        <w:rPr>
          <w:szCs w:val="22"/>
        </w:rPr>
        <w:t>组却未见明显异常。饲料添加精氨酸可显著提高杂交鳢肠道菌群物种丰富度，</w:t>
      </w:r>
      <w:r>
        <w:rPr>
          <w:szCs w:val="22"/>
        </w:rPr>
        <w:t xml:space="preserve">Chao </w:t>
      </w:r>
      <w:r>
        <w:rPr>
          <w:szCs w:val="22"/>
        </w:rPr>
        <w:t>指数与</w:t>
      </w:r>
      <w:r>
        <w:rPr>
          <w:szCs w:val="22"/>
        </w:rPr>
        <w:t xml:space="preserve"> Ace </w:t>
      </w:r>
      <w:r>
        <w:rPr>
          <w:szCs w:val="22"/>
        </w:rPr>
        <w:t>指数显著高于对照组与</w:t>
      </w:r>
      <w:r>
        <w:rPr>
          <w:szCs w:val="22"/>
        </w:rPr>
        <w:t xml:space="preserve">NCG </w:t>
      </w:r>
      <w:r>
        <w:rPr>
          <w:szCs w:val="22"/>
        </w:rPr>
        <w:t>组。与对照组相比，</w:t>
      </w:r>
      <w:r>
        <w:rPr>
          <w:szCs w:val="22"/>
        </w:rPr>
        <w:t>NCG</w:t>
      </w:r>
      <w:r>
        <w:rPr>
          <w:szCs w:val="22"/>
        </w:rPr>
        <w:t>组显著提高厚壁菌门及变形菌门的丰度，但</w:t>
      </w:r>
      <w:r>
        <w:rPr>
          <w:szCs w:val="22"/>
        </w:rPr>
        <w:t xml:space="preserve">NCG </w:t>
      </w:r>
      <w:r>
        <w:rPr>
          <w:szCs w:val="22"/>
        </w:rPr>
        <w:t>组梭杆菌门丰度显著降低，与</w:t>
      </w:r>
      <w:r>
        <w:rPr>
          <w:szCs w:val="22"/>
        </w:rPr>
        <w:t xml:space="preserve"> Arg </w:t>
      </w:r>
      <w:r>
        <w:rPr>
          <w:szCs w:val="22"/>
        </w:rPr>
        <w:t>组具有显著差异。研究表明，饲料中添加</w:t>
      </w:r>
      <w:r>
        <w:rPr>
          <w:szCs w:val="22"/>
        </w:rPr>
        <w:t xml:space="preserve"> Arg </w:t>
      </w:r>
      <w:r>
        <w:rPr>
          <w:szCs w:val="22"/>
        </w:rPr>
        <w:t>在生长性能方面优于添加</w:t>
      </w:r>
      <w:r>
        <w:rPr>
          <w:szCs w:val="22"/>
        </w:rPr>
        <w:t xml:space="preserve"> NCG</w:t>
      </w:r>
      <w:r>
        <w:rPr>
          <w:szCs w:val="22"/>
        </w:rPr>
        <w:t>，但饲料添加</w:t>
      </w:r>
      <w:r>
        <w:rPr>
          <w:szCs w:val="22"/>
        </w:rPr>
        <w:t xml:space="preserve"> NCG</w:t>
      </w:r>
      <w:r>
        <w:rPr>
          <w:szCs w:val="22"/>
        </w:rPr>
        <w:t>可以显著增加肠道厚壁菌门等有益菌门丰度，维持肠道内环境稳定，其作用效果优于补充</w:t>
      </w:r>
      <w:r>
        <w:rPr>
          <w:szCs w:val="22"/>
        </w:rPr>
        <w:t xml:space="preserve"> Arg</w:t>
      </w:r>
      <w:r>
        <w:rPr>
          <w:szCs w:val="22"/>
        </w:rPr>
        <w:t>。</w:t>
      </w:r>
    </w:p>
    <w:p w14:paraId="786E9971" w14:textId="77777777" w:rsidR="006D73E5" w:rsidRDefault="00000000">
      <w:pPr>
        <w:rPr>
          <w:rFonts w:ascii="宋体" w:hAnsi="宋体"/>
          <w:szCs w:val="22"/>
        </w:rPr>
      </w:pPr>
      <w:r>
        <w:rPr>
          <w:b/>
          <w:bCs/>
          <w:szCs w:val="22"/>
        </w:rPr>
        <w:t>关键词</w:t>
      </w:r>
      <w:r>
        <w:rPr>
          <w:rFonts w:hint="eastAsia"/>
          <w:b/>
          <w:bCs/>
          <w:szCs w:val="22"/>
        </w:rPr>
        <w:t>:</w:t>
      </w:r>
      <w:r>
        <w:rPr>
          <w:b/>
          <w:bCs/>
          <w:szCs w:val="22"/>
        </w:rPr>
        <w:t xml:space="preserve"> </w:t>
      </w:r>
      <w:r>
        <w:rPr>
          <w:szCs w:val="22"/>
        </w:rPr>
        <w:t>杂交鳢；</w:t>
      </w:r>
      <w:r>
        <w:rPr>
          <w:szCs w:val="22"/>
        </w:rPr>
        <w:t>L-</w:t>
      </w:r>
      <w:r>
        <w:rPr>
          <w:szCs w:val="22"/>
        </w:rPr>
        <w:t>精氨酸；</w:t>
      </w:r>
      <w:r>
        <w:rPr>
          <w:szCs w:val="22"/>
        </w:rPr>
        <w:t>N-</w:t>
      </w:r>
      <w:r>
        <w:rPr>
          <w:szCs w:val="22"/>
        </w:rPr>
        <w:t>氨甲酰谷氨酸；肠道黏膜形态；</w:t>
      </w:r>
    </w:p>
    <w:p w14:paraId="46017D49" w14:textId="77777777" w:rsidR="006D73E5" w:rsidRDefault="00000000">
      <w:pPr>
        <w:jc w:val="center"/>
        <w:rPr>
          <w:b/>
          <w:bCs/>
          <w:sz w:val="24"/>
        </w:rPr>
      </w:pPr>
      <w:r>
        <w:rPr>
          <w:b/>
          <w:bCs/>
          <w:sz w:val="24"/>
        </w:rPr>
        <w:t xml:space="preserve">Effects of Dietary </w:t>
      </w:r>
      <w:r>
        <w:rPr>
          <w:b/>
          <w:bCs/>
          <w:i/>
          <w:iCs/>
          <w:sz w:val="24"/>
        </w:rPr>
        <w:t>L-</w:t>
      </w:r>
      <w:r>
        <w:rPr>
          <w:b/>
          <w:bCs/>
          <w:sz w:val="24"/>
        </w:rPr>
        <w:t>arginine or N-</w:t>
      </w:r>
      <w:proofErr w:type="spellStart"/>
      <w:r>
        <w:rPr>
          <w:b/>
          <w:bCs/>
          <w:sz w:val="24"/>
        </w:rPr>
        <w:t>carbamoylglutamate</w:t>
      </w:r>
      <w:proofErr w:type="spellEnd"/>
      <w:r>
        <w:rPr>
          <w:b/>
          <w:bCs/>
          <w:sz w:val="24"/>
        </w:rPr>
        <w:t xml:space="preserve"> on intestinal mucosal morphology and intestinal flora of hybrid snakehead [</w:t>
      </w:r>
      <w:r>
        <w:rPr>
          <w:b/>
          <w:bCs/>
          <w:i/>
          <w:iCs/>
          <w:sz w:val="24"/>
        </w:rPr>
        <w:t xml:space="preserve">Channa </w:t>
      </w:r>
      <w:proofErr w:type="spellStart"/>
      <w:r>
        <w:rPr>
          <w:b/>
          <w:bCs/>
          <w:i/>
          <w:iCs/>
          <w:sz w:val="24"/>
        </w:rPr>
        <w:t>maculata</w:t>
      </w:r>
      <w:proofErr w:type="spellEnd"/>
      <w:r>
        <w:rPr>
          <w:b/>
          <w:bCs/>
          <w:i/>
          <w:iCs/>
          <w:sz w:val="24"/>
        </w:rPr>
        <w:t xml:space="preserve"> </w:t>
      </w:r>
      <w:r>
        <w:rPr>
          <w:b/>
          <w:bCs/>
          <w:sz w:val="24"/>
        </w:rPr>
        <w:t>(♀)×</w:t>
      </w:r>
      <w:r>
        <w:rPr>
          <w:b/>
          <w:bCs/>
          <w:i/>
          <w:iCs/>
          <w:sz w:val="24"/>
        </w:rPr>
        <w:t>C. argus</w:t>
      </w:r>
      <w:r>
        <w:rPr>
          <w:b/>
          <w:bCs/>
          <w:sz w:val="24"/>
        </w:rPr>
        <w:t xml:space="preserve"> (♂)]</w:t>
      </w:r>
    </w:p>
    <w:p w14:paraId="42302F76" w14:textId="77777777" w:rsidR="006D73E5" w:rsidRDefault="00000000">
      <w:pPr>
        <w:rPr>
          <w:szCs w:val="22"/>
        </w:rPr>
      </w:pPr>
      <w:r>
        <w:rPr>
          <w:szCs w:val="22"/>
        </w:rPr>
        <w:t>LI Peijia</w:t>
      </w:r>
      <w:r>
        <w:rPr>
          <w:szCs w:val="22"/>
          <w:vertAlign w:val="superscript"/>
        </w:rPr>
        <w:t>1,2</w:t>
      </w:r>
      <w:r>
        <w:rPr>
          <w:szCs w:val="22"/>
        </w:rPr>
        <w:t xml:space="preserve"> HOU Dongqiang</w:t>
      </w:r>
      <w:r>
        <w:rPr>
          <w:szCs w:val="22"/>
          <w:vertAlign w:val="superscript"/>
        </w:rPr>
        <w:t xml:space="preserve">1,2 </w:t>
      </w:r>
      <w:r>
        <w:rPr>
          <w:szCs w:val="22"/>
        </w:rPr>
        <w:t>ZHAO Hongxia</w:t>
      </w:r>
      <w:r>
        <w:rPr>
          <w:szCs w:val="22"/>
          <w:vertAlign w:val="superscript"/>
        </w:rPr>
        <w:t>1</w:t>
      </w:r>
      <w:r>
        <w:rPr>
          <w:rFonts w:hint="eastAsia"/>
          <w:szCs w:val="22"/>
        </w:rPr>
        <w:t xml:space="preserve"> </w:t>
      </w:r>
      <w:r>
        <w:rPr>
          <w:szCs w:val="22"/>
        </w:rPr>
        <w:t>HUANG Wen</w:t>
      </w:r>
      <w:r>
        <w:rPr>
          <w:szCs w:val="22"/>
          <w:vertAlign w:val="superscript"/>
        </w:rPr>
        <w:t>1</w:t>
      </w:r>
      <w:r>
        <w:rPr>
          <w:szCs w:val="22"/>
        </w:rPr>
        <w:t xml:space="preserve"> ZHENG Chuntian</w:t>
      </w:r>
      <w:r>
        <w:rPr>
          <w:szCs w:val="22"/>
          <w:vertAlign w:val="superscript"/>
        </w:rPr>
        <w:t>1</w:t>
      </w:r>
      <w:r>
        <w:rPr>
          <w:rFonts w:hint="eastAsia"/>
          <w:szCs w:val="22"/>
        </w:rPr>
        <w:t xml:space="preserve"> </w:t>
      </w:r>
      <w:r>
        <w:rPr>
          <w:szCs w:val="22"/>
        </w:rPr>
        <w:t>CAO Junming2</w:t>
      </w:r>
    </w:p>
    <w:p w14:paraId="4D99A8D1" w14:textId="77777777" w:rsidR="006D73E5" w:rsidRDefault="00000000">
      <w:pPr>
        <w:jc w:val="center"/>
        <w:rPr>
          <w:i/>
          <w:iCs/>
          <w:szCs w:val="22"/>
        </w:rPr>
      </w:pPr>
      <w:r>
        <w:rPr>
          <w:i/>
          <w:iCs/>
          <w:szCs w:val="22"/>
        </w:rPr>
        <w:t>(1. Institute of Animal Science, Guangdong Academy of Agricultural Sciences, Key Laboratory of Animal Nutrition and Feed Science in South China, Ministry of Agriculture and Rural Affairs, Guangdong Key Laboratory of Animal Breeding and Nutrition, Guangzhou 510640, China; 2. College of Fisheries, Guangdong Ocean University, Zhanjiang 524088, China )</w:t>
      </w:r>
    </w:p>
    <w:p w14:paraId="1AEE49CC" w14:textId="77777777" w:rsidR="006D73E5" w:rsidRDefault="00000000">
      <w:pPr>
        <w:rPr>
          <w:szCs w:val="22"/>
        </w:rPr>
      </w:pPr>
      <w:r>
        <w:rPr>
          <w:b/>
          <w:bCs/>
          <w:szCs w:val="22"/>
        </w:rPr>
        <w:t xml:space="preserve">Abstract: </w:t>
      </w:r>
      <w:r>
        <w:rPr>
          <w:szCs w:val="22"/>
        </w:rPr>
        <w:t>This experiment was conducted to investigate the effects of dietary arginine or NCG on intestinal mucosal morphology and intestinal flora of hybrid snakehead</w:t>
      </w:r>
      <w:r>
        <w:rPr>
          <w:rFonts w:hint="eastAsia"/>
          <w:szCs w:val="22"/>
        </w:rPr>
        <w:t>s</w:t>
      </w:r>
      <w:r>
        <w:rPr>
          <w:szCs w:val="22"/>
        </w:rPr>
        <w:t xml:space="preserve">. A total of 450 hybrid snakeheads with an initial weight of (22.02±0.02) g were selected. They were randomly divided into three groups of three replicates, each with 50 fish, and fed three experimental diets, They were randomly divided into 3 groups with 3 replicates per group and 50 tails per replicate. The experimental diets were fed with basal diet and supplemented with 0.60% </w:t>
      </w:r>
      <w:r>
        <w:rPr>
          <w:i/>
          <w:iCs/>
          <w:szCs w:val="22"/>
        </w:rPr>
        <w:lastRenderedPageBreak/>
        <w:t>L</w:t>
      </w:r>
      <w:r>
        <w:rPr>
          <w:szCs w:val="22"/>
        </w:rPr>
        <w:t>-arginine (Arg) and 0.03% N-</w:t>
      </w:r>
      <w:proofErr w:type="spellStart"/>
      <w:r>
        <w:rPr>
          <w:szCs w:val="22"/>
        </w:rPr>
        <w:t>carbamylglutamate</w:t>
      </w:r>
      <w:proofErr w:type="spellEnd"/>
      <w:r>
        <w:rPr>
          <w:szCs w:val="22"/>
        </w:rPr>
        <w:t xml:space="preserve"> (NCG), respectively, and the feeding period was 56 days. Results show that compared with the control group, adding 0.60% Arg to the feed significantly increased the final weight and specific growth rate of hybrid snakeheads (</w:t>
      </w:r>
      <w:r>
        <w:rPr>
          <w:i/>
          <w:iCs/>
          <w:szCs w:val="22"/>
        </w:rPr>
        <w:t>P</w:t>
      </w:r>
      <w:bookmarkStart w:id="37" w:name="_Hlk111746030"/>
      <w:r>
        <w:rPr>
          <w:rFonts w:hint="eastAsia"/>
          <w:szCs w:val="22"/>
        </w:rPr>
        <w:t>＜</w:t>
      </w:r>
      <w:r>
        <w:rPr>
          <w:rFonts w:hint="eastAsia"/>
          <w:szCs w:val="22"/>
        </w:rPr>
        <w:t>0</w:t>
      </w:r>
      <w:r>
        <w:rPr>
          <w:szCs w:val="22"/>
        </w:rPr>
        <w:t>.05)</w:t>
      </w:r>
      <w:bookmarkEnd w:id="37"/>
      <w:r>
        <w:rPr>
          <w:rFonts w:hint="eastAsia"/>
          <w:szCs w:val="22"/>
        </w:rPr>
        <w:t>,</w:t>
      </w:r>
      <w:r>
        <w:rPr>
          <w:rFonts w:ascii="等线" w:eastAsia="等线" w:hAnsi="等线"/>
          <w:szCs w:val="22"/>
        </w:rPr>
        <w:t xml:space="preserve"> </w:t>
      </w:r>
      <w:r>
        <w:rPr>
          <w:szCs w:val="22"/>
        </w:rPr>
        <w:t>adding 0.60% Arg or 0.03% NCG significantly increased the protein deposition rate of hybrid snakehead (</w:t>
      </w:r>
      <w:r>
        <w:rPr>
          <w:i/>
          <w:iCs/>
          <w:szCs w:val="22"/>
        </w:rPr>
        <w:t>P</w:t>
      </w:r>
      <w:r>
        <w:rPr>
          <w:rFonts w:hint="eastAsia"/>
          <w:szCs w:val="22"/>
        </w:rPr>
        <w:t>＜</w:t>
      </w:r>
      <w:r>
        <w:rPr>
          <w:rFonts w:hint="eastAsia"/>
          <w:szCs w:val="22"/>
        </w:rPr>
        <w:t>0</w:t>
      </w:r>
      <w:r>
        <w:rPr>
          <w:szCs w:val="22"/>
        </w:rPr>
        <w:t>.05).</w:t>
      </w:r>
      <w:r>
        <w:rPr>
          <w:rFonts w:ascii="等线" w:eastAsia="等线" w:hAnsi="等线"/>
          <w:szCs w:val="22"/>
        </w:rPr>
        <w:t xml:space="preserve"> </w:t>
      </w:r>
      <w:r>
        <w:rPr>
          <w:szCs w:val="22"/>
        </w:rPr>
        <w:t>Compared with the control group, the contents of isoleucine, glutamate and lysine in whole fish in NCG group were significantly increased (</w:t>
      </w:r>
      <w:r>
        <w:rPr>
          <w:i/>
          <w:iCs/>
          <w:szCs w:val="22"/>
        </w:rPr>
        <w:t>P</w:t>
      </w:r>
      <w:r>
        <w:rPr>
          <w:szCs w:val="22"/>
        </w:rPr>
        <w:t>&lt;0.05).</w:t>
      </w:r>
      <w:r>
        <w:rPr>
          <w:rFonts w:ascii="等线" w:eastAsia="等线" w:hAnsi="等线"/>
          <w:szCs w:val="22"/>
        </w:rPr>
        <w:t xml:space="preserve"> </w:t>
      </w:r>
      <w:r>
        <w:rPr>
          <w:szCs w:val="22"/>
        </w:rPr>
        <w:t>Compared with the control group, the contents of arginine and leucine in whole fish of hybrid Snakehead in Arg and NCG groups were significantly increased (</w:t>
      </w:r>
      <w:r>
        <w:rPr>
          <w:i/>
          <w:iCs/>
          <w:szCs w:val="22"/>
        </w:rPr>
        <w:t>P</w:t>
      </w:r>
      <w:r>
        <w:rPr>
          <w:rFonts w:hint="eastAsia"/>
          <w:szCs w:val="22"/>
        </w:rPr>
        <w:t>＜</w:t>
      </w:r>
      <w:r>
        <w:rPr>
          <w:szCs w:val="22"/>
        </w:rPr>
        <w:t>0.05).</w:t>
      </w:r>
      <w:r>
        <w:rPr>
          <w:rFonts w:ascii="等线" w:eastAsia="等线" w:hAnsi="等线"/>
          <w:szCs w:val="22"/>
        </w:rPr>
        <w:t xml:space="preserve"> </w:t>
      </w:r>
      <w:r>
        <w:rPr>
          <w:szCs w:val="22"/>
        </w:rPr>
        <w:t>Compared with the control group, the addition of Arg or NCG to the diet could significantly increase the thickness of the midgut and hindgut muscle layer and the width of the midgut villus in the hybrid snakehead. The thickness of the hindgut muscle layer in the NCG group was significantly higher than that in the control group and the Arg group (</w:t>
      </w:r>
      <w:r>
        <w:rPr>
          <w:i/>
          <w:iCs/>
          <w:szCs w:val="22"/>
        </w:rPr>
        <w:t>P</w:t>
      </w:r>
      <w:r>
        <w:rPr>
          <w:szCs w:val="22"/>
        </w:rPr>
        <w:t>&lt;0.05).</w:t>
      </w:r>
      <w:r>
        <w:rPr>
          <w:rFonts w:ascii="等线" w:eastAsia="等线" w:hAnsi="等线"/>
          <w:szCs w:val="22"/>
        </w:rPr>
        <w:t xml:space="preserve"> </w:t>
      </w:r>
      <w:r>
        <w:rPr>
          <w:szCs w:val="22"/>
        </w:rPr>
        <w:t>In each experimental group, the structure of intestinal mucosa and muscularis was clear and compact, and the mucosal villi were abundant. In the control group and Arg group, a small amount of gap between the epithelium and lamina propria was widened, but there was no obvious abnormality in the NCG group. The addition of arginine to the diet could significantly improve the species richness of the intestinal flora of hybrid snakehead, and the Chao index and Ace index were significantly higher than those of the control group and the NCG group (</w:t>
      </w:r>
      <w:r>
        <w:rPr>
          <w:i/>
          <w:iCs/>
          <w:szCs w:val="22"/>
        </w:rPr>
        <w:t>P</w:t>
      </w:r>
      <w:r>
        <w:rPr>
          <w:szCs w:val="22"/>
        </w:rPr>
        <w:t>&lt;0.05).</w:t>
      </w:r>
      <w:r>
        <w:rPr>
          <w:rFonts w:ascii="等线" w:eastAsia="等线" w:hAnsi="等线"/>
          <w:szCs w:val="22"/>
        </w:rPr>
        <w:t xml:space="preserve"> </w:t>
      </w:r>
      <w:r>
        <w:rPr>
          <w:szCs w:val="22"/>
        </w:rPr>
        <w:t>Compared with the control group, the abundance of Firmicutes and Proteobacteria was significantly increased in the NCG group, but the abundance of Fusobacterium was significantly decreased in the NCG group, which was significantly different from the Arg group (</w:t>
      </w:r>
      <w:r>
        <w:rPr>
          <w:i/>
          <w:iCs/>
          <w:szCs w:val="22"/>
        </w:rPr>
        <w:t>P</w:t>
      </w:r>
      <w:r>
        <w:rPr>
          <w:szCs w:val="22"/>
        </w:rPr>
        <w:t>&lt;0.05).</w:t>
      </w:r>
      <w:r>
        <w:rPr>
          <w:rFonts w:ascii="等线" w:eastAsia="等线" w:hAnsi="等线"/>
          <w:szCs w:val="22"/>
        </w:rPr>
        <w:t xml:space="preserve"> </w:t>
      </w:r>
      <w:r>
        <w:rPr>
          <w:szCs w:val="22"/>
        </w:rPr>
        <w:t>Research shows, it can be seen that the addition of Arg to the feed is better than the addition of NCG in terms of growth performance, but the addition of NCG to the feed can significantly increase the abundance of beneficial bacteria such as intestinal Firmicutes and maintain the stability of the intestinal environment, and its effect is better than that of supplementation Arg.</w:t>
      </w:r>
    </w:p>
    <w:p w14:paraId="4291D1DA" w14:textId="77777777" w:rsidR="006D73E5" w:rsidRDefault="00000000">
      <w:pPr>
        <w:rPr>
          <w:szCs w:val="22"/>
        </w:rPr>
      </w:pPr>
      <w:r>
        <w:rPr>
          <w:b/>
          <w:bCs/>
          <w:szCs w:val="22"/>
        </w:rPr>
        <w:t>Key words:</w:t>
      </w:r>
      <w:r>
        <w:rPr>
          <w:szCs w:val="22"/>
        </w:rPr>
        <w:t xml:space="preserve"> </w:t>
      </w:r>
      <w:r>
        <w:rPr>
          <w:i/>
          <w:iCs/>
          <w:szCs w:val="22"/>
        </w:rPr>
        <w:t xml:space="preserve">Channa </w:t>
      </w:r>
      <w:proofErr w:type="spellStart"/>
      <w:r>
        <w:rPr>
          <w:i/>
          <w:iCs/>
          <w:szCs w:val="22"/>
        </w:rPr>
        <w:t>maculata</w:t>
      </w:r>
      <w:proofErr w:type="spellEnd"/>
      <w:r>
        <w:rPr>
          <w:szCs w:val="22"/>
        </w:rPr>
        <w:t xml:space="preserve"> (♀)×</w:t>
      </w:r>
      <w:r>
        <w:rPr>
          <w:i/>
          <w:iCs/>
          <w:szCs w:val="22"/>
        </w:rPr>
        <w:t>C. argus</w:t>
      </w:r>
      <w:r>
        <w:rPr>
          <w:szCs w:val="22"/>
        </w:rPr>
        <w:t xml:space="preserve"> (♂); </w:t>
      </w:r>
      <w:r>
        <w:rPr>
          <w:i/>
          <w:iCs/>
          <w:szCs w:val="22"/>
        </w:rPr>
        <w:t>L</w:t>
      </w:r>
      <w:r>
        <w:rPr>
          <w:szCs w:val="22"/>
        </w:rPr>
        <w:t>-arginine; N-</w:t>
      </w:r>
      <w:proofErr w:type="spellStart"/>
      <w:r>
        <w:rPr>
          <w:szCs w:val="22"/>
        </w:rPr>
        <w:t>carbamylglutamate</w:t>
      </w:r>
      <w:proofErr w:type="spellEnd"/>
      <w:r>
        <w:rPr>
          <w:szCs w:val="22"/>
        </w:rPr>
        <w:t>; intestinal mucosal morphology; intestinal flora</w:t>
      </w:r>
    </w:p>
    <w:p w14:paraId="6F2C819E" w14:textId="77777777" w:rsidR="006D73E5" w:rsidRDefault="006D73E5">
      <w:pPr>
        <w:jc w:val="center"/>
        <w:rPr>
          <w:szCs w:val="22"/>
        </w:rPr>
      </w:pPr>
    </w:p>
    <w:p w14:paraId="19757A0B" w14:textId="77777777" w:rsidR="006D73E5" w:rsidRDefault="00000000">
      <w:pPr>
        <w:spacing w:line="360" w:lineRule="auto"/>
        <w:ind w:firstLineChars="200" w:firstLine="480"/>
        <w:rPr>
          <w:sz w:val="24"/>
        </w:rPr>
      </w:pPr>
      <w:r>
        <w:rPr>
          <w:sz w:val="24"/>
        </w:rPr>
        <w:t>鱼类肠道健康受到广泛关注，肠道的消化功能、形态结构、菌群组成等与鱼类的生长性能密切相关</w:t>
      </w:r>
      <w:r>
        <w:rPr>
          <w:sz w:val="24"/>
          <w:vertAlign w:val="superscript"/>
        </w:rPr>
        <w:t>[1]</w:t>
      </w:r>
      <w:r>
        <w:rPr>
          <w:sz w:val="24"/>
        </w:rPr>
        <w:t>。营养素已被证明在提高鱼类免疫力方面起重要作用，其中氨基酸在鱼类生长、代谢、信号传导等过程发挥营养与生理性作用</w:t>
      </w:r>
      <w:r>
        <w:rPr>
          <w:sz w:val="24"/>
          <w:vertAlign w:val="superscript"/>
        </w:rPr>
        <w:t>[2]</w:t>
      </w:r>
      <w:r>
        <w:rPr>
          <w:sz w:val="24"/>
        </w:rPr>
        <w:t>。精氨酸</w:t>
      </w:r>
      <w:r>
        <w:rPr>
          <w:rFonts w:hint="eastAsia"/>
          <w:sz w:val="24"/>
        </w:rPr>
        <w:t>(</w:t>
      </w:r>
      <w:r>
        <w:rPr>
          <w:sz w:val="24"/>
        </w:rPr>
        <w:t>Arg</w:t>
      </w:r>
      <w:r>
        <w:rPr>
          <w:rFonts w:hint="eastAsia"/>
          <w:sz w:val="24"/>
        </w:rPr>
        <w:t>)</w:t>
      </w:r>
      <w:r>
        <w:rPr>
          <w:sz w:val="24"/>
        </w:rPr>
        <w:t>是鱼类必需氨基酸，参与蛋白质的合成，调控机体免疫机能，改善鱼类生长性能</w:t>
      </w:r>
      <w:r>
        <w:rPr>
          <w:sz w:val="24"/>
          <w:vertAlign w:val="superscript"/>
        </w:rPr>
        <w:t>[3]</w:t>
      </w:r>
      <w:r>
        <w:rPr>
          <w:sz w:val="24"/>
        </w:rPr>
        <w:t>。</w:t>
      </w:r>
      <w:r>
        <w:rPr>
          <w:sz w:val="24"/>
        </w:rPr>
        <w:t>N-</w:t>
      </w:r>
      <w:r>
        <w:rPr>
          <w:sz w:val="24"/>
        </w:rPr>
        <w:t>氨甲酰谷氨酸</w:t>
      </w:r>
      <w:r>
        <w:rPr>
          <w:sz w:val="24"/>
        </w:rPr>
        <w:t>(NCG)</w:t>
      </w:r>
      <w:r>
        <w:rPr>
          <w:sz w:val="24"/>
        </w:rPr>
        <w:t>通过激活氨甲酰磷酸合酶</w:t>
      </w:r>
      <w:r>
        <w:rPr>
          <w:sz w:val="24"/>
        </w:rPr>
        <w:t>-1</w:t>
      </w:r>
      <w:r>
        <w:rPr>
          <w:rFonts w:hint="eastAsia"/>
          <w:sz w:val="24"/>
        </w:rPr>
        <w:t>(</w:t>
      </w:r>
      <w:r>
        <w:rPr>
          <w:sz w:val="24"/>
        </w:rPr>
        <w:t>CPS-1</w:t>
      </w:r>
      <w:r>
        <w:rPr>
          <w:rFonts w:hint="eastAsia"/>
          <w:sz w:val="24"/>
        </w:rPr>
        <w:t>)</w:t>
      </w:r>
      <w:r>
        <w:rPr>
          <w:sz w:val="24"/>
        </w:rPr>
        <w:t>，促进内源性精氨酸合成</w:t>
      </w:r>
      <w:r>
        <w:rPr>
          <w:sz w:val="24"/>
          <w:vertAlign w:val="superscript"/>
        </w:rPr>
        <w:t>[4]</w:t>
      </w:r>
      <w:r>
        <w:rPr>
          <w:sz w:val="24"/>
        </w:rPr>
        <w:t>。目前研究表明，在不同鱼种饲料中添加精氨酸存在氨基酸吸收拮抗、投入成本高等因素，因此精氨酸内源性合成途径成为高效经济的方法，但是关于</w:t>
      </w:r>
      <w:r>
        <w:rPr>
          <w:sz w:val="24"/>
        </w:rPr>
        <w:t xml:space="preserve">NCG </w:t>
      </w:r>
      <w:r>
        <w:rPr>
          <w:sz w:val="24"/>
        </w:rPr>
        <w:t>在水产动物饲料中的应用研究较少</w:t>
      </w:r>
      <w:r>
        <w:rPr>
          <w:sz w:val="24"/>
          <w:vertAlign w:val="superscript"/>
        </w:rPr>
        <w:t>[5]</w:t>
      </w:r>
      <w:r>
        <w:rPr>
          <w:sz w:val="24"/>
        </w:rPr>
        <w:t>。</w:t>
      </w:r>
      <w:r>
        <w:rPr>
          <w:sz w:val="24"/>
        </w:rPr>
        <w:t xml:space="preserve">NCG </w:t>
      </w:r>
      <w:r>
        <w:rPr>
          <w:sz w:val="24"/>
        </w:rPr>
        <w:t>研究主要集中为内源性激活精氨酸，饲料添加</w:t>
      </w:r>
      <w:r>
        <w:rPr>
          <w:sz w:val="24"/>
        </w:rPr>
        <w:t xml:space="preserve"> NCG </w:t>
      </w:r>
      <w:r>
        <w:rPr>
          <w:sz w:val="24"/>
        </w:rPr>
        <w:t>可提高大菱鲆</w:t>
      </w:r>
      <w:r>
        <w:rPr>
          <w:sz w:val="24"/>
        </w:rPr>
        <w:t>(</w:t>
      </w:r>
      <w:r>
        <w:rPr>
          <w:i/>
          <w:iCs/>
          <w:sz w:val="24"/>
        </w:rPr>
        <w:t>Scophthalmus maximus</w:t>
      </w:r>
      <w:r>
        <w:rPr>
          <w:sz w:val="24"/>
        </w:rPr>
        <w:t>)</w:t>
      </w:r>
      <w:r>
        <w:rPr>
          <w:sz w:val="24"/>
        </w:rPr>
        <w:t>的生长性能</w:t>
      </w:r>
      <w:r>
        <w:rPr>
          <w:sz w:val="24"/>
          <w:vertAlign w:val="superscript"/>
        </w:rPr>
        <w:t>[6]</w:t>
      </w:r>
      <w:r>
        <w:rPr>
          <w:sz w:val="24"/>
        </w:rPr>
        <w:t>，改善镜鲤</w:t>
      </w:r>
      <w:r>
        <w:rPr>
          <w:sz w:val="24"/>
        </w:rPr>
        <w:t>(</w:t>
      </w:r>
      <w:r>
        <w:rPr>
          <w:i/>
          <w:iCs/>
          <w:sz w:val="24"/>
        </w:rPr>
        <w:t xml:space="preserve">Cyprinus </w:t>
      </w:r>
      <w:proofErr w:type="spellStart"/>
      <w:r>
        <w:rPr>
          <w:i/>
          <w:iCs/>
          <w:sz w:val="24"/>
        </w:rPr>
        <w:t>carpio</w:t>
      </w:r>
      <w:proofErr w:type="spellEnd"/>
      <w:r>
        <w:rPr>
          <w:sz w:val="24"/>
        </w:rPr>
        <w:t>)</w:t>
      </w:r>
      <w:r>
        <w:rPr>
          <w:sz w:val="24"/>
        </w:rPr>
        <w:t>的机体免疫活性</w:t>
      </w:r>
      <w:r>
        <w:rPr>
          <w:sz w:val="24"/>
          <w:vertAlign w:val="superscript"/>
        </w:rPr>
        <w:t>[7]</w:t>
      </w:r>
      <w:r>
        <w:rPr>
          <w:sz w:val="24"/>
        </w:rPr>
        <w:t>。</w:t>
      </w:r>
      <w:r>
        <w:rPr>
          <w:sz w:val="24"/>
        </w:rPr>
        <w:t xml:space="preserve">NCG </w:t>
      </w:r>
      <w:r>
        <w:rPr>
          <w:sz w:val="24"/>
        </w:rPr>
        <w:t>在鱼类机体内可内源性合成</w:t>
      </w:r>
      <w:r>
        <w:rPr>
          <w:sz w:val="24"/>
        </w:rPr>
        <w:t xml:space="preserve"> Arg</w:t>
      </w:r>
      <w:r>
        <w:rPr>
          <w:sz w:val="24"/>
        </w:rPr>
        <w:t>，生成的精氨酸与</w:t>
      </w:r>
      <w:r>
        <w:rPr>
          <w:sz w:val="24"/>
        </w:rPr>
        <w:t>NCG</w:t>
      </w:r>
      <w:r>
        <w:rPr>
          <w:sz w:val="24"/>
        </w:rPr>
        <w:t>比值约为</w:t>
      </w:r>
      <w:r>
        <w:rPr>
          <w:sz w:val="24"/>
        </w:rPr>
        <w:t>10</w:t>
      </w:r>
      <w:r>
        <w:rPr>
          <w:rFonts w:hint="eastAsia"/>
          <w:sz w:val="24"/>
        </w:rPr>
        <w:t>∶</w:t>
      </w:r>
      <w:r>
        <w:rPr>
          <w:sz w:val="24"/>
        </w:rPr>
        <w:t>1~20</w:t>
      </w:r>
      <w:r>
        <w:rPr>
          <w:rFonts w:hint="eastAsia"/>
          <w:sz w:val="24"/>
        </w:rPr>
        <w:t>∶</w:t>
      </w:r>
      <w:r>
        <w:rPr>
          <w:sz w:val="24"/>
        </w:rPr>
        <w:t>1</w:t>
      </w:r>
      <w:r>
        <w:rPr>
          <w:sz w:val="24"/>
          <w:vertAlign w:val="superscript"/>
        </w:rPr>
        <w:t>[8]</w:t>
      </w:r>
      <w:r>
        <w:rPr>
          <w:sz w:val="24"/>
        </w:rPr>
        <w:t>。本实验室开展了</w:t>
      </w:r>
      <w:r>
        <w:rPr>
          <w:sz w:val="24"/>
        </w:rPr>
        <w:t xml:space="preserve"> Arg </w:t>
      </w:r>
      <w:r>
        <w:rPr>
          <w:sz w:val="24"/>
        </w:rPr>
        <w:t>或</w:t>
      </w:r>
      <w:r>
        <w:rPr>
          <w:sz w:val="24"/>
        </w:rPr>
        <w:t xml:space="preserve"> NCG </w:t>
      </w:r>
      <w:r>
        <w:rPr>
          <w:sz w:val="24"/>
        </w:rPr>
        <w:t>在黄颡鱼</w:t>
      </w:r>
      <w:r>
        <w:rPr>
          <w:sz w:val="24"/>
        </w:rPr>
        <w:t>(</w:t>
      </w:r>
      <w:proofErr w:type="spellStart"/>
      <w:r>
        <w:rPr>
          <w:i/>
          <w:iCs/>
          <w:sz w:val="24"/>
        </w:rPr>
        <w:t>Pelteobagrus</w:t>
      </w:r>
      <w:proofErr w:type="spellEnd"/>
      <w:r>
        <w:rPr>
          <w:i/>
          <w:iCs/>
          <w:sz w:val="24"/>
        </w:rPr>
        <w:t xml:space="preserve"> </w:t>
      </w:r>
      <w:proofErr w:type="spellStart"/>
      <w:r>
        <w:rPr>
          <w:i/>
          <w:iCs/>
          <w:sz w:val="24"/>
        </w:rPr>
        <w:t>fulvidraco</w:t>
      </w:r>
      <w:proofErr w:type="spellEnd"/>
      <w:r>
        <w:rPr>
          <w:sz w:val="24"/>
        </w:rPr>
        <w:t>)</w:t>
      </w:r>
      <w:r>
        <w:rPr>
          <w:sz w:val="24"/>
        </w:rPr>
        <w:t>体内的应用实验，发现黄颡鱼中</w:t>
      </w:r>
      <w:r>
        <w:rPr>
          <w:sz w:val="24"/>
        </w:rPr>
        <w:t>NCG</w:t>
      </w:r>
      <w:r>
        <w:rPr>
          <w:sz w:val="24"/>
        </w:rPr>
        <w:t>的适宜添加水平是</w:t>
      </w:r>
      <w:r>
        <w:rPr>
          <w:sz w:val="24"/>
        </w:rPr>
        <w:t xml:space="preserve"> Arg </w:t>
      </w:r>
      <w:r>
        <w:rPr>
          <w:sz w:val="24"/>
        </w:rPr>
        <w:t>适宜添加水平的</w:t>
      </w:r>
      <w:r>
        <w:rPr>
          <w:sz w:val="24"/>
        </w:rPr>
        <w:t>1/20</w:t>
      </w:r>
      <w:r>
        <w:rPr>
          <w:sz w:val="24"/>
          <w:vertAlign w:val="superscript"/>
        </w:rPr>
        <w:t>[9]</w:t>
      </w:r>
      <w:r>
        <w:rPr>
          <w:sz w:val="24"/>
        </w:rPr>
        <w:t>。在黄颡鱼</w:t>
      </w:r>
      <w:r>
        <w:rPr>
          <w:sz w:val="24"/>
          <w:vertAlign w:val="superscript"/>
        </w:rPr>
        <w:t>[9]</w:t>
      </w:r>
      <w:r>
        <w:rPr>
          <w:sz w:val="24"/>
        </w:rPr>
        <w:t>、大菱鲆</w:t>
      </w:r>
      <w:r>
        <w:rPr>
          <w:sz w:val="24"/>
          <w:vertAlign w:val="superscript"/>
        </w:rPr>
        <w:t>[6]</w:t>
      </w:r>
      <w:r>
        <w:rPr>
          <w:sz w:val="24"/>
        </w:rPr>
        <w:t>、镜鲤</w:t>
      </w:r>
      <w:r>
        <w:rPr>
          <w:sz w:val="24"/>
          <w:vertAlign w:val="superscript"/>
        </w:rPr>
        <w:t>[7]</w:t>
      </w:r>
      <w:r>
        <w:rPr>
          <w:sz w:val="24"/>
        </w:rPr>
        <w:t>、莫桑比克罗非鱼</w:t>
      </w:r>
      <w:r>
        <w:rPr>
          <w:sz w:val="24"/>
        </w:rPr>
        <w:t>(</w:t>
      </w:r>
      <w:r>
        <w:rPr>
          <w:i/>
          <w:iCs/>
          <w:sz w:val="24"/>
        </w:rPr>
        <w:t xml:space="preserve">Oreochromis </w:t>
      </w:r>
      <w:proofErr w:type="spellStart"/>
      <w:r>
        <w:rPr>
          <w:i/>
          <w:iCs/>
          <w:sz w:val="24"/>
        </w:rPr>
        <w:t>mossambicus</w:t>
      </w:r>
      <w:proofErr w:type="spellEnd"/>
      <w:r>
        <w:rPr>
          <w:sz w:val="24"/>
        </w:rPr>
        <w:t>)</w:t>
      </w:r>
      <w:r>
        <w:rPr>
          <w:sz w:val="24"/>
          <w:vertAlign w:val="superscript"/>
        </w:rPr>
        <w:t>[10]</w:t>
      </w:r>
      <w:r>
        <w:rPr>
          <w:sz w:val="24"/>
        </w:rPr>
        <w:t>、花鲈</w:t>
      </w:r>
      <w:r>
        <w:rPr>
          <w:sz w:val="24"/>
        </w:rPr>
        <w:t>(</w:t>
      </w:r>
      <w:proofErr w:type="spellStart"/>
      <w:r>
        <w:rPr>
          <w:i/>
          <w:iCs/>
          <w:sz w:val="24"/>
        </w:rPr>
        <w:t>Lateolabrax</w:t>
      </w:r>
      <w:proofErr w:type="spellEnd"/>
      <w:r>
        <w:rPr>
          <w:i/>
          <w:iCs/>
          <w:sz w:val="24"/>
        </w:rPr>
        <w:t xml:space="preserve"> maculatus</w:t>
      </w:r>
      <w:r>
        <w:rPr>
          <w:sz w:val="24"/>
        </w:rPr>
        <w:t>)</w:t>
      </w:r>
      <w:r>
        <w:rPr>
          <w:sz w:val="24"/>
          <w:vertAlign w:val="superscript"/>
        </w:rPr>
        <w:t>[11]</w:t>
      </w:r>
      <w:r>
        <w:rPr>
          <w:sz w:val="24"/>
        </w:rPr>
        <w:t>等水产动物中的研究表明，</w:t>
      </w:r>
      <w:r>
        <w:rPr>
          <w:sz w:val="24"/>
        </w:rPr>
        <w:t xml:space="preserve">NCG </w:t>
      </w:r>
      <w:r>
        <w:rPr>
          <w:sz w:val="24"/>
        </w:rPr>
        <w:t>在饲料中</w:t>
      </w:r>
      <w:r>
        <w:rPr>
          <w:sz w:val="24"/>
        </w:rPr>
        <w:lastRenderedPageBreak/>
        <w:t>的适宜添加水平为</w:t>
      </w:r>
      <w:r>
        <w:rPr>
          <w:sz w:val="24"/>
        </w:rPr>
        <w:t xml:space="preserve"> 0.03%</w:t>
      </w:r>
      <w:r>
        <w:rPr>
          <w:sz w:val="24"/>
        </w:rPr>
        <w:t>左右。根据本实验室前期开展的杂交鳢</w:t>
      </w:r>
      <w:r>
        <w:rPr>
          <w:sz w:val="24"/>
        </w:rPr>
        <w:t>[</w:t>
      </w:r>
      <w:r>
        <w:rPr>
          <w:i/>
          <w:iCs/>
          <w:sz w:val="24"/>
        </w:rPr>
        <w:t xml:space="preserve">Channa </w:t>
      </w:r>
      <w:proofErr w:type="spellStart"/>
      <w:r>
        <w:rPr>
          <w:i/>
          <w:iCs/>
          <w:sz w:val="24"/>
        </w:rPr>
        <w:t>maculata</w:t>
      </w:r>
      <w:proofErr w:type="spellEnd"/>
      <w:r>
        <w:rPr>
          <w:i/>
          <w:iCs/>
          <w:sz w:val="24"/>
        </w:rPr>
        <w:t xml:space="preserve"> </w:t>
      </w:r>
      <w:r>
        <w:rPr>
          <w:sz w:val="24"/>
        </w:rPr>
        <w:t>(♀)×</w:t>
      </w:r>
      <w:r>
        <w:rPr>
          <w:i/>
          <w:iCs/>
          <w:sz w:val="24"/>
        </w:rPr>
        <w:t xml:space="preserve">C. argus </w:t>
      </w:r>
      <w:r>
        <w:rPr>
          <w:sz w:val="24"/>
        </w:rPr>
        <w:t>(♂)]</w:t>
      </w:r>
      <w:r>
        <w:rPr>
          <w:sz w:val="24"/>
        </w:rPr>
        <w:t>对精氨酸适宜需要量养殖实验，当饲料中添加量为</w:t>
      </w:r>
      <w:r>
        <w:rPr>
          <w:sz w:val="24"/>
        </w:rPr>
        <w:t xml:space="preserve"> 6 g/kg</w:t>
      </w:r>
      <w:r>
        <w:rPr>
          <w:sz w:val="24"/>
        </w:rPr>
        <w:t>，饲料精氨酸水平为</w:t>
      </w:r>
      <w:r>
        <w:rPr>
          <w:sz w:val="24"/>
        </w:rPr>
        <w:t xml:space="preserve"> 2.91%~2.98%</w:t>
      </w:r>
      <w:r>
        <w:rPr>
          <w:sz w:val="24"/>
        </w:rPr>
        <w:t>时，杂交鳢获得最佳生长性能</w:t>
      </w:r>
      <w:r>
        <w:rPr>
          <w:sz w:val="24"/>
          <w:vertAlign w:val="superscript"/>
        </w:rPr>
        <w:t>[12]</w:t>
      </w:r>
      <w:r>
        <w:rPr>
          <w:sz w:val="24"/>
        </w:rPr>
        <w:t>。本实验</w:t>
      </w:r>
      <w:r>
        <w:rPr>
          <w:sz w:val="24"/>
        </w:rPr>
        <w:t xml:space="preserve"> NCG </w:t>
      </w:r>
      <w:r>
        <w:rPr>
          <w:sz w:val="24"/>
        </w:rPr>
        <w:t>添加水平设计主要依据以上研究文献，按照杂交鳢饲料精氨酸适宜添加水平的</w:t>
      </w:r>
      <w:r>
        <w:rPr>
          <w:sz w:val="24"/>
        </w:rPr>
        <w:t xml:space="preserve">1/20 </w:t>
      </w:r>
      <w:r>
        <w:rPr>
          <w:sz w:val="24"/>
        </w:rPr>
        <w:t>即</w:t>
      </w:r>
      <w:r>
        <w:rPr>
          <w:sz w:val="24"/>
        </w:rPr>
        <w:t xml:space="preserve"> 0.03%</w:t>
      </w:r>
      <w:r>
        <w:rPr>
          <w:sz w:val="24"/>
        </w:rPr>
        <w:t>添加。</w:t>
      </w:r>
    </w:p>
    <w:p w14:paraId="4AD7C459" w14:textId="77777777" w:rsidR="006D73E5" w:rsidRDefault="00000000">
      <w:pPr>
        <w:spacing w:line="360" w:lineRule="auto"/>
        <w:ind w:firstLineChars="200" w:firstLine="480"/>
        <w:rPr>
          <w:sz w:val="24"/>
        </w:rPr>
      </w:pPr>
      <w:r>
        <w:rPr>
          <w:sz w:val="24"/>
        </w:rPr>
        <w:t>肠道菌群在长期的进化过程中，通过个体的适应和自然选择，菌群中不同种类之间，菌群与宿主之间，菌群、宿主与环境之间，始终处于动态平衡状态，形成一个互相依存，相互制约的系统</w:t>
      </w:r>
      <w:r>
        <w:rPr>
          <w:sz w:val="24"/>
          <w:vertAlign w:val="superscript"/>
        </w:rPr>
        <w:t>[13]</w:t>
      </w:r>
      <w:r>
        <w:rPr>
          <w:sz w:val="24"/>
        </w:rPr>
        <w:t>。因此，肠道微生物结构相对稳定状态，对宿主表现为不致病</w:t>
      </w:r>
      <w:r>
        <w:rPr>
          <w:sz w:val="24"/>
          <w:vertAlign w:val="superscript"/>
        </w:rPr>
        <w:t>[14-15]</w:t>
      </w:r>
      <w:r>
        <w:rPr>
          <w:sz w:val="24"/>
        </w:rPr>
        <w:t>。研究表明，杂交条纹鲈</w:t>
      </w:r>
      <w:r>
        <w:rPr>
          <w:sz w:val="24"/>
        </w:rPr>
        <w:t>(</w:t>
      </w:r>
      <w:proofErr w:type="spellStart"/>
      <w:r>
        <w:rPr>
          <w:i/>
          <w:iCs/>
          <w:sz w:val="24"/>
        </w:rPr>
        <w:t>Moronechrysops</w:t>
      </w:r>
      <w:proofErr w:type="spellEnd"/>
      <w:r>
        <w:rPr>
          <w:sz w:val="24"/>
        </w:rPr>
        <w:t xml:space="preserve"> × </w:t>
      </w:r>
      <w:r>
        <w:rPr>
          <w:i/>
          <w:iCs/>
          <w:sz w:val="24"/>
        </w:rPr>
        <w:t>M. saxatilis</w:t>
      </w:r>
      <w:r>
        <w:rPr>
          <w:sz w:val="24"/>
        </w:rPr>
        <w:t xml:space="preserve"> )</w:t>
      </w:r>
      <w:r>
        <w:rPr>
          <w:sz w:val="24"/>
        </w:rPr>
        <w:t>饲料中添加精氨酸可显著增加肠道皱褶深度及绒毛高度</w:t>
      </w:r>
      <w:r>
        <w:rPr>
          <w:sz w:val="24"/>
          <w:vertAlign w:val="superscript"/>
        </w:rPr>
        <w:t>[16]</w:t>
      </w:r>
      <w:r>
        <w:rPr>
          <w:sz w:val="24"/>
        </w:rPr>
        <w:t>，精氨酸代谢产物如多胺、亚精胺可显著促进胃肠黏膜生长，并且亚精胺已被证明可以改善十二指肠、空肠、回肠重量和肠黏膜细胞增殖</w:t>
      </w:r>
      <w:r>
        <w:rPr>
          <w:sz w:val="24"/>
          <w:vertAlign w:val="superscript"/>
        </w:rPr>
        <w:t>[17]</w:t>
      </w:r>
      <w:r>
        <w:rPr>
          <w:sz w:val="24"/>
        </w:rPr>
        <w:t>。杂交鳢，为乌鳢</w:t>
      </w:r>
      <w:r>
        <w:rPr>
          <w:rFonts w:hint="eastAsia"/>
          <w:sz w:val="24"/>
        </w:rPr>
        <w:t>(</w:t>
      </w:r>
      <w:r>
        <w:rPr>
          <w:i/>
          <w:iCs/>
          <w:sz w:val="24"/>
        </w:rPr>
        <w:t>Channa argus</w:t>
      </w:r>
      <w:r>
        <w:rPr>
          <w:rFonts w:hint="eastAsia"/>
          <w:sz w:val="24"/>
        </w:rPr>
        <w:t>)</w:t>
      </w:r>
      <w:r>
        <w:rPr>
          <w:sz w:val="24"/>
        </w:rPr>
        <w:t>和斑鳢</w:t>
      </w:r>
      <w:r>
        <w:rPr>
          <w:rFonts w:hint="eastAsia"/>
          <w:sz w:val="24"/>
        </w:rPr>
        <w:t>(</w:t>
      </w:r>
      <w:r>
        <w:rPr>
          <w:i/>
          <w:iCs/>
          <w:sz w:val="24"/>
        </w:rPr>
        <w:t>Channa maculate</w:t>
      </w:r>
      <w:r>
        <w:rPr>
          <w:rFonts w:hint="eastAsia"/>
          <w:sz w:val="24"/>
        </w:rPr>
        <w:t>)</w:t>
      </w:r>
      <w:r>
        <w:rPr>
          <w:sz w:val="24"/>
        </w:rPr>
        <w:t>的杂交子一代新品种，其优良性状明显，目前深受珠三角养殖户欢迎。但随着养殖产量不断增加，杂交鳢养殖面临的水环境污染、疾病频发问题造成水生动物抗应激能力、免疫能力、抗病能力降低日益严重。目前并没有关于杂交鳢肠道内源性精氨酸合成能力的探索，可作为未来的重要研究方向，本文通过对杂交鳢肠道黏膜结构观察和肠道</w:t>
      </w:r>
      <w:r>
        <w:rPr>
          <w:sz w:val="24"/>
        </w:rPr>
        <w:t xml:space="preserve">16S rRNA </w:t>
      </w:r>
      <w:r>
        <w:rPr>
          <w:sz w:val="24"/>
        </w:rPr>
        <w:t>测序，根据杂交鳢肠道黏膜形态的改变及对肠道微生物群落的影响，探讨精氨酸对杂交鳢的肠道形态结构及微生物群落的影响。</w:t>
      </w:r>
    </w:p>
    <w:p w14:paraId="529467B1" w14:textId="77777777" w:rsidR="006D73E5" w:rsidRDefault="00000000">
      <w:pPr>
        <w:spacing w:line="360" w:lineRule="auto"/>
        <w:rPr>
          <w:sz w:val="24"/>
        </w:rPr>
      </w:pPr>
      <w:r>
        <w:rPr>
          <w:sz w:val="24"/>
        </w:rPr>
        <w:t xml:space="preserve">1  </w:t>
      </w:r>
      <w:r>
        <w:rPr>
          <w:sz w:val="24"/>
        </w:rPr>
        <w:t>材料与方法</w:t>
      </w:r>
    </w:p>
    <w:p w14:paraId="225AD794" w14:textId="77777777" w:rsidR="006D73E5" w:rsidRDefault="00000000">
      <w:pPr>
        <w:spacing w:line="360" w:lineRule="auto"/>
        <w:rPr>
          <w:sz w:val="24"/>
        </w:rPr>
      </w:pPr>
      <w:r>
        <w:rPr>
          <w:sz w:val="24"/>
        </w:rPr>
        <w:t xml:space="preserve">1.1  </w:t>
      </w:r>
      <w:r>
        <w:rPr>
          <w:sz w:val="24"/>
        </w:rPr>
        <w:t>实验饲料</w:t>
      </w:r>
    </w:p>
    <w:p w14:paraId="120D2049" w14:textId="77777777" w:rsidR="006D73E5" w:rsidRDefault="00000000">
      <w:pPr>
        <w:spacing w:line="360" w:lineRule="auto"/>
        <w:ind w:firstLineChars="200" w:firstLine="480"/>
        <w:rPr>
          <w:sz w:val="24"/>
        </w:rPr>
      </w:pPr>
      <w:r>
        <w:rPr>
          <w:sz w:val="24"/>
        </w:rPr>
        <w:t>以鱼粉、豆粕、玉米蛋白粉为蛋白质源，鱼油、豆油、磷脂油为脂肪源，配制基础饲料，饲料配方、营养水平如表</w:t>
      </w:r>
      <w:r>
        <w:rPr>
          <w:sz w:val="24"/>
        </w:rPr>
        <w:t xml:space="preserve"> 1 </w:t>
      </w:r>
      <w:r>
        <w:rPr>
          <w:sz w:val="24"/>
        </w:rPr>
        <w:t>所示。在基础饲料中分别添加</w:t>
      </w:r>
      <w:r>
        <w:rPr>
          <w:sz w:val="24"/>
        </w:rPr>
        <w:t>0</w:t>
      </w:r>
      <w:r>
        <w:rPr>
          <w:sz w:val="24"/>
        </w:rPr>
        <w:t>、</w:t>
      </w:r>
      <w:r>
        <w:rPr>
          <w:sz w:val="24"/>
        </w:rPr>
        <w:t>0.60%</w:t>
      </w:r>
      <w:r>
        <w:rPr>
          <w:sz w:val="24"/>
        </w:rPr>
        <w:t>精氨酸、</w:t>
      </w:r>
      <w:r>
        <w:rPr>
          <w:sz w:val="24"/>
        </w:rPr>
        <w:t>0.03%N-</w:t>
      </w:r>
      <w:r>
        <w:rPr>
          <w:sz w:val="24"/>
        </w:rPr>
        <w:t>氨甲酰谷氨酸，分别标记为对照组、</w:t>
      </w:r>
      <w:r>
        <w:rPr>
          <w:sz w:val="24"/>
        </w:rPr>
        <w:t xml:space="preserve">Arg </w:t>
      </w:r>
      <w:r>
        <w:rPr>
          <w:sz w:val="24"/>
        </w:rPr>
        <w:t>组、</w:t>
      </w:r>
      <w:r>
        <w:rPr>
          <w:sz w:val="24"/>
        </w:rPr>
        <w:t xml:space="preserve">NCG </w:t>
      </w:r>
      <w:r>
        <w:rPr>
          <w:sz w:val="24"/>
        </w:rPr>
        <w:t>组，实测精氨酸水平为</w:t>
      </w:r>
      <w:r>
        <w:rPr>
          <w:sz w:val="24"/>
        </w:rPr>
        <w:t>2.31%</w:t>
      </w:r>
      <w:r>
        <w:rPr>
          <w:sz w:val="24"/>
        </w:rPr>
        <w:t>、</w:t>
      </w:r>
      <w:r>
        <w:rPr>
          <w:sz w:val="24"/>
        </w:rPr>
        <w:t>2.92%</w:t>
      </w:r>
      <w:r>
        <w:rPr>
          <w:sz w:val="24"/>
        </w:rPr>
        <w:t>、</w:t>
      </w:r>
      <w:r>
        <w:rPr>
          <w:sz w:val="24"/>
        </w:rPr>
        <w:t>2.38%</w:t>
      </w:r>
      <w:r>
        <w:rPr>
          <w:sz w:val="24"/>
        </w:rPr>
        <w:t>。实验所用精氨酸（</w:t>
      </w:r>
      <w:r>
        <w:rPr>
          <w:sz w:val="24"/>
        </w:rPr>
        <w:t>L-</w:t>
      </w:r>
      <w:r>
        <w:rPr>
          <w:sz w:val="24"/>
        </w:rPr>
        <w:t>精氨酸，纯度</w:t>
      </w:r>
      <w:r>
        <w:rPr>
          <w:sz w:val="24"/>
        </w:rPr>
        <w:t>≥98%</w:t>
      </w:r>
      <w:r>
        <w:rPr>
          <w:sz w:val="24"/>
        </w:rPr>
        <w:t>），购自沈阳希杰生物公司，</w:t>
      </w:r>
      <w:r>
        <w:rPr>
          <w:sz w:val="24"/>
        </w:rPr>
        <w:t>NCG</w:t>
      </w:r>
      <w:r>
        <w:rPr>
          <w:sz w:val="24"/>
        </w:rPr>
        <w:t>由（</w:t>
      </w:r>
      <w:r>
        <w:rPr>
          <w:sz w:val="24"/>
        </w:rPr>
        <w:t>NCG</w:t>
      </w:r>
      <w:r>
        <w:rPr>
          <w:sz w:val="24"/>
        </w:rPr>
        <w:t>，纯度</w:t>
      </w:r>
      <w:r>
        <w:rPr>
          <w:sz w:val="24"/>
        </w:rPr>
        <w:t>≥98%</w:t>
      </w:r>
      <w:r>
        <w:rPr>
          <w:sz w:val="24"/>
        </w:rPr>
        <w:t>）购自北京亚太兴牧科技有限公司。按照乌鳢营养需求量分别添加维生素、矿物质预混料。采用纤维素进行配方调平。饲料原料过</w:t>
      </w:r>
      <w:r>
        <w:rPr>
          <w:sz w:val="24"/>
        </w:rPr>
        <w:t xml:space="preserve"> 60 </w:t>
      </w:r>
      <w:r>
        <w:rPr>
          <w:sz w:val="24"/>
        </w:rPr>
        <w:t>目筛粉碎，加入微量原料、油脂成分、水逐级混匀，采用膨化机</w:t>
      </w:r>
      <w:r>
        <w:rPr>
          <w:rFonts w:hint="eastAsia"/>
          <w:sz w:val="24"/>
        </w:rPr>
        <w:t>(</w:t>
      </w:r>
      <w:r>
        <w:rPr>
          <w:sz w:val="24"/>
        </w:rPr>
        <w:t>华强膨化机械</w:t>
      </w:r>
      <w:r>
        <w:rPr>
          <w:sz w:val="24"/>
        </w:rPr>
        <w:t xml:space="preserve"> T52 </w:t>
      </w:r>
      <w:r>
        <w:rPr>
          <w:sz w:val="24"/>
        </w:rPr>
        <w:t>型膨化机，</w:t>
      </w:r>
      <w:r>
        <w:rPr>
          <w:sz w:val="24"/>
        </w:rPr>
        <w:t xml:space="preserve"> </w:t>
      </w:r>
      <w:r>
        <w:rPr>
          <w:sz w:val="24"/>
        </w:rPr>
        <w:t>广州，中国</w:t>
      </w:r>
      <w:r>
        <w:rPr>
          <w:rFonts w:hint="eastAsia"/>
          <w:sz w:val="24"/>
        </w:rPr>
        <w:t>)</w:t>
      </w:r>
      <w:r>
        <w:rPr>
          <w:sz w:val="24"/>
        </w:rPr>
        <w:t>制成膨化颗粒，置于</w:t>
      </w:r>
      <w:r>
        <w:rPr>
          <w:sz w:val="24"/>
        </w:rPr>
        <w:t>55 ℃</w:t>
      </w:r>
      <w:r>
        <w:rPr>
          <w:sz w:val="24"/>
        </w:rPr>
        <w:t>温度烘干。</w:t>
      </w:r>
    </w:p>
    <w:p w14:paraId="1C9C49FE" w14:textId="77777777" w:rsidR="006D73E5" w:rsidRDefault="00000000">
      <w:pPr>
        <w:spacing w:line="360" w:lineRule="auto"/>
        <w:ind w:firstLineChars="200" w:firstLine="480"/>
        <w:jc w:val="center"/>
        <w:rPr>
          <w:sz w:val="24"/>
        </w:rPr>
      </w:pPr>
      <w:r>
        <w:rPr>
          <w:noProof/>
          <w:sz w:val="24"/>
        </w:rPr>
        <w:lastRenderedPageBreak/>
        <w:drawing>
          <wp:inline distT="0" distB="0" distL="0" distR="0" wp14:anchorId="3EAE6CFA" wp14:editId="44978F48">
            <wp:extent cx="5379085" cy="4143375"/>
            <wp:effectExtent l="0" t="0" r="12065" b="952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a:xfrm>
                      <a:off x="0" y="0"/>
                      <a:ext cx="5476576" cy="4143375"/>
                    </a:xfrm>
                    <a:prstGeom prst="rect">
                      <a:avLst/>
                    </a:prstGeom>
                    <a:noFill/>
                    <a:ln>
                      <a:noFill/>
                    </a:ln>
                  </pic:spPr>
                </pic:pic>
              </a:graphicData>
            </a:graphic>
          </wp:inline>
        </w:drawing>
      </w:r>
      <w:r>
        <w:rPr>
          <w:noProof/>
          <w:sz w:val="24"/>
        </w:rPr>
        <w:drawing>
          <wp:inline distT="0" distB="0" distL="0" distR="0" wp14:anchorId="05609C8B" wp14:editId="66623CBD">
            <wp:extent cx="6134100" cy="164084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a:xfrm>
                      <a:off x="0" y="0"/>
                      <a:ext cx="6435560" cy="1721479"/>
                    </a:xfrm>
                    <a:prstGeom prst="rect">
                      <a:avLst/>
                    </a:prstGeom>
                    <a:noFill/>
                    <a:ln>
                      <a:noFill/>
                    </a:ln>
                  </pic:spPr>
                </pic:pic>
              </a:graphicData>
            </a:graphic>
          </wp:inline>
        </w:drawing>
      </w:r>
    </w:p>
    <w:p w14:paraId="32CF54F7" w14:textId="77777777" w:rsidR="006D73E5" w:rsidRDefault="00000000">
      <w:pPr>
        <w:spacing w:line="360" w:lineRule="auto"/>
        <w:rPr>
          <w:sz w:val="24"/>
        </w:rPr>
      </w:pPr>
      <w:r>
        <w:rPr>
          <w:sz w:val="24"/>
        </w:rPr>
        <w:t xml:space="preserve">1.2  </w:t>
      </w:r>
      <w:r>
        <w:rPr>
          <w:sz w:val="24"/>
        </w:rPr>
        <w:t>实验设计及养殖管理</w:t>
      </w:r>
    </w:p>
    <w:p w14:paraId="56FB4A57" w14:textId="77777777" w:rsidR="006D73E5" w:rsidRDefault="00000000">
      <w:pPr>
        <w:spacing w:line="360" w:lineRule="auto"/>
        <w:ind w:firstLineChars="200" w:firstLine="480"/>
        <w:rPr>
          <w:sz w:val="24"/>
        </w:rPr>
      </w:pPr>
      <w:r>
        <w:rPr>
          <w:sz w:val="24"/>
        </w:rPr>
        <w:t>实验鱼购买于广州锦龙渔业有限公司，购回后经湖泊网箱暂养</w:t>
      </w:r>
      <w:r>
        <w:rPr>
          <w:sz w:val="24"/>
        </w:rPr>
        <w:t xml:space="preserve"> 1 </w:t>
      </w:r>
      <w:r>
        <w:rPr>
          <w:sz w:val="24"/>
        </w:rPr>
        <w:t>周，每天投喂</w:t>
      </w:r>
      <w:r>
        <w:rPr>
          <w:sz w:val="24"/>
        </w:rPr>
        <w:t xml:space="preserve"> 2 </w:t>
      </w:r>
      <w:r>
        <w:rPr>
          <w:sz w:val="24"/>
        </w:rPr>
        <w:t>次基础饲料，养殖实验在广东省农业科学院动物科学研究所白云实验基地湖泊中进行。暂养结束后饥饿</w:t>
      </w:r>
      <w:r>
        <w:rPr>
          <w:sz w:val="24"/>
        </w:rPr>
        <w:t xml:space="preserve"> 24 h </w:t>
      </w:r>
      <w:r>
        <w:rPr>
          <w:sz w:val="24"/>
        </w:rPr>
        <w:t>开始实</w:t>
      </w:r>
      <w:r>
        <w:rPr>
          <w:sz w:val="24"/>
        </w:rPr>
        <w:t xml:space="preserve"> </w:t>
      </w:r>
      <w:r>
        <w:rPr>
          <w:sz w:val="24"/>
        </w:rPr>
        <w:t>验。选取初始体质量</w:t>
      </w:r>
      <w:r>
        <w:rPr>
          <w:rFonts w:hint="eastAsia"/>
          <w:sz w:val="24"/>
        </w:rPr>
        <w:t>(</w:t>
      </w:r>
      <w:r>
        <w:rPr>
          <w:sz w:val="24"/>
        </w:rPr>
        <w:t>22.02±0.02</w:t>
      </w:r>
      <w:r>
        <w:rPr>
          <w:rFonts w:hint="eastAsia"/>
          <w:sz w:val="24"/>
        </w:rPr>
        <w:t>)</w:t>
      </w:r>
      <w:r>
        <w:rPr>
          <w:sz w:val="24"/>
        </w:rPr>
        <w:t xml:space="preserve">g </w:t>
      </w:r>
      <w:r>
        <w:rPr>
          <w:sz w:val="24"/>
        </w:rPr>
        <w:t>的杂交鳢鱼苗</w:t>
      </w:r>
      <w:r>
        <w:rPr>
          <w:sz w:val="24"/>
        </w:rPr>
        <w:t xml:space="preserve"> 450 </w:t>
      </w:r>
      <w:r>
        <w:rPr>
          <w:sz w:val="24"/>
        </w:rPr>
        <w:t>尾，随机分为</w:t>
      </w:r>
      <w:r>
        <w:rPr>
          <w:sz w:val="24"/>
        </w:rPr>
        <w:t xml:space="preserve"> 3 </w:t>
      </w:r>
      <w:r>
        <w:rPr>
          <w:sz w:val="24"/>
        </w:rPr>
        <w:t>组，每组</w:t>
      </w:r>
      <w:r>
        <w:rPr>
          <w:sz w:val="24"/>
        </w:rPr>
        <w:t xml:space="preserve"> 3 </w:t>
      </w:r>
      <w:r>
        <w:rPr>
          <w:sz w:val="24"/>
        </w:rPr>
        <w:t>个重复</w:t>
      </w:r>
      <w:r>
        <w:rPr>
          <w:rFonts w:hint="eastAsia"/>
          <w:sz w:val="24"/>
        </w:rPr>
        <w:t>(</w:t>
      </w:r>
      <w:r>
        <w:rPr>
          <w:sz w:val="24"/>
        </w:rPr>
        <w:t>网箱</w:t>
      </w:r>
      <w:r>
        <w:rPr>
          <w:rFonts w:hint="eastAsia"/>
          <w:sz w:val="24"/>
        </w:rPr>
        <w:t>)</w:t>
      </w:r>
      <w:r>
        <w:rPr>
          <w:sz w:val="24"/>
        </w:rPr>
        <w:t>，每个重复</w:t>
      </w:r>
      <w:r>
        <w:rPr>
          <w:sz w:val="24"/>
        </w:rPr>
        <w:t xml:space="preserve"> 50 </w:t>
      </w:r>
      <w:r>
        <w:rPr>
          <w:sz w:val="24"/>
        </w:rPr>
        <w:t>尾鱼，分别投喂</w:t>
      </w:r>
      <w:r>
        <w:rPr>
          <w:sz w:val="24"/>
        </w:rPr>
        <w:t xml:space="preserve"> 3 </w:t>
      </w:r>
      <w:r>
        <w:rPr>
          <w:sz w:val="24"/>
        </w:rPr>
        <w:t>种实验饲料，养殖网箱规格为</w:t>
      </w:r>
      <w:r>
        <w:rPr>
          <w:rFonts w:hint="eastAsia"/>
          <w:sz w:val="24"/>
        </w:rPr>
        <w:t>(</w:t>
      </w:r>
      <w:r>
        <w:rPr>
          <w:sz w:val="24"/>
        </w:rPr>
        <w:t xml:space="preserve">1.5 m×1.5 </w:t>
      </w:r>
      <w:proofErr w:type="spellStart"/>
      <w:r>
        <w:rPr>
          <w:sz w:val="24"/>
        </w:rPr>
        <w:t>m×1.5</w:t>
      </w:r>
      <w:proofErr w:type="spellEnd"/>
      <w:r>
        <w:rPr>
          <w:sz w:val="24"/>
        </w:rPr>
        <w:t xml:space="preserve"> m</w:t>
      </w:r>
      <w:r>
        <w:rPr>
          <w:rFonts w:hint="eastAsia"/>
          <w:sz w:val="24"/>
        </w:rPr>
        <w:t>)</w:t>
      </w:r>
      <w:r>
        <w:rPr>
          <w:sz w:val="24"/>
        </w:rPr>
        <w:t>，有效水体积</w:t>
      </w:r>
      <w:r>
        <w:rPr>
          <w:sz w:val="24"/>
        </w:rPr>
        <w:t xml:space="preserve"> 293 L</w:t>
      </w:r>
      <w:r>
        <w:rPr>
          <w:sz w:val="24"/>
        </w:rPr>
        <w:t>，饲喂</w:t>
      </w:r>
      <w:r>
        <w:rPr>
          <w:sz w:val="24"/>
        </w:rPr>
        <w:t xml:space="preserve"> 8 </w:t>
      </w:r>
      <w:r>
        <w:rPr>
          <w:sz w:val="24"/>
        </w:rPr>
        <w:t>周。以饱食投喂方式，每天</w:t>
      </w:r>
      <w:r>
        <w:rPr>
          <w:sz w:val="24"/>
        </w:rPr>
        <w:t xml:space="preserve"> 2 </w:t>
      </w:r>
      <w:r>
        <w:rPr>
          <w:sz w:val="24"/>
        </w:rPr>
        <w:t>次分别在</w:t>
      </w:r>
      <w:r>
        <w:rPr>
          <w:sz w:val="24"/>
        </w:rPr>
        <w:t>08: 00</w:t>
      </w:r>
      <w:r>
        <w:rPr>
          <w:sz w:val="24"/>
        </w:rPr>
        <w:t>、</w:t>
      </w:r>
      <w:r>
        <w:rPr>
          <w:sz w:val="24"/>
        </w:rPr>
        <w:t>16: 00</w:t>
      </w:r>
      <w:r>
        <w:rPr>
          <w:sz w:val="24"/>
        </w:rPr>
        <w:t>定时投喂，并根据水温、摄食和生长等因素及时调整投喂量，每天进行摄食及死亡记录。养殖期间氨氮含量小于</w:t>
      </w:r>
      <w:r>
        <w:rPr>
          <w:sz w:val="24"/>
        </w:rPr>
        <w:t>0.1 mg/L</w:t>
      </w:r>
      <w:r>
        <w:rPr>
          <w:sz w:val="24"/>
        </w:rPr>
        <w:t>，溶氧大约为</w:t>
      </w:r>
      <w:r>
        <w:rPr>
          <w:sz w:val="24"/>
        </w:rPr>
        <w:t xml:space="preserve"> 8 mg/L</w:t>
      </w:r>
      <w:r>
        <w:rPr>
          <w:sz w:val="24"/>
        </w:rPr>
        <w:t>，酸碱度大约为</w:t>
      </w:r>
      <w:r>
        <w:rPr>
          <w:sz w:val="24"/>
        </w:rPr>
        <w:t>8.0</w:t>
      </w:r>
      <w:r>
        <w:rPr>
          <w:sz w:val="24"/>
        </w:rPr>
        <w:t>，自然光照，水温</w:t>
      </w:r>
      <w:r>
        <w:rPr>
          <w:sz w:val="24"/>
        </w:rPr>
        <w:t>25~32 ℃</w:t>
      </w:r>
      <w:r>
        <w:rPr>
          <w:sz w:val="24"/>
        </w:rPr>
        <w:t>。</w:t>
      </w:r>
    </w:p>
    <w:p w14:paraId="015FD7CE" w14:textId="77777777" w:rsidR="006D73E5" w:rsidRDefault="00000000">
      <w:pPr>
        <w:spacing w:line="360" w:lineRule="auto"/>
        <w:rPr>
          <w:sz w:val="24"/>
        </w:rPr>
      </w:pPr>
      <w:r>
        <w:rPr>
          <w:sz w:val="24"/>
        </w:rPr>
        <w:lastRenderedPageBreak/>
        <w:t xml:space="preserve">1.3  </w:t>
      </w:r>
      <w:r>
        <w:rPr>
          <w:sz w:val="24"/>
        </w:rPr>
        <w:t>样品采集与数据测定</w:t>
      </w:r>
    </w:p>
    <w:p w14:paraId="54E6B866" w14:textId="77777777" w:rsidR="006D73E5" w:rsidRDefault="00000000">
      <w:pPr>
        <w:spacing w:line="360" w:lineRule="auto"/>
        <w:rPr>
          <w:sz w:val="24"/>
        </w:rPr>
      </w:pPr>
      <w:r>
        <w:rPr>
          <w:sz w:val="24"/>
        </w:rPr>
        <w:t>生长性能计算</w:t>
      </w:r>
      <w:r>
        <w:rPr>
          <w:sz w:val="24"/>
        </w:rPr>
        <w:t xml:space="preserve"> </w:t>
      </w:r>
    </w:p>
    <w:p w14:paraId="323D1499" w14:textId="77777777" w:rsidR="006D73E5" w:rsidRDefault="00000000">
      <w:pPr>
        <w:spacing w:line="360" w:lineRule="auto"/>
        <w:rPr>
          <w:sz w:val="24"/>
        </w:rPr>
      </w:pPr>
      <w:r>
        <w:rPr>
          <w:sz w:val="24"/>
        </w:rPr>
        <w:t>饲料系数</w:t>
      </w:r>
      <w:r>
        <w:rPr>
          <w:sz w:val="24"/>
        </w:rPr>
        <w:t>(feed coefficient rate</w:t>
      </w:r>
      <w:r>
        <w:rPr>
          <w:sz w:val="24"/>
        </w:rPr>
        <w:t>，</w:t>
      </w:r>
      <w:r>
        <w:rPr>
          <w:sz w:val="24"/>
        </w:rPr>
        <w:t>FCR)=D</w:t>
      </w:r>
      <w:r>
        <w:rPr>
          <w:sz w:val="24"/>
          <w:vertAlign w:val="subscript"/>
        </w:rPr>
        <w:t>总</w:t>
      </w:r>
      <w:r>
        <w:rPr>
          <w:sz w:val="24"/>
        </w:rPr>
        <w:t>/</w:t>
      </w:r>
      <w:r>
        <w:rPr>
          <w:rFonts w:hint="eastAsia"/>
          <w:sz w:val="24"/>
        </w:rPr>
        <w:t>(</w:t>
      </w:r>
      <w:r>
        <w:rPr>
          <w:sz w:val="24"/>
        </w:rPr>
        <w:t>W</w:t>
      </w:r>
      <w:r>
        <w:rPr>
          <w:sz w:val="24"/>
          <w:vertAlign w:val="subscript"/>
        </w:rPr>
        <w:t>末</w:t>
      </w:r>
      <w:r>
        <w:rPr>
          <w:sz w:val="24"/>
        </w:rPr>
        <w:t>-W</w:t>
      </w:r>
      <w:r>
        <w:rPr>
          <w:sz w:val="24"/>
          <w:vertAlign w:val="subscript"/>
        </w:rPr>
        <w:t>初</w:t>
      </w:r>
      <w:r>
        <w:rPr>
          <w:rFonts w:hint="eastAsia"/>
          <w:sz w:val="24"/>
        </w:rPr>
        <w:t>)</w:t>
      </w:r>
    </w:p>
    <w:p w14:paraId="6C4BF3F7" w14:textId="77777777" w:rsidR="006D73E5" w:rsidRDefault="00000000">
      <w:pPr>
        <w:spacing w:line="360" w:lineRule="auto"/>
        <w:rPr>
          <w:sz w:val="24"/>
        </w:rPr>
      </w:pPr>
      <w:r>
        <w:rPr>
          <w:sz w:val="24"/>
        </w:rPr>
        <w:t>蛋白质沉积率</w:t>
      </w:r>
      <w:r>
        <w:rPr>
          <w:sz w:val="24"/>
        </w:rPr>
        <w:t>(protein deposition rate</w:t>
      </w:r>
      <w:r>
        <w:rPr>
          <w:sz w:val="24"/>
        </w:rPr>
        <w:t>，</w:t>
      </w:r>
      <w:r>
        <w:rPr>
          <w:sz w:val="24"/>
        </w:rPr>
        <w:t>PDR</w:t>
      </w:r>
      <w:r>
        <w:rPr>
          <w:sz w:val="24"/>
        </w:rPr>
        <w:t>，</w:t>
      </w:r>
      <w:r>
        <w:rPr>
          <w:sz w:val="24"/>
        </w:rPr>
        <w:t>%)=100%×</w:t>
      </w:r>
      <w:r>
        <w:rPr>
          <w:rFonts w:hint="eastAsia"/>
          <w:sz w:val="24"/>
        </w:rPr>
        <w:t>(</w:t>
      </w:r>
      <w:r>
        <w:rPr>
          <w:sz w:val="24"/>
        </w:rPr>
        <w:t>W</w:t>
      </w:r>
      <w:r>
        <w:rPr>
          <w:sz w:val="24"/>
          <w:vertAlign w:val="subscript"/>
        </w:rPr>
        <w:t>末</w:t>
      </w:r>
      <w:r>
        <w:rPr>
          <w:sz w:val="24"/>
        </w:rPr>
        <w:t>×CP</w:t>
      </w:r>
      <w:r>
        <w:rPr>
          <w:sz w:val="24"/>
          <w:vertAlign w:val="subscript"/>
        </w:rPr>
        <w:t>末</w:t>
      </w:r>
      <w:r>
        <w:rPr>
          <w:sz w:val="24"/>
        </w:rPr>
        <w:t>-W</w:t>
      </w:r>
      <w:r>
        <w:rPr>
          <w:sz w:val="24"/>
          <w:vertAlign w:val="subscript"/>
        </w:rPr>
        <w:t>初</w:t>
      </w:r>
      <w:r>
        <w:rPr>
          <w:sz w:val="24"/>
        </w:rPr>
        <w:t>×CP</w:t>
      </w:r>
      <w:r>
        <w:rPr>
          <w:sz w:val="24"/>
          <w:vertAlign w:val="subscript"/>
        </w:rPr>
        <w:t>初</w:t>
      </w:r>
      <w:r>
        <w:rPr>
          <w:rFonts w:hint="eastAsia"/>
          <w:sz w:val="24"/>
        </w:rPr>
        <w:t>)</w:t>
      </w:r>
      <w:r>
        <w:rPr>
          <w:sz w:val="24"/>
        </w:rPr>
        <w:t>/</w:t>
      </w:r>
      <w:r>
        <w:rPr>
          <w:rFonts w:hint="eastAsia"/>
          <w:sz w:val="24"/>
        </w:rPr>
        <w:t>(</w:t>
      </w:r>
      <w:r>
        <w:rPr>
          <w:sz w:val="24"/>
        </w:rPr>
        <w:t>D×CP</w:t>
      </w:r>
      <w:r>
        <w:rPr>
          <w:sz w:val="24"/>
          <w:vertAlign w:val="subscript"/>
        </w:rPr>
        <w:t>饲料</w:t>
      </w:r>
      <w:r>
        <w:rPr>
          <w:rFonts w:hint="eastAsia"/>
          <w:sz w:val="24"/>
        </w:rPr>
        <w:t>)</w:t>
      </w:r>
    </w:p>
    <w:p w14:paraId="38DB4863" w14:textId="77777777" w:rsidR="006D73E5" w:rsidRDefault="00000000">
      <w:pPr>
        <w:spacing w:line="360" w:lineRule="auto"/>
        <w:rPr>
          <w:sz w:val="24"/>
        </w:rPr>
      </w:pPr>
      <w:r>
        <w:rPr>
          <w:sz w:val="24"/>
        </w:rPr>
        <w:t>特定生长率</w:t>
      </w:r>
      <w:r>
        <w:rPr>
          <w:sz w:val="24"/>
        </w:rPr>
        <w:t>(specific growth rate</w:t>
      </w:r>
      <w:r>
        <w:rPr>
          <w:sz w:val="24"/>
        </w:rPr>
        <w:t>，</w:t>
      </w:r>
      <w:r>
        <w:rPr>
          <w:sz w:val="24"/>
        </w:rPr>
        <w:t>SGR</w:t>
      </w:r>
      <w:r>
        <w:rPr>
          <w:sz w:val="24"/>
        </w:rPr>
        <w:t>，</w:t>
      </w:r>
      <w:r>
        <w:rPr>
          <w:sz w:val="24"/>
        </w:rPr>
        <w:t>%/d)=100%×</w:t>
      </w:r>
      <w:r>
        <w:rPr>
          <w:rFonts w:hint="eastAsia"/>
          <w:sz w:val="24"/>
        </w:rPr>
        <w:t>(</w:t>
      </w:r>
      <w:proofErr w:type="spellStart"/>
      <w:r>
        <w:rPr>
          <w:sz w:val="24"/>
        </w:rPr>
        <w:t>lnW</w:t>
      </w:r>
      <w:proofErr w:type="spellEnd"/>
      <w:r>
        <w:rPr>
          <w:sz w:val="24"/>
          <w:vertAlign w:val="subscript"/>
        </w:rPr>
        <w:t>末</w:t>
      </w:r>
      <w:r>
        <w:rPr>
          <w:sz w:val="24"/>
        </w:rPr>
        <w:t>-</w:t>
      </w:r>
      <w:proofErr w:type="spellStart"/>
      <w:r>
        <w:rPr>
          <w:sz w:val="24"/>
        </w:rPr>
        <w:t>lnW</w:t>
      </w:r>
      <w:proofErr w:type="spellEnd"/>
      <w:r>
        <w:rPr>
          <w:sz w:val="24"/>
          <w:vertAlign w:val="subscript"/>
        </w:rPr>
        <w:t>初</w:t>
      </w:r>
      <w:r>
        <w:rPr>
          <w:rFonts w:hint="eastAsia"/>
          <w:sz w:val="24"/>
        </w:rPr>
        <w:t>)</w:t>
      </w:r>
      <w:r>
        <w:rPr>
          <w:sz w:val="24"/>
        </w:rPr>
        <w:t>/T</w:t>
      </w:r>
    </w:p>
    <w:p w14:paraId="4F74C8F8" w14:textId="77777777" w:rsidR="006D73E5" w:rsidRDefault="00000000">
      <w:pPr>
        <w:spacing w:line="360" w:lineRule="auto"/>
        <w:rPr>
          <w:sz w:val="24"/>
        </w:rPr>
      </w:pPr>
      <w:r>
        <w:rPr>
          <w:sz w:val="24"/>
        </w:rPr>
        <w:t>式中，</w:t>
      </w:r>
      <w:r>
        <w:rPr>
          <w:sz w:val="24"/>
        </w:rPr>
        <w:t>W</w:t>
      </w:r>
      <w:r>
        <w:rPr>
          <w:sz w:val="24"/>
        </w:rPr>
        <w:t>为体质量</w:t>
      </w:r>
      <w:r>
        <w:rPr>
          <w:sz w:val="24"/>
        </w:rPr>
        <w:t>(g)</w:t>
      </w:r>
      <w:r>
        <w:rPr>
          <w:sz w:val="24"/>
        </w:rPr>
        <w:t>，</w:t>
      </w:r>
      <w:r>
        <w:rPr>
          <w:sz w:val="24"/>
        </w:rPr>
        <w:t>W</w:t>
      </w:r>
      <w:r>
        <w:rPr>
          <w:sz w:val="24"/>
          <w:vertAlign w:val="subscript"/>
        </w:rPr>
        <w:t>初</w:t>
      </w:r>
      <w:r>
        <w:rPr>
          <w:sz w:val="24"/>
        </w:rPr>
        <w:t>为初始鱼体质量</w:t>
      </w:r>
      <w:r>
        <w:rPr>
          <w:sz w:val="24"/>
        </w:rPr>
        <w:t>(g)</w:t>
      </w:r>
      <w:r>
        <w:rPr>
          <w:sz w:val="24"/>
        </w:rPr>
        <w:t>，</w:t>
      </w:r>
      <w:r>
        <w:rPr>
          <w:sz w:val="24"/>
        </w:rPr>
        <w:t>W</w:t>
      </w:r>
      <w:r>
        <w:rPr>
          <w:sz w:val="24"/>
          <w:vertAlign w:val="subscript"/>
        </w:rPr>
        <w:t>末</w:t>
      </w:r>
      <w:r>
        <w:rPr>
          <w:sz w:val="24"/>
        </w:rPr>
        <w:t>为终末鱼体质量</w:t>
      </w:r>
      <w:r>
        <w:rPr>
          <w:sz w:val="24"/>
        </w:rPr>
        <w:t>(g)</w:t>
      </w:r>
      <w:r>
        <w:rPr>
          <w:sz w:val="24"/>
        </w:rPr>
        <w:t>，</w:t>
      </w:r>
      <w:r>
        <w:rPr>
          <w:sz w:val="24"/>
        </w:rPr>
        <w:t>CP</w:t>
      </w:r>
      <w:r>
        <w:rPr>
          <w:sz w:val="24"/>
          <w:vertAlign w:val="subscript"/>
        </w:rPr>
        <w:t>初</w:t>
      </w:r>
      <w:r>
        <w:rPr>
          <w:sz w:val="24"/>
        </w:rPr>
        <w:t>为初始鱼体蛋白质含量</w:t>
      </w:r>
      <w:r>
        <w:rPr>
          <w:sz w:val="24"/>
        </w:rPr>
        <w:t>(%)</w:t>
      </w:r>
      <w:r>
        <w:rPr>
          <w:sz w:val="24"/>
        </w:rPr>
        <w:t>，</w:t>
      </w:r>
      <w:r>
        <w:rPr>
          <w:sz w:val="24"/>
        </w:rPr>
        <w:t>CP</w:t>
      </w:r>
      <w:r>
        <w:rPr>
          <w:sz w:val="24"/>
          <w:vertAlign w:val="subscript"/>
        </w:rPr>
        <w:t>末</w:t>
      </w:r>
      <w:r>
        <w:rPr>
          <w:sz w:val="24"/>
        </w:rPr>
        <w:t>为终末鱼体蛋白质含量</w:t>
      </w:r>
      <w:r>
        <w:rPr>
          <w:sz w:val="24"/>
        </w:rPr>
        <w:t>(%)</w:t>
      </w:r>
      <w:r>
        <w:rPr>
          <w:sz w:val="24"/>
        </w:rPr>
        <w:t>，</w:t>
      </w:r>
      <w:r>
        <w:rPr>
          <w:sz w:val="24"/>
        </w:rPr>
        <w:t>CP</w:t>
      </w:r>
      <w:r>
        <w:rPr>
          <w:sz w:val="24"/>
          <w:vertAlign w:val="subscript"/>
        </w:rPr>
        <w:t>饲料</w:t>
      </w:r>
      <w:r>
        <w:rPr>
          <w:sz w:val="24"/>
        </w:rPr>
        <w:t>为饲料蛋白质含量</w:t>
      </w:r>
      <w:r>
        <w:rPr>
          <w:sz w:val="24"/>
        </w:rPr>
        <w:t>(%)</w:t>
      </w:r>
      <w:r>
        <w:rPr>
          <w:sz w:val="24"/>
        </w:rPr>
        <w:t>，</w:t>
      </w:r>
      <w:r>
        <w:rPr>
          <w:sz w:val="24"/>
        </w:rPr>
        <w:t>D</w:t>
      </w:r>
      <w:r>
        <w:rPr>
          <w:sz w:val="24"/>
          <w:vertAlign w:val="subscript"/>
        </w:rPr>
        <w:t>总</w:t>
      </w:r>
      <w:r>
        <w:rPr>
          <w:sz w:val="24"/>
        </w:rPr>
        <w:t>为摄入饲料总重</w:t>
      </w:r>
      <w:r>
        <w:rPr>
          <w:sz w:val="24"/>
        </w:rPr>
        <w:t>(g)</w:t>
      </w:r>
      <w:r>
        <w:rPr>
          <w:sz w:val="24"/>
        </w:rPr>
        <w:t>，</w:t>
      </w:r>
      <w:r>
        <w:rPr>
          <w:sz w:val="24"/>
        </w:rPr>
        <w:t>D</w:t>
      </w:r>
      <w:r>
        <w:rPr>
          <w:sz w:val="24"/>
        </w:rPr>
        <w:t>为饲料摄入量</w:t>
      </w:r>
      <w:r>
        <w:rPr>
          <w:sz w:val="24"/>
        </w:rPr>
        <w:t>(g)</w:t>
      </w:r>
      <w:r>
        <w:rPr>
          <w:sz w:val="24"/>
        </w:rPr>
        <w:t>，</w:t>
      </w:r>
      <w:r>
        <w:rPr>
          <w:sz w:val="24"/>
        </w:rPr>
        <w:t>T</w:t>
      </w:r>
      <w:r>
        <w:rPr>
          <w:sz w:val="24"/>
        </w:rPr>
        <w:t>为养殖时间</w:t>
      </w:r>
      <w:r>
        <w:rPr>
          <w:sz w:val="24"/>
        </w:rPr>
        <w:t>(d)</w:t>
      </w:r>
      <w:r>
        <w:rPr>
          <w:sz w:val="24"/>
        </w:rPr>
        <w:t>。</w:t>
      </w:r>
    </w:p>
    <w:p w14:paraId="4E4EA51D" w14:textId="77777777" w:rsidR="006D73E5" w:rsidRDefault="00000000">
      <w:pPr>
        <w:spacing w:line="360" w:lineRule="auto"/>
        <w:rPr>
          <w:sz w:val="24"/>
        </w:rPr>
      </w:pPr>
      <w:r>
        <w:rPr>
          <w:sz w:val="24"/>
        </w:rPr>
        <w:t>肠道切片制作与数据测量</w:t>
      </w:r>
    </w:p>
    <w:p w14:paraId="3A212D44" w14:textId="77777777" w:rsidR="006D73E5" w:rsidRDefault="00000000">
      <w:pPr>
        <w:spacing w:line="360" w:lineRule="auto"/>
        <w:ind w:firstLineChars="200" w:firstLine="480"/>
        <w:rPr>
          <w:sz w:val="24"/>
        </w:rPr>
      </w:pPr>
      <w:r>
        <w:rPr>
          <w:sz w:val="24"/>
        </w:rPr>
        <w:t>养殖实验结束后禁食</w:t>
      </w:r>
      <w:r>
        <w:rPr>
          <w:sz w:val="24"/>
        </w:rPr>
        <w:t xml:space="preserve"> 24 h</w:t>
      </w:r>
      <w:r>
        <w:rPr>
          <w:sz w:val="24"/>
        </w:rPr>
        <w:t>，每个重复随机选取</w:t>
      </w:r>
      <w:r>
        <w:rPr>
          <w:sz w:val="24"/>
        </w:rPr>
        <w:t xml:space="preserve"> 3 </w:t>
      </w:r>
      <w:r>
        <w:rPr>
          <w:sz w:val="24"/>
        </w:rPr>
        <w:t>尾鱼的肠道，采用</w:t>
      </w:r>
      <w:r>
        <w:rPr>
          <w:sz w:val="24"/>
        </w:rPr>
        <w:t>10%</w:t>
      </w:r>
      <w:r>
        <w:rPr>
          <w:sz w:val="24"/>
        </w:rPr>
        <w:t>福尔马林固定，用于制作肠道组织切片，观察肠道黏膜形态结构。固定状态良好后，对肠道组织进行修剪、脱水、包埋、切片、染色、封片最后镜检合格的样片。在显微镜下浏览切片，使用成像显微镜拍摄或使用</w:t>
      </w:r>
      <w:r>
        <w:rPr>
          <w:sz w:val="24"/>
        </w:rPr>
        <w:t xml:space="preserve"> CaseViewer2.2 </w:t>
      </w:r>
      <w:r>
        <w:rPr>
          <w:sz w:val="24"/>
        </w:rPr>
        <w:t>软件截取对应不同的典型病变部位图，对切片中典型病理改变如炎症、坏死、变性、增生以及纤维化等情况采用箭头标识，并反映出不同组之间的差异。</w:t>
      </w:r>
    </w:p>
    <w:p w14:paraId="25D25A7A" w14:textId="77777777" w:rsidR="006D73E5" w:rsidRDefault="00000000">
      <w:pPr>
        <w:spacing w:line="360" w:lineRule="auto"/>
        <w:rPr>
          <w:sz w:val="24"/>
        </w:rPr>
      </w:pPr>
      <w:r>
        <w:rPr>
          <w:sz w:val="24"/>
        </w:rPr>
        <w:t>肠道菌群采集</w:t>
      </w:r>
    </w:p>
    <w:p w14:paraId="11E5CCD2" w14:textId="77777777" w:rsidR="006D73E5" w:rsidRDefault="00000000">
      <w:pPr>
        <w:spacing w:line="360" w:lineRule="auto"/>
        <w:ind w:firstLineChars="200" w:firstLine="480"/>
        <w:rPr>
          <w:sz w:val="24"/>
        </w:rPr>
      </w:pPr>
      <w:r>
        <w:rPr>
          <w:sz w:val="24"/>
        </w:rPr>
        <w:t>每个重复组随机取</w:t>
      </w:r>
      <w:r>
        <w:rPr>
          <w:sz w:val="24"/>
        </w:rPr>
        <w:t xml:space="preserve"> 3 </w:t>
      </w:r>
      <w:r>
        <w:rPr>
          <w:sz w:val="24"/>
        </w:rPr>
        <w:t>尾鱼肠道，立即装入</w:t>
      </w:r>
      <w:r>
        <w:rPr>
          <w:sz w:val="24"/>
        </w:rPr>
        <w:t xml:space="preserve"> 2 mL </w:t>
      </w:r>
      <w:r>
        <w:rPr>
          <w:sz w:val="24"/>
        </w:rPr>
        <w:t>冻存管中液氮速冻</w:t>
      </w:r>
      <w:r>
        <w:rPr>
          <w:sz w:val="24"/>
        </w:rPr>
        <w:t xml:space="preserve"> 4 h</w:t>
      </w:r>
      <w:r>
        <w:rPr>
          <w:sz w:val="24"/>
        </w:rPr>
        <w:t>，放置于</w:t>
      </w:r>
      <w:r>
        <w:rPr>
          <w:sz w:val="24"/>
        </w:rPr>
        <w:t>-80℃</w:t>
      </w:r>
      <w:r>
        <w:rPr>
          <w:sz w:val="24"/>
        </w:rPr>
        <w:t>保存，用于检测肠道菌群。</w:t>
      </w:r>
    </w:p>
    <w:p w14:paraId="37EF473E" w14:textId="77777777" w:rsidR="006D73E5" w:rsidRDefault="00000000">
      <w:pPr>
        <w:spacing w:line="360" w:lineRule="auto"/>
        <w:rPr>
          <w:sz w:val="24"/>
        </w:rPr>
      </w:pPr>
      <w:r>
        <w:rPr>
          <w:sz w:val="24"/>
        </w:rPr>
        <w:t xml:space="preserve">1.4  </w:t>
      </w:r>
      <w:r>
        <w:rPr>
          <w:sz w:val="24"/>
        </w:rPr>
        <w:t>生物信息分析</w:t>
      </w:r>
    </w:p>
    <w:p w14:paraId="718CDCC7" w14:textId="77777777" w:rsidR="006D73E5" w:rsidRDefault="00000000">
      <w:pPr>
        <w:spacing w:line="360" w:lineRule="auto"/>
        <w:ind w:firstLineChars="200" w:firstLine="480"/>
        <w:rPr>
          <w:sz w:val="24"/>
        </w:rPr>
      </w:pPr>
      <w:r>
        <w:rPr>
          <w:sz w:val="24"/>
        </w:rPr>
        <w:t>16SDNA“V3+V4”</w:t>
      </w:r>
      <w:r>
        <w:rPr>
          <w:sz w:val="24"/>
        </w:rPr>
        <w:t>设计引物序列，序列为</w:t>
      </w:r>
      <w:r>
        <w:rPr>
          <w:sz w:val="24"/>
        </w:rPr>
        <w:t>338F(5′-ACTCCTACGGGAGGCAGCAG-3′)</w:t>
      </w:r>
      <w:r>
        <w:rPr>
          <w:rFonts w:hint="eastAsia"/>
          <w:sz w:val="24"/>
        </w:rPr>
        <w:t xml:space="preserve"> </w:t>
      </w:r>
      <w:r>
        <w:rPr>
          <w:sz w:val="24"/>
        </w:rPr>
        <w:t>and 806R (5′-GGACTACHVGGGTWTCTAAT-3′)</w:t>
      </w:r>
      <w:r>
        <w:rPr>
          <w:sz w:val="24"/>
        </w:rPr>
        <w:t>，</w:t>
      </w:r>
      <w:r>
        <w:rPr>
          <w:sz w:val="24"/>
        </w:rPr>
        <w:t xml:space="preserve">PCR </w:t>
      </w:r>
      <w:r>
        <w:rPr>
          <w:sz w:val="24"/>
        </w:rPr>
        <w:t>正式实验采用</w:t>
      </w:r>
      <w:r>
        <w:rPr>
          <w:sz w:val="24"/>
        </w:rPr>
        <w:t xml:space="preserve"> </w:t>
      </w:r>
      <w:proofErr w:type="spellStart"/>
      <w:r>
        <w:rPr>
          <w:sz w:val="24"/>
        </w:rPr>
        <w:t>TransGen</w:t>
      </w:r>
      <w:proofErr w:type="spellEnd"/>
      <w:r>
        <w:rPr>
          <w:sz w:val="24"/>
        </w:rPr>
        <w:t xml:space="preserve"> AP221-02</w:t>
      </w:r>
      <w:r>
        <w:rPr>
          <w:sz w:val="24"/>
        </w:rPr>
        <w:t>：</w:t>
      </w:r>
      <w:proofErr w:type="spellStart"/>
      <w:r>
        <w:rPr>
          <w:sz w:val="24"/>
        </w:rPr>
        <w:t>TransStart</w:t>
      </w:r>
      <w:proofErr w:type="spellEnd"/>
      <w:r>
        <w:rPr>
          <w:sz w:val="24"/>
        </w:rPr>
        <w:t xml:space="preserve"> </w:t>
      </w:r>
      <w:proofErr w:type="spellStart"/>
      <w:r>
        <w:rPr>
          <w:sz w:val="24"/>
        </w:rPr>
        <w:t>Fastpfu</w:t>
      </w:r>
      <w:proofErr w:type="spellEnd"/>
      <w:r>
        <w:rPr>
          <w:sz w:val="24"/>
        </w:rPr>
        <w:t xml:space="preserve"> DNA Polymerase</w:t>
      </w:r>
      <w:r>
        <w:rPr>
          <w:sz w:val="24"/>
        </w:rPr>
        <w:t>，</w:t>
      </w:r>
      <w:r>
        <w:rPr>
          <w:sz w:val="24"/>
        </w:rPr>
        <w:t xml:space="preserve">20 </w:t>
      </w:r>
      <w:proofErr w:type="spellStart"/>
      <w:r>
        <w:rPr>
          <w:sz w:val="24"/>
        </w:rPr>
        <w:t>μL</w:t>
      </w:r>
      <w:proofErr w:type="spellEnd"/>
      <w:r>
        <w:rPr>
          <w:sz w:val="24"/>
        </w:rPr>
        <w:t xml:space="preserve"> </w:t>
      </w:r>
      <w:r>
        <w:rPr>
          <w:sz w:val="24"/>
        </w:rPr>
        <w:t>反应体系。采用分类单元</w:t>
      </w:r>
      <w:r>
        <w:rPr>
          <w:sz w:val="24"/>
        </w:rPr>
        <w:t>(OTU)</w:t>
      </w:r>
      <w:r>
        <w:rPr>
          <w:sz w:val="24"/>
        </w:rPr>
        <w:t>进行聚类和物种分析，基于</w:t>
      </w:r>
      <w:r>
        <w:rPr>
          <w:sz w:val="24"/>
        </w:rPr>
        <w:t xml:space="preserve"> OTU </w:t>
      </w:r>
      <w:r>
        <w:rPr>
          <w:sz w:val="24"/>
        </w:rPr>
        <w:t>进行</w:t>
      </w:r>
      <w:r>
        <w:rPr>
          <w:sz w:val="24"/>
        </w:rPr>
        <w:t xml:space="preserve"> alpha</w:t>
      </w:r>
      <w:r>
        <w:rPr>
          <w:sz w:val="24"/>
        </w:rPr>
        <w:t>多样性分析，对</w:t>
      </w:r>
      <w:r>
        <w:rPr>
          <w:sz w:val="24"/>
        </w:rPr>
        <w:t xml:space="preserve">Coverage </w:t>
      </w:r>
      <w:r>
        <w:rPr>
          <w:sz w:val="24"/>
        </w:rPr>
        <w:t>指数</w:t>
      </w:r>
      <w:r>
        <w:rPr>
          <w:sz w:val="24"/>
        </w:rPr>
        <w:t>(Coverage index)</w:t>
      </w:r>
      <w:r>
        <w:rPr>
          <w:sz w:val="24"/>
        </w:rPr>
        <w:t>测定其物种覆盖度</w:t>
      </w:r>
      <w:r>
        <w:rPr>
          <w:sz w:val="24"/>
        </w:rPr>
        <w:t xml:space="preserve">, </w:t>
      </w:r>
      <w:r>
        <w:rPr>
          <w:sz w:val="24"/>
        </w:rPr>
        <w:t>应用</w:t>
      </w:r>
      <w:r>
        <w:rPr>
          <w:sz w:val="24"/>
        </w:rPr>
        <w:t xml:space="preserve"> Chao</w:t>
      </w:r>
      <w:r>
        <w:rPr>
          <w:sz w:val="24"/>
        </w:rPr>
        <w:t>指数</w:t>
      </w:r>
      <w:r>
        <w:rPr>
          <w:sz w:val="24"/>
        </w:rPr>
        <w:t xml:space="preserve"> (Chao index), Ace </w:t>
      </w:r>
      <w:r>
        <w:rPr>
          <w:sz w:val="24"/>
        </w:rPr>
        <w:t>指数</w:t>
      </w:r>
      <w:r>
        <w:rPr>
          <w:sz w:val="24"/>
        </w:rPr>
        <w:t>(Ace index)</w:t>
      </w:r>
      <w:r>
        <w:rPr>
          <w:sz w:val="24"/>
        </w:rPr>
        <w:t>测定肠道菌群丰度；应用</w:t>
      </w:r>
      <w:r>
        <w:rPr>
          <w:sz w:val="24"/>
        </w:rPr>
        <w:t xml:space="preserve"> Shannon </w:t>
      </w:r>
      <w:r>
        <w:rPr>
          <w:sz w:val="24"/>
        </w:rPr>
        <w:t>指数</w:t>
      </w:r>
      <w:r>
        <w:rPr>
          <w:sz w:val="24"/>
        </w:rPr>
        <w:t>(Shannon index), Simpson</w:t>
      </w:r>
      <w:r>
        <w:rPr>
          <w:sz w:val="24"/>
        </w:rPr>
        <w:t>指数</w:t>
      </w:r>
      <w:r>
        <w:rPr>
          <w:sz w:val="24"/>
        </w:rPr>
        <w:t>(Simpson index)</w:t>
      </w:r>
      <w:r>
        <w:rPr>
          <w:sz w:val="24"/>
        </w:rPr>
        <w:t>测定肠道菌群多样性。</w:t>
      </w:r>
      <w:proofErr w:type="spellStart"/>
      <w:r>
        <w:rPr>
          <w:sz w:val="24"/>
        </w:rPr>
        <w:t>Illnmina</w:t>
      </w:r>
      <w:proofErr w:type="spellEnd"/>
      <w:r>
        <w:rPr>
          <w:sz w:val="24"/>
        </w:rPr>
        <w:t xml:space="preserve"> </w:t>
      </w:r>
      <w:r>
        <w:rPr>
          <w:sz w:val="24"/>
        </w:rPr>
        <w:t>肠道测序产生</w:t>
      </w:r>
      <w:r>
        <w:rPr>
          <w:sz w:val="24"/>
        </w:rPr>
        <w:t>2177059</w:t>
      </w:r>
      <w:r>
        <w:rPr>
          <w:sz w:val="24"/>
        </w:rPr>
        <w:t>个序列，平均序列长度</w:t>
      </w:r>
      <w:r>
        <w:rPr>
          <w:sz w:val="24"/>
        </w:rPr>
        <w:t xml:space="preserve"> 450 bp</w:t>
      </w:r>
      <w:r>
        <w:rPr>
          <w:sz w:val="24"/>
        </w:rPr>
        <w:t>。</w:t>
      </w:r>
    </w:p>
    <w:p w14:paraId="43FEB488" w14:textId="77777777" w:rsidR="006D73E5" w:rsidRDefault="00000000">
      <w:pPr>
        <w:spacing w:line="360" w:lineRule="auto"/>
        <w:rPr>
          <w:sz w:val="24"/>
        </w:rPr>
      </w:pPr>
      <w:r>
        <w:rPr>
          <w:sz w:val="24"/>
        </w:rPr>
        <w:t xml:space="preserve">1.5  </w:t>
      </w:r>
      <w:r>
        <w:rPr>
          <w:sz w:val="24"/>
        </w:rPr>
        <w:t>数据分析</w:t>
      </w:r>
    </w:p>
    <w:p w14:paraId="1D609129" w14:textId="77777777" w:rsidR="006D73E5" w:rsidRDefault="00000000">
      <w:pPr>
        <w:spacing w:line="360" w:lineRule="auto"/>
        <w:ind w:firstLineChars="200" w:firstLine="480"/>
        <w:rPr>
          <w:sz w:val="24"/>
        </w:rPr>
      </w:pPr>
      <w:r>
        <w:rPr>
          <w:sz w:val="24"/>
        </w:rPr>
        <w:t>肠道菌群基于</w:t>
      </w:r>
      <w:r>
        <w:rPr>
          <w:sz w:val="24"/>
        </w:rPr>
        <w:t xml:space="preserve"> OUT </w:t>
      </w:r>
      <w:r>
        <w:rPr>
          <w:sz w:val="24"/>
        </w:rPr>
        <w:t>分析，实验结果以平均值</w:t>
      </w:r>
      <w:r>
        <w:rPr>
          <w:sz w:val="24"/>
        </w:rPr>
        <w:t>±</w:t>
      </w:r>
      <w:r>
        <w:rPr>
          <w:sz w:val="24"/>
        </w:rPr>
        <w:t>标准差</w:t>
      </w:r>
      <w:r>
        <w:rPr>
          <w:rFonts w:hint="eastAsia"/>
          <w:sz w:val="24"/>
        </w:rPr>
        <w:t>(</w:t>
      </w:r>
      <w:proofErr w:type="spellStart"/>
      <w:r>
        <w:rPr>
          <w:sz w:val="24"/>
        </w:rPr>
        <w:t>mean±SD</w:t>
      </w:r>
      <w:proofErr w:type="spellEnd"/>
      <w:r>
        <w:rPr>
          <w:rFonts w:hint="eastAsia"/>
          <w:sz w:val="24"/>
        </w:rPr>
        <w:t>)</w:t>
      </w:r>
      <w:r>
        <w:rPr>
          <w:sz w:val="24"/>
        </w:rPr>
        <w:t>表示，实验原始数据首先采用</w:t>
      </w:r>
      <w:r>
        <w:rPr>
          <w:sz w:val="24"/>
        </w:rPr>
        <w:t xml:space="preserve"> SPSS 25.0 </w:t>
      </w:r>
      <w:r>
        <w:rPr>
          <w:sz w:val="24"/>
        </w:rPr>
        <w:t>软件进行单因素方差分析，而后采用</w:t>
      </w:r>
      <w:r>
        <w:rPr>
          <w:sz w:val="24"/>
        </w:rPr>
        <w:t>Duncan</w:t>
      </w:r>
      <w:r>
        <w:rPr>
          <w:sz w:val="24"/>
        </w:rPr>
        <w:t>氏法进行多重比较，差</w:t>
      </w:r>
      <w:r>
        <w:rPr>
          <w:sz w:val="24"/>
        </w:rPr>
        <w:lastRenderedPageBreak/>
        <w:t>异显著采用</w:t>
      </w:r>
      <w:r>
        <w:rPr>
          <w:sz w:val="24"/>
        </w:rPr>
        <w:t xml:space="preserve"> </w:t>
      </w:r>
      <w:r>
        <w:rPr>
          <w:i/>
          <w:iCs/>
          <w:sz w:val="24"/>
        </w:rPr>
        <w:t>P</w:t>
      </w:r>
      <w:r>
        <w:rPr>
          <w:rFonts w:hint="eastAsia"/>
          <w:sz w:val="24"/>
        </w:rPr>
        <w:t>＜</w:t>
      </w:r>
      <w:r>
        <w:rPr>
          <w:rFonts w:hint="eastAsia"/>
          <w:sz w:val="24"/>
        </w:rPr>
        <w:t>0</w:t>
      </w:r>
      <w:r>
        <w:rPr>
          <w:sz w:val="24"/>
        </w:rPr>
        <w:t>.05</w:t>
      </w:r>
      <w:r>
        <w:rPr>
          <w:sz w:val="24"/>
        </w:rPr>
        <w:t>表示。</w:t>
      </w:r>
    </w:p>
    <w:p w14:paraId="1CAD9DE0" w14:textId="77777777" w:rsidR="006D73E5" w:rsidRDefault="00000000">
      <w:pPr>
        <w:spacing w:line="360" w:lineRule="auto"/>
        <w:rPr>
          <w:sz w:val="24"/>
        </w:rPr>
      </w:pPr>
      <w:r>
        <w:rPr>
          <w:sz w:val="24"/>
        </w:rPr>
        <w:t xml:space="preserve">2  </w:t>
      </w:r>
      <w:r>
        <w:rPr>
          <w:sz w:val="24"/>
        </w:rPr>
        <w:t>结果</w:t>
      </w:r>
    </w:p>
    <w:p w14:paraId="4B8E54E5" w14:textId="77777777" w:rsidR="006D73E5" w:rsidRDefault="00000000">
      <w:pPr>
        <w:spacing w:line="360" w:lineRule="auto"/>
        <w:rPr>
          <w:sz w:val="24"/>
        </w:rPr>
      </w:pPr>
      <w:r>
        <w:rPr>
          <w:sz w:val="24"/>
        </w:rPr>
        <w:t xml:space="preserve">2.1  </w:t>
      </w:r>
      <w:r>
        <w:rPr>
          <w:sz w:val="24"/>
        </w:rPr>
        <w:t>饲料添加</w:t>
      </w:r>
      <w:r>
        <w:rPr>
          <w:sz w:val="24"/>
        </w:rPr>
        <w:t xml:space="preserve"> Arg</w:t>
      </w:r>
      <w:r>
        <w:rPr>
          <w:sz w:val="24"/>
        </w:rPr>
        <w:t>或</w:t>
      </w:r>
      <w:r>
        <w:rPr>
          <w:sz w:val="24"/>
        </w:rPr>
        <w:t xml:space="preserve"> NCG</w:t>
      </w:r>
      <w:r>
        <w:rPr>
          <w:sz w:val="24"/>
        </w:rPr>
        <w:t>对杂交鳢生长性能的影响</w:t>
      </w:r>
    </w:p>
    <w:p w14:paraId="2E5BA9B6" w14:textId="77777777" w:rsidR="006D73E5" w:rsidRDefault="00000000">
      <w:pPr>
        <w:spacing w:line="360" w:lineRule="auto"/>
        <w:ind w:firstLineChars="200" w:firstLine="480"/>
        <w:rPr>
          <w:sz w:val="24"/>
        </w:rPr>
      </w:pPr>
      <w:r>
        <w:rPr>
          <w:sz w:val="24"/>
        </w:rPr>
        <w:t>与对照组和</w:t>
      </w:r>
      <w:r>
        <w:rPr>
          <w:sz w:val="24"/>
        </w:rPr>
        <w:t xml:space="preserve">0.03% NCG </w:t>
      </w:r>
      <w:r>
        <w:rPr>
          <w:sz w:val="24"/>
        </w:rPr>
        <w:t>组相比，饲料中添加</w:t>
      </w:r>
      <w:r>
        <w:rPr>
          <w:sz w:val="24"/>
        </w:rPr>
        <w:t xml:space="preserve"> 0.60% Arg </w:t>
      </w:r>
      <w:r>
        <w:rPr>
          <w:sz w:val="24"/>
        </w:rPr>
        <w:t>显著提高了杂交鳢终末重及</w:t>
      </w:r>
      <w:r>
        <w:rPr>
          <w:sz w:val="24"/>
        </w:rPr>
        <w:t>SGR</w:t>
      </w:r>
      <w:r>
        <w:rPr>
          <w:rFonts w:hint="eastAsia"/>
          <w:sz w:val="24"/>
        </w:rPr>
        <w:t>(</w:t>
      </w:r>
      <w:r>
        <w:rPr>
          <w:i/>
          <w:iCs/>
          <w:sz w:val="24"/>
        </w:rPr>
        <w:t>P</w:t>
      </w:r>
      <w:r>
        <w:rPr>
          <w:sz w:val="24"/>
        </w:rPr>
        <w:t>＜</w:t>
      </w:r>
      <w:r>
        <w:rPr>
          <w:sz w:val="24"/>
        </w:rPr>
        <w:t>0.05)</w:t>
      </w:r>
      <w:r>
        <w:rPr>
          <w:rFonts w:hint="eastAsia"/>
          <w:sz w:val="24"/>
        </w:rPr>
        <w:t>(</w:t>
      </w:r>
      <w:r>
        <w:rPr>
          <w:sz w:val="24"/>
        </w:rPr>
        <w:t>图</w:t>
      </w:r>
      <w:r>
        <w:rPr>
          <w:sz w:val="24"/>
        </w:rPr>
        <w:t xml:space="preserve"> 1</w:t>
      </w:r>
      <w:r>
        <w:rPr>
          <w:rFonts w:hint="eastAsia"/>
          <w:sz w:val="24"/>
        </w:rPr>
        <w:t>)</w:t>
      </w:r>
      <w:r>
        <w:rPr>
          <w:sz w:val="24"/>
        </w:rPr>
        <w:t>。对照组和</w:t>
      </w:r>
      <w:r>
        <w:rPr>
          <w:sz w:val="24"/>
        </w:rPr>
        <w:t xml:space="preserve"> 0.03% NCG </w:t>
      </w:r>
      <w:r>
        <w:rPr>
          <w:sz w:val="24"/>
        </w:rPr>
        <w:t>组间杂交鳢终末重及</w:t>
      </w:r>
      <w:r>
        <w:rPr>
          <w:sz w:val="24"/>
        </w:rPr>
        <w:t xml:space="preserve"> SGR </w:t>
      </w:r>
      <w:r>
        <w:rPr>
          <w:sz w:val="24"/>
        </w:rPr>
        <w:t>没有显著差异</w:t>
      </w:r>
      <w:r>
        <w:rPr>
          <w:rFonts w:hint="eastAsia"/>
          <w:sz w:val="24"/>
        </w:rPr>
        <w:t>(</w:t>
      </w:r>
      <w:r>
        <w:rPr>
          <w:i/>
          <w:iCs/>
          <w:sz w:val="24"/>
        </w:rPr>
        <w:t>P</w:t>
      </w:r>
      <w:r>
        <w:rPr>
          <w:sz w:val="24"/>
        </w:rPr>
        <w:t>＞</w:t>
      </w:r>
      <w:r>
        <w:rPr>
          <w:sz w:val="24"/>
        </w:rPr>
        <w:t>0.05</w:t>
      </w:r>
      <w:r>
        <w:rPr>
          <w:rFonts w:hint="eastAsia"/>
          <w:sz w:val="24"/>
        </w:rPr>
        <w:t>)</w:t>
      </w:r>
      <w:r>
        <w:rPr>
          <w:sz w:val="24"/>
        </w:rPr>
        <w:t>。与对照组相比，饲料中添加</w:t>
      </w:r>
      <w:r>
        <w:rPr>
          <w:sz w:val="24"/>
        </w:rPr>
        <w:t xml:space="preserve"> 0.60% Arg</w:t>
      </w:r>
      <w:r>
        <w:rPr>
          <w:sz w:val="24"/>
        </w:rPr>
        <w:t>和</w:t>
      </w:r>
      <w:r>
        <w:rPr>
          <w:sz w:val="24"/>
        </w:rPr>
        <w:t>0.03% NCG</w:t>
      </w:r>
      <w:r>
        <w:rPr>
          <w:sz w:val="24"/>
        </w:rPr>
        <w:t>显著降低了杂交鳢</w:t>
      </w:r>
      <w:r>
        <w:rPr>
          <w:sz w:val="24"/>
        </w:rPr>
        <w:t xml:space="preserve"> FCR</w:t>
      </w:r>
      <w:r>
        <w:rPr>
          <w:rFonts w:hint="eastAsia"/>
          <w:sz w:val="24"/>
        </w:rPr>
        <w:t>(</w:t>
      </w:r>
      <w:r>
        <w:rPr>
          <w:i/>
          <w:iCs/>
          <w:sz w:val="24"/>
        </w:rPr>
        <w:t>P</w:t>
      </w:r>
      <w:r>
        <w:rPr>
          <w:sz w:val="24"/>
        </w:rPr>
        <w:t>＜</w:t>
      </w:r>
      <w:r>
        <w:rPr>
          <w:sz w:val="24"/>
        </w:rPr>
        <w:t>0.05</w:t>
      </w:r>
      <w:r>
        <w:rPr>
          <w:rFonts w:hint="eastAsia"/>
          <w:sz w:val="24"/>
        </w:rPr>
        <w:t>)</w:t>
      </w:r>
      <w:r>
        <w:rPr>
          <w:sz w:val="24"/>
        </w:rPr>
        <w:t>。与对照组相比，饲料中添加</w:t>
      </w:r>
      <w:r>
        <w:rPr>
          <w:sz w:val="24"/>
        </w:rPr>
        <w:t>0.60% Arg</w:t>
      </w:r>
      <w:r>
        <w:rPr>
          <w:sz w:val="24"/>
        </w:rPr>
        <w:t>和</w:t>
      </w:r>
      <w:r>
        <w:rPr>
          <w:sz w:val="24"/>
        </w:rPr>
        <w:t>0.03% NCG</w:t>
      </w:r>
      <w:r>
        <w:rPr>
          <w:sz w:val="24"/>
        </w:rPr>
        <w:t>显著提高了杂交鳢的</w:t>
      </w:r>
      <w:r>
        <w:rPr>
          <w:sz w:val="24"/>
        </w:rPr>
        <w:t>PDR</w:t>
      </w:r>
      <w:r>
        <w:rPr>
          <w:rFonts w:hint="eastAsia"/>
          <w:sz w:val="24"/>
        </w:rPr>
        <w:t>(</w:t>
      </w:r>
      <w:r>
        <w:rPr>
          <w:i/>
          <w:iCs/>
          <w:sz w:val="24"/>
        </w:rPr>
        <w:t>P</w:t>
      </w:r>
      <w:r>
        <w:rPr>
          <w:sz w:val="24"/>
        </w:rPr>
        <w:t>＜</w:t>
      </w:r>
      <w:r>
        <w:rPr>
          <w:sz w:val="24"/>
        </w:rPr>
        <w:t>0.05</w:t>
      </w:r>
      <w:r>
        <w:rPr>
          <w:rFonts w:hint="eastAsia"/>
          <w:sz w:val="24"/>
        </w:rPr>
        <w:t>)</w:t>
      </w:r>
      <w:r>
        <w:rPr>
          <w:sz w:val="24"/>
        </w:rPr>
        <w:t>，</w:t>
      </w:r>
      <w:r>
        <w:rPr>
          <w:sz w:val="24"/>
        </w:rPr>
        <w:t>0.60% Arg</w:t>
      </w:r>
      <w:r>
        <w:rPr>
          <w:sz w:val="24"/>
        </w:rPr>
        <w:t>和</w:t>
      </w:r>
      <w:r>
        <w:rPr>
          <w:sz w:val="24"/>
        </w:rPr>
        <w:t xml:space="preserve">0.03% NCG </w:t>
      </w:r>
      <w:r>
        <w:rPr>
          <w:sz w:val="24"/>
        </w:rPr>
        <w:t>组间</w:t>
      </w:r>
      <w:r>
        <w:rPr>
          <w:sz w:val="24"/>
        </w:rPr>
        <w:t xml:space="preserve"> PDR </w:t>
      </w:r>
      <w:r>
        <w:rPr>
          <w:sz w:val="24"/>
        </w:rPr>
        <w:t>存在显著差异</w:t>
      </w:r>
      <w:r>
        <w:rPr>
          <w:rFonts w:hint="eastAsia"/>
          <w:sz w:val="24"/>
        </w:rPr>
        <w:t>(</w:t>
      </w:r>
      <w:r>
        <w:rPr>
          <w:i/>
          <w:iCs/>
          <w:sz w:val="24"/>
        </w:rPr>
        <w:t>P</w:t>
      </w:r>
      <w:r>
        <w:rPr>
          <w:sz w:val="24"/>
        </w:rPr>
        <w:t>＜</w:t>
      </w:r>
      <w:r>
        <w:rPr>
          <w:sz w:val="24"/>
        </w:rPr>
        <w:t>0.05</w:t>
      </w:r>
      <w:r>
        <w:rPr>
          <w:rFonts w:hint="eastAsia"/>
          <w:sz w:val="24"/>
        </w:rPr>
        <w:t>)</w:t>
      </w:r>
      <w:r>
        <w:rPr>
          <w:sz w:val="24"/>
        </w:rPr>
        <w:t>。</w:t>
      </w:r>
    </w:p>
    <w:p w14:paraId="0D8A80C3" w14:textId="77777777" w:rsidR="006D73E5" w:rsidRDefault="006D73E5">
      <w:pPr>
        <w:spacing w:line="360" w:lineRule="auto"/>
        <w:ind w:firstLineChars="200" w:firstLine="480"/>
        <w:rPr>
          <w:sz w:val="24"/>
        </w:rPr>
      </w:pPr>
    </w:p>
    <w:p w14:paraId="157A83EC" w14:textId="77777777" w:rsidR="006D73E5" w:rsidRDefault="00000000">
      <w:pPr>
        <w:spacing w:line="360" w:lineRule="auto"/>
        <w:jc w:val="center"/>
        <w:rPr>
          <w:sz w:val="24"/>
        </w:rPr>
      </w:pPr>
      <w:r>
        <w:rPr>
          <w:noProof/>
          <w:sz w:val="24"/>
        </w:rPr>
        <w:drawing>
          <wp:inline distT="0" distB="0" distL="0" distR="0" wp14:anchorId="61C0F9FF" wp14:editId="43439596">
            <wp:extent cx="5050155" cy="4417060"/>
            <wp:effectExtent l="0" t="0" r="17145" b="254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a:xfrm>
                      <a:off x="0" y="0"/>
                      <a:ext cx="5080738" cy="4417060"/>
                    </a:xfrm>
                    <a:prstGeom prst="rect">
                      <a:avLst/>
                    </a:prstGeom>
                    <a:noFill/>
                    <a:ln>
                      <a:noFill/>
                    </a:ln>
                  </pic:spPr>
                </pic:pic>
              </a:graphicData>
            </a:graphic>
          </wp:inline>
        </w:drawing>
      </w:r>
    </w:p>
    <w:p w14:paraId="1823A85D" w14:textId="77777777" w:rsidR="006D73E5" w:rsidRDefault="006D73E5">
      <w:pPr>
        <w:spacing w:line="360" w:lineRule="auto"/>
        <w:rPr>
          <w:sz w:val="24"/>
        </w:rPr>
      </w:pPr>
    </w:p>
    <w:p w14:paraId="2AFEB108" w14:textId="77777777" w:rsidR="006D73E5" w:rsidRDefault="00000000">
      <w:pPr>
        <w:spacing w:line="360" w:lineRule="auto"/>
        <w:rPr>
          <w:sz w:val="24"/>
        </w:rPr>
      </w:pPr>
      <w:r>
        <w:rPr>
          <w:sz w:val="24"/>
        </w:rPr>
        <w:t xml:space="preserve">2.2 </w:t>
      </w:r>
      <w:r>
        <w:rPr>
          <w:sz w:val="24"/>
        </w:rPr>
        <w:t>饲料添加</w:t>
      </w:r>
      <w:r>
        <w:rPr>
          <w:sz w:val="24"/>
        </w:rPr>
        <w:t xml:space="preserve"> Arg </w:t>
      </w:r>
      <w:r>
        <w:rPr>
          <w:sz w:val="24"/>
        </w:rPr>
        <w:t>和</w:t>
      </w:r>
      <w:r>
        <w:rPr>
          <w:sz w:val="24"/>
        </w:rPr>
        <w:t xml:space="preserve"> NCG </w:t>
      </w:r>
      <w:r>
        <w:rPr>
          <w:sz w:val="24"/>
        </w:rPr>
        <w:t>对杂交鳢鱼体氨基酸的影响</w:t>
      </w:r>
    </w:p>
    <w:p w14:paraId="07DA510F" w14:textId="77777777" w:rsidR="006D73E5" w:rsidRDefault="00000000">
      <w:pPr>
        <w:spacing w:line="360" w:lineRule="auto"/>
        <w:ind w:firstLineChars="200" w:firstLine="480"/>
        <w:rPr>
          <w:sz w:val="24"/>
        </w:rPr>
      </w:pPr>
      <w:r>
        <w:rPr>
          <w:sz w:val="24"/>
        </w:rPr>
        <w:t>与对照组相比，</w:t>
      </w:r>
      <w:r>
        <w:rPr>
          <w:sz w:val="24"/>
        </w:rPr>
        <w:t xml:space="preserve">NCG </w:t>
      </w:r>
      <w:r>
        <w:rPr>
          <w:sz w:val="24"/>
        </w:rPr>
        <w:t>组杂交鳢全鱼异亮氨酸、谷氨酸、赖氨酸含量显著升高</w:t>
      </w:r>
      <w:r>
        <w:rPr>
          <w:rFonts w:hint="eastAsia"/>
          <w:sz w:val="24"/>
        </w:rPr>
        <w:t>(</w:t>
      </w:r>
      <w:r>
        <w:rPr>
          <w:i/>
          <w:iCs/>
          <w:sz w:val="24"/>
        </w:rPr>
        <w:t>P</w:t>
      </w:r>
      <w:r>
        <w:rPr>
          <w:sz w:val="24"/>
        </w:rPr>
        <w:t>＜</w:t>
      </w:r>
      <w:r>
        <w:rPr>
          <w:sz w:val="24"/>
        </w:rPr>
        <w:t>0.05</w:t>
      </w:r>
      <w:r>
        <w:rPr>
          <w:rFonts w:hint="eastAsia"/>
          <w:sz w:val="24"/>
        </w:rPr>
        <w:t>)(</w:t>
      </w:r>
      <w:r>
        <w:rPr>
          <w:sz w:val="24"/>
        </w:rPr>
        <w:t>表</w:t>
      </w:r>
      <w:r>
        <w:rPr>
          <w:sz w:val="24"/>
        </w:rPr>
        <w:t xml:space="preserve"> 2</w:t>
      </w:r>
      <w:r>
        <w:rPr>
          <w:rFonts w:hint="eastAsia"/>
          <w:sz w:val="24"/>
        </w:rPr>
        <w:t>)</w:t>
      </w:r>
      <w:r>
        <w:rPr>
          <w:sz w:val="24"/>
        </w:rPr>
        <w:t>。与对照组相比，</w:t>
      </w:r>
      <w:r>
        <w:rPr>
          <w:sz w:val="24"/>
        </w:rPr>
        <w:t xml:space="preserve">Arg </w:t>
      </w:r>
      <w:r>
        <w:rPr>
          <w:sz w:val="24"/>
        </w:rPr>
        <w:t>组和</w:t>
      </w:r>
      <w:r>
        <w:rPr>
          <w:sz w:val="24"/>
        </w:rPr>
        <w:t xml:space="preserve"> NCG </w:t>
      </w:r>
      <w:r>
        <w:rPr>
          <w:sz w:val="24"/>
        </w:rPr>
        <w:t>组杂交鳢全鱼精氨酸和亮氨酸含量显著升高</w:t>
      </w:r>
      <w:r>
        <w:rPr>
          <w:rFonts w:hint="eastAsia"/>
          <w:sz w:val="24"/>
        </w:rPr>
        <w:t>(</w:t>
      </w:r>
      <w:r>
        <w:rPr>
          <w:i/>
          <w:iCs/>
          <w:sz w:val="24"/>
        </w:rPr>
        <w:t>P</w:t>
      </w:r>
      <w:r>
        <w:rPr>
          <w:sz w:val="24"/>
        </w:rPr>
        <w:t>＜</w:t>
      </w:r>
      <w:r>
        <w:rPr>
          <w:sz w:val="24"/>
        </w:rPr>
        <w:t>0.05</w:t>
      </w:r>
      <w:r>
        <w:rPr>
          <w:rFonts w:hint="eastAsia"/>
          <w:sz w:val="24"/>
        </w:rPr>
        <w:t>)</w:t>
      </w:r>
      <w:r>
        <w:rPr>
          <w:sz w:val="24"/>
        </w:rPr>
        <w:t>，其他氨基酸无显著差异</w:t>
      </w:r>
      <w:r>
        <w:rPr>
          <w:rFonts w:hint="eastAsia"/>
          <w:sz w:val="24"/>
        </w:rPr>
        <w:t>(</w:t>
      </w:r>
      <w:r>
        <w:rPr>
          <w:i/>
          <w:iCs/>
          <w:sz w:val="24"/>
        </w:rPr>
        <w:t>P</w:t>
      </w:r>
      <w:r>
        <w:rPr>
          <w:sz w:val="24"/>
        </w:rPr>
        <w:t>＞</w:t>
      </w:r>
      <w:r>
        <w:rPr>
          <w:sz w:val="24"/>
        </w:rPr>
        <w:t>0.05</w:t>
      </w:r>
      <w:r>
        <w:rPr>
          <w:rFonts w:hint="eastAsia"/>
          <w:sz w:val="24"/>
        </w:rPr>
        <w:t>)</w:t>
      </w:r>
      <w:r>
        <w:rPr>
          <w:sz w:val="24"/>
        </w:rPr>
        <w:t>。</w:t>
      </w:r>
    </w:p>
    <w:p w14:paraId="5D64550F" w14:textId="77777777" w:rsidR="006D73E5" w:rsidRDefault="00000000">
      <w:pPr>
        <w:spacing w:line="360" w:lineRule="auto"/>
        <w:jc w:val="center"/>
        <w:rPr>
          <w:sz w:val="24"/>
        </w:rPr>
      </w:pPr>
      <w:r>
        <w:rPr>
          <w:noProof/>
          <w:sz w:val="24"/>
        </w:rPr>
        <w:lastRenderedPageBreak/>
        <w:drawing>
          <wp:inline distT="0" distB="0" distL="0" distR="0" wp14:anchorId="12CE6F31" wp14:editId="148C5A29">
            <wp:extent cx="5155565" cy="4201795"/>
            <wp:effectExtent l="0" t="0" r="6985" b="825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a:xfrm>
                      <a:off x="0" y="0"/>
                      <a:ext cx="5168944" cy="4212789"/>
                    </a:xfrm>
                    <a:prstGeom prst="rect">
                      <a:avLst/>
                    </a:prstGeom>
                    <a:noFill/>
                    <a:ln>
                      <a:noFill/>
                    </a:ln>
                  </pic:spPr>
                </pic:pic>
              </a:graphicData>
            </a:graphic>
          </wp:inline>
        </w:drawing>
      </w:r>
    </w:p>
    <w:p w14:paraId="6D200B85" w14:textId="77777777" w:rsidR="006D73E5" w:rsidRDefault="00000000">
      <w:pPr>
        <w:spacing w:line="360" w:lineRule="auto"/>
        <w:rPr>
          <w:sz w:val="24"/>
        </w:rPr>
      </w:pPr>
      <w:r>
        <w:rPr>
          <w:sz w:val="24"/>
        </w:rPr>
        <w:t xml:space="preserve">2.3  </w:t>
      </w:r>
      <w:r>
        <w:rPr>
          <w:sz w:val="24"/>
        </w:rPr>
        <w:t>饲料添加</w:t>
      </w:r>
      <w:r>
        <w:rPr>
          <w:sz w:val="24"/>
        </w:rPr>
        <w:t>Arg</w:t>
      </w:r>
      <w:r>
        <w:rPr>
          <w:sz w:val="24"/>
        </w:rPr>
        <w:t>和</w:t>
      </w:r>
      <w:r>
        <w:rPr>
          <w:sz w:val="24"/>
        </w:rPr>
        <w:t xml:space="preserve"> NCG</w:t>
      </w:r>
      <w:r>
        <w:rPr>
          <w:sz w:val="24"/>
        </w:rPr>
        <w:t>对杂交鳢肠道黏膜形态的影响</w:t>
      </w:r>
    </w:p>
    <w:p w14:paraId="0166DCD0" w14:textId="77777777" w:rsidR="006D73E5" w:rsidRDefault="00000000">
      <w:pPr>
        <w:spacing w:line="360" w:lineRule="auto"/>
        <w:jc w:val="center"/>
        <w:rPr>
          <w:sz w:val="24"/>
        </w:rPr>
      </w:pPr>
      <w:r>
        <w:rPr>
          <w:noProof/>
          <w:sz w:val="24"/>
        </w:rPr>
        <w:drawing>
          <wp:inline distT="0" distB="0" distL="0" distR="0" wp14:anchorId="676B8293" wp14:editId="227D3DA3">
            <wp:extent cx="5274310" cy="3124200"/>
            <wp:effectExtent l="0" t="0" r="254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a:xfrm>
                      <a:off x="0" y="0"/>
                      <a:ext cx="5274310" cy="3124200"/>
                    </a:xfrm>
                    <a:prstGeom prst="rect">
                      <a:avLst/>
                    </a:prstGeom>
                    <a:noFill/>
                    <a:ln>
                      <a:noFill/>
                    </a:ln>
                  </pic:spPr>
                </pic:pic>
              </a:graphicData>
            </a:graphic>
          </wp:inline>
        </w:drawing>
      </w:r>
    </w:p>
    <w:p w14:paraId="6231D5D3" w14:textId="77777777" w:rsidR="006D73E5" w:rsidRDefault="00000000">
      <w:pPr>
        <w:spacing w:line="360" w:lineRule="auto"/>
        <w:ind w:firstLineChars="200" w:firstLine="480"/>
        <w:rPr>
          <w:sz w:val="24"/>
        </w:rPr>
      </w:pPr>
      <w:r>
        <w:rPr>
          <w:sz w:val="24"/>
        </w:rPr>
        <w:t>杂交鳢前、中、后肠绒毛长度，前肠绒毛宽度在各实验组间均无显著差异</w:t>
      </w:r>
      <w:r>
        <w:rPr>
          <w:rFonts w:hint="eastAsia"/>
          <w:sz w:val="24"/>
        </w:rPr>
        <w:t>(</w:t>
      </w:r>
      <w:r>
        <w:rPr>
          <w:i/>
          <w:iCs/>
          <w:sz w:val="24"/>
        </w:rPr>
        <w:t>P</w:t>
      </w:r>
      <w:r>
        <w:rPr>
          <w:sz w:val="24"/>
        </w:rPr>
        <w:t>＞</w:t>
      </w:r>
      <w:r>
        <w:rPr>
          <w:sz w:val="24"/>
        </w:rPr>
        <w:t>0.05</w:t>
      </w:r>
      <w:r>
        <w:rPr>
          <w:rFonts w:hint="eastAsia"/>
          <w:sz w:val="24"/>
        </w:rPr>
        <w:t>)(</w:t>
      </w:r>
      <w:r>
        <w:rPr>
          <w:sz w:val="24"/>
        </w:rPr>
        <w:t>表</w:t>
      </w:r>
      <w:r>
        <w:rPr>
          <w:sz w:val="24"/>
        </w:rPr>
        <w:t xml:space="preserve"> 3</w:t>
      </w:r>
      <w:r>
        <w:rPr>
          <w:rFonts w:hint="eastAsia"/>
          <w:sz w:val="24"/>
        </w:rPr>
        <w:t>)</w:t>
      </w:r>
      <w:r>
        <w:rPr>
          <w:sz w:val="24"/>
        </w:rPr>
        <w:t>。与对照组相比，</w:t>
      </w:r>
      <w:r>
        <w:rPr>
          <w:sz w:val="24"/>
        </w:rPr>
        <w:t>Arg</w:t>
      </w:r>
      <w:r>
        <w:rPr>
          <w:sz w:val="24"/>
        </w:rPr>
        <w:t>组和</w:t>
      </w:r>
      <w:r>
        <w:rPr>
          <w:sz w:val="24"/>
        </w:rPr>
        <w:t>NCG</w:t>
      </w:r>
      <w:r>
        <w:rPr>
          <w:sz w:val="24"/>
        </w:rPr>
        <w:t>组中肠、后肠绒毛宽度显著高于对照组</w:t>
      </w:r>
      <w:r>
        <w:rPr>
          <w:rFonts w:hint="eastAsia"/>
          <w:sz w:val="24"/>
        </w:rPr>
        <w:t>(</w:t>
      </w:r>
      <w:r>
        <w:rPr>
          <w:i/>
          <w:iCs/>
          <w:sz w:val="24"/>
        </w:rPr>
        <w:t>P</w:t>
      </w:r>
      <w:r>
        <w:rPr>
          <w:sz w:val="24"/>
        </w:rPr>
        <w:t>＜</w:t>
      </w:r>
      <w:r>
        <w:rPr>
          <w:sz w:val="24"/>
        </w:rPr>
        <w:t>0.05</w:t>
      </w:r>
      <w:r>
        <w:rPr>
          <w:rFonts w:hint="eastAsia"/>
          <w:sz w:val="24"/>
        </w:rPr>
        <w:t>)</w:t>
      </w:r>
      <w:r>
        <w:rPr>
          <w:sz w:val="24"/>
        </w:rPr>
        <w:t>，但</w:t>
      </w:r>
      <w:r>
        <w:rPr>
          <w:sz w:val="24"/>
        </w:rPr>
        <w:t>Arg</w:t>
      </w:r>
      <w:r>
        <w:rPr>
          <w:sz w:val="24"/>
        </w:rPr>
        <w:t>组和</w:t>
      </w:r>
      <w:r>
        <w:rPr>
          <w:sz w:val="24"/>
        </w:rPr>
        <w:t>NCG</w:t>
      </w:r>
      <w:r>
        <w:rPr>
          <w:sz w:val="24"/>
        </w:rPr>
        <w:t>组间中肠、后肠绒毛宽度无显著差异</w:t>
      </w:r>
      <w:r>
        <w:rPr>
          <w:rFonts w:hint="eastAsia"/>
          <w:sz w:val="24"/>
        </w:rPr>
        <w:t>(</w:t>
      </w:r>
      <w:r>
        <w:rPr>
          <w:i/>
          <w:iCs/>
          <w:sz w:val="24"/>
        </w:rPr>
        <w:t>P</w:t>
      </w:r>
      <w:r>
        <w:rPr>
          <w:sz w:val="24"/>
        </w:rPr>
        <w:t>＞</w:t>
      </w:r>
      <w:r>
        <w:rPr>
          <w:sz w:val="24"/>
        </w:rPr>
        <w:t>0.05</w:t>
      </w:r>
      <w:r>
        <w:rPr>
          <w:rFonts w:hint="eastAsia"/>
          <w:sz w:val="24"/>
        </w:rPr>
        <w:t>)</w:t>
      </w:r>
      <w:r>
        <w:rPr>
          <w:sz w:val="24"/>
        </w:rPr>
        <w:t>。与对照组相比，</w:t>
      </w:r>
      <w:r>
        <w:rPr>
          <w:sz w:val="24"/>
        </w:rPr>
        <w:t>NCG</w:t>
      </w:r>
      <w:r>
        <w:rPr>
          <w:sz w:val="24"/>
        </w:rPr>
        <w:t>组前肠肌</w:t>
      </w:r>
      <w:r>
        <w:rPr>
          <w:sz w:val="24"/>
        </w:rPr>
        <w:lastRenderedPageBreak/>
        <w:t>层厚度显著高于对照组</w:t>
      </w:r>
      <w:r>
        <w:rPr>
          <w:rFonts w:hint="eastAsia"/>
          <w:sz w:val="24"/>
        </w:rPr>
        <w:t>(</w:t>
      </w:r>
      <w:r>
        <w:rPr>
          <w:i/>
          <w:iCs/>
          <w:sz w:val="24"/>
        </w:rPr>
        <w:t>P</w:t>
      </w:r>
      <w:r>
        <w:rPr>
          <w:sz w:val="24"/>
        </w:rPr>
        <w:t>＜</w:t>
      </w:r>
      <w:r>
        <w:rPr>
          <w:sz w:val="24"/>
        </w:rPr>
        <w:t>0.05</w:t>
      </w:r>
      <w:r>
        <w:rPr>
          <w:rFonts w:hint="eastAsia"/>
          <w:sz w:val="24"/>
        </w:rPr>
        <w:t>)</w:t>
      </w:r>
      <w:r>
        <w:rPr>
          <w:sz w:val="24"/>
        </w:rPr>
        <w:t>，但对照组和</w:t>
      </w:r>
      <w:r>
        <w:rPr>
          <w:sz w:val="24"/>
        </w:rPr>
        <w:t>Arg</w:t>
      </w:r>
      <w:r>
        <w:rPr>
          <w:sz w:val="24"/>
        </w:rPr>
        <w:t>组间无显著差异</w:t>
      </w:r>
      <w:r>
        <w:rPr>
          <w:rFonts w:hint="eastAsia"/>
          <w:sz w:val="24"/>
        </w:rPr>
        <w:t>(</w:t>
      </w:r>
      <w:r>
        <w:rPr>
          <w:i/>
          <w:iCs/>
          <w:sz w:val="24"/>
        </w:rPr>
        <w:t>P</w:t>
      </w:r>
      <w:r>
        <w:rPr>
          <w:sz w:val="24"/>
        </w:rPr>
        <w:t>＞</w:t>
      </w:r>
      <w:r>
        <w:rPr>
          <w:sz w:val="24"/>
        </w:rPr>
        <w:t>0.05</w:t>
      </w:r>
      <w:r>
        <w:rPr>
          <w:rFonts w:hint="eastAsia"/>
          <w:sz w:val="24"/>
        </w:rPr>
        <w:t>)</w:t>
      </w:r>
      <w:r>
        <w:rPr>
          <w:sz w:val="24"/>
        </w:rPr>
        <w:t>。与对照组相比，</w:t>
      </w:r>
      <w:r>
        <w:rPr>
          <w:sz w:val="24"/>
        </w:rPr>
        <w:t>Arg</w:t>
      </w:r>
      <w:r>
        <w:rPr>
          <w:sz w:val="24"/>
        </w:rPr>
        <w:t>组和</w:t>
      </w:r>
      <w:r>
        <w:rPr>
          <w:sz w:val="24"/>
        </w:rPr>
        <w:t>NCG</w:t>
      </w:r>
      <w:r>
        <w:rPr>
          <w:sz w:val="24"/>
        </w:rPr>
        <w:t>组中肠肌层厚度显著高于对照组</w:t>
      </w:r>
      <w:r>
        <w:rPr>
          <w:rFonts w:hint="eastAsia"/>
          <w:sz w:val="24"/>
        </w:rPr>
        <w:t>(</w:t>
      </w:r>
      <w:r>
        <w:rPr>
          <w:i/>
          <w:iCs/>
          <w:sz w:val="24"/>
        </w:rPr>
        <w:t>P</w:t>
      </w:r>
      <w:r>
        <w:rPr>
          <w:sz w:val="24"/>
        </w:rPr>
        <w:t>＜</w:t>
      </w:r>
      <w:r>
        <w:rPr>
          <w:sz w:val="24"/>
        </w:rPr>
        <w:t>0.05</w:t>
      </w:r>
      <w:r>
        <w:rPr>
          <w:rFonts w:hint="eastAsia"/>
          <w:sz w:val="24"/>
        </w:rPr>
        <w:t>)</w:t>
      </w:r>
      <w:r>
        <w:rPr>
          <w:sz w:val="24"/>
        </w:rPr>
        <w:t>，但</w:t>
      </w:r>
      <w:r>
        <w:rPr>
          <w:sz w:val="24"/>
        </w:rPr>
        <w:t xml:space="preserve"> Arg</w:t>
      </w:r>
      <w:r>
        <w:rPr>
          <w:sz w:val="24"/>
        </w:rPr>
        <w:t>组和</w:t>
      </w:r>
      <w:r>
        <w:rPr>
          <w:sz w:val="24"/>
        </w:rPr>
        <w:t xml:space="preserve"> NCG</w:t>
      </w:r>
      <w:r>
        <w:rPr>
          <w:sz w:val="24"/>
        </w:rPr>
        <w:t>组间无显著差异</w:t>
      </w:r>
      <w:r>
        <w:rPr>
          <w:rFonts w:hint="eastAsia"/>
          <w:sz w:val="24"/>
        </w:rPr>
        <w:t>(</w:t>
      </w:r>
      <w:r>
        <w:rPr>
          <w:i/>
          <w:iCs/>
          <w:sz w:val="24"/>
        </w:rPr>
        <w:t>P</w:t>
      </w:r>
      <w:r>
        <w:rPr>
          <w:sz w:val="24"/>
        </w:rPr>
        <w:t>＞</w:t>
      </w:r>
      <w:r>
        <w:rPr>
          <w:sz w:val="24"/>
        </w:rPr>
        <w:t>0.05</w:t>
      </w:r>
      <w:r>
        <w:rPr>
          <w:rFonts w:hint="eastAsia"/>
          <w:sz w:val="24"/>
        </w:rPr>
        <w:t>)</w:t>
      </w:r>
      <w:r>
        <w:rPr>
          <w:sz w:val="24"/>
        </w:rPr>
        <w:t>。后肠肌层厚度在各实验组间存在显著差异（</w:t>
      </w:r>
      <w:r>
        <w:rPr>
          <w:i/>
          <w:iCs/>
          <w:sz w:val="24"/>
        </w:rPr>
        <w:t>P</w:t>
      </w:r>
      <w:r>
        <w:rPr>
          <w:sz w:val="24"/>
        </w:rPr>
        <w:t>＜</w:t>
      </w:r>
      <w:r>
        <w:rPr>
          <w:sz w:val="24"/>
        </w:rPr>
        <w:t>0.05</w:t>
      </w:r>
      <w:r>
        <w:rPr>
          <w:sz w:val="24"/>
        </w:rPr>
        <w:t>），</w:t>
      </w:r>
      <w:r>
        <w:rPr>
          <w:sz w:val="24"/>
        </w:rPr>
        <w:t>NCG</w:t>
      </w:r>
      <w:r>
        <w:rPr>
          <w:sz w:val="24"/>
        </w:rPr>
        <w:t>组肌层厚度显著高于对照组和</w:t>
      </w:r>
      <w:r>
        <w:rPr>
          <w:sz w:val="24"/>
        </w:rPr>
        <w:t>Arg</w:t>
      </w:r>
      <w:r>
        <w:rPr>
          <w:sz w:val="24"/>
        </w:rPr>
        <w:t>组</w:t>
      </w:r>
      <w:r>
        <w:rPr>
          <w:rFonts w:hint="eastAsia"/>
          <w:sz w:val="24"/>
        </w:rPr>
        <w:t>(</w:t>
      </w:r>
      <w:r>
        <w:rPr>
          <w:i/>
          <w:iCs/>
          <w:sz w:val="24"/>
        </w:rPr>
        <w:t>P</w:t>
      </w:r>
      <w:r>
        <w:rPr>
          <w:sz w:val="24"/>
        </w:rPr>
        <w:t>＜</w:t>
      </w:r>
      <w:r>
        <w:rPr>
          <w:sz w:val="24"/>
        </w:rPr>
        <w:t>0.05</w:t>
      </w:r>
      <w:r>
        <w:rPr>
          <w:rFonts w:hint="eastAsia"/>
          <w:sz w:val="24"/>
        </w:rPr>
        <w:t>)</w:t>
      </w:r>
      <w:r>
        <w:rPr>
          <w:sz w:val="24"/>
        </w:rPr>
        <w:t>。</w:t>
      </w:r>
    </w:p>
    <w:p w14:paraId="2CE4FDAF" w14:textId="77777777" w:rsidR="006D73E5" w:rsidRDefault="00000000">
      <w:pPr>
        <w:spacing w:line="360" w:lineRule="auto"/>
        <w:rPr>
          <w:sz w:val="24"/>
        </w:rPr>
      </w:pPr>
      <w:r>
        <w:rPr>
          <w:sz w:val="24"/>
        </w:rPr>
        <w:t xml:space="preserve">2.4  </w:t>
      </w:r>
      <w:r>
        <w:rPr>
          <w:sz w:val="24"/>
        </w:rPr>
        <w:t>饲料添加</w:t>
      </w:r>
      <w:r>
        <w:rPr>
          <w:sz w:val="24"/>
        </w:rPr>
        <w:t>Arg</w:t>
      </w:r>
      <w:r>
        <w:rPr>
          <w:sz w:val="24"/>
        </w:rPr>
        <w:t>或</w:t>
      </w:r>
      <w:r>
        <w:rPr>
          <w:sz w:val="24"/>
        </w:rPr>
        <w:t>NCG</w:t>
      </w:r>
      <w:r>
        <w:rPr>
          <w:sz w:val="24"/>
        </w:rPr>
        <w:t>对杂交鳢肠道黏膜病理状态的影响</w:t>
      </w:r>
    </w:p>
    <w:p w14:paraId="67E4F571" w14:textId="77777777" w:rsidR="006D73E5" w:rsidRDefault="00000000">
      <w:pPr>
        <w:spacing w:line="360" w:lineRule="auto"/>
        <w:ind w:firstLineChars="200" w:firstLine="480"/>
        <w:rPr>
          <w:sz w:val="24"/>
        </w:rPr>
      </w:pPr>
      <w:r>
        <w:rPr>
          <w:sz w:val="24"/>
        </w:rPr>
        <w:t>杂交鳢前肠、中肠、后肠各实验组黏膜层、肌层结构清晰、紧密，黏膜层绒毛丰富，少量绒毛上皮细胞固缩、脱落</w:t>
      </w:r>
      <w:r>
        <w:rPr>
          <w:rFonts w:hint="eastAsia"/>
          <w:sz w:val="24"/>
        </w:rPr>
        <w:t>(</w:t>
      </w:r>
      <w:r>
        <w:rPr>
          <w:sz w:val="24"/>
        </w:rPr>
        <w:t>黑色箭头</w:t>
      </w:r>
      <w:r>
        <w:rPr>
          <w:rFonts w:hint="eastAsia"/>
          <w:sz w:val="24"/>
        </w:rPr>
        <w:t>)</w:t>
      </w:r>
      <w:r>
        <w:rPr>
          <w:sz w:val="24"/>
        </w:rPr>
        <w:t>，肠腔可见较多脱落的上皮细胞</w:t>
      </w:r>
      <w:r>
        <w:rPr>
          <w:rFonts w:hint="eastAsia"/>
          <w:sz w:val="24"/>
        </w:rPr>
        <w:t>(</w:t>
      </w:r>
      <w:r>
        <w:rPr>
          <w:sz w:val="24"/>
        </w:rPr>
        <w:t>红色箭头</w:t>
      </w:r>
      <w:r>
        <w:rPr>
          <w:rFonts w:hint="eastAsia"/>
          <w:sz w:val="24"/>
        </w:rPr>
        <w:t>)</w:t>
      </w:r>
      <w:r>
        <w:rPr>
          <w:sz w:val="24"/>
        </w:rPr>
        <w:t>，</w:t>
      </w:r>
      <w:r>
        <w:rPr>
          <w:sz w:val="24"/>
        </w:rPr>
        <w:t xml:space="preserve">Arg </w:t>
      </w:r>
      <w:r>
        <w:rPr>
          <w:sz w:val="24"/>
        </w:rPr>
        <w:t>组出现少量绒毛顶部上皮与固有层间隙增宽</w:t>
      </w:r>
      <w:r>
        <w:rPr>
          <w:rFonts w:hint="eastAsia"/>
          <w:sz w:val="24"/>
        </w:rPr>
        <w:t>(</w:t>
      </w:r>
      <w:r>
        <w:rPr>
          <w:sz w:val="24"/>
        </w:rPr>
        <w:t>黄色箭头</w:t>
      </w:r>
      <w:r>
        <w:rPr>
          <w:rFonts w:hint="eastAsia"/>
          <w:sz w:val="24"/>
        </w:rPr>
        <w:t>)</w:t>
      </w:r>
      <w:r>
        <w:rPr>
          <w:sz w:val="24"/>
        </w:rPr>
        <w:t>，未见其他明显异常</w:t>
      </w:r>
      <w:r>
        <w:rPr>
          <w:rFonts w:hint="eastAsia"/>
          <w:sz w:val="24"/>
        </w:rPr>
        <w:t>(</w:t>
      </w:r>
      <w:r>
        <w:rPr>
          <w:sz w:val="24"/>
        </w:rPr>
        <w:t>图</w:t>
      </w:r>
      <w:r>
        <w:rPr>
          <w:sz w:val="24"/>
        </w:rPr>
        <w:t xml:space="preserve"> 2</w:t>
      </w:r>
      <w:r>
        <w:rPr>
          <w:rFonts w:hint="eastAsia"/>
          <w:sz w:val="24"/>
        </w:rPr>
        <w:t>)</w:t>
      </w:r>
      <w:r>
        <w:rPr>
          <w:sz w:val="24"/>
        </w:rPr>
        <w:t>。</w:t>
      </w:r>
    </w:p>
    <w:p w14:paraId="55A8EC35" w14:textId="77777777" w:rsidR="006D73E5" w:rsidRDefault="00000000">
      <w:pPr>
        <w:spacing w:line="360" w:lineRule="auto"/>
        <w:jc w:val="center"/>
        <w:rPr>
          <w:sz w:val="24"/>
        </w:rPr>
      </w:pPr>
      <w:r>
        <w:rPr>
          <w:noProof/>
          <w:sz w:val="24"/>
        </w:rPr>
        <w:drawing>
          <wp:inline distT="0" distB="0" distL="0" distR="0" wp14:anchorId="39B24FD6" wp14:editId="08AD925F">
            <wp:extent cx="5124450" cy="301498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a:xfrm>
                      <a:off x="0" y="0"/>
                      <a:ext cx="5130653" cy="3018721"/>
                    </a:xfrm>
                    <a:prstGeom prst="rect">
                      <a:avLst/>
                    </a:prstGeom>
                    <a:noFill/>
                    <a:ln>
                      <a:noFill/>
                    </a:ln>
                  </pic:spPr>
                </pic:pic>
              </a:graphicData>
            </a:graphic>
          </wp:inline>
        </w:drawing>
      </w:r>
    </w:p>
    <w:p w14:paraId="4C7A8645" w14:textId="77777777" w:rsidR="006D73E5" w:rsidRDefault="00000000">
      <w:pPr>
        <w:spacing w:line="360" w:lineRule="auto"/>
        <w:rPr>
          <w:sz w:val="24"/>
        </w:rPr>
      </w:pPr>
      <w:r>
        <w:rPr>
          <w:sz w:val="24"/>
        </w:rPr>
        <w:t xml:space="preserve">2.5  </w:t>
      </w:r>
      <w:r>
        <w:rPr>
          <w:sz w:val="24"/>
        </w:rPr>
        <w:t>饲料添加</w:t>
      </w:r>
      <w:r>
        <w:rPr>
          <w:sz w:val="24"/>
        </w:rPr>
        <w:t>Arg</w:t>
      </w:r>
      <w:r>
        <w:rPr>
          <w:sz w:val="24"/>
        </w:rPr>
        <w:t>或</w:t>
      </w:r>
      <w:r>
        <w:rPr>
          <w:sz w:val="24"/>
        </w:rPr>
        <w:t>NCG</w:t>
      </w:r>
      <w:r>
        <w:rPr>
          <w:sz w:val="24"/>
        </w:rPr>
        <w:t>对杂交鳢肠道</w:t>
      </w:r>
      <w:r>
        <w:rPr>
          <w:sz w:val="24"/>
        </w:rPr>
        <w:t>alpha</w:t>
      </w:r>
      <w:r>
        <w:rPr>
          <w:sz w:val="24"/>
        </w:rPr>
        <w:t>多样性分析的影响</w:t>
      </w:r>
    </w:p>
    <w:p w14:paraId="137DD6D1" w14:textId="77777777" w:rsidR="006D73E5" w:rsidRDefault="00000000">
      <w:pPr>
        <w:spacing w:line="360" w:lineRule="auto"/>
        <w:ind w:firstLineChars="200" w:firstLine="480"/>
        <w:rPr>
          <w:sz w:val="24"/>
        </w:rPr>
      </w:pPr>
      <w:r>
        <w:rPr>
          <w:sz w:val="24"/>
        </w:rPr>
        <w:t>各实验组</w:t>
      </w:r>
      <w:r>
        <w:rPr>
          <w:sz w:val="24"/>
        </w:rPr>
        <w:t xml:space="preserve"> Coverage </w:t>
      </w:r>
      <w:r>
        <w:rPr>
          <w:sz w:val="24"/>
        </w:rPr>
        <w:t>指数均为</w:t>
      </w:r>
      <w:r>
        <w:rPr>
          <w:sz w:val="24"/>
        </w:rPr>
        <w:t>1.00</w:t>
      </w:r>
      <w:r>
        <w:rPr>
          <w:sz w:val="24"/>
        </w:rPr>
        <w:t>，显示测序深度已完成肠道所有物种菌群检测，对照组和</w:t>
      </w:r>
      <w:r>
        <w:rPr>
          <w:sz w:val="24"/>
        </w:rPr>
        <w:t xml:space="preserve"> NCG </w:t>
      </w:r>
      <w:r>
        <w:rPr>
          <w:sz w:val="24"/>
        </w:rPr>
        <w:t>组间</w:t>
      </w:r>
      <w:r>
        <w:rPr>
          <w:sz w:val="24"/>
        </w:rPr>
        <w:t>Chao</w:t>
      </w:r>
      <w:r>
        <w:rPr>
          <w:sz w:val="24"/>
        </w:rPr>
        <w:t>指数和</w:t>
      </w:r>
      <w:r>
        <w:rPr>
          <w:sz w:val="24"/>
        </w:rPr>
        <w:t xml:space="preserve"> Shannon </w:t>
      </w:r>
      <w:r>
        <w:rPr>
          <w:sz w:val="24"/>
        </w:rPr>
        <w:t>指数无显著差异</w:t>
      </w:r>
      <w:r>
        <w:rPr>
          <w:rFonts w:hint="eastAsia"/>
          <w:sz w:val="24"/>
        </w:rPr>
        <w:t>(</w:t>
      </w:r>
      <w:r>
        <w:rPr>
          <w:i/>
          <w:iCs/>
          <w:sz w:val="24"/>
        </w:rPr>
        <w:t>P</w:t>
      </w:r>
      <w:r>
        <w:rPr>
          <w:sz w:val="24"/>
        </w:rPr>
        <w:t>＞</w:t>
      </w:r>
      <w:r>
        <w:rPr>
          <w:sz w:val="24"/>
        </w:rPr>
        <w:t>0.05</w:t>
      </w:r>
      <w:r>
        <w:rPr>
          <w:rFonts w:hint="eastAsia"/>
          <w:sz w:val="24"/>
        </w:rPr>
        <w:t>)</w:t>
      </w:r>
      <w:r>
        <w:rPr>
          <w:sz w:val="24"/>
        </w:rPr>
        <w:t>，但</w:t>
      </w:r>
      <w:r>
        <w:rPr>
          <w:sz w:val="24"/>
        </w:rPr>
        <w:t>Arg</w:t>
      </w:r>
      <w:r>
        <w:rPr>
          <w:sz w:val="24"/>
        </w:rPr>
        <w:t>组显著高于对照组和</w:t>
      </w:r>
      <w:r>
        <w:rPr>
          <w:sz w:val="24"/>
        </w:rPr>
        <w:t>NCG</w:t>
      </w:r>
      <w:r>
        <w:rPr>
          <w:sz w:val="24"/>
        </w:rPr>
        <w:t>组</w:t>
      </w:r>
      <w:r>
        <w:rPr>
          <w:rFonts w:hint="eastAsia"/>
          <w:sz w:val="24"/>
        </w:rPr>
        <w:t>(</w:t>
      </w:r>
      <w:r>
        <w:rPr>
          <w:i/>
          <w:iCs/>
          <w:sz w:val="24"/>
        </w:rPr>
        <w:t>P</w:t>
      </w:r>
      <w:r>
        <w:rPr>
          <w:sz w:val="24"/>
        </w:rPr>
        <w:t>＜</w:t>
      </w:r>
      <w:r>
        <w:rPr>
          <w:sz w:val="24"/>
        </w:rPr>
        <w:t>0.05</w:t>
      </w:r>
      <w:r>
        <w:rPr>
          <w:rFonts w:hint="eastAsia"/>
          <w:sz w:val="24"/>
        </w:rPr>
        <w:t>)</w:t>
      </w:r>
      <w:r>
        <w:rPr>
          <w:sz w:val="24"/>
        </w:rPr>
        <w:t>，各实验组</w:t>
      </w:r>
      <w:r>
        <w:rPr>
          <w:sz w:val="24"/>
        </w:rPr>
        <w:t>Simpson</w:t>
      </w:r>
      <w:r>
        <w:rPr>
          <w:sz w:val="24"/>
        </w:rPr>
        <w:t>指数和</w:t>
      </w:r>
      <w:r>
        <w:rPr>
          <w:sz w:val="24"/>
        </w:rPr>
        <w:t xml:space="preserve"> Ace </w:t>
      </w:r>
      <w:r>
        <w:rPr>
          <w:sz w:val="24"/>
        </w:rPr>
        <w:t>指数均无显著差异</w:t>
      </w:r>
      <w:r>
        <w:rPr>
          <w:rFonts w:hint="eastAsia"/>
          <w:sz w:val="24"/>
        </w:rPr>
        <w:t>(</w:t>
      </w:r>
      <w:r>
        <w:rPr>
          <w:i/>
          <w:iCs/>
          <w:sz w:val="24"/>
        </w:rPr>
        <w:t>P</w:t>
      </w:r>
      <w:r>
        <w:rPr>
          <w:sz w:val="24"/>
        </w:rPr>
        <w:t>＞</w:t>
      </w:r>
      <w:r>
        <w:rPr>
          <w:sz w:val="24"/>
        </w:rPr>
        <w:t>0.05</w:t>
      </w:r>
      <w:r>
        <w:rPr>
          <w:rFonts w:hint="eastAsia"/>
          <w:sz w:val="24"/>
        </w:rPr>
        <w:t>)(</w:t>
      </w:r>
      <w:r>
        <w:rPr>
          <w:sz w:val="24"/>
        </w:rPr>
        <w:t>表</w:t>
      </w:r>
      <w:r>
        <w:rPr>
          <w:sz w:val="24"/>
        </w:rPr>
        <w:t xml:space="preserve"> 4</w:t>
      </w:r>
      <w:r>
        <w:rPr>
          <w:rFonts w:hint="eastAsia"/>
          <w:sz w:val="24"/>
        </w:rPr>
        <w:t>)</w:t>
      </w:r>
      <w:r>
        <w:rPr>
          <w:sz w:val="24"/>
        </w:rPr>
        <w:t>。</w:t>
      </w:r>
    </w:p>
    <w:p w14:paraId="5DA6C9EB" w14:textId="77777777" w:rsidR="006D73E5" w:rsidRDefault="00000000">
      <w:pPr>
        <w:spacing w:line="360" w:lineRule="auto"/>
        <w:jc w:val="center"/>
        <w:rPr>
          <w:sz w:val="24"/>
        </w:rPr>
      </w:pPr>
      <w:r>
        <w:rPr>
          <w:noProof/>
          <w:sz w:val="24"/>
        </w:rPr>
        <w:drawing>
          <wp:inline distT="0" distB="0" distL="0" distR="0" wp14:anchorId="05D500E2" wp14:editId="578FA4AF">
            <wp:extent cx="5336540" cy="185039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a:xfrm>
                      <a:off x="0" y="0"/>
                      <a:ext cx="5364290" cy="1859999"/>
                    </a:xfrm>
                    <a:prstGeom prst="rect">
                      <a:avLst/>
                    </a:prstGeom>
                    <a:noFill/>
                    <a:ln>
                      <a:noFill/>
                    </a:ln>
                  </pic:spPr>
                </pic:pic>
              </a:graphicData>
            </a:graphic>
          </wp:inline>
        </w:drawing>
      </w:r>
    </w:p>
    <w:p w14:paraId="629D2CD6" w14:textId="77777777" w:rsidR="006D73E5" w:rsidRDefault="00000000">
      <w:pPr>
        <w:spacing w:line="360" w:lineRule="auto"/>
        <w:rPr>
          <w:sz w:val="24"/>
        </w:rPr>
      </w:pPr>
      <w:r>
        <w:rPr>
          <w:sz w:val="24"/>
        </w:rPr>
        <w:lastRenderedPageBreak/>
        <w:t xml:space="preserve">2.6  </w:t>
      </w:r>
      <w:r>
        <w:rPr>
          <w:sz w:val="24"/>
        </w:rPr>
        <w:t>饲料添加</w:t>
      </w:r>
      <w:r>
        <w:rPr>
          <w:sz w:val="24"/>
        </w:rPr>
        <w:t>Arg</w:t>
      </w:r>
      <w:r>
        <w:rPr>
          <w:sz w:val="24"/>
        </w:rPr>
        <w:t>或</w:t>
      </w:r>
      <w:r>
        <w:rPr>
          <w:sz w:val="24"/>
        </w:rPr>
        <w:t>NCG</w:t>
      </w:r>
      <w:r>
        <w:rPr>
          <w:sz w:val="24"/>
        </w:rPr>
        <w:t>对杂交鳢肠道微生物物种组成分析的影响</w:t>
      </w:r>
    </w:p>
    <w:p w14:paraId="42CE003C" w14:textId="77777777" w:rsidR="006D73E5" w:rsidRDefault="00000000">
      <w:pPr>
        <w:spacing w:line="360" w:lineRule="auto"/>
        <w:ind w:firstLineChars="200" w:firstLine="480"/>
        <w:rPr>
          <w:sz w:val="24"/>
        </w:rPr>
      </w:pPr>
      <w:r>
        <w:rPr>
          <w:sz w:val="24"/>
        </w:rPr>
        <w:t>本实验研究结果表明，在门水平上，主要以厚壁菌门</w:t>
      </w:r>
      <w:r>
        <w:rPr>
          <w:rFonts w:hint="eastAsia"/>
          <w:sz w:val="24"/>
        </w:rPr>
        <w:t>(</w:t>
      </w:r>
      <w:r>
        <w:rPr>
          <w:sz w:val="24"/>
        </w:rPr>
        <w:t>Firmicutes</w:t>
      </w:r>
      <w:r>
        <w:rPr>
          <w:rFonts w:hint="eastAsia"/>
          <w:sz w:val="24"/>
        </w:rPr>
        <w:t>)</w:t>
      </w:r>
      <w:r>
        <w:rPr>
          <w:sz w:val="24"/>
        </w:rPr>
        <w:t>、梭杆菌门</w:t>
      </w:r>
      <w:r>
        <w:rPr>
          <w:sz w:val="24"/>
        </w:rPr>
        <w:t xml:space="preserve"> </w:t>
      </w:r>
      <w:r>
        <w:rPr>
          <w:rFonts w:hint="eastAsia"/>
          <w:sz w:val="24"/>
        </w:rPr>
        <w:t>(</w:t>
      </w:r>
      <w:proofErr w:type="spellStart"/>
      <w:r>
        <w:rPr>
          <w:sz w:val="24"/>
        </w:rPr>
        <w:t>Fusobacteriota</w:t>
      </w:r>
      <w:proofErr w:type="spellEnd"/>
      <w:r>
        <w:rPr>
          <w:rFonts w:hint="eastAsia"/>
          <w:sz w:val="24"/>
        </w:rPr>
        <w:t>)</w:t>
      </w:r>
      <w:r>
        <w:rPr>
          <w:sz w:val="24"/>
        </w:rPr>
        <w:t>、变形菌门</w:t>
      </w:r>
      <w:r>
        <w:rPr>
          <w:rFonts w:hint="eastAsia"/>
          <w:sz w:val="24"/>
        </w:rPr>
        <w:t>(</w:t>
      </w:r>
      <w:r>
        <w:rPr>
          <w:sz w:val="24"/>
        </w:rPr>
        <w:t>Proteobacteria</w:t>
      </w:r>
      <w:r>
        <w:rPr>
          <w:rFonts w:hint="eastAsia"/>
          <w:sz w:val="24"/>
        </w:rPr>
        <w:t>)</w:t>
      </w:r>
      <w:r>
        <w:rPr>
          <w:sz w:val="24"/>
        </w:rPr>
        <w:t>为主</w:t>
      </w:r>
      <w:r>
        <w:rPr>
          <w:rFonts w:hint="eastAsia"/>
          <w:sz w:val="24"/>
        </w:rPr>
        <w:t>(</w:t>
      </w:r>
      <w:r>
        <w:rPr>
          <w:sz w:val="24"/>
        </w:rPr>
        <w:t>图</w:t>
      </w:r>
      <w:r>
        <w:rPr>
          <w:sz w:val="24"/>
        </w:rPr>
        <w:t xml:space="preserve"> 3</w:t>
      </w:r>
      <w:r>
        <w:rPr>
          <w:rFonts w:hint="eastAsia"/>
          <w:sz w:val="24"/>
        </w:rPr>
        <w:t>)</w:t>
      </w:r>
      <w:r>
        <w:rPr>
          <w:sz w:val="24"/>
        </w:rPr>
        <w:t>，对这</w:t>
      </w:r>
      <w:r>
        <w:rPr>
          <w:sz w:val="24"/>
        </w:rPr>
        <w:t>3</w:t>
      </w:r>
      <w:r>
        <w:rPr>
          <w:sz w:val="24"/>
        </w:rPr>
        <w:t>个菌门的丰度进行组间显著性分析，发现在门水平上，与对照组及</w:t>
      </w:r>
      <w:r>
        <w:rPr>
          <w:sz w:val="24"/>
        </w:rPr>
        <w:t xml:space="preserve"> Arg </w:t>
      </w:r>
      <w:r>
        <w:rPr>
          <w:sz w:val="24"/>
        </w:rPr>
        <w:t>组相比，</w:t>
      </w:r>
      <w:r>
        <w:rPr>
          <w:sz w:val="24"/>
        </w:rPr>
        <w:t xml:space="preserve">NCG </w:t>
      </w:r>
      <w:r>
        <w:rPr>
          <w:sz w:val="24"/>
        </w:rPr>
        <w:t>组厚壁菌群相对丰度显著增加</w:t>
      </w:r>
      <w:r>
        <w:rPr>
          <w:rFonts w:hint="eastAsia"/>
          <w:sz w:val="24"/>
        </w:rPr>
        <w:t>(</w:t>
      </w:r>
      <w:r>
        <w:rPr>
          <w:i/>
          <w:iCs/>
          <w:sz w:val="24"/>
        </w:rPr>
        <w:t>P</w:t>
      </w:r>
      <w:r>
        <w:rPr>
          <w:sz w:val="24"/>
        </w:rPr>
        <w:t>＜</w:t>
      </w:r>
      <w:r>
        <w:rPr>
          <w:sz w:val="24"/>
        </w:rPr>
        <w:t>0.05</w:t>
      </w:r>
      <w:r>
        <w:rPr>
          <w:rFonts w:hint="eastAsia"/>
          <w:sz w:val="24"/>
        </w:rPr>
        <w:t>)</w:t>
      </w:r>
      <w:r>
        <w:rPr>
          <w:sz w:val="24"/>
        </w:rPr>
        <w:t>，但梭杆菌门丰度显著低于对照组及</w:t>
      </w:r>
      <w:r>
        <w:rPr>
          <w:sz w:val="24"/>
        </w:rPr>
        <w:t>Arg</w:t>
      </w:r>
      <w:r>
        <w:rPr>
          <w:sz w:val="24"/>
        </w:rPr>
        <w:t>组</w:t>
      </w:r>
      <w:r>
        <w:rPr>
          <w:rFonts w:hint="eastAsia"/>
          <w:sz w:val="24"/>
        </w:rPr>
        <w:t>(</w:t>
      </w:r>
      <w:r>
        <w:rPr>
          <w:i/>
          <w:iCs/>
          <w:sz w:val="24"/>
        </w:rPr>
        <w:t>P</w:t>
      </w:r>
      <w:r>
        <w:rPr>
          <w:sz w:val="24"/>
        </w:rPr>
        <w:t>＜</w:t>
      </w:r>
      <w:r>
        <w:rPr>
          <w:sz w:val="24"/>
        </w:rPr>
        <w:t>0.05</w:t>
      </w:r>
      <w:r>
        <w:rPr>
          <w:rFonts w:hint="eastAsia"/>
          <w:sz w:val="24"/>
        </w:rPr>
        <w:t>)(</w:t>
      </w:r>
      <w:r>
        <w:rPr>
          <w:sz w:val="24"/>
        </w:rPr>
        <w:t>表</w:t>
      </w:r>
      <w:r>
        <w:rPr>
          <w:sz w:val="24"/>
        </w:rPr>
        <w:t xml:space="preserve"> 5</w:t>
      </w:r>
      <w:r>
        <w:rPr>
          <w:rFonts w:hint="eastAsia"/>
          <w:sz w:val="24"/>
        </w:rPr>
        <w:t>)</w:t>
      </w:r>
      <w:r>
        <w:rPr>
          <w:sz w:val="24"/>
        </w:rPr>
        <w:t>。与对照组相比，</w:t>
      </w:r>
      <w:r>
        <w:rPr>
          <w:sz w:val="24"/>
        </w:rPr>
        <w:t xml:space="preserve">Arg </w:t>
      </w:r>
      <w:r>
        <w:rPr>
          <w:sz w:val="24"/>
        </w:rPr>
        <w:t>组和</w:t>
      </w:r>
      <w:r>
        <w:rPr>
          <w:sz w:val="24"/>
        </w:rPr>
        <w:t>NCG</w:t>
      </w:r>
      <w:r>
        <w:rPr>
          <w:sz w:val="24"/>
        </w:rPr>
        <w:t>组变形菌门丰度显著升高</w:t>
      </w:r>
      <w:r>
        <w:rPr>
          <w:rFonts w:hint="eastAsia"/>
          <w:sz w:val="24"/>
        </w:rPr>
        <w:t>(</w:t>
      </w:r>
      <w:r>
        <w:rPr>
          <w:i/>
          <w:iCs/>
          <w:sz w:val="24"/>
        </w:rPr>
        <w:t>P</w:t>
      </w:r>
      <w:r>
        <w:rPr>
          <w:sz w:val="24"/>
        </w:rPr>
        <w:t>＜</w:t>
      </w:r>
      <w:r>
        <w:rPr>
          <w:sz w:val="24"/>
        </w:rPr>
        <w:t>0.05</w:t>
      </w:r>
      <w:r>
        <w:rPr>
          <w:rFonts w:hint="eastAsia"/>
          <w:sz w:val="24"/>
        </w:rPr>
        <w:t>)</w:t>
      </w:r>
      <w:r>
        <w:rPr>
          <w:sz w:val="24"/>
        </w:rPr>
        <w:t>。在属水平上，主要以支原体属</w:t>
      </w:r>
      <w:r>
        <w:rPr>
          <w:rFonts w:hint="eastAsia"/>
          <w:sz w:val="24"/>
        </w:rPr>
        <w:t>(</w:t>
      </w:r>
      <w:proofErr w:type="spellStart"/>
      <w:r>
        <w:rPr>
          <w:i/>
          <w:iCs/>
          <w:sz w:val="24"/>
        </w:rPr>
        <w:t>Mycoplasmataceae</w:t>
      </w:r>
      <w:proofErr w:type="spellEnd"/>
      <w:r>
        <w:rPr>
          <w:rFonts w:hint="eastAsia"/>
          <w:sz w:val="24"/>
        </w:rPr>
        <w:t>)</w:t>
      </w:r>
      <w:r>
        <w:rPr>
          <w:sz w:val="24"/>
        </w:rPr>
        <w:t>、醋酸杆菌属</w:t>
      </w:r>
      <w:r>
        <w:rPr>
          <w:rFonts w:hint="eastAsia"/>
          <w:sz w:val="24"/>
        </w:rPr>
        <w:t>(</w:t>
      </w:r>
      <w:proofErr w:type="spellStart"/>
      <w:r>
        <w:rPr>
          <w:i/>
          <w:iCs/>
          <w:sz w:val="24"/>
        </w:rPr>
        <w:t>Cetobacterium</w:t>
      </w:r>
      <w:proofErr w:type="spellEnd"/>
      <w:r>
        <w:rPr>
          <w:rFonts w:hint="eastAsia"/>
          <w:sz w:val="24"/>
        </w:rPr>
        <w:t>)</w:t>
      </w:r>
      <w:r>
        <w:rPr>
          <w:sz w:val="24"/>
        </w:rPr>
        <w:t>和梭菌属</w:t>
      </w:r>
      <w:r>
        <w:rPr>
          <w:rFonts w:hint="eastAsia"/>
          <w:sz w:val="24"/>
        </w:rPr>
        <w:t>(</w:t>
      </w:r>
      <w:r>
        <w:rPr>
          <w:i/>
          <w:iCs/>
          <w:sz w:val="24"/>
        </w:rPr>
        <w:t>Clostridium</w:t>
      </w:r>
      <w:r>
        <w:rPr>
          <w:rFonts w:hint="eastAsia"/>
          <w:sz w:val="24"/>
        </w:rPr>
        <w:t>)</w:t>
      </w:r>
      <w:r>
        <w:rPr>
          <w:sz w:val="24"/>
        </w:rPr>
        <w:t>为主，对这</w:t>
      </w:r>
      <w:r>
        <w:rPr>
          <w:sz w:val="24"/>
        </w:rPr>
        <w:t xml:space="preserve"> 3 </w:t>
      </w:r>
      <w:r>
        <w:rPr>
          <w:sz w:val="24"/>
        </w:rPr>
        <w:t>个菌属的丰度进行组间显著性分析，对杂交鳢肠道微生物前</w:t>
      </w:r>
      <w:r>
        <w:rPr>
          <w:sz w:val="24"/>
        </w:rPr>
        <w:t>50</w:t>
      </w:r>
      <w:r>
        <w:rPr>
          <w:sz w:val="24"/>
        </w:rPr>
        <w:t>个属进行深度测序，其中</w:t>
      </w:r>
      <w:r>
        <w:rPr>
          <w:sz w:val="24"/>
        </w:rPr>
        <w:t>Arg</w:t>
      </w:r>
      <w:r>
        <w:rPr>
          <w:sz w:val="24"/>
        </w:rPr>
        <w:t>组支原体属显著高于对照组</w:t>
      </w:r>
      <w:r>
        <w:rPr>
          <w:rFonts w:hint="eastAsia"/>
          <w:sz w:val="24"/>
        </w:rPr>
        <w:t>(</w:t>
      </w:r>
      <w:r>
        <w:rPr>
          <w:i/>
          <w:iCs/>
          <w:sz w:val="24"/>
        </w:rPr>
        <w:t>P</w:t>
      </w:r>
      <w:r>
        <w:rPr>
          <w:sz w:val="24"/>
        </w:rPr>
        <w:t>＜</w:t>
      </w:r>
      <w:r>
        <w:rPr>
          <w:sz w:val="24"/>
        </w:rPr>
        <w:t>0.05</w:t>
      </w:r>
      <w:r>
        <w:rPr>
          <w:rFonts w:hint="eastAsia"/>
          <w:sz w:val="24"/>
        </w:rPr>
        <w:t>)</w:t>
      </w:r>
      <w:r>
        <w:rPr>
          <w:sz w:val="24"/>
        </w:rPr>
        <w:t>，</w:t>
      </w:r>
      <w:r>
        <w:rPr>
          <w:sz w:val="24"/>
        </w:rPr>
        <w:t xml:space="preserve">NCG </w:t>
      </w:r>
      <w:r>
        <w:rPr>
          <w:sz w:val="24"/>
        </w:rPr>
        <w:t>组支原体属显著高于对照组和</w:t>
      </w:r>
      <w:r>
        <w:rPr>
          <w:sz w:val="24"/>
        </w:rPr>
        <w:t>Arg</w:t>
      </w:r>
      <w:r>
        <w:rPr>
          <w:sz w:val="24"/>
        </w:rPr>
        <w:t>组</w:t>
      </w:r>
      <w:r>
        <w:rPr>
          <w:rFonts w:hint="eastAsia"/>
          <w:sz w:val="24"/>
        </w:rPr>
        <w:t>(</w:t>
      </w:r>
      <w:r>
        <w:rPr>
          <w:sz w:val="24"/>
        </w:rPr>
        <w:t>P</w:t>
      </w:r>
      <w:r>
        <w:rPr>
          <w:sz w:val="24"/>
        </w:rPr>
        <w:t>＜</w:t>
      </w:r>
      <w:r>
        <w:rPr>
          <w:sz w:val="24"/>
        </w:rPr>
        <w:t>0.05</w:t>
      </w:r>
      <w:r>
        <w:rPr>
          <w:rFonts w:hint="eastAsia"/>
          <w:sz w:val="24"/>
        </w:rPr>
        <w:t>)(</w:t>
      </w:r>
      <w:r>
        <w:rPr>
          <w:sz w:val="24"/>
        </w:rPr>
        <w:t>表</w:t>
      </w:r>
      <w:r>
        <w:rPr>
          <w:sz w:val="24"/>
        </w:rPr>
        <w:t xml:space="preserve"> 6</w:t>
      </w:r>
      <w:r>
        <w:rPr>
          <w:rFonts w:hint="eastAsia"/>
          <w:sz w:val="24"/>
        </w:rPr>
        <w:t>)</w:t>
      </w:r>
      <w:r>
        <w:rPr>
          <w:sz w:val="24"/>
        </w:rPr>
        <w:t>。</w:t>
      </w:r>
    </w:p>
    <w:p w14:paraId="73EBC640" w14:textId="77777777" w:rsidR="006D73E5" w:rsidRDefault="00000000">
      <w:pPr>
        <w:spacing w:line="360" w:lineRule="auto"/>
        <w:jc w:val="center"/>
        <w:rPr>
          <w:sz w:val="24"/>
        </w:rPr>
      </w:pPr>
      <w:r>
        <w:rPr>
          <w:noProof/>
          <w:sz w:val="24"/>
        </w:rPr>
        <w:drawing>
          <wp:inline distT="0" distB="0" distL="0" distR="0" wp14:anchorId="3CADAB76" wp14:editId="6D979832">
            <wp:extent cx="5272405" cy="1266825"/>
            <wp:effectExtent l="0" t="0" r="4445" b="952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a:xfrm>
                      <a:off x="0" y="0"/>
                      <a:ext cx="5302761" cy="1266825"/>
                    </a:xfrm>
                    <a:prstGeom prst="rect">
                      <a:avLst/>
                    </a:prstGeom>
                    <a:noFill/>
                    <a:ln>
                      <a:noFill/>
                    </a:ln>
                  </pic:spPr>
                </pic:pic>
              </a:graphicData>
            </a:graphic>
          </wp:inline>
        </w:drawing>
      </w:r>
    </w:p>
    <w:p w14:paraId="372177E4" w14:textId="77777777" w:rsidR="006D73E5" w:rsidRDefault="00000000">
      <w:pPr>
        <w:spacing w:line="360" w:lineRule="auto"/>
        <w:jc w:val="center"/>
        <w:rPr>
          <w:sz w:val="24"/>
        </w:rPr>
      </w:pPr>
      <w:r>
        <w:rPr>
          <w:noProof/>
          <w:sz w:val="24"/>
        </w:rPr>
        <w:drawing>
          <wp:inline distT="0" distB="0" distL="0" distR="0" wp14:anchorId="6BB69732" wp14:editId="56D33BB2">
            <wp:extent cx="5273040" cy="1413510"/>
            <wp:effectExtent l="0" t="0" r="3810" b="1524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a:xfrm>
                      <a:off x="0" y="0"/>
                      <a:ext cx="5280017" cy="1413510"/>
                    </a:xfrm>
                    <a:prstGeom prst="rect">
                      <a:avLst/>
                    </a:prstGeom>
                    <a:noFill/>
                    <a:ln>
                      <a:noFill/>
                    </a:ln>
                  </pic:spPr>
                </pic:pic>
              </a:graphicData>
            </a:graphic>
          </wp:inline>
        </w:drawing>
      </w:r>
    </w:p>
    <w:p w14:paraId="1A013C5F" w14:textId="77777777" w:rsidR="006D73E5" w:rsidRDefault="00000000">
      <w:pPr>
        <w:spacing w:line="360" w:lineRule="auto"/>
        <w:jc w:val="center"/>
        <w:rPr>
          <w:sz w:val="24"/>
        </w:rPr>
      </w:pPr>
      <w:r>
        <w:rPr>
          <w:noProof/>
          <w:sz w:val="24"/>
        </w:rPr>
        <w:drawing>
          <wp:inline distT="0" distB="0" distL="0" distR="0" wp14:anchorId="00A5F01D" wp14:editId="78F930D8">
            <wp:extent cx="5205095" cy="2572385"/>
            <wp:effectExtent l="0" t="0" r="14605" b="1841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a:xfrm>
                      <a:off x="0" y="0"/>
                      <a:ext cx="5252358" cy="2572385"/>
                    </a:xfrm>
                    <a:prstGeom prst="rect">
                      <a:avLst/>
                    </a:prstGeom>
                    <a:noFill/>
                    <a:ln>
                      <a:noFill/>
                    </a:ln>
                  </pic:spPr>
                </pic:pic>
              </a:graphicData>
            </a:graphic>
          </wp:inline>
        </w:drawing>
      </w:r>
    </w:p>
    <w:p w14:paraId="3C75DA7C" w14:textId="77777777" w:rsidR="006D73E5" w:rsidRDefault="00000000">
      <w:pPr>
        <w:spacing w:line="360" w:lineRule="auto"/>
        <w:rPr>
          <w:sz w:val="24"/>
        </w:rPr>
      </w:pPr>
      <w:r>
        <w:rPr>
          <w:sz w:val="24"/>
        </w:rPr>
        <w:lastRenderedPageBreak/>
        <w:t xml:space="preserve">2.7  </w:t>
      </w:r>
      <w:r>
        <w:rPr>
          <w:sz w:val="24"/>
        </w:rPr>
        <w:t>饲料添加</w:t>
      </w:r>
      <w:r>
        <w:rPr>
          <w:sz w:val="24"/>
        </w:rPr>
        <w:t>Arg</w:t>
      </w:r>
      <w:r>
        <w:rPr>
          <w:sz w:val="24"/>
        </w:rPr>
        <w:t>或</w:t>
      </w:r>
      <w:r>
        <w:rPr>
          <w:sz w:val="24"/>
        </w:rPr>
        <w:t>NCG</w:t>
      </w:r>
      <w:r>
        <w:rPr>
          <w:sz w:val="24"/>
        </w:rPr>
        <w:t>对杂交鳢肠道微生物物种差异与进化分析的影响</w:t>
      </w:r>
    </w:p>
    <w:p w14:paraId="104B95F3" w14:textId="77777777" w:rsidR="006D73E5" w:rsidRDefault="00000000">
      <w:pPr>
        <w:spacing w:line="360" w:lineRule="auto"/>
        <w:ind w:firstLineChars="200" w:firstLine="480"/>
        <w:rPr>
          <w:sz w:val="24"/>
        </w:rPr>
      </w:pPr>
      <w:r>
        <w:rPr>
          <w:sz w:val="24"/>
        </w:rPr>
        <w:t>在属水平上选取</w:t>
      </w:r>
      <w:r>
        <w:rPr>
          <w:sz w:val="24"/>
        </w:rPr>
        <w:t xml:space="preserve"> 40 </w:t>
      </w:r>
      <w:r>
        <w:rPr>
          <w:sz w:val="24"/>
        </w:rPr>
        <w:t>个丰度较高的菌群进行热图分析，结果显示，对照组与</w:t>
      </w:r>
      <w:r>
        <w:rPr>
          <w:sz w:val="24"/>
        </w:rPr>
        <w:t xml:space="preserve"> Arg </w:t>
      </w:r>
      <w:r>
        <w:rPr>
          <w:sz w:val="24"/>
        </w:rPr>
        <w:t>组之间微生物差异较小，与</w:t>
      </w:r>
      <w:r>
        <w:rPr>
          <w:sz w:val="24"/>
        </w:rPr>
        <w:t>NCG</w:t>
      </w:r>
      <w:r>
        <w:rPr>
          <w:sz w:val="24"/>
        </w:rPr>
        <w:t>组相比，微生物组成差异表现明显</w:t>
      </w:r>
      <w:r>
        <w:rPr>
          <w:rFonts w:hint="eastAsia"/>
          <w:sz w:val="24"/>
        </w:rPr>
        <w:t>(</w:t>
      </w:r>
      <w:r>
        <w:rPr>
          <w:sz w:val="24"/>
        </w:rPr>
        <w:t>图</w:t>
      </w:r>
      <w:r>
        <w:rPr>
          <w:sz w:val="24"/>
        </w:rPr>
        <w:t xml:space="preserve"> 4</w:t>
      </w:r>
      <w:r>
        <w:rPr>
          <w:rFonts w:hint="eastAsia"/>
          <w:sz w:val="24"/>
        </w:rPr>
        <w:t>)</w:t>
      </w:r>
      <w:r>
        <w:rPr>
          <w:sz w:val="24"/>
        </w:rPr>
        <w:t>。选取高丰度的细菌，对比在线数据库，对物种进行更准确的注释，通过</w:t>
      </w:r>
      <w:proofErr w:type="spellStart"/>
      <w:r>
        <w:rPr>
          <w:sz w:val="24"/>
        </w:rPr>
        <w:t>PICRUSt</w:t>
      </w:r>
      <w:proofErr w:type="spellEnd"/>
      <w:r>
        <w:rPr>
          <w:sz w:val="24"/>
        </w:rPr>
        <w:t xml:space="preserve"> </w:t>
      </w:r>
      <w:r>
        <w:rPr>
          <w:sz w:val="24"/>
        </w:rPr>
        <w:t>对</w:t>
      </w:r>
      <w:r>
        <w:rPr>
          <w:sz w:val="24"/>
        </w:rPr>
        <w:t>OTU</w:t>
      </w:r>
      <w:r>
        <w:rPr>
          <w:sz w:val="24"/>
        </w:rPr>
        <w:t>丰度表进行标准化，即去除</w:t>
      </w:r>
      <w:r>
        <w:rPr>
          <w:sz w:val="24"/>
        </w:rPr>
        <w:t xml:space="preserve">16S marker gene </w:t>
      </w:r>
      <w:r>
        <w:rPr>
          <w:sz w:val="24"/>
        </w:rPr>
        <w:t>在物种基因组中的</w:t>
      </w:r>
      <w:r>
        <w:rPr>
          <w:sz w:val="24"/>
        </w:rPr>
        <w:t>copy</w:t>
      </w:r>
      <w:r>
        <w:rPr>
          <w:sz w:val="24"/>
        </w:rPr>
        <w:t>数目的影响；然后通过每个</w:t>
      </w:r>
      <w:r>
        <w:rPr>
          <w:sz w:val="24"/>
        </w:rPr>
        <w:t>OTU</w:t>
      </w:r>
      <w:r>
        <w:rPr>
          <w:sz w:val="24"/>
        </w:rPr>
        <w:t>对应的</w:t>
      </w:r>
      <w:proofErr w:type="spellStart"/>
      <w:r>
        <w:rPr>
          <w:sz w:val="24"/>
        </w:rPr>
        <w:t>greengene</w:t>
      </w:r>
      <w:proofErr w:type="spellEnd"/>
      <w:r>
        <w:rPr>
          <w:sz w:val="24"/>
        </w:rPr>
        <w:t xml:space="preserve"> id</w:t>
      </w:r>
      <w:r>
        <w:rPr>
          <w:sz w:val="24"/>
        </w:rPr>
        <w:t>，对</w:t>
      </w:r>
      <w:r>
        <w:rPr>
          <w:sz w:val="24"/>
        </w:rPr>
        <w:t xml:space="preserve">OTU </w:t>
      </w:r>
      <w:r>
        <w:rPr>
          <w:sz w:val="24"/>
        </w:rPr>
        <w:t>进行</w:t>
      </w:r>
      <w:r>
        <w:rPr>
          <w:sz w:val="24"/>
        </w:rPr>
        <w:t xml:space="preserve">COG </w:t>
      </w:r>
      <w:r>
        <w:rPr>
          <w:sz w:val="24"/>
        </w:rPr>
        <w:t>和</w:t>
      </w:r>
      <w:r>
        <w:rPr>
          <w:sz w:val="24"/>
        </w:rPr>
        <w:t xml:space="preserve"> KEGG </w:t>
      </w:r>
      <w:r>
        <w:rPr>
          <w:sz w:val="24"/>
        </w:rPr>
        <w:t>功能注释，获得</w:t>
      </w:r>
      <w:r>
        <w:rPr>
          <w:sz w:val="24"/>
        </w:rPr>
        <w:t>OTU</w:t>
      </w:r>
      <w:r>
        <w:rPr>
          <w:sz w:val="24"/>
        </w:rPr>
        <w:t>在</w:t>
      </w:r>
      <w:r>
        <w:rPr>
          <w:sz w:val="24"/>
        </w:rPr>
        <w:t>COG</w:t>
      </w:r>
      <w:r>
        <w:rPr>
          <w:sz w:val="24"/>
        </w:rPr>
        <w:t>、</w:t>
      </w:r>
      <w:r>
        <w:rPr>
          <w:sz w:val="24"/>
        </w:rPr>
        <w:t>KEGG</w:t>
      </w:r>
      <w:r>
        <w:rPr>
          <w:sz w:val="24"/>
        </w:rPr>
        <w:t>各功能水平的注释信息及各功能在不同样本中的丰度信息</w:t>
      </w:r>
      <w:r>
        <w:rPr>
          <w:rFonts w:hint="eastAsia"/>
          <w:sz w:val="24"/>
        </w:rPr>
        <w:t>(</w:t>
      </w:r>
      <w:r>
        <w:rPr>
          <w:sz w:val="24"/>
        </w:rPr>
        <w:t>图</w:t>
      </w:r>
      <w:r>
        <w:rPr>
          <w:sz w:val="24"/>
        </w:rPr>
        <w:t xml:space="preserve"> 5</w:t>
      </w:r>
      <w:r>
        <w:rPr>
          <w:rFonts w:hint="eastAsia"/>
          <w:sz w:val="24"/>
        </w:rPr>
        <w:t>)</w:t>
      </w:r>
      <w:r>
        <w:rPr>
          <w:sz w:val="24"/>
        </w:rPr>
        <w:t>。结果显示，肠道微生物功能预测结果为氨基酸转运和代谢、碳水化合物的运输和代谢、能源的生产和转化等。</w:t>
      </w:r>
    </w:p>
    <w:p w14:paraId="3EC44905" w14:textId="77777777" w:rsidR="006D73E5" w:rsidRDefault="00000000">
      <w:pPr>
        <w:spacing w:line="360" w:lineRule="auto"/>
        <w:jc w:val="center"/>
        <w:rPr>
          <w:sz w:val="24"/>
        </w:rPr>
      </w:pPr>
      <w:r>
        <w:rPr>
          <w:noProof/>
          <w:sz w:val="24"/>
        </w:rPr>
        <w:drawing>
          <wp:inline distT="0" distB="0" distL="0" distR="0" wp14:anchorId="0AD3C409" wp14:editId="79144C22">
            <wp:extent cx="3108960" cy="3049270"/>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a:xfrm>
                      <a:off x="0" y="0"/>
                      <a:ext cx="3113966" cy="3054292"/>
                    </a:xfrm>
                    <a:prstGeom prst="rect">
                      <a:avLst/>
                    </a:prstGeom>
                    <a:noFill/>
                    <a:ln>
                      <a:noFill/>
                    </a:ln>
                  </pic:spPr>
                </pic:pic>
              </a:graphicData>
            </a:graphic>
          </wp:inline>
        </w:drawing>
      </w:r>
    </w:p>
    <w:p w14:paraId="0B321212" w14:textId="77777777" w:rsidR="006D73E5" w:rsidRDefault="00000000">
      <w:pPr>
        <w:spacing w:line="360" w:lineRule="auto"/>
        <w:jc w:val="center"/>
        <w:rPr>
          <w:sz w:val="24"/>
        </w:rPr>
      </w:pPr>
      <w:r>
        <w:rPr>
          <w:noProof/>
          <w:sz w:val="24"/>
        </w:rPr>
        <w:drawing>
          <wp:inline distT="0" distB="0" distL="0" distR="0" wp14:anchorId="1AB99D67" wp14:editId="5DD8455E">
            <wp:extent cx="4895850" cy="3173095"/>
            <wp:effectExtent l="0" t="0" r="0" b="825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a:xfrm>
                      <a:off x="0" y="0"/>
                      <a:ext cx="4915067" cy="3173095"/>
                    </a:xfrm>
                    <a:prstGeom prst="rect">
                      <a:avLst/>
                    </a:prstGeom>
                    <a:noFill/>
                    <a:ln>
                      <a:noFill/>
                    </a:ln>
                  </pic:spPr>
                </pic:pic>
              </a:graphicData>
            </a:graphic>
          </wp:inline>
        </w:drawing>
      </w:r>
    </w:p>
    <w:p w14:paraId="1AEBFA6F" w14:textId="77777777" w:rsidR="006D73E5" w:rsidRDefault="00000000">
      <w:pPr>
        <w:spacing w:line="360" w:lineRule="auto"/>
        <w:rPr>
          <w:sz w:val="24"/>
        </w:rPr>
      </w:pPr>
      <w:r>
        <w:rPr>
          <w:sz w:val="24"/>
        </w:rPr>
        <w:lastRenderedPageBreak/>
        <w:t xml:space="preserve">3  </w:t>
      </w:r>
      <w:r>
        <w:rPr>
          <w:sz w:val="24"/>
        </w:rPr>
        <w:t>讨论</w:t>
      </w:r>
    </w:p>
    <w:p w14:paraId="69F32925" w14:textId="77777777" w:rsidR="006D73E5" w:rsidRDefault="00000000">
      <w:pPr>
        <w:spacing w:line="360" w:lineRule="auto"/>
        <w:ind w:firstLineChars="200" w:firstLine="480"/>
        <w:rPr>
          <w:sz w:val="24"/>
        </w:rPr>
      </w:pPr>
      <w:r>
        <w:rPr>
          <w:sz w:val="24"/>
        </w:rPr>
        <w:t>精氨酸可激活雷帕霉素靶蛋白</w:t>
      </w:r>
      <w:r>
        <w:rPr>
          <w:sz w:val="24"/>
        </w:rPr>
        <w:t>(TOR)</w:t>
      </w:r>
      <w:r>
        <w:rPr>
          <w:sz w:val="24"/>
        </w:rPr>
        <w:t>信号通路调节机体蛋白质合成，促进蛋白质沉积，提高生长性能</w:t>
      </w:r>
      <w:r>
        <w:rPr>
          <w:sz w:val="24"/>
          <w:vertAlign w:val="superscript"/>
        </w:rPr>
        <w:t>[19]</w:t>
      </w:r>
      <w:r>
        <w:rPr>
          <w:sz w:val="24"/>
        </w:rPr>
        <w:t>。由于鱼类体内鸟氨酸转羧化酶</w:t>
      </w:r>
      <w:r>
        <w:rPr>
          <w:sz w:val="24"/>
        </w:rPr>
        <w:t>(OTC)</w:t>
      </w:r>
      <w:r>
        <w:rPr>
          <w:sz w:val="24"/>
        </w:rPr>
        <w:t>、氨甲酰磷酸合成酶</w:t>
      </w:r>
      <w:r>
        <w:rPr>
          <w:sz w:val="24"/>
        </w:rPr>
        <w:t>(CPS) III</w:t>
      </w:r>
      <w:r>
        <w:rPr>
          <w:sz w:val="24"/>
        </w:rPr>
        <w:t>的活性偏低，因此，必须外源补充精氨酸以满足鱼类生长和代谢所必需</w:t>
      </w:r>
      <w:r>
        <w:rPr>
          <w:sz w:val="24"/>
          <w:vertAlign w:val="superscript"/>
        </w:rPr>
        <w:t>[3]</w:t>
      </w:r>
      <w:r>
        <w:rPr>
          <w:sz w:val="24"/>
        </w:rPr>
        <w:t>。鱼类缺乏精氨酸会导致生长迟缓、营养障碍性疾病等</w:t>
      </w:r>
      <w:r>
        <w:rPr>
          <w:sz w:val="24"/>
          <w:vertAlign w:val="superscript"/>
        </w:rPr>
        <w:t>[20]</w:t>
      </w:r>
      <w:r>
        <w:rPr>
          <w:sz w:val="24"/>
        </w:rPr>
        <w:t>。本实验发现，与对照组相比，</w:t>
      </w:r>
      <w:r>
        <w:rPr>
          <w:sz w:val="24"/>
        </w:rPr>
        <w:t xml:space="preserve">NCG </w:t>
      </w:r>
      <w:r>
        <w:rPr>
          <w:sz w:val="24"/>
        </w:rPr>
        <w:t>组杂交鳢全鱼异亮氨酸、亮氨酸、赖氨酸和谷氨酸含量显著升高，</w:t>
      </w:r>
      <w:r>
        <w:rPr>
          <w:sz w:val="24"/>
        </w:rPr>
        <w:t>Arg</w:t>
      </w:r>
      <w:r>
        <w:rPr>
          <w:sz w:val="24"/>
        </w:rPr>
        <w:t>组和</w:t>
      </w:r>
      <w:r>
        <w:rPr>
          <w:sz w:val="24"/>
        </w:rPr>
        <w:t>NCG</w:t>
      </w:r>
      <w:r>
        <w:rPr>
          <w:sz w:val="24"/>
        </w:rPr>
        <w:t>组全鱼精氨酸含量显著升高，表明饲料中添加</w:t>
      </w:r>
      <w:r>
        <w:rPr>
          <w:sz w:val="24"/>
        </w:rPr>
        <w:t xml:space="preserve"> NCG </w:t>
      </w:r>
      <w:r>
        <w:rPr>
          <w:sz w:val="24"/>
        </w:rPr>
        <w:t>显著促进了杂交鳢的合成异亮氨酸、亮氨酸、赖氨酸和谷氨酸等氨基酸的能力，而饲料中添加精氨酸和</w:t>
      </w:r>
      <w:r>
        <w:rPr>
          <w:sz w:val="24"/>
        </w:rPr>
        <w:t>NCG</w:t>
      </w:r>
      <w:r>
        <w:rPr>
          <w:sz w:val="24"/>
        </w:rPr>
        <w:t>均能显著提高杂交鳢合成精氨酸的能力。因此，本实验中，饲料添加精氨酸和</w:t>
      </w:r>
      <w:r>
        <w:rPr>
          <w:sz w:val="24"/>
        </w:rPr>
        <w:t>NCG</w:t>
      </w:r>
      <w:r>
        <w:rPr>
          <w:sz w:val="24"/>
        </w:rPr>
        <w:t>可能具备促进杂交鳢内源性合成精氨酸的能力，但尚未见到关于杂交鳢内源性精氨酸合成能力的报道，因此今后有必要进一步深入研究。此外，本实验中饲料添加</w:t>
      </w:r>
      <w:r>
        <w:rPr>
          <w:sz w:val="24"/>
        </w:rPr>
        <w:t xml:space="preserve">0.60% Arg </w:t>
      </w:r>
      <w:r>
        <w:rPr>
          <w:sz w:val="24"/>
        </w:rPr>
        <w:t>可显著提高杂交鳢终末体质量和</w:t>
      </w:r>
      <w:r>
        <w:rPr>
          <w:sz w:val="24"/>
        </w:rPr>
        <w:t>SGR</w:t>
      </w:r>
      <w:r>
        <w:rPr>
          <w:sz w:val="24"/>
        </w:rPr>
        <w:t>，添加</w:t>
      </w:r>
      <w:r>
        <w:rPr>
          <w:sz w:val="24"/>
        </w:rPr>
        <w:t xml:space="preserve"> 0.03% NCG </w:t>
      </w:r>
      <w:r>
        <w:rPr>
          <w:sz w:val="24"/>
        </w:rPr>
        <w:t>虽未对生长产生显著促进作用，但添加</w:t>
      </w:r>
      <w:r>
        <w:rPr>
          <w:sz w:val="24"/>
        </w:rPr>
        <w:t>Arg</w:t>
      </w:r>
      <w:r>
        <w:rPr>
          <w:sz w:val="24"/>
        </w:rPr>
        <w:t>和</w:t>
      </w:r>
      <w:r>
        <w:rPr>
          <w:sz w:val="24"/>
        </w:rPr>
        <w:t>NCG</w:t>
      </w:r>
      <w:r>
        <w:rPr>
          <w:sz w:val="24"/>
        </w:rPr>
        <w:t>可降低杂交鳢</w:t>
      </w:r>
      <w:r>
        <w:rPr>
          <w:sz w:val="24"/>
        </w:rPr>
        <w:t>FCR</w:t>
      </w:r>
      <w:r>
        <w:rPr>
          <w:sz w:val="24"/>
        </w:rPr>
        <w:t>，提高</w:t>
      </w:r>
      <w:r>
        <w:rPr>
          <w:sz w:val="24"/>
        </w:rPr>
        <w:t xml:space="preserve"> PDR</w:t>
      </w:r>
      <w:r>
        <w:rPr>
          <w:sz w:val="24"/>
        </w:rPr>
        <w:t>。这表明外源添加</w:t>
      </w:r>
      <w:r>
        <w:rPr>
          <w:sz w:val="24"/>
        </w:rPr>
        <w:t>Arg</w:t>
      </w:r>
      <w:r>
        <w:rPr>
          <w:sz w:val="24"/>
        </w:rPr>
        <w:t>或</w:t>
      </w:r>
      <w:r>
        <w:rPr>
          <w:sz w:val="24"/>
        </w:rPr>
        <w:t>NCG</w:t>
      </w:r>
      <w:r>
        <w:rPr>
          <w:sz w:val="24"/>
        </w:rPr>
        <w:t>都能够促进机体蛋白质沉积，提高全鱼精氨酸含量。由于</w:t>
      </w:r>
      <w:r>
        <w:rPr>
          <w:sz w:val="24"/>
        </w:rPr>
        <w:t xml:space="preserve"> N-</w:t>
      </w:r>
      <w:r>
        <w:rPr>
          <w:sz w:val="24"/>
        </w:rPr>
        <w:t>乙甲酰谷氨酸</w:t>
      </w:r>
      <w:r>
        <w:rPr>
          <w:sz w:val="24"/>
        </w:rPr>
        <w:t>(NAG)</w:t>
      </w:r>
      <w:r>
        <w:rPr>
          <w:sz w:val="24"/>
        </w:rPr>
        <w:t>易降解，</w:t>
      </w:r>
      <w:r>
        <w:rPr>
          <w:sz w:val="24"/>
        </w:rPr>
        <w:t>NCG</w:t>
      </w:r>
      <w:r>
        <w:rPr>
          <w:sz w:val="24"/>
        </w:rPr>
        <w:t>不易降解，</w:t>
      </w:r>
      <w:r>
        <w:rPr>
          <w:sz w:val="24"/>
        </w:rPr>
        <w:t>NCG</w:t>
      </w:r>
      <w:r>
        <w:rPr>
          <w:sz w:val="24"/>
        </w:rPr>
        <w:t>作为</w:t>
      </w:r>
      <w:r>
        <w:rPr>
          <w:sz w:val="24"/>
        </w:rPr>
        <w:t>NAG</w:t>
      </w:r>
      <w:r>
        <w:rPr>
          <w:sz w:val="24"/>
        </w:rPr>
        <w:t>类似物，与直接添加</w:t>
      </w:r>
      <w:r>
        <w:rPr>
          <w:sz w:val="24"/>
        </w:rPr>
        <w:t>Arg</w:t>
      </w:r>
      <w:r>
        <w:rPr>
          <w:sz w:val="24"/>
        </w:rPr>
        <w:t>相比，可降低饲料成本，促进机体代谢</w:t>
      </w:r>
      <w:r>
        <w:rPr>
          <w:sz w:val="24"/>
          <w:vertAlign w:val="superscript"/>
        </w:rPr>
        <w:t>[21]</w:t>
      </w:r>
      <w:r>
        <w:rPr>
          <w:sz w:val="24"/>
        </w:rPr>
        <w:t>。目前，水产动物关于</w:t>
      </w:r>
      <w:r>
        <w:rPr>
          <w:sz w:val="24"/>
        </w:rPr>
        <w:t>Arg</w:t>
      </w:r>
      <w:r>
        <w:rPr>
          <w:sz w:val="24"/>
        </w:rPr>
        <w:t>和</w:t>
      </w:r>
      <w:r>
        <w:rPr>
          <w:sz w:val="24"/>
        </w:rPr>
        <w:t xml:space="preserve"> NCG </w:t>
      </w:r>
      <w:r>
        <w:rPr>
          <w:sz w:val="24"/>
        </w:rPr>
        <w:t>的应用研究效果较缺乏，研究中还要考虑到实验动物种类、饲料配方以及实际生产成本等因素。</w:t>
      </w:r>
    </w:p>
    <w:p w14:paraId="307E72D1" w14:textId="77777777" w:rsidR="006D73E5" w:rsidRDefault="00000000">
      <w:pPr>
        <w:spacing w:line="360" w:lineRule="auto"/>
        <w:ind w:firstLineChars="200" w:firstLine="480"/>
        <w:rPr>
          <w:sz w:val="24"/>
        </w:rPr>
      </w:pPr>
      <w:r>
        <w:rPr>
          <w:sz w:val="24"/>
        </w:rPr>
        <w:t>肠道健康与肠道结构完整性、肠道微生态稳定性等有关</w:t>
      </w:r>
      <w:r>
        <w:rPr>
          <w:sz w:val="24"/>
          <w:vertAlign w:val="superscript"/>
        </w:rPr>
        <w:t>[22]</w:t>
      </w:r>
      <w:r>
        <w:rPr>
          <w:sz w:val="24"/>
        </w:rPr>
        <w:t>。外界环境胁迫和病原体入侵会破肠道黏膜结构，增加疾病风险</w:t>
      </w:r>
      <w:r>
        <w:rPr>
          <w:sz w:val="24"/>
          <w:vertAlign w:val="superscript"/>
        </w:rPr>
        <w:t>[23]</w:t>
      </w:r>
      <w:r>
        <w:rPr>
          <w:sz w:val="24"/>
        </w:rPr>
        <w:t>。肠道不仅对营养物质进行容纳、吸收和消化，同时也可抵御外部病原微生物入侵</w:t>
      </w:r>
      <w:r>
        <w:rPr>
          <w:sz w:val="24"/>
          <w:vertAlign w:val="superscript"/>
        </w:rPr>
        <w:t>[24]</w:t>
      </w:r>
      <w:r>
        <w:rPr>
          <w:sz w:val="24"/>
        </w:rPr>
        <w:t>。肠绒毛长度和肌层厚度与肠道结构的完整性有关，完整性的肠绒毛和肠道壁可以防止有毒物质的入侵</w:t>
      </w:r>
      <w:r>
        <w:rPr>
          <w:sz w:val="24"/>
          <w:vertAlign w:val="superscript"/>
        </w:rPr>
        <w:t>[25]</w:t>
      </w:r>
      <w:r>
        <w:rPr>
          <w:sz w:val="24"/>
        </w:rPr>
        <w:t>。肠道对营养物质的吸收取决于肠上皮细胞和肠壁微绒毛形态及完整性</w:t>
      </w:r>
      <w:r>
        <w:rPr>
          <w:sz w:val="24"/>
          <w:vertAlign w:val="superscript"/>
        </w:rPr>
        <w:t>[26]</w:t>
      </w:r>
      <w:r>
        <w:rPr>
          <w:sz w:val="24"/>
        </w:rPr>
        <w:t>。膳食精氨酸可以显著增加水生动物绒毛宽度、减少隐窝深度、改善肠道萎缩状态、保护肠道健康</w:t>
      </w:r>
      <w:r>
        <w:rPr>
          <w:sz w:val="24"/>
          <w:vertAlign w:val="superscript"/>
        </w:rPr>
        <w:t>[27]</w:t>
      </w:r>
      <w:r>
        <w:rPr>
          <w:sz w:val="24"/>
        </w:rPr>
        <w:t>。此外，有研究表明，精氨酸可以显著增加杂交条纹鲈前肠、中肠、后肠褶皱及绒毛高度</w:t>
      </w:r>
      <w:r>
        <w:rPr>
          <w:sz w:val="24"/>
          <w:vertAlign w:val="superscript"/>
        </w:rPr>
        <w:t>[16]</w:t>
      </w:r>
      <w:r>
        <w:rPr>
          <w:sz w:val="24"/>
        </w:rPr>
        <w:t>。小鸡饲料中添加精氨酸也可以显著促进肠上皮细胞生长，增加肠绒毛高度</w:t>
      </w:r>
      <w:r>
        <w:rPr>
          <w:sz w:val="24"/>
          <w:vertAlign w:val="superscript"/>
        </w:rPr>
        <w:t>[28]</w:t>
      </w:r>
      <w:r>
        <w:rPr>
          <w:sz w:val="24"/>
        </w:rPr>
        <w:t>。断奶仔猪饲料中添加精氨酸可显著增加肠道绒毛高度，降低肠道隐窝深度</w:t>
      </w:r>
      <w:r>
        <w:rPr>
          <w:sz w:val="24"/>
          <w:vertAlign w:val="superscript"/>
        </w:rPr>
        <w:t>[29]</w:t>
      </w:r>
      <w:r>
        <w:rPr>
          <w:sz w:val="24"/>
        </w:rPr>
        <w:t>。</w:t>
      </w:r>
    </w:p>
    <w:p w14:paraId="7E0797DC" w14:textId="77777777" w:rsidR="006D73E5" w:rsidRDefault="00000000">
      <w:pPr>
        <w:spacing w:line="360" w:lineRule="auto"/>
        <w:ind w:firstLineChars="200" w:firstLine="480"/>
        <w:rPr>
          <w:sz w:val="24"/>
        </w:rPr>
      </w:pPr>
      <w:r>
        <w:rPr>
          <w:sz w:val="24"/>
        </w:rPr>
        <w:t>本实验结果表明，在饲料中添加精氨酸或</w:t>
      </w:r>
      <w:r>
        <w:rPr>
          <w:sz w:val="24"/>
        </w:rPr>
        <w:t xml:space="preserve"> NCG </w:t>
      </w:r>
      <w:r>
        <w:rPr>
          <w:sz w:val="24"/>
        </w:rPr>
        <w:t>可显著增加杂交鳢前肠肌层厚度、中肠绒毛宽度，肌层厚度、后肠肌层厚度，本实验结果很好的证明了精氨酸在动物肠道形态结构方面发挥的重要作用。通过对杂交鳢肠道黏膜形态的观察，杂交鳢各黏膜层、肌层结构清晰紧密、黏膜层绒毛丰富。</w:t>
      </w:r>
      <w:r>
        <w:rPr>
          <w:sz w:val="24"/>
        </w:rPr>
        <w:t xml:space="preserve">Arg </w:t>
      </w:r>
      <w:r>
        <w:rPr>
          <w:sz w:val="24"/>
        </w:rPr>
        <w:t>组出现少量绒毛顶部上皮与固有层间隙增宽，</w:t>
      </w:r>
      <w:r>
        <w:rPr>
          <w:sz w:val="24"/>
        </w:rPr>
        <w:t xml:space="preserve">NCG </w:t>
      </w:r>
      <w:r>
        <w:rPr>
          <w:sz w:val="24"/>
        </w:rPr>
        <w:t>组</w:t>
      </w:r>
      <w:r>
        <w:rPr>
          <w:sz w:val="24"/>
        </w:rPr>
        <w:lastRenderedPageBreak/>
        <w:t>却未见这一明显异常，表明精氨酸内源性合成途径可保护肠道结构完整。本实验结果充分表明饲料添加</w:t>
      </w:r>
      <w:r>
        <w:rPr>
          <w:sz w:val="24"/>
        </w:rPr>
        <w:t xml:space="preserve">Arg </w:t>
      </w:r>
      <w:r>
        <w:rPr>
          <w:sz w:val="24"/>
        </w:rPr>
        <w:t>或</w:t>
      </w:r>
      <w:r>
        <w:rPr>
          <w:sz w:val="24"/>
        </w:rPr>
        <w:t xml:space="preserve"> NCG </w:t>
      </w:r>
      <w:r>
        <w:rPr>
          <w:sz w:val="24"/>
        </w:rPr>
        <w:t>可以显著增加杂交鳢肠道绒毛及肌层厚度，增加肠道吸收面积。</w:t>
      </w:r>
    </w:p>
    <w:p w14:paraId="0459CE42" w14:textId="77777777" w:rsidR="006D73E5" w:rsidRDefault="00000000">
      <w:pPr>
        <w:spacing w:line="360" w:lineRule="auto"/>
        <w:ind w:firstLineChars="200" w:firstLine="480"/>
        <w:rPr>
          <w:sz w:val="24"/>
        </w:rPr>
      </w:pPr>
      <w:r>
        <w:rPr>
          <w:sz w:val="24"/>
        </w:rPr>
        <w:t>肠道生理功能的正常运行也取决于肠道微生物群落的稳定性，肠道微生物群落紊乱会引发肠道消化性疾病如感染性腹泻、肠道炎症等一系列问题</w:t>
      </w:r>
      <w:r>
        <w:rPr>
          <w:sz w:val="24"/>
          <w:vertAlign w:val="superscript"/>
        </w:rPr>
        <w:t>[30]</w:t>
      </w:r>
      <w:r>
        <w:rPr>
          <w:sz w:val="24"/>
        </w:rPr>
        <w:t>。作为研究最难点，鱼类在水环境中，其肠道的微生物群落甚至会更大。同时，肠道微生物可以促进肠道消化，提高营养物质的利用率，还可以提高机体的免疫活性，其肠道内环境稳定对维持机体的健康及抗病能力方面至关重要</w:t>
      </w:r>
      <w:r>
        <w:rPr>
          <w:sz w:val="24"/>
          <w:vertAlign w:val="superscript"/>
        </w:rPr>
        <w:t>[31]</w:t>
      </w:r>
      <w:r>
        <w:rPr>
          <w:sz w:val="24"/>
        </w:rPr>
        <w:t>。目前，肠道微生物群落研究广泛，肠道菌群通过对营养物质的吸收代谢和维持宿主肠道内环境稳态来有益于肠道，并同时利用某些特定微生物来决定身体的健康</w:t>
      </w:r>
      <w:r>
        <w:rPr>
          <w:sz w:val="24"/>
          <w:vertAlign w:val="superscript"/>
        </w:rPr>
        <w:t>[22]</w:t>
      </w:r>
      <w:r>
        <w:rPr>
          <w:sz w:val="24"/>
        </w:rPr>
        <w:t>。有研究表明，肠道微生物多样性决定了微生态系统稳定性，多样性越高，稳定性越难被破坏，当中国对虾</w:t>
      </w:r>
      <w:r>
        <w:rPr>
          <w:sz w:val="24"/>
        </w:rPr>
        <w:t>(</w:t>
      </w:r>
      <w:r>
        <w:rPr>
          <w:i/>
          <w:iCs/>
          <w:sz w:val="24"/>
        </w:rPr>
        <w:t xml:space="preserve">Penaeus </w:t>
      </w:r>
      <w:proofErr w:type="spellStart"/>
      <w:r>
        <w:rPr>
          <w:i/>
          <w:iCs/>
          <w:sz w:val="24"/>
        </w:rPr>
        <w:t>orientalis</w:t>
      </w:r>
      <w:proofErr w:type="spellEnd"/>
      <w:r>
        <w:rPr>
          <w:sz w:val="24"/>
        </w:rPr>
        <w:t>)</w:t>
      </w:r>
      <w:r>
        <w:rPr>
          <w:sz w:val="24"/>
        </w:rPr>
        <w:t>肠道菌群组成发生显著性降低，会引发一系列疾病的产生，肠道微生物多样性降低，导致微生物群落功能稳定性降低，增加机体患病机率</w:t>
      </w:r>
      <w:r>
        <w:rPr>
          <w:sz w:val="24"/>
          <w:vertAlign w:val="superscript"/>
        </w:rPr>
        <w:t>[32-33]</w:t>
      </w:r>
      <w:r>
        <w:rPr>
          <w:sz w:val="24"/>
        </w:rPr>
        <w:t>。本研究结果表明，饲料中添加精氨酸可显著增加肠道</w:t>
      </w:r>
      <w:r>
        <w:rPr>
          <w:sz w:val="24"/>
        </w:rPr>
        <w:t xml:space="preserve"> OTU </w:t>
      </w:r>
      <w:r>
        <w:rPr>
          <w:sz w:val="24"/>
        </w:rPr>
        <w:t>个数，提高肠道菌群</w:t>
      </w:r>
      <w:r>
        <w:rPr>
          <w:sz w:val="24"/>
        </w:rPr>
        <w:t xml:space="preserve"> chao</w:t>
      </w:r>
      <w:r>
        <w:rPr>
          <w:sz w:val="24"/>
        </w:rPr>
        <w:t>指数和</w:t>
      </w:r>
      <w:r>
        <w:rPr>
          <w:sz w:val="24"/>
        </w:rPr>
        <w:t>Ace</w:t>
      </w:r>
      <w:r>
        <w:rPr>
          <w:sz w:val="24"/>
        </w:rPr>
        <w:t>指数，增加肠道菌群丰富度，提高肠道微生物群落稳定性。</w:t>
      </w:r>
    </w:p>
    <w:p w14:paraId="044A6CDB" w14:textId="77777777" w:rsidR="006D73E5" w:rsidRDefault="00000000">
      <w:pPr>
        <w:spacing w:line="360" w:lineRule="auto"/>
        <w:ind w:firstLineChars="200" w:firstLine="480"/>
        <w:rPr>
          <w:sz w:val="24"/>
        </w:rPr>
      </w:pPr>
      <w:r>
        <w:rPr>
          <w:sz w:val="24"/>
        </w:rPr>
        <w:t>厚壁菌门是肠道中的主要细菌，厚壁菌门的增加有益于肠道健康，作为肠道内最主要的细菌，厚壁菌门可以通过乳酸发酵氧化糖，抵御外界病原体入侵，有利于机体生长发育</w:t>
      </w:r>
      <w:r>
        <w:rPr>
          <w:sz w:val="24"/>
          <w:vertAlign w:val="superscript"/>
        </w:rPr>
        <w:t>[34]</w:t>
      </w:r>
      <w:r>
        <w:rPr>
          <w:sz w:val="24"/>
        </w:rPr>
        <w:t>。大多数可以直接产生短链脂肪酸的细菌也属于厚壁菌门，在肠道微生物群落中随厚壁菌门的增加，肠道屏障功能增加，炎症反应减弱</w:t>
      </w:r>
      <w:r>
        <w:rPr>
          <w:sz w:val="24"/>
          <w:vertAlign w:val="superscript"/>
        </w:rPr>
        <w:t>[35-38]</w:t>
      </w:r>
      <w:r>
        <w:rPr>
          <w:sz w:val="24"/>
        </w:rPr>
        <w:t>。梭杆菌门是一小类革兰氏阴性菌，梭杆菌属常见于消化道，作为多糖降解物，有助于从膳食纤维和淀粉中释放能量，然而，梭杆菌门也参与蛋白质分解过程中有毒产物释放，同时有助于缓解肠道炎症作用。变形菌门属革兰氏阴性菌，包括多种致病属，如大肠杆菌</w:t>
      </w:r>
      <w:r>
        <w:rPr>
          <w:rFonts w:hint="eastAsia"/>
          <w:sz w:val="24"/>
        </w:rPr>
        <w:t>(</w:t>
      </w:r>
      <w:r>
        <w:rPr>
          <w:i/>
          <w:iCs/>
          <w:sz w:val="24"/>
        </w:rPr>
        <w:t>Escherichia coli</w:t>
      </w:r>
      <w:r>
        <w:rPr>
          <w:rFonts w:hint="eastAsia"/>
          <w:sz w:val="24"/>
        </w:rPr>
        <w:t>)</w:t>
      </w:r>
      <w:r>
        <w:rPr>
          <w:sz w:val="24"/>
        </w:rPr>
        <w:t>和沙门氏菌</w:t>
      </w:r>
      <w:r>
        <w:rPr>
          <w:rFonts w:hint="eastAsia"/>
          <w:sz w:val="24"/>
        </w:rPr>
        <w:t>(</w:t>
      </w:r>
      <w:r>
        <w:rPr>
          <w:i/>
          <w:iCs/>
          <w:sz w:val="24"/>
        </w:rPr>
        <w:t>salmonella</w:t>
      </w:r>
      <w:r>
        <w:rPr>
          <w:rFonts w:hint="eastAsia"/>
          <w:sz w:val="24"/>
        </w:rPr>
        <w:t>)</w:t>
      </w:r>
      <w:r>
        <w:rPr>
          <w:sz w:val="24"/>
          <w:vertAlign w:val="superscript"/>
        </w:rPr>
        <w:t>[39]</w:t>
      </w:r>
      <w:r>
        <w:rPr>
          <w:sz w:val="24"/>
        </w:rPr>
        <w:t>。在本实验条件下，饲料添加</w:t>
      </w:r>
      <w:r>
        <w:rPr>
          <w:sz w:val="24"/>
        </w:rPr>
        <w:t xml:space="preserve"> NCG </w:t>
      </w:r>
      <w:r>
        <w:rPr>
          <w:sz w:val="24"/>
        </w:rPr>
        <w:t>可以显著提高肠道厚壁菌门、变形菌门的丰度，显著降低了梭杆菌门的丰度。饲料添加精氨酸仅显著提高了肠道变形菌门的丰度。在饲喂实验结束后，肠道中一些有益细菌属得到了富集，其中</w:t>
      </w:r>
      <w:r>
        <w:rPr>
          <w:rFonts w:hint="eastAsia"/>
          <w:sz w:val="24"/>
        </w:rPr>
        <w:t xml:space="preserve"> </w:t>
      </w:r>
      <w:r>
        <w:rPr>
          <w:sz w:val="24"/>
        </w:rPr>
        <w:t>Arg</w:t>
      </w:r>
      <w:r>
        <w:rPr>
          <w:sz w:val="24"/>
        </w:rPr>
        <w:t>组支原体属、醋酸杆菌属显著高于对照组，</w:t>
      </w:r>
      <w:r>
        <w:rPr>
          <w:sz w:val="24"/>
        </w:rPr>
        <w:t xml:space="preserve">NCG </w:t>
      </w:r>
      <w:r>
        <w:rPr>
          <w:sz w:val="24"/>
        </w:rPr>
        <w:t>组支原体属、梭菌属显著高于</w:t>
      </w:r>
      <w:r>
        <w:rPr>
          <w:sz w:val="24"/>
        </w:rPr>
        <w:t>Arg</w:t>
      </w:r>
      <w:r>
        <w:rPr>
          <w:sz w:val="24"/>
        </w:rPr>
        <w:t>组。其结果表明，饲料添加精氨酸或</w:t>
      </w:r>
      <w:r>
        <w:rPr>
          <w:sz w:val="24"/>
        </w:rPr>
        <w:t xml:space="preserve"> NCG </w:t>
      </w:r>
      <w:r>
        <w:rPr>
          <w:sz w:val="24"/>
        </w:rPr>
        <w:t>可以增加肠道微生物的多样性和有益代谢产物，从而改善杂交鳢肠道健康，维持肠道微生物群落的稳定性。</w:t>
      </w:r>
    </w:p>
    <w:p w14:paraId="363ECDD9" w14:textId="77777777" w:rsidR="006D73E5" w:rsidRDefault="00000000">
      <w:pPr>
        <w:spacing w:line="360" w:lineRule="auto"/>
        <w:ind w:firstLineChars="200" w:firstLine="480"/>
        <w:rPr>
          <w:sz w:val="24"/>
        </w:rPr>
      </w:pPr>
      <w:r>
        <w:rPr>
          <w:sz w:val="24"/>
        </w:rPr>
        <w:t>由微生物组成差异分析得出，</w:t>
      </w:r>
      <w:r>
        <w:rPr>
          <w:sz w:val="24"/>
        </w:rPr>
        <w:t xml:space="preserve">NCG </w:t>
      </w:r>
      <w:r>
        <w:rPr>
          <w:sz w:val="24"/>
        </w:rPr>
        <w:t>组微生物组成较</w:t>
      </w:r>
      <w:r>
        <w:rPr>
          <w:sz w:val="24"/>
        </w:rPr>
        <w:t xml:space="preserve"> Arg </w:t>
      </w:r>
      <w:r>
        <w:rPr>
          <w:sz w:val="24"/>
        </w:rPr>
        <w:t>组和对照组相比，组成更为丰富、丰度更高、组间差异表现明显。继而对丰度高的微生物对比数据库进行注释与功能预测，发现预测结果与精氨酸在水产动物体内进行氨基酸转运和代谢、能源的生产和转化</w:t>
      </w:r>
      <w:r>
        <w:rPr>
          <w:sz w:val="24"/>
        </w:rPr>
        <w:lastRenderedPageBreak/>
        <w:t>等作用相同，表明杂交鳢肠道利用精氨酸和</w:t>
      </w:r>
      <w:r>
        <w:rPr>
          <w:sz w:val="24"/>
        </w:rPr>
        <w:t xml:space="preserve">NCG </w:t>
      </w:r>
      <w:r>
        <w:rPr>
          <w:sz w:val="24"/>
        </w:rPr>
        <w:t>进行内源性合成精氨酸的过程是有效的。在杂交鳢养殖生产实践中可以确定饲料添加</w:t>
      </w:r>
      <w:r>
        <w:rPr>
          <w:sz w:val="24"/>
        </w:rPr>
        <w:t xml:space="preserve"> NCG </w:t>
      </w:r>
      <w:r>
        <w:rPr>
          <w:sz w:val="24"/>
        </w:rPr>
        <w:t>在内源性合成精氨酸方面作用效果明显，但使用过程中要考虑到不同鱼种之间的最适添加量，饲料配方等条件的差异性。</w:t>
      </w:r>
    </w:p>
    <w:p w14:paraId="226BD1D4" w14:textId="77777777" w:rsidR="006D73E5" w:rsidRDefault="00000000">
      <w:pPr>
        <w:spacing w:line="360" w:lineRule="auto"/>
        <w:rPr>
          <w:sz w:val="24"/>
        </w:rPr>
      </w:pPr>
      <w:r>
        <w:rPr>
          <w:sz w:val="24"/>
        </w:rPr>
        <w:t xml:space="preserve">4  </w:t>
      </w:r>
      <w:r>
        <w:rPr>
          <w:sz w:val="24"/>
        </w:rPr>
        <w:t>结论</w:t>
      </w:r>
    </w:p>
    <w:p w14:paraId="1D5D7D3F" w14:textId="77777777" w:rsidR="006D73E5" w:rsidRDefault="00000000">
      <w:pPr>
        <w:spacing w:line="360" w:lineRule="auto"/>
        <w:ind w:firstLineChars="200" w:firstLine="480"/>
        <w:rPr>
          <w:sz w:val="24"/>
        </w:rPr>
      </w:pPr>
      <w:r>
        <w:rPr>
          <w:sz w:val="24"/>
        </w:rPr>
        <w:t>在饲料中添加</w:t>
      </w:r>
      <w:r>
        <w:rPr>
          <w:sz w:val="24"/>
        </w:rPr>
        <w:t xml:space="preserve"> 0.60% Arg</w:t>
      </w:r>
      <w:r>
        <w:rPr>
          <w:sz w:val="24"/>
        </w:rPr>
        <w:t>或</w:t>
      </w:r>
      <w:r>
        <w:rPr>
          <w:sz w:val="24"/>
        </w:rPr>
        <w:t xml:space="preserve">0.03% NCG </w:t>
      </w:r>
      <w:r>
        <w:rPr>
          <w:sz w:val="24"/>
        </w:rPr>
        <w:t>可显著提高杂交鳢蛋白质沉积率、全鱼精氨酸和亮氨酸含量、中肠和后肠肌层厚度、中肠绒毛宽度，增加肠道变形菌门的丰度，显著改善了肠道黏膜形态，保护肠道结构的完整性。此外，饲料中添加</w:t>
      </w:r>
      <w:r>
        <w:rPr>
          <w:sz w:val="24"/>
        </w:rPr>
        <w:t>0.60% Arg</w:t>
      </w:r>
      <w:r>
        <w:rPr>
          <w:sz w:val="24"/>
        </w:rPr>
        <w:t>可显著提高杂交鳢增重率、特定生长率及肠道梭杆菌门的丰度，添加</w:t>
      </w:r>
      <w:r>
        <w:rPr>
          <w:sz w:val="24"/>
        </w:rPr>
        <w:t xml:space="preserve"> 0.03% NCG </w:t>
      </w:r>
      <w:r>
        <w:rPr>
          <w:sz w:val="24"/>
        </w:rPr>
        <w:t>可显著提高厚壁菌门的丰度。结果表明饲料中添加</w:t>
      </w:r>
      <w:r>
        <w:rPr>
          <w:sz w:val="24"/>
        </w:rPr>
        <w:t>Arg</w:t>
      </w:r>
      <w:r>
        <w:rPr>
          <w:sz w:val="24"/>
        </w:rPr>
        <w:t>在生长性能方面优于添加</w:t>
      </w:r>
      <w:r>
        <w:rPr>
          <w:sz w:val="24"/>
        </w:rPr>
        <w:t xml:space="preserve"> NCG</w:t>
      </w:r>
      <w:r>
        <w:rPr>
          <w:sz w:val="24"/>
        </w:rPr>
        <w:t>，但饲料添加</w:t>
      </w:r>
      <w:r>
        <w:rPr>
          <w:sz w:val="24"/>
        </w:rPr>
        <w:t>NCG</w:t>
      </w:r>
      <w:r>
        <w:rPr>
          <w:sz w:val="24"/>
        </w:rPr>
        <w:t>可以显著增加肠道厚壁菌门等有益菌门丰度，维持肠道内环境稳定，其作用效果优于补充</w:t>
      </w:r>
      <w:r>
        <w:rPr>
          <w:sz w:val="24"/>
        </w:rPr>
        <w:t>Arg</w:t>
      </w:r>
      <w:r>
        <w:rPr>
          <w:sz w:val="24"/>
        </w:rPr>
        <w:t>。</w:t>
      </w:r>
    </w:p>
    <w:p w14:paraId="269A9B73" w14:textId="77777777" w:rsidR="006D73E5" w:rsidRDefault="00000000">
      <w:pPr>
        <w:spacing w:line="360" w:lineRule="auto"/>
        <w:rPr>
          <w:sz w:val="24"/>
        </w:rPr>
      </w:pPr>
      <w:r>
        <w:rPr>
          <w:rFonts w:hint="eastAsia"/>
          <w:sz w:val="24"/>
        </w:rPr>
        <w:t>参考文献：略</w:t>
      </w:r>
    </w:p>
    <w:p w14:paraId="144A6226" w14:textId="77777777" w:rsidR="006D73E5" w:rsidRDefault="00000000">
      <w:pPr>
        <w:spacing w:line="360" w:lineRule="auto"/>
        <w:ind w:firstLineChars="1200" w:firstLine="2520"/>
        <w:jc w:val="right"/>
        <w:rPr>
          <w:szCs w:val="21"/>
        </w:rPr>
      </w:pPr>
      <w:r>
        <w:rPr>
          <w:rFonts w:hint="eastAsia"/>
          <w:szCs w:val="21"/>
        </w:rPr>
        <w:t>原文刊登在《水产学报》，</w:t>
      </w:r>
      <w:r>
        <w:rPr>
          <w:szCs w:val="21"/>
        </w:rPr>
        <w:t>网络首发时间：</w:t>
      </w:r>
      <w:r>
        <w:rPr>
          <w:szCs w:val="21"/>
        </w:rPr>
        <w:t xml:space="preserve"> 2022-08-05 14:28:31</w:t>
      </w:r>
    </w:p>
    <w:p w14:paraId="04A3F758" w14:textId="77777777" w:rsidR="006D73E5" w:rsidRDefault="006D73E5">
      <w:pPr>
        <w:spacing w:line="360" w:lineRule="auto"/>
        <w:jc w:val="left"/>
        <w:rPr>
          <w:rFonts w:eastAsiaTheme="minorEastAsia"/>
          <w:szCs w:val="21"/>
        </w:rPr>
      </w:pPr>
    </w:p>
    <w:sectPr w:rsidR="006D73E5">
      <w:footerReference w:type="default" r:id="rId70"/>
      <w:pgSz w:w="11906" w:h="16838"/>
      <w:pgMar w:top="1440" w:right="1247" w:bottom="1440" w:left="1247"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A178F" w14:textId="77777777" w:rsidR="00020776" w:rsidRDefault="00020776">
      <w:r>
        <w:separator/>
      </w:r>
    </w:p>
  </w:endnote>
  <w:endnote w:type="continuationSeparator" w:id="0">
    <w:p w14:paraId="653C58BD" w14:textId="77777777" w:rsidR="00020776" w:rsidRDefault="00020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等线">
    <w:altName w:val="DengXian"/>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76585"/>
      <w:docPartObj>
        <w:docPartGallery w:val="AutoText"/>
      </w:docPartObj>
    </w:sdtPr>
    <w:sdtContent>
      <w:p w14:paraId="4CD6ED89" w14:textId="77777777" w:rsidR="006D73E5" w:rsidRDefault="00000000">
        <w:pPr>
          <w:pStyle w:val="a9"/>
          <w:jc w:val="center"/>
        </w:pPr>
        <w:r>
          <w:fldChar w:fldCharType="begin"/>
        </w:r>
        <w:r>
          <w:instrText>PAGE   \* MERGEFORMAT</w:instrText>
        </w:r>
        <w:r>
          <w:fldChar w:fldCharType="separate"/>
        </w:r>
        <w:r>
          <w:rPr>
            <w:lang w:val="zh-CN"/>
          </w:rPr>
          <w:t>2</w:t>
        </w:r>
        <w:r>
          <w:fldChar w:fldCharType="end"/>
        </w:r>
      </w:p>
    </w:sdtContent>
  </w:sdt>
  <w:p w14:paraId="6C638F96" w14:textId="77777777" w:rsidR="006D73E5" w:rsidRDefault="006D73E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9F8C1" w14:textId="77777777" w:rsidR="00020776" w:rsidRDefault="00020776">
      <w:r>
        <w:separator/>
      </w:r>
    </w:p>
  </w:footnote>
  <w:footnote w:type="continuationSeparator" w:id="0">
    <w:p w14:paraId="40606A22" w14:textId="77777777" w:rsidR="00020776" w:rsidRDefault="000207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19256E"/>
    <w:multiLevelType w:val="singleLevel"/>
    <w:tmpl w:val="3219256E"/>
    <w:lvl w:ilvl="0">
      <w:start w:val="1"/>
      <w:numFmt w:val="decimal"/>
      <w:lvlText w:val="（%1."/>
      <w:lvlJc w:val="left"/>
      <w:pPr>
        <w:tabs>
          <w:tab w:val="left" w:pos="312"/>
        </w:tabs>
      </w:pPr>
    </w:lvl>
  </w:abstractNum>
  <w:num w:numId="1" w16cid:durableId="1861316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mirrorMargins/>
  <w:bordersDoNotSurroundHeader/>
  <w:bordersDoNotSurroundFooter/>
  <w:hideSpellingErrors/>
  <w:proofState w:spelling="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DRlZDk4ZWM5NDgzODNlNjYyMTViNWUyNWU2MDg1YjUifQ=="/>
  </w:docVars>
  <w:rsids>
    <w:rsidRoot w:val="00901CB3"/>
    <w:rsid w:val="00002115"/>
    <w:rsid w:val="00002BFE"/>
    <w:rsid w:val="00002E4A"/>
    <w:rsid w:val="0000389A"/>
    <w:rsid w:val="00006E4D"/>
    <w:rsid w:val="000078F8"/>
    <w:rsid w:val="000140DD"/>
    <w:rsid w:val="000162CE"/>
    <w:rsid w:val="0001799F"/>
    <w:rsid w:val="00020776"/>
    <w:rsid w:val="00022032"/>
    <w:rsid w:val="0002235E"/>
    <w:rsid w:val="00023879"/>
    <w:rsid w:val="00024430"/>
    <w:rsid w:val="00024780"/>
    <w:rsid w:val="00026CC6"/>
    <w:rsid w:val="00032EB0"/>
    <w:rsid w:val="00035281"/>
    <w:rsid w:val="00036EAA"/>
    <w:rsid w:val="00037F8A"/>
    <w:rsid w:val="00041E32"/>
    <w:rsid w:val="00043457"/>
    <w:rsid w:val="00045296"/>
    <w:rsid w:val="00046763"/>
    <w:rsid w:val="000507D7"/>
    <w:rsid w:val="00051224"/>
    <w:rsid w:val="000546FE"/>
    <w:rsid w:val="00054B42"/>
    <w:rsid w:val="00056AC4"/>
    <w:rsid w:val="00057A43"/>
    <w:rsid w:val="000601F4"/>
    <w:rsid w:val="00060368"/>
    <w:rsid w:val="00060549"/>
    <w:rsid w:val="000639F4"/>
    <w:rsid w:val="00067060"/>
    <w:rsid w:val="000674B3"/>
    <w:rsid w:val="00067CC5"/>
    <w:rsid w:val="00072F23"/>
    <w:rsid w:val="00074B36"/>
    <w:rsid w:val="000778A5"/>
    <w:rsid w:val="0008258D"/>
    <w:rsid w:val="00082714"/>
    <w:rsid w:val="0008527C"/>
    <w:rsid w:val="00086B20"/>
    <w:rsid w:val="00086BED"/>
    <w:rsid w:val="00087A85"/>
    <w:rsid w:val="00087D57"/>
    <w:rsid w:val="00091B87"/>
    <w:rsid w:val="00092844"/>
    <w:rsid w:val="00095841"/>
    <w:rsid w:val="00097448"/>
    <w:rsid w:val="000A1544"/>
    <w:rsid w:val="000A2CB9"/>
    <w:rsid w:val="000A383F"/>
    <w:rsid w:val="000A3E04"/>
    <w:rsid w:val="000A45CC"/>
    <w:rsid w:val="000A5B38"/>
    <w:rsid w:val="000A615C"/>
    <w:rsid w:val="000A75D7"/>
    <w:rsid w:val="000B362C"/>
    <w:rsid w:val="000B3A02"/>
    <w:rsid w:val="000B3B35"/>
    <w:rsid w:val="000B3DB4"/>
    <w:rsid w:val="000B4EA4"/>
    <w:rsid w:val="000B4F43"/>
    <w:rsid w:val="000B5E61"/>
    <w:rsid w:val="000B7C99"/>
    <w:rsid w:val="000C000C"/>
    <w:rsid w:val="000C1E70"/>
    <w:rsid w:val="000C1F1B"/>
    <w:rsid w:val="000C2535"/>
    <w:rsid w:val="000C38D1"/>
    <w:rsid w:val="000C4DD7"/>
    <w:rsid w:val="000C5A7E"/>
    <w:rsid w:val="000C5F62"/>
    <w:rsid w:val="000C6194"/>
    <w:rsid w:val="000C6B67"/>
    <w:rsid w:val="000C7025"/>
    <w:rsid w:val="000C7761"/>
    <w:rsid w:val="000D0748"/>
    <w:rsid w:val="000D0869"/>
    <w:rsid w:val="000D0B84"/>
    <w:rsid w:val="000D10F7"/>
    <w:rsid w:val="000D17DD"/>
    <w:rsid w:val="000D1B49"/>
    <w:rsid w:val="000D64CA"/>
    <w:rsid w:val="000D6ACA"/>
    <w:rsid w:val="000D7731"/>
    <w:rsid w:val="000D7991"/>
    <w:rsid w:val="000E2BBA"/>
    <w:rsid w:val="000E4383"/>
    <w:rsid w:val="000E6948"/>
    <w:rsid w:val="000E6DAE"/>
    <w:rsid w:val="000F0055"/>
    <w:rsid w:val="000F0FCE"/>
    <w:rsid w:val="000F2DCC"/>
    <w:rsid w:val="000F30A4"/>
    <w:rsid w:val="000F3844"/>
    <w:rsid w:val="000F425B"/>
    <w:rsid w:val="000F6254"/>
    <w:rsid w:val="000F6417"/>
    <w:rsid w:val="000F642F"/>
    <w:rsid w:val="000F6E36"/>
    <w:rsid w:val="001000FA"/>
    <w:rsid w:val="001028F0"/>
    <w:rsid w:val="00102DB7"/>
    <w:rsid w:val="0010350D"/>
    <w:rsid w:val="00104062"/>
    <w:rsid w:val="00104F42"/>
    <w:rsid w:val="00105674"/>
    <w:rsid w:val="00105C63"/>
    <w:rsid w:val="00107626"/>
    <w:rsid w:val="00107696"/>
    <w:rsid w:val="00107B43"/>
    <w:rsid w:val="00107F13"/>
    <w:rsid w:val="00107F29"/>
    <w:rsid w:val="001109D0"/>
    <w:rsid w:val="00112132"/>
    <w:rsid w:val="00113EBF"/>
    <w:rsid w:val="001142B8"/>
    <w:rsid w:val="00114ABC"/>
    <w:rsid w:val="00114AF2"/>
    <w:rsid w:val="00114AF4"/>
    <w:rsid w:val="00115440"/>
    <w:rsid w:val="001164E0"/>
    <w:rsid w:val="001172CF"/>
    <w:rsid w:val="001178F0"/>
    <w:rsid w:val="00121953"/>
    <w:rsid w:val="001226B3"/>
    <w:rsid w:val="00122A6C"/>
    <w:rsid w:val="0012398F"/>
    <w:rsid w:val="0012437E"/>
    <w:rsid w:val="001255FE"/>
    <w:rsid w:val="00125783"/>
    <w:rsid w:val="001264F7"/>
    <w:rsid w:val="00130158"/>
    <w:rsid w:val="00130955"/>
    <w:rsid w:val="001323EA"/>
    <w:rsid w:val="0013329F"/>
    <w:rsid w:val="00133D64"/>
    <w:rsid w:val="001410FA"/>
    <w:rsid w:val="00141929"/>
    <w:rsid w:val="0014286D"/>
    <w:rsid w:val="00142DB1"/>
    <w:rsid w:val="00143A57"/>
    <w:rsid w:val="00144A33"/>
    <w:rsid w:val="00144A8E"/>
    <w:rsid w:val="00144F0E"/>
    <w:rsid w:val="00147484"/>
    <w:rsid w:val="00147815"/>
    <w:rsid w:val="00147A4B"/>
    <w:rsid w:val="00147D9B"/>
    <w:rsid w:val="00147FE6"/>
    <w:rsid w:val="0015008E"/>
    <w:rsid w:val="00151281"/>
    <w:rsid w:val="00151762"/>
    <w:rsid w:val="00151DBA"/>
    <w:rsid w:val="00151DDB"/>
    <w:rsid w:val="001525A7"/>
    <w:rsid w:val="0015316B"/>
    <w:rsid w:val="00155FA9"/>
    <w:rsid w:val="00156460"/>
    <w:rsid w:val="001571FA"/>
    <w:rsid w:val="00160661"/>
    <w:rsid w:val="00161685"/>
    <w:rsid w:val="0016314A"/>
    <w:rsid w:val="00164ECD"/>
    <w:rsid w:val="00165B8B"/>
    <w:rsid w:val="00171CD2"/>
    <w:rsid w:val="00171ED9"/>
    <w:rsid w:val="00172E0D"/>
    <w:rsid w:val="00176536"/>
    <w:rsid w:val="001765D4"/>
    <w:rsid w:val="00177FBF"/>
    <w:rsid w:val="00181DD6"/>
    <w:rsid w:val="00183729"/>
    <w:rsid w:val="00185F05"/>
    <w:rsid w:val="00186AEA"/>
    <w:rsid w:val="00187D22"/>
    <w:rsid w:val="001901B0"/>
    <w:rsid w:val="001918A0"/>
    <w:rsid w:val="001920E0"/>
    <w:rsid w:val="0019272A"/>
    <w:rsid w:val="00193590"/>
    <w:rsid w:val="00193B81"/>
    <w:rsid w:val="001947D3"/>
    <w:rsid w:val="00195B86"/>
    <w:rsid w:val="00195CAE"/>
    <w:rsid w:val="001969D8"/>
    <w:rsid w:val="001974DA"/>
    <w:rsid w:val="001A14D9"/>
    <w:rsid w:val="001A1E4D"/>
    <w:rsid w:val="001A559B"/>
    <w:rsid w:val="001A5FAD"/>
    <w:rsid w:val="001B036A"/>
    <w:rsid w:val="001B1379"/>
    <w:rsid w:val="001B1408"/>
    <w:rsid w:val="001B2750"/>
    <w:rsid w:val="001B34BE"/>
    <w:rsid w:val="001B70C5"/>
    <w:rsid w:val="001C07B8"/>
    <w:rsid w:val="001C136B"/>
    <w:rsid w:val="001C1FB2"/>
    <w:rsid w:val="001C3405"/>
    <w:rsid w:val="001C3A5B"/>
    <w:rsid w:val="001C3F5B"/>
    <w:rsid w:val="001C4E29"/>
    <w:rsid w:val="001C5FD7"/>
    <w:rsid w:val="001C7EC0"/>
    <w:rsid w:val="001D0EA1"/>
    <w:rsid w:val="001D53B7"/>
    <w:rsid w:val="001D61B6"/>
    <w:rsid w:val="001E01CB"/>
    <w:rsid w:val="001E3265"/>
    <w:rsid w:val="001E60D4"/>
    <w:rsid w:val="001E6BB5"/>
    <w:rsid w:val="001E7BCF"/>
    <w:rsid w:val="001F1948"/>
    <w:rsid w:val="001F1E7F"/>
    <w:rsid w:val="001F60FD"/>
    <w:rsid w:val="001F61F5"/>
    <w:rsid w:val="001F65FA"/>
    <w:rsid w:val="001F7857"/>
    <w:rsid w:val="001F7F30"/>
    <w:rsid w:val="00200A87"/>
    <w:rsid w:val="00202D44"/>
    <w:rsid w:val="00202E7A"/>
    <w:rsid w:val="00205034"/>
    <w:rsid w:val="00205060"/>
    <w:rsid w:val="00206202"/>
    <w:rsid w:val="002079E0"/>
    <w:rsid w:val="002101F2"/>
    <w:rsid w:val="00210424"/>
    <w:rsid w:val="00210903"/>
    <w:rsid w:val="00210C08"/>
    <w:rsid w:val="00211E4F"/>
    <w:rsid w:val="0021214D"/>
    <w:rsid w:val="002134B2"/>
    <w:rsid w:val="00213B07"/>
    <w:rsid w:val="002154D2"/>
    <w:rsid w:val="00215661"/>
    <w:rsid w:val="002156F9"/>
    <w:rsid w:val="00215CD7"/>
    <w:rsid w:val="002177A1"/>
    <w:rsid w:val="00217AD4"/>
    <w:rsid w:val="002200C7"/>
    <w:rsid w:val="00221185"/>
    <w:rsid w:val="002219EF"/>
    <w:rsid w:val="0022243A"/>
    <w:rsid w:val="00222C72"/>
    <w:rsid w:val="00224612"/>
    <w:rsid w:val="00224A4B"/>
    <w:rsid w:val="002252BC"/>
    <w:rsid w:val="00226309"/>
    <w:rsid w:val="00226D0A"/>
    <w:rsid w:val="00226EFE"/>
    <w:rsid w:val="002302A1"/>
    <w:rsid w:val="00230958"/>
    <w:rsid w:val="00231324"/>
    <w:rsid w:val="00231625"/>
    <w:rsid w:val="0023213D"/>
    <w:rsid w:val="00232B41"/>
    <w:rsid w:val="00233A57"/>
    <w:rsid w:val="00235A3C"/>
    <w:rsid w:val="00236078"/>
    <w:rsid w:val="00236AE3"/>
    <w:rsid w:val="00236ED9"/>
    <w:rsid w:val="00237CC3"/>
    <w:rsid w:val="00240D6D"/>
    <w:rsid w:val="0024125E"/>
    <w:rsid w:val="00242377"/>
    <w:rsid w:val="00242686"/>
    <w:rsid w:val="002428B3"/>
    <w:rsid w:val="00244407"/>
    <w:rsid w:val="00244B43"/>
    <w:rsid w:val="00246ED3"/>
    <w:rsid w:val="0024777C"/>
    <w:rsid w:val="00250514"/>
    <w:rsid w:val="0025113D"/>
    <w:rsid w:val="00252BD2"/>
    <w:rsid w:val="00253683"/>
    <w:rsid w:val="00253761"/>
    <w:rsid w:val="00253F7D"/>
    <w:rsid w:val="002541A3"/>
    <w:rsid w:val="002546DC"/>
    <w:rsid w:val="0026078F"/>
    <w:rsid w:val="002613DB"/>
    <w:rsid w:val="00261A0C"/>
    <w:rsid w:val="00263ECA"/>
    <w:rsid w:val="00263FFB"/>
    <w:rsid w:val="002664DE"/>
    <w:rsid w:val="00270C51"/>
    <w:rsid w:val="0027180E"/>
    <w:rsid w:val="002739B1"/>
    <w:rsid w:val="002744E5"/>
    <w:rsid w:val="0027618B"/>
    <w:rsid w:val="00276648"/>
    <w:rsid w:val="00276E5F"/>
    <w:rsid w:val="00277A84"/>
    <w:rsid w:val="002807D3"/>
    <w:rsid w:val="00280947"/>
    <w:rsid w:val="002811F2"/>
    <w:rsid w:val="002818C3"/>
    <w:rsid w:val="00282030"/>
    <w:rsid w:val="0028211E"/>
    <w:rsid w:val="002825C7"/>
    <w:rsid w:val="00283CB0"/>
    <w:rsid w:val="0028488A"/>
    <w:rsid w:val="00285D4B"/>
    <w:rsid w:val="00286DFF"/>
    <w:rsid w:val="00292870"/>
    <w:rsid w:val="00292FC4"/>
    <w:rsid w:val="00293983"/>
    <w:rsid w:val="00293A08"/>
    <w:rsid w:val="00295B4C"/>
    <w:rsid w:val="00295B85"/>
    <w:rsid w:val="002966E9"/>
    <w:rsid w:val="00296760"/>
    <w:rsid w:val="0029698D"/>
    <w:rsid w:val="0029710F"/>
    <w:rsid w:val="00297DA6"/>
    <w:rsid w:val="002A0BD2"/>
    <w:rsid w:val="002A0E86"/>
    <w:rsid w:val="002A1C62"/>
    <w:rsid w:val="002A2269"/>
    <w:rsid w:val="002A2850"/>
    <w:rsid w:val="002A451D"/>
    <w:rsid w:val="002B3AD5"/>
    <w:rsid w:val="002B4030"/>
    <w:rsid w:val="002B445F"/>
    <w:rsid w:val="002B455D"/>
    <w:rsid w:val="002B56F6"/>
    <w:rsid w:val="002B6020"/>
    <w:rsid w:val="002B65FB"/>
    <w:rsid w:val="002B6805"/>
    <w:rsid w:val="002B6A0A"/>
    <w:rsid w:val="002B7EA9"/>
    <w:rsid w:val="002C089B"/>
    <w:rsid w:val="002C31BB"/>
    <w:rsid w:val="002C4A76"/>
    <w:rsid w:val="002C6917"/>
    <w:rsid w:val="002C6BC0"/>
    <w:rsid w:val="002C70E6"/>
    <w:rsid w:val="002D06A5"/>
    <w:rsid w:val="002D1F0C"/>
    <w:rsid w:val="002D2E29"/>
    <w:rsid w:val="002D302C"/>
    <w:rsid w:val="002D5AB5"/>
    <w:rsid w:val="002D5C3F"/>
    <w:rsid w:val="002D6938"/>
    <w:rsid w:val="002E0157"/>
    <w:rsid w:val="002E104E"/>
    <w:rsid w:val="002E3AB3"/>
    <w:rsid w:val="002E492F"/>
    <w:rsid w:val="002E5994"/>
    <w:rsid w:val="002E6505"/>
    <w:rsid w:val="002E6575"/>
    <w:rsid w:val="002E773C"/>
    <w:rsid w:val="002F19EF"/>
    <w:rsid w:val="002F3797"/>
    <w:rsid w:val="002F3D8B"/>
    <w:rsid w:val="002F4B8E"/>
    <w:rsid w:val="002F53F8"/>
    <w:rsid w:val="002F587F"/>
    <w:rsid w:val="002F642E"/>
    <w:rsid w:val="002F6848"/>
    <w:rsid w:val="0030036F"/>
    <w:rsid w:val="00300469"/>
    <w:rsid w:val="0030176B"/>
    <w:rsid w:val="00301E3D"/>
    <w:rsid w:val="00303F9C"/>
    <w:rsid w:val="003047CB"/>
    <w:rsid w:val="003047E1"/>
    <w:rsid w:val="00304B2C"/>
    <w:rsid w:val="0030515C"/>
    <w:rsid w:val="00305D81"/>
    <w:rsid w:val="00311521"/>
    <w:rsid w:val="0031195C"/>
    <w:rsid w:val="003121CC"/>
    <w:rsid w:val="00312355"/>
    <w:rsid w:val="003133FA"/>
    <w:rsid w:val="00313F0F"/>
    <w:rsid w:val="0031414D"/>
    <w:rsid w:val="003150E5"/>
    <w:rsid w:val="00315176"/>
    <w:rsid w:val="003151F8"/>
    <w:rsid w:val="00315E65"/>
    <w:rsid w:val="003209C6"/>
    <w:rsid w:val="003213D2"/>
    <w:rsid w:val="00321753"/>
    <w:rsid w:val="0032346B"/>
    <w:rsid w:val="003235C3"/>
    <w:rsid w:val="00324714"/>
    <w:rsid w:val="00325FA3"/>
    <w:rsid w:val="00330A01"/>
    <w:rsid w:val="00331A39"/>
    <w:rsid w:val="0033358D"/>
    <w:rsid w:val="0033387B"/>
    <w:rsid w:val="003340F9"/>
    <w:rsid w:val="00335A51"/>
    <w:rsid w:val="00341AB4"/>
    <w:rsid w:val="0034265A"/>
    <w:rsid w:val="0034293A"/>
    <w:rsid w:val="00342B08"/>
    <w:rsid w:val="003438F4"/>
    <w:rsid w:val="003461C6"/>
    <w:rsid w:val="00346521"/>
    <w:rsid w:val="0034702D"/>
    <w:rsid w:val="0034773C"/>
    <w:rsid w:val="00351F8D"/>
    <w:rsid w:val="00353746"/>
    <w:rsid w:val="00353FC8"/>
    <w:rsid w:val="003540E2"/>
    <w:rsid w:val="0035430E"/>
    <w:rsid w:val="003552DE"/>
    <w:rsid w:val="003556F1"/>
    <w:rsid w:val="0035671B"/>
    <w:rsid w:val="00357202"/>
    <w:rsid w:val="003619C5"/>
    <w:rsid w:val="00361A6B"/>
    <w:rsid w:val="00362017"/>
    <w:rsid w:val="00363FC6"/>
    <w:rsid w:val="00367E06"/>
    <w:rsid w:val="003717E5"/>
    <w:rsid w:val="003723C4"/>
    <w:rsid w:val="003731B4"/>
    <w:rsid w:val="0037344F"/>
    <w:rsid w:val="003742F0"/>
    <w:rsid w:val="003760B7"/>
    <w:rsid w:val="0037710B"/>
    <w:rsid w:val="0037746A"/>
    <w:rsid w:val="003777A9"/>
    <w:rsid w:val="00377896"/>
    <w:rsid w:val="00382D82"/>
    <w:rsid w:val="00383085"/>
    <w:rsid w:val="00384D19"/>
    <w:rsid w:val="0039220D"/>
    <w:rsid w:val="00392211"/>
    <w:rsid w:val="003928A0"/>
    <w:rsid w:val="0039500C"/>
    <w:rsid w:val="00395691"/>
    <w:rsid w:val="00396194"/>
    <w:rsid w:val="003967CE"/>
    <w:rsid w:val="003978E0"/>
    <w:rsid w:val="003A0DFA"/>
    <w:rsid w:val="003A1756"/>
    <w:rsid w:val="003A2A90"/>
    <w:rsid w:val="003A3951"/>
    <w:rsid w:val="003A3ACA"/>
    <w:rsid w:val="003A5602"/>
    <w:rsid w:val="003B1646"/>
    <w:rsid w:val="003B1C42"/>
    <w:rsid w:val="003B2EA9"/>
    <w:rsid w:val="003B319C"/>
    <w:rsid w:val="003B4345"/>
    <w:rsid w:val="003B4C9B"/>
    <w:rsid w:val="003B53A9"/>
    <w:rsid w:val="003B5CE4"/>
    <w:rsid w:val="003B7223"/>
    <w:rsid w:val="003B7EDB"/>
    <w:rsid w:val="003C20D7"/>
    <w:rsid w:val="003C28AE"/>
    <w:rsid w:val="003C3330"/>
    <w:rsid w:val="003C4573"/>
    <w:rsid w:val="003C72D8"/>
    <w:rsid w:val="003D3AFA"/>
    <w:rsid w:val="003D3D82"/>
    <w:rsid w:val="003D6A6E"/>
    <w:rsid w:val="003D6ACB"/>
    <w:rsid w:val="003D6F23"/>
    <w:rsid w:val="003D7442"/>
    <w:rsid w:val="003D76DA"/>
    <w:rsid w:val="003E0704"/>
    <w:rsid w:val="003E0E5E"/>
    <w:rsid w:val="003E1429"/>
    <w:rsid w:val="003E191F"/>
    <w:rsid w:val="003E1F7F"/>
    <w:rsid w:val="003E20AD"/>
    <w:rsid w:val="003E2185"/>
    <w:rsid w:val="003E21BF"/>
    <w:rsid w:val="003E3581"/>
    <w:rsid w:val="003E470D"/>
    <w:rsid w:val="003E513B"/>
    <w:rsid w:val="003E6E28"/>
    <w:rsid w:val="003E74D0"/>
    <w:rsid w:val="003F0F3E"/>
    <w:rsid w:val="003F1372"/>
    <w:rsid w:val="003F366D"/>
    <w:rsid w:val="003F3D62"/>
    <w:rsid w:val="003F5232"/>
    <w:rsid w:val="00400693"/>
    <w:rsid w:val="00402029"/>
    <w:rsid w:val="00402577"/>
    <w:rsid w:val="00402C8B"/>
    <w:rsid w:val="004034A8"/>
    <w:rsid w:val="00403775"/>
    <w:rsid w:val="00403AFA"/>
    <w:rsid w:val="00405824"/>
    <w:rsid w:val="00405844"/>
    <w:rsid w:val="00406215"/>
    <w:rsid w:val="00410441"/>
    <w:rsid w:val="00411276"/>
    <w:rsid w:val="00413245"/>
    <w:rsid w:val="004148FF"/>
    <w:rsid w:val="00414E6F"/>
    <w:rsid w:val="00414EF5"/>
    <w:rsid w:val="00414F24"/>
    <w:rsid w:val="004151C2"/>
    <w:rsid w:val="00415FC5"/>
    <w:rsid w:val="00416E34"/>
    <w:rsid w:val="00421268"/>
    <w:rsid w:val="00421302"/>
    <w:rsid w:val="00421EEE"/>
    <w:rsid w:val="004227EA"/>
    <w:rsid w:val="00422CC3"/>
    <w:rsid w:val="004236B7"/>
    <w:rsid w:val="00424857"/>
    <w:rsid w:val="00424FF0"/>
    <w:rsid w:val="004259A9"/>
    <w:rsid w:val="00425C14"/>
    <w:rsid w:val="00425E59"/>
    <w:rsid w:val="00426191"/>
    <w:rsid w:val="00430134"/>
    <w:rsid w:val="00431953"/>
    <w:rsid w:val="0043219C"/>
    <w:rsid w:val="00432241"/>
    <w:rsid w:val="00432641"/>
    <w:rsid w:val="0043351C"/>
    <w:rsid w:val="00433AF3"/>
    <w:rsid w:val="0043465C"/>
    <w:rsid w:val="00435617"/>
    <w:rsid w:val="00441886"/>
    <w:rsid w:val="00441FA6"/>
    <w:rsid w:val="00442A99"/>
    <w:rsid w:val="00442F16"/>
    <w:rsid w:val="00443ECC"/>
    <w:rsid w:val="004514C8"/>
    <w:rsid w:val="00451E16"/>
    <w:rsid w:val="00453ED7"/>
    <w:rsid w:val="0045601B"/>
    <w:rsid w:val="00456CD5"/>
    <w:rsid w:val="004601A5"/>
    <w:rsid w:val="00460822"/>
    <w:rsid w:val="00462E48"/>
    <w:rsid w:val="00463A84"/>
    <w:rsid w:val="00464C28"/>
    <w:rsid w:val="00464F17"/>
    <w:rsid w:val="00465A03"/>
    <w:rsid w:val="0046749D"/>
    <w:rsid w:val="00470E14"/>
    <w:rsid w:val="00474023"/>
    <w:rsid w:val="00474BF2"/>
    <w:rsid w:val="00476D47"/>
    <w:rsid w:val="0047799E"/>
    <w:rsid w:val="00481145"/>
    <w:rsid w:val="00481513"/>
    <w:rsid w:val="00481A98"/>
    <w:rsid w:val="00481E6A"/>
    <w:rsid w:val="00484450"/>
    <w:rsid w:val="00484A62"/>
    <w:rsid w:val="00486A5F"/>
    <w:rsid w:val="00487442"/>
    <w:rsid w:val="00487553"/>
    <w:rsid w:val="00491B2A"/>
    <w:rsid w:val="00491CA4"/>
    <w:rsid w:val="00492AF7"/>
    <w:rsid w:val="00494E6E"/>
    <w:rsid w:val="00495F48"/>
    <w:rsid w:val="004960F0"/>
    <w:rsid w:val="004973A6"/>
    <w:rsid w:val="00497D0E"/>
    <w:rsid w:val="004A036E"/>
    <w:rsid w:val="004A155F"/>
    <w:rsid w:val="004A6092"/>
    <w:rsid w:val="004A768E"/>
    <w:rsid w:val="004A7FE3"/>
    <w:rsid w:val="004B0073"/>
    <w:rsid w:val="004B0815"/>
    <w:rsid w:val="004B169B"/>
    <w:rsid w:val="004B1ACF"/>
    <w:rsid w:val="004B2803"/>
    <w:rsid w:val="004B2B9D"/>
    <w:rsid w:val="004B3D85"/>
    <w:rsid w:val="004B50FB"/>
    <w:rsid w:val="004B511D"/>
    <w:rsid w:val="004B7227"/>
    <w:rsid w:val="004C1E9A"/>
    <w:rsid w:val="004C2FD9"/>
    <w:rsid w:val="004C58A0"/>
    <w:rsid w:val="004D0AA6"/>
    <w:rsid w:val="004D21F0"/>
    <w:rsid w:val="004D2C00"/>
    <w:rsid w:val="004D3041"/>
    <w:rsid w:val="004D40C2"/>
    <w:rsid w:val="004D483C"/>
    <w:rsid w:val="004D4AF0"/>
    <w:rsid w:val="004D55AC"/>
    <w:rsid w:val="004D5A59"/>
    <w:rsid w:val="004E129B"/>
    <w:rsid w:val="004E1B39"/>
    <w:rsid w:val="004E70BA"/>
    <w:rsid w:val="004E71FA"/>
    <w:rsid w:val="004F0AEB"/>
    <w:rsid w:val="004F22BC"/>
    <w:rsid w:val="004F3C8A"/>
    <w:rsid w:val="004F42D4"/>
    <w:rsid w:val="004F4727"/>
    <w:rsid w:val="0050023E"/>
    <w:rsid w:val="00500E1E"/>
    <w:rsid w:val="00501554"/>
    <w:rsid w:val="00501892"/>
    <w:rsid w:val="00501B42"/>
    <w:rsid w:val="00502B7F"/>
    <w:rsid w:val="00504503"/>
    <w:rsid w:val="00504554"/>
    <w:rsid w:val="00507077"/>
    <w:rsid w:val="00507A20"/>
    <w:rsid w:val="00507C4E"/>
    <w:rsid w:val="005100F1"/>
    <w:rsid w:val="00513F5B"/>
    <w:rsid w:val="00514BE6"/>
    <w:rsid w:val="0051501E"/>
    <w:rsid w:val="00515776"/>
    <w:rsid w:val="0051680E"/>
    <w:rsid w:val="00517662"/>
    <w:rsid w:val="00520095"/>
    <w:rsid w:val="00520FFE"/>
    <w:rsid w:val="00521B5F"/>
    <w:rsid w:val="00523607"/>
    <w:rsid w:val="005236DE"/>
    <w:rsid w:val="00524DAC"/>
    <w:rsid w:val="00525950"/>
    <w:rsid w:val="00525EC5"/>
    <w:rsid w:val="00526513"/>
    <w:rsid w:val="005266BB"/>
    <w:rsid w:val="00530C26"/>
    <w:rsid w:val="00531EC3"/>
    <w:rsid w:val="0053360B"/>
    <w:rsid w:val="00533794"/>
    <w:rsid w:val="00533BA7"/>
    <w:rsid w:val="00533D55"/>
    <w:rsid w:val="00534159"/>
    <w:rsid w:val="005344A1"/>
    <w:rsid w:val="00535062"/>
    <w:rsid w:val="00540833"/>
    <w:rsid w:val="005422F4"/>
    <w:rsid w:val="00542F72"/>
    <w:rsid w:val="005450CF"/>
    <w:rsid w:val="005458A1"/>
    <w:rsid w:val="00546F0C"/>
    <w:rsid w:val="0054789A"/>
    <w:rsid w:val="00551D94"/>
    <w:rsid w:val="005523E2"/>
    <w:rsid w:val="00554DE6"/>
    <w:rsid w:val="0055568F"/>
    <w:rsid w:val="00555CC6"/>
    <w:rsid w:val="005605BD"/>
    <w:rsid w:val="00562AB6"/>
    <w:rsid w:val="00564FBF"/>
    <w:rsid w:val="005653B4"/>
    <w:rsid w:val="005654B1"/>
    <w:rsid w:val="00566182"/>
    <w:rsid w:val="005664AE"/>
    <w:rsid w:val="0056688C"/>
    <w:rsid w:val="0056729B"/>
    <w:rsid w:val="0057278E"/>
    <w:rsid w:val="005730AF"/>
    <w:rsid w:val="0057454F"/>
    <w:rsid w:val="00574CD9"/>
    <w:rsid w:val="00575903"/>
    <w:rsid w:val="00576E2D"/>
    <w:rsid w:val="00582B6B"/>
    <w:rsid w:val="0058538A"/>
    <w:rsid w:val="00585AAC"/>
    <w:rsid w:val="00585ECC"/>
    <w:rsid w:val="005864C4"/>
    <w:rsid w:val="00587DA3"/>
    <w:rsid w:val="00590C39"/>
    <w:rsid w:val="00590C6B"/>
    <w:rsid w:val="00591478"/>
    <w:rsid w:val="00591EAD"/>
    <w:rsid w:val="005927A6"/>
    <w:rsid w:val="005928C9"/>
    <w:rsid w:val="00594F65"/>
    <w:rsid w:val="00595356"/>
    <w:rsid w:val="00595548"/>
    <w:rsid w:val="00596379"/>
    <w:rsid w:val="005968DB"/>
    <w:rsid w:val="005A00FC"/>
    <w:rsid w:val="005A19A7"/>
    <w:rsid w:val="005A1FF7"/>
    <w:rsid w:val="005A6DDC"/>
    <w:rsid w:val="005A6E64"/>
    <w:rsid w:val="005A7DCB"/>
    <w:rsid w:val="005B1798"/>
    <w:rsid w:val="005B1D33"/>
    <w:rsid w:val="005B343C"/>
    <w:rsid w:val="005B46B8"/>
    <w:rsid w:val="005B57BA"/>
    <w:rsid w:val="005B5FA3"/>
    <w:rsid w:val="005C136B"/>
    <w:rsid w:val="005C174A"/>
    <w:rsid w:val="005C2A23"/>
    <w:rsid w:val="005C2B21"/>
    <w:rsid w:val="005C3896"/>
    <w:rsid w:val="005C3E78"/>
    <w:rsid w:val="005D1AA2"/>
    <w:rsid w:val="005D52B6"/>
    <w:rsid w:val="005D7E57"/>
    <w:rsid w:val="005E1DD2"/>
    <w:rsid w:val="005E2E18"/>
    <w:rsid w:val="005E369F"/>
    <w:rsid w:val="005E493E"/>
    <w:rsid w:val="005E5084"/>
    <w:rsid w:val="005E59BD"/>
    <w:rsid w:val="005E5D3B"/>
    <w:rsid w:val="005E641B"/>
    <w:rsid w:val="005E7629"/>
    <w:rsid w:val="005F329B"/>
    <w:rsid w:val="005F35FF"/>
    <w:rsid w:val="005F5768"/>
    <w:rsid w:val="005F5F44"/>
    <w:rsid w:val="005F62E7"/>
    <w:rsid w:val="005F6E17"/>
    <w:rsid w:val="005F6E3C"/>
    <w:rsid w:val="00600212"/>
    <w:rsid w:val="00601307"/>
    <w:rsid w:val="006016B6"/>
    <w:rsid w:val="00601DB6"/>
    <w:rsid w:val="00603115"/>
    <w:rsid w:val="00603184"/>
    <w:rsid w:val="006046B1"/>
    <w:rsid w:val="00605107"/>
    <w:rsid w:val="0060515F"/>
    <w:rsid w:val="00605878"/>
    <w:rsid w:val="00605CE0"/>
    <w:rsid w:val="00613EB0"/>
    <w:rsid w:val="006142E7"/>
    <w:rsid w:val="00614BF8"/>
    <w:rsid w:val="00620BC2"/>
    <w:rsid w:val="00621093"/>
    <w:rsid w:val="00623F8C"/>
    <w:rsid w:val="00624F4B"/>
    <w:rsid w:val="006261A1"/>
    <w:rsid w:val="0062741C"/>
    <w:rsid w:val="00627782"/>
    <w:rsid w:val="00627A37"/>
    <w:rsid w:val="00630903"/>
    <w:rsid w:val="00632922"/>
    <w:rsid w:val="00633E72"/>
    <w:rsid w:val="00635067"/>
    <w:rsid w:val="00635D0C"/>
    <w:rsid w:val="006364D6"/>
    <w:rsid w:val="006366B5"/>
    <w:rsid w:val="00637FAC"/>
    <w:rsid w:val="00640463"/>
    <w:rsid w:val="00643E59"/>
    <w:rsid w:val="00646F30"/>
    <w:rsid w:val="00646F55"/>
    <w:rsid w:val="00647290"/>
    <w:rsid w:val="006474D3"/>
    <w:rsid w:val="006501A1"/>
    <w:rsid w:val="00651A2E"/>
    <w:rsid w:val="00652551"/>
    <w:rsid w:val="00653F07"/>
    <w:rsid w:val="0065478F"/>
    <w:rsid w:val="00654B98"/>
    <w:rsid w:val="00656708"/>
    <w:rsid w:val="006568E7"/>
    <w:rsid w:val="00661943"/>
    <w:rsid w:val="00661DED"/>
    <w:rsid w:val="00662E42"/>
    <w:rsid w:val="0066326D"/>
    <w:rsid w:val="0066461A"/>
    <w:rsid w:val="006647B0"/>
    <w:rsid w:val="00665091"/>
    <w:rsid w:val="00666052"/>
    <w:rsid w:val="00667C63"/>
    <w:rsid w:val="0067047B"/>
    <w:rsid w:val="006708F7"/>
    <w:rsid w:val="0067140C"/>
    <w:rsid w:val="006723E4"/>
    <w:rsid w:val="006727BA"/>
    <w:rsid w:val="0067380D"/>
    <w:rsid w:val="00673985"/>
    <w:rsid w:val="00675070"/>
    <w:rsid w:val="00675CC2"/>
    <w:rsid w:val="00677B2C"/>
    <w:rsid w:val="0068099D"/>
    <w:rsid w:val="00680B7C"/>
    <w:rsid w:val="00681408"/>
    <w:rsid w:val="006828A6"/>
    <w:rsid w:val="00683522"/>
    <w:rsid w:val="00683A27"/>
    <w:rsid w:val="00686A7D"/>
    <w:rsid w:val="00686A8B"/>
    <w:rsid w:val="00687670"/>
    <w:rsid w:val="0069033F"/>
    <w:rsid w:val="006912A9"/>
    <w:rsid w:val="006913D8"/>
    <w:rsid w:val="006932D4"/>
    <w:rsid w:val="00693CEC"/>
    <w:rsid w:val="0069658E"/>
    <w:rsid w:val="00696977"/>
    <w:rsid w:val="006975E2"/>
    <w:rsid w:val="006A1B56"/>
    <w:rsid w:val="006A24BD"/>
    <w:rsid w:val="006A2947"/>
    <w:rsid w:val="006A2B98"/>
    <w:rsid w:val="006A39A6"/>
    <w:rsid w:val="006A68E7"/>
    <w:rsid w:val="006B05BA"/>
    <w:rsid w:val="006B0CD0"/>
    <w:rsid w:val="006B315A"/>
    <w:rsid w:val="006B327C"/>
    <w:rsid w:val="006B3346"/>
    <w:rsid w:val="006B3E6D"/>
    <w:rsid w:val="006B4BE6"/>
    <w:rsid w:val="006C30E6"/>
    <w:rsid w:val="006C363F"/>
    <w:rsid w:val="006C4283"/>
    <w:rsid w:val="006C465F"/>
    <w:rsid w:val="006C513F"/>
    <w:rsid w:val="006C5231"/>
    <w:rsid w:val="006C5B90"/>
    <w:rsid w:val="006D04D4"/>
    <w:rsid w:val="006D0948"/>
    <w:rsid w:val="006D1755"/>
    <w:rsid w:val="006D2447"/>
    <w:rsid w:val="006D2D7E"/>
    <w:rsid w:val="006D36D3"/>
    <w:rsid w:val="006D3C31"/>
    <w:rsid w:val="006D5192"/>
    <w:rsid w:val="006D6EEC"/>
    <w:rsid w:val="006D73E5"/>
    <w:rsid w:val="006D7547"/>
    <w:rsid w:val="006E0739"/>
    <w:rsid w:val="006E1274"/>
    <w:rsid w:val="006E19F1"/>
    <w:rsid w:val="006E255F"/>
    <w:rsid w:val="006E76F0"/>
    <w:rsid w:val="006F287F"/>
    <w:rsid w:val="006F2CE5"/>
    <w:rsid w:val="006F4D05"/>
    <w:rsid w:val="006F5B5C"/>
    <w:rsid w:val="006F5FFC"/>
    <w:rsid w:val="006F6F20"/>
    <w:rsid w:val="006F71E2"/>
    <w:rsid w:val="00700862"/>
    <w:rsid w:val="00700AF5"/>
    <w:rsid w:val="007026BB"/>
    <w:rsid w:val="007037C7"/>
    <w:rsid w:val="00703DB7"/>
    <w:rsid w:val="00705602"/>
    <w:rsid w:val="00711148"/>
    <w:rsid w:val="007112FC"/>
    <w:rsid w:val="007114DE"/>
    <w:rsid w:val="00712722"/>
    <w:rsid w:val="007130EC"/>
    <w:rsid w:val="00717555"/>
    <w:rsid w:val="00720CC2"/>
    <w:rsid w:val="00720F8E"/>
    <w:rsid w:val="00721941"/>
    <w:rsid w:val="00722755"/>
    <w:rsid w:val="007233EB"/>
    <w:rsid w:val="00724454"/>
    <w:rsid w:val="007255C5"/>
    <w:rsid w:val="0072593F"/>
    <w:rsid w:val="00726461"/>
    <w:rsid w:val="007266C2"/>
    <w:rsid w:val="00731196"/>
    <w:rsid w:val="00731392"/>
    <w:rsid w:val="00731A7B"/>
    <w:rsid w:val="0073322E"/>
    <w:rsid w:val="00734F3D"/>
    <w:rsid w:val="007365CD"/>
    <w:rsid w:val="00736683"/>
    <w:rsid w:val="0073792D"/>
    <w:rsid w:val="007405A4"/>
    <w:rsid w:val="00740F25"/>
    <w:rsid w:val="00742DB4"/>
    <w:rsid w:val="00743435"/>
    <w:rsid w:val="00743A11"/>
    <w:rsid w:val="0074495F"/>
    <w:rsid w:val="0074719A"/>
    <w:rsid w:val="0075165E"/>
    <w:rsid w:val="00752213"/>
    <w:rsid w:val="0075556B"/>
    <w:rsid w:val="007560EE"/>
    <w:rsid w:val="00757CCA"/>
    <w:rsid w:val="00761341"/>
    <w:rsid w:val="00761C8B"/>
    <w:rsid w:val="00764E99"/>
    <w:rsid w:val="00765FC1"/>
    <w:rsid w:val="00766D7E"/>
    <w:rsid w:val="00770C04"/>
    <w:rsid w:val="0077349D"/>
    <w:rsid w:val="007768A2"/>
    <w:rsid w:val="00776B71"/>
    <w:rsid w:val="00776C62"/>
    <w:rsid w:val="0077709A"/>
    <w:rsid w:val="00777626"/>
    <w:rsid w:val="00777D21"/>
    <w:rsid w:val="00777D6B"/>
    <w:rsid w:val="00781E94"/>
    <w:rsid w:val="00783E4C"/>
    <w:rsid w:val="0078586A"/>
    <w:rsid w:val="007865A5"/>
    <w:rsid w:val="007870EE"/>
    <w:rsid w:val="007929DA"/>
    <w:rsid w:val="00795A62"/>
    <w:rsid w:val="007965BF"/>
    <w:rsid w:val="00797296"/>
    <w:rsid w:val="007A4A85"/>
    <w:rsid w:val="007A50FB"/>
    <w:rsid w:val="007A59FF"/>
    <w:rsid w:val="007A6730"/>
    <w:rsid w:val="007A69B3"/>
    <w:rsid w:val="007A6C37"/>
    <w:rsid w:val="007A7EF8"/>
    <w:rsid w:val="007B2014"/>
    <w:rsid w:val="007B468E"/>
    <w:rsid w:val="007B4AF0"/>
    <w:rsid w:val="007B67FE"/>
    <w:rsid w:val="007B7521"/>
    <w:rsid w:val="007B7E6E"/>
    <w:rsid w:val="007C1142"/>
    <w:rsid w:val="007C232B"/>
    <w:rsid w:val="007C340F"/>
    <w:rsid w:val="007C3C59"/>
    <w:rsid w:val="007C3DE3"/>
    <w:rsid w:val="007C5A60"/>
    <w:rsid w:val="007D384A"/>
    <w:rsid w:val="007D5134"/>
    <w:rsid w:val="007D5346"/>
    <w:rsid w:val="007D64DF"/>
    <w:rsid w:val="007D6E48"/>
    <w:rsid w:val="007E059B"/>
    <w:rsid w:val="007E22E9"/>
    <w:rsid w:val="007E2B7B"/>
    <w:rsid w:val="007E2F10"/>
    <w:rsid w:val="007E30A0"/>
    <w:rsid w:val="007E3B11"/>
    <w:rsid w:val="007E78F9"/>
    <w:rsid w:val="007F10C7"/>
    <w:rsid w:val="007F14BE"/>
    <w:rsid w:val="007F3C4C"/>
    <w:rsid w:val="007F4C42"/>
    <w:rsid w:val="007F5FAF"/>
    <w:rsid w:val="007F704A"/>
    <w:rsid w:val="00800DB3"/>
    <w:rsid w:val="0080112F"/>
    <w:rsid w:val="0080156E"/>
    <w:rsid w:val="00802B6E"/>
    <w:rsid w:val="00804165"/>
    <w:rsid w:val="008042A0"/>
    <w:rsid w:val="008048C0"/>
    <w:rsid w:val="0080661C"/>
    <w:rsid w:val="00807F74"/>
    <w:rsid w:val="00810A4D"/>
    <w:rsid w:val="00811857"/>
    <w:rsid w:val="00812AB0"/>
    <w:rsid w:val="00812C0D"/>
    <w:rsid w:val="00812F1D"/>
    <w:rsid w:val="008132FE"/>
    <w:rsid w:val="00814DEB"/>
    <w:rsid w:val="0081545F"/>
    <w:rsid w:val="00816544"/>
    <w:rsid w:val="0081789A"/>
    <w:rsid w:val="00817969"/>
    <w:rsid w:val="00817EDC"/>
    <w:rsid w:val="00821541"/>
    <w:rsid w:val="00823280"/>
    <w:rsid w:val="00823832"/>
    <w:rsid w:val="00825494"/>
    <w:rsid w:val="00825C20"/>
    <w:rsid w:val="00826C95"/>
    <w:rsid w:val="008279AE"/>
    <w:rsid w:val="00832870"/>
    <w:rsid w:val="00833C43"/>
    <w:rsid w:val="00833ECF"/>
    <w:rsid w:val="008342F4"/>
    <w:rsid w:val="00835FB9"/>
    <w:rsid w:val="00841C73"/>
    <w:rsid w:val="00841E4F"/>
    <w:rsid w:val="008426FE"/>
    <w:rsid w:val="00842754"/>
    <w:rsid w:val="008432A0"/>
    <w:rsid w:val="00845BDD"/>
    <w:rsid w:val="00845C52"/>
    <w:rsid w:val="00845E7B"/>
    <w:rsid w:val="008463C3"/>
    <w:rsid w:val="008469F8"/>
    <w:rsid w:val="00847AD5"/>
    <w:rsid w:val="00856A85"/>
    <w:rsid w:val="008575F6"/>
    <w:rsid w:val="0086000A"/>
    <w:rsid w:val="008608A5"/>
    <w:rsid w:val="00861239"/>
    <w:rsid w:val="00867760"/>
    <w:rsid w:val="00870F69"/>
    <w:rsid w:val="008729CC"/>
    <w:rsid w:val="008740D0"/>
    <w:rsid w:val="008746D6"/>
    <w:rsid w:val="008759D4"/>
    <w:rsid w:val="0088115C"/>
    <w:rsid w:val="00882CB6"/>
    <w:rsid w:val="0088515D"/>
    <w:rsid w:val="00885A24"/>
    <w:rsid w:val="008873E7"/>
    <w:rsid w:val="008900C3"/>
    <w:rsid w:val="0089025B"/>
    <w:rsid w:val="008916C0"/>
    <w:rsid w:val="00891CD5"/>
    <w:rsid w:val="0089212D"/>
    <w:rsid w:val="008924A9"/>
    <w:rsid w:val="0089303E"/>
    <w:rsid w:val="00894047"/>
    <w:rsid w:val="0089504E"/>
    <w:rsid w:val="008967FD"/>
    <w:rsid w:val="00897ADD"/>
    <w:rsid w:val="008A0F25"/>
    <w:rsid w:val="008A1C5C"/>
    <w:rsid w:val="008A2C10"/>
    <w:rsid w:val="008A2ECD"/>
    <w:rsid w:val="008A2FEF"/>
    <w:rsid w:val="008A3E6D"/>
    <w:rsid w:val="008A6A67"/>
    <w:rsid w:val="008A7014"/>
    <w:rsid w:val="008B051F"/>
    <w:rsid w:val="008B06D1"/>
    <w:rsid w:val="008B1FFB"/>
    <w:rsid w:val="008B20D4"/>
    <w:rsid w:val="008B29AA"/>
    <w:rsid w:val="008B35B0"/>
    <w:rsid w:val="008B4DD4"/>
    <w:rsid w:val="008B5A8C"/>
    <w:rsid w:val="008B65F0"/>
    <w:rsid w:val="008B71FA"/>
    <w:rsid w:val="008C1408"/>
    <w:rsid w:val="008C32BF"/>
    <w:rsid w:val="008C41BD"/>
    <w:rsid w:val="008C51CF"/>
    <w:rsid w:val="008C569B"/>
    <w:rsid w:val="008C6061"/>
    <w:rsid w:val="008D1852"/>
    <w:rsid w:val="008D2482"/>
    <w:rsid w:val="008D2F4E"/>
    <w:rsid w:val="008D4253"/>
    <w:rsid w:val="008D641D"/>
    <w:rsid w:val="008D6B07"/>
    <w:rsid w:val="008D771D"/>
    <w:rsid w:val="008E35A1"/>
    <w:rsid w:val="008E3B44"/>
    <w:rsid w:val="008E548B"/>
    <w:rsid w:val="008E64CA"/>
    <w:rsid w:val="008E668E"/>
    <w:rsid w:val="008E68B7"/>
    <w:rsid w:val="008E698B"/>
    <w:rsid w:val="008F0A99"/>
    <w:rsid w:val="008F1DFC"/>
    <w:rsid w:val="008F2828"/>
    <w:rsid w:val="008F2BA2"/>
    <w:rsid w:val="008F4A2E"/>
    <w:rsid w:val="008F65F2"/>
    <w:rsid w:val="008F7F3E"/>
    <w:rsid w:val="00901138"/>
    <w:rsid w:val="00901CB3"/>
    <w:rsid w:val="009025BE"/>
    <w:rsid w:val="00902955"/>
    <w:rsid w:val="009034AC"/>
    <w:rsid w:val="00903935"/>
    <w:rsid w:val="00903B62"/>
    <w:rsid w:val="009040B4"/>
    <w:rsid w:val="0090548F"/>
    <w:rsid w:val="00906CA4"/>
    <w:rsid w:val="00906DE1"/>
    <w:rsid w:val="00906F2E"/>
    <w:rsid w:val="00907EBE"/>
    <w:rsid w:val="00910604"/>
    <w:rsid w:val="00912236"/>
    <w:rsid w:val="009124F3"/>
    <w:rsid w:val="0091344E"/>
    <w:rsid w:val="009153BA"/>
    <w:rsid w:val="009154BD"/>
    <w:rsid w:val="00915CEB"/>
    <w:rsid w:val="0092030A"/>
    <w:rsid w:val="0092069E"/>
    <w:rsid w:val="009214FB"/>
    <w:rsid w:val="0092220B"/>
    <w:rsid w:val="0092357C"/>
    <w:rsid w:val="00924749"/>
    <w:rsid w:val="00924F81"/>
    <w:rsid w:val="009256A0"/>
    <w:rsid w:val="00925C53"/>
    <w:rsid w:val="00925DEE"/>
    <w:rsid w:val="00926890"/>
    <w:rsid w:val="009273AA"/>
    <w:rsid w:val="00930B80"/>
    <w:rsid w:val="00931395"/>
    <w:rsid w:val="0093204E"/>
    <w:rsid w:val="00932889"/>
    <w:rsid w:val="00934D7A"/>
    <w:rsid w:val="009357DD"/>
    <w:rsid w:val="00936A21"/>
    <w:rsid w:val="0093757C"/>
    <w:rsid w:val="0094144E"/>
    <w:rsid w:val="00941A03"/>
    <w:rsid w:val="00941F9D"/>
    <w:rsid w:val="00942AD4"/>
    <w:rsid w:val="0094546D"/>
    <w:rsid w:val="00945532"/>
    <w:rsid w:val="00946820"/>
    <w:rsid w:val="00951413"/>
    <w:rsid w:val="00952198"/>
    <w:rsid w:val="00953E5D"/>
    <w:rsid w:val="0095565E"/>
    <w:rsid w:val="009562E6"/>
    <w:rsid w:val="00956304"/>
    <w:rsid w:val="00956F54"/>
    <w:rsid w:val="00957370"/>
    <w:rsid w:val="009632EF"/>
    <w:rsid w:val="00965D19"/>
    <w:rsid w:val="00967A5B"/>
    <w:rsid w:val="00971756"/>
    <w:rsid w:val="009719ED"/>
    <w:rsid w:val="0097250B"/>
    <w:rsid w:val="009734FD"/>
    <w:rsid w:val="0097385A"/>
    <w:rsid w:val="00973959"/>
    <w:rsid w:val="00973D48"/>
    <w:rsid w:val="00974083"/>
    <w:rsid w:val="009747D0"/>
    <w:rsid w:val="0097511E"/>
    <w:rsid w:val="0097638E"/>
    <w:rsid w:val="009777F2"/>
    <w:rsid w:val="00977C14"/>
    <w:rsid w:val="00980E29"/>
    <w:rsid w:val="0098331E"/>
    <w:rsid w:val="00983466"/>
    <w:rsid w:val="00983761"/>
    <w:rsid w:val="00984BE4"/>
    <w:rsid w:val="00984D70"/>
    <w:rsid w:val="00985168"/>
    <w:rsid w:val="00985AC7"/>
    <w:rsid w:val="00987960"/>
    <w:rsid w:val="009921DB"/>
    <w:rsid w:val="00992C24"/>
    <w:rsid w:val="00992F39"/>
    <w:rsid w:val="00993162"/>
    <w:rsid w:val="00994451"/>
    <w:rsid w:val="00994EDD"/>
    <w:rsid w:val="00995AC8"/>
    <w:rsid w:val="00996BEA"/>
    <w:rsid w:val="009A04CD"/>
    <w:rsid w:val="009A0601"/>
    <w:rsid w:val="009A1B3D"/>
    <w:rsid w:val="009A2511"/>
    <w:rsid w:val="009A34A6"/>
    <w:rsid w:val="009A3956"/>
    <w:rsid w:val="009A4889"/>
    <w:rsid w:val="009A4B86"/>
    <w:rsid w:val="009A795D"/>
    <w:rsid w:val="009B1B86"/>
    <w:rsid w:val="009B2B39"/>
    <w:rsid w:val="009B48AF"/>
    <w:rsid w:val="009B638D"/>
    <w:rsid w:val="009B6C30"/>
    <w:rsid w:val="009B6E43"/>
    <w:rsid w:val="009B79BA"/>
    <w:rsid w:val="009B7F36"/>
    <w:rsid w:val="009C077F"/>
    <w:rsid w:val="009C120D"/>
    <w:rsid w:val="009C1437"/>
    <w:rsid w:val="009C29D8"/>
    <w:rsid w:val="009C3E71"/>
    <w:rsid w:val="009C4D24"/>
    <w:rsid w:val="009C6364"/>
    <w:rsid w:val="009C65A0"/>
    <w:rsid w:val="009D57C9"/>
    <w:rsid w:val="009D78E5"/>
    <w:rsid w:val="009D7E8A"/>
    <w:rsid w:val="009E422B"/>
    <w:rsid w:val="009E4DD5"/>
    <w:rsid w:val="009E4F03"/>
    <w:rsid w:val="009E541A"/>
    <w:rsid w:val="009E55A7"/>
    <w:rsid w:val="009E64DD"/>
    <w:rsid w:val="009E64F6"/>
    <w:rsid w:val="009E671D"/>
    <w:rsid w:val="009E7B45"/>
    <w:rsid w:val="009F023C"/>
    <w:rsid w:val="009F0909"/>
    <w:rsid w:val="009F0E94"/>
    <w:rsid w:val="009F3CC6"/>
    <w:rsid w:val="009F4DE2"/>
    <w:rsid w:val="009F64D0"/>
    <w:rsid w:val="009F66A3"/>
    <w:rsid w:val="009F70F8"/>
    <w:rsid w:val="009F76CE"/>
    <w:rsid w:val="009F78EB"/>
    <w:rsid w:val="00A02EBE"/>
    <w:rsid w:val="00A04DE3"/>
    <w:rsid w:val="00A0758B"/>
    <w:rsid w:val="00A078B8"/>
    <w:rsid w:val="00A11B8F"/>
    <w:rsid w:val="00A11EF2"/>
    <w:rsid w:val="00A11F35"/>
    <w:rsid w:val="00A12FB4"/>
    <w:rsid w:val="00A1434E"/>
    <w:rsid w:val="00A17C6D"/>
    <w:rsid w:val="00A20A2B"/>
    <w:rsid w:val="00A2233B"/>
    <w:rsid w:val="00A23442"/>
    <w:rsid w:val="00A24B8B"/>
    <w:rsid w:val="00A26237"/>
    <w:rsid w:val="00A26335"/>
    <w:rsid w:val="00A26DB3"/>
    <w:rsid w:val="00A27A51"/>
    <w:rsid w:val="00A27EDA"/>
    <w:rsid w:val="00A27FCA"/>
    <w:rsid w:val="00A30AB4"/>
    <w:rsid w:val="00A30B10"/>
    <w:rsid w:val="00A31AD4"/>
    <w:rsid w:val="00A31DA6"/>
    <w:rsid w:val="00A329F6"/>
    <w:rsid w:val="00A32BE5"/>
    <w:rsid w:val="00A33DCB"/>
    <w:rsid w:val="00A343A0"/>
    <w:rsid w:val="00A343B8"/>
    <w:rsid w:val="00A358C9"/>
    <w:rsid w:val="00A36025"/>
    <w:rsid w:val="00A36D4B"/>
    <w:rsid w:val="00A43398"/>
    <w:rsid w:val="00A44934"/>
    <w:rsid w:val="00A4510B"/>
    <w:rsid w:val="00A46A0D"/>
    <w:rsid w:val="00A47CAA"/>
    <w:rsid w:val="00A50CD1"/>
    <w:rsid w:val="00A52EFE"/>
    <w:rsid w:val="00A53608"/>
    <w:rsid w:val="00A54172"/>
    <w:rsid w:val="00A55041"/>
    <w:rsid w:val="00A55909"/>
    <w:rsid w:val="00A56278"/>
    <w:rsid w:val="00A61094"/>
    <w:rsid w:val="00A6126A"/>
    <w:rsid w:val="00A629E3"/>
    <w:rsid w:val="00A62BF5"/>
    <w:rsid w:val="00A62F9F"/>
    <w:rsid w:val="00A66481"/>
    <w:rsid w:val="00A67C7B"/>
    <w:rsid w:val="00A70A79"/>
    <w:rsid w:val="00A70C13"/>
    <w:rsid w:val="00A70C81"/>
    <w:rsid w:val="00A710BB"/>
    <w:rsid w:val="00A7307A"/>
    <w:rsid w:val="00A74655"/>
    <w:rsid w:val="00A76221"/>
    <w:rsid w:val="00A7650F"/>
    <w:rsid w:val="00A77D36"/>
    <w:rsid w:val="00A80EC7"/>
    <w:rsid w:val="00A823AF"/>
    <w:rsid w:val="00A8282D"/>
    <w:rsid w:val="00A83024"/>
    <w:rsid w:val="00A832C0"/>
    <w:rsid w:val="00A8371D"/>
    <w:rsid w:val="00A83FB1"/>
    <w:rsid w:val="00A849A4"/>
    <w:rsid w:val="00A86F74"/>
    <w:rsid w:val="00A901E6"/>
    <w:rsid w:val="00A903D2"/>
    <w:rsid w:val="00A9071E"/>
    <w:rsid w:val="00A909F4"/>
    <w:rsid w:val="00A911D9"/>
    <w:rsid w:val="00A941BC"/>
    <w:rsid w:val="00A96062"/>
    <w:rsid w:val="00A962EF"/>
    <w:rsid w:val="00A967E3"/>
    <w:rsid w:val="00A97A74"/>
    <w:rsid w:val="00AA0AE5"/>
    <w:rsid w:val="00AA0E2A"/>
    <w:rsid w:val="00AA16B6"/>
    <w:rsid w:val="00AA1D71"/>
    <w:rsid w:val="00AA25C4"/>
    <w:rsid w:val="00AA324F"/>
    <w:rsid w:val="00AA334E"/>
    <w:rsid w:val="00AA3BF6"/>
    <w:rsid w:val="00AA465C"/>
    <w:rsid w:val="00AA6AA7"/>
    <w:rsid w:val="00AB3617"/>
    <w:rsid w:val="00AB3E14"/>
    <w:rsid w:val="00AB590F"/>
    <w:rsid w:val="00AB71E7"/>
    <w:rsid w:val="00AC0DBB"/>
    <w:rsid w:val="00AC1A1F"/>
    <w:rsid w:val="00AC1F6C"/>
    <w:rsid w:val="00AC2E24"/>
    <w:rsid w:val="00AC4031"/>
    <w:rsid w:val="00AC4C72"/>
    <w:rsid w:val="00AC53A7"/>
    <w:rsid w:val="00AC6489"/>
    <w:rsid w:val="00AC697B"/>
    <w:rsid w:val="00AD0E86"/>
    <w:rsid w:val="00AD1928"/>
    <w:rsid w:val="00AD2116"/>
    <w:rsid w:val="00AD246C"/>
    <w:rsid w:val="00AD44E7"/>
    <w:rsid w:val="00AD5634"/>
    <w:rsid w:val="00AD60EA"/>
    <w:rsid w:val="00AD7C25"/>
    <w:rsid w:val="00AE07CA"/>
    <w:rsid w:val="00AE0C85"/>
    <w:rsid w:val="00AE2F94"/>
    <w:rsid w:val="00AE3983"/>
    <w:rsid w:val="00AE3ECF"/>
    <w:rsid w:val="00AE5DCF"/>
    <w:rsid w:val="00AE73F2"/>
    <w:rsid w:val="00AE75EB"/>
    <w:rsid w:val="00AF2AC3"/>
    <w:rsid w:val="00AF37E1"/>
    <w:rsid w:val="00AF3A22"/>
    <w:rsid w:val="00AF42C9"/>
    <w:rsid w:val="00AF546D"/>
    <w:rsid w:val="00AF6162"/>
    <w:rsid w:val="00B01EFE"/>
    <w:rsid w:val="00B02222"/>
    <w:rsid w:val="00B025DA"/>
    <w:rsid w:val="00B03BC8"/>
    <w:rsid w:val="00B0534F"/>
    <w:rsid w:val="00B06636"/>
    <w:rsid w:val="00B06C7B"/>
    <w:rsid w:val="00B06FF8"/>
    <w:rsid w:val="00B07124"/>
    <w:rsid w:val="00B07294"/>
    <w:rsid w:val="00B07C46"/>
    <w:rsid w:val="00B1141D"/>
    <w:rsid w:val="00B11968"/>
    <w:rsid w:val="00B12A59"/>
    <w:rsid w:val="00B12FA6"/>
    <w:rsid w:val="00B13AF5"/>
    <w:rsid w:val="00B17E35"/>
    <w:rsid w:val="00B17F02"/>
    <w:rsid w:val="00B20C0A"/>
    <w:rsid w:val="00B2242B"/>
    <w:rsid w:val="00B22CF0"/>
    <w:rsid w:val="00B22D4C"/>
    <w:rsid w:val="00B2514D"/>
    <w:rsid w:val="00B268BF"/>
    <w:rsid w:val="00B26A3D"/>
    <w:rsid w:val="00B30650"/>
    <w:rsid w:val="00B3205C"/>
    <w:rsid w:val="00B33A2A"/>
    <w:rsid w:val="00B33ACB"/>
    <w:rsid w:val="00B3569E"/>
    <w:rsid w:val="00B35956"/>
    <w:rsid w:val="00B4014B"/>
    <w:rsid w:val="00B40734"/>
    <w:rsid w:val="00B434D4"/>
    <w:rsid w:val="00B46A42"/>
    <w:rsid w:val="00B4710D"/>
    <w:rsid w:val="00B4755C"/>
    <w:rsid w:val="00B5179A"/>
    <w:rsid w:val="00B5186E"/>
    <w:rsid w:val="00B52307"/>
    <w:rsid w:val="00B52933"/>
    <w:rsid w:val="00B532E3"/>
    <w:rsid w:val="00B53781"/>
    <w:rsid w:val="00B55346"/>
    <w:rsid w:val="00B558A3"/>
    <w:rsid w:val="00B60F9C"/>
    <w:rsid w:val="00B625A1"/>
    <w:rsid w:val="00B632A3"/>
    <w:rsid w:val="00B64088"/>
    <w:rsid w:val="00B6412B"/>
    <w:rsid w:val="00B64209"/>
    <w:rsid w:val="00B65194"/>
    <w:rsid w:val="00B662C0"/>
    <w:rsid w:val="00B70F01"/>
    <w:rsid w:val="00B71018"/>
    <w:rsid w:val="00B7311B"/>
    <w:rsid w:val="00B744CD"/>
    <w:rsid w:val="00B806DC"/>
    <w:rsid w:val="00B8200A"/>
    <w:rsid w:val="00B83DCD"/>
    <w:rsid w:val="00B85A30"/>
    <w:rsid w:val="00B85C94"/>
    <w:rsid w:val="00B861ED"/>
    <w:rsid w:val="00B867B1"/>
    <w:rsid w:val="00B86C45"/>
    <w:rsid w:val="00B87B5D"/>
    <w:rsid w:val="00B87D3E"/>
    <w:rsid w:val="00B90277"/>
    <w:rsid w:val="00B90885"/>
    <w:rsid w:val="00B908C2"/>
    <w:rsid w:val="00B91BAD"/>
    <w:rsid w:val="00B92D03"/>
    <w:rsid w:val="00B93EFB"/>
    <w:rsid w:val="00BA0DB5"/>
    <w:rsid w:val="00BA13FD"/>
    <w:rsid w:val="00BA379F"/>
    <w:rsid w:val="00BA4025"/>
    <w:rsid w:val="00BA63E4"/>
    <w:rsid w:val="00BA6BA0"/>
    <w:rsid w:val="00BA7E3E"/>
    <w:rsid w:val="00BB02AA"/>
    <w:rsid w:val="00BB0E5C"/>
    <w:rsid w:val="00BB1B09"/>
    <w:rsid w:val="00BB30A1"/>
    <w:rsid w:val="00BB3408"/>
    <w:rsid w:val="00BB5576"/>
    <w:rsid w:val="00BB5B60"/>
    <w:rsid w:val="00BB6C0B"/>
    <w:rsid w:val="00BB75E4"/>
    <w:rsid w:val="00BC0CE5"/>
    <w:rsid w:val="00BC2BE9"/>
    <w:rsid w:val="00BC717C"/>
    <w:rsid w:val="00BC72FA"/>
    <w:rsid w:val="00BC7C31"/>
    <w:rsid w:val="00BD18E7"/>
    <w:rsid w:val="00BD4A7D"/>
    <w:rsid w:val="00BD4D7D"/>
    <w:rsid w:val="00BD4FB9"/>
    <w:rsid w:val="00BD5393"/>
    <w:rsid w:val="00BD79C7"/>
    <w:rsid w:val="00BD7B0F"/>
    <w:rsid w:val="00BE2B0D"/>
    <w:rsid w:val="00BE58DC"/>
    <w:rsid w:val="00BF0BE8"/>
    <w:rsid w:val="00BF0D33"/>
    <w:rsid w:val="00BF1093"/>
    <w:rsid w:val="00BF1B98"/>
    <w:rsid w:val="00BF1C48"/>
    <w:rsid w:val="00BF2CA0"/>
    <w:rsid w:val="00BF5152"/>
    <w:rsid w:val="00BF590E"/>
    <w:rsid w:val="00BF5BC0"/>
    <w:rsid w:val="00BF6A3F"/>
    <w:rsid w:val="00BF6F09"/>
    <w:rsid w:val="00BF795D"/>
    <w:rsid w:val="00BF7A65"/>
    <w:rsid w:val="00BF7C4D"/>
    <w:rsid w:val="00C01085"/>
    <w:rsid w:val="00C01857"/>
    <w:rsid w:val="00C01AE1"/>
    <w:rsid w:val="00C03393"/>
    <w:rsid w:val="00C04E96"/>
    <w:rsid w:val="00C06930"/>
    <w:rsid w:val="00C1199A"/>
    <w:rsid w:val="00C11E77"/>
    <w:rsid w:val="00C128C8"/>
    <w:rsid w:val="00C138F5"/>
    <w:rsid w:val="00C13E5D"/>
    <w:rsid w:val="00C14837"/>
    <w:rsid w:val="00C17FA4"/>
    <w:rsid w:val="00C2328E"/>
    <w:rsid w:val="00C26915"/>
    <w:rsid w:val="00C27B1A"/>
    <w:rsid w:val="00C35AC8"/>
    <w:rsid w:val="00C36D85"/>
    <w:rsid w:val="00C36DFA"/>
    <w:rsid w:val="00C3706C"/>
    <w:rsid w:val="00C37337"/>
    <w:rsid w:val="00C37589"/>
    <w:rsid w:val="00C4068C"/>
    <w:rsid w:val="00C41020"/>
    <w:rsid w:val="00C41CC6"/>
    <w:rsid w:val="00C41D05"/>
    <w:rsid w:val="00C442B2"/>
    <w:rsid w:val="00C447E6"/>
    <w:rsid w:val="00C44B58"/>
    <w:rsid w:val="00C44E3F"/>
    <w:rsid w:val="00C508F6"/>
    <w:rsid w:val="00C50CFC"/>
    <w:rsid w:val="00C51F1E"/>
    <w:rsid w:val="00C5236D"/>
    <w:rsid w:val="00C536FE"/>
    <w:rsid w:val="00C5457A"/>
    <w:rsid w:val="00C5686C"/>
    <w:rsid w:val="00C56AE7"/>
    <w:rsid w:val="00C609F8"/>
    <w:rsid w:val="00C61DF5"/>
    <w:rsid w:val="00C61EF4"/>
    <w:rsid w:val="00C6425F"/>
    <w:rsid w:val="00C6456F"/>
    <w:rsid w:val="00C64619"/>
    <w:rsid w:val="00C64875"/>
    <w:rsid w:val="00C64ADD"/>
    <w:rsid w:val="00C6708C"/>
    <w:rsid w:val="00C67A7D"/>
    <w:rsid w:val="00C7160D"/>
    <w:rsid w:val="00C72C7B"/>
    <w:rsid w:val="00C73250"/>
    <w:rsid w:val="00C7357E"/>
    <w:rsid w:val="00C73CF2"/>
    <w:rsid w:val="00C73EE8"/>
    <w:rsid w:val="00C7509E"/>
    <w:rsid w:val="00C75210"/>
    <w:rsid w:val="00C75B2A"/>
    <w:rsid w:val="00C76306"/>
    <w:rsid w:val="00C77DE3"/>
    <w:rsid w:val="00C80260"/>
    <w:rsid w:val="00C82090"/>
    <w:rsid w:val="00C850BA"/>
    <w:rsid w:val="00C852B4"/>
    <w:rsid w:val="00C859B4"/>
    <w:rsid w:val="00C91208"/>
    <w:rsid w:val="00C91617"/>
    <w:rsid w:val="00C91E48"/>
    <w:rsid w:val="00C93F94"/>
    <w:rsid w:val="00C9683B"/>
    <w:rsid w:val="00C9697C"/>
    <w:rsid w:val="00CA097C"/>
    <w:rsid w:val="00CA1956"/>
    <w:rsid w:val="00CA1AA6"/>
    <w:rsid w:val="00CA4909"/>
    <w:rsid w:val="00CA5920"/>
    <w:rsid w:val="00CA650C"/>
    <w:rsid w:val="00CA7546"/>
    <w:rsid w:val="00CB0A34"/>
    <w:rsid w:val="00CB1936"/>
    <w:rsid w:val="00CB2E45"/>
    <w:rsid w:val="00CB2EE8"/>
    <w:rsid w:val="00CB3BE1"/>
    <w:rsid w:val="00CB47A3"/>
    <w:rsid w:val="00CB4B04"/>
    <w:rsid w:val="00CB4B78"/>
    <w:rsid w:val="00CB57A0"/>
    <w:rsid w:val="00CC1502"/>
    <w:rsid w:val="00CC1B37"/>
    <w:rsid w:val="00CC3505"/>
    <w:rsid w:val="00CC5A46"/>
    <w:rsid w:val="00CC6C81"/>
    <w:rsid w:val="00CC773A"/>
    <w:rsid w:val="00CC7882"/>
    <w:rsid w:val="00CD0E86"/>
    <w:rsid w:val="00CD1A11"/>
    <w:rsid w:val="00CD2019"/>
    <w:rsid w:val="00CD2A3F"/>
    <w:rsid w:val="00CD3028"/>
    <w:rsid w:val="00CD52C5"/>
    <w:rsid w:val="00CD7CFC"/>
    <w:rsid w:val="00CE18B0"/>
    <w:rsid w:val="00CE3609"/>
    <w:rsid w:val="00CE3648"/>
    <w:rsid w:val="00CE42BB"/>
    <w:rsid w:val="00CE5E55"/>
    <w:rsid w:val="00CE5E66"/>
    <w:rsid w:val="00CE6BE1"/>
    <w:rsid w:val="00CE6D94"/>
    <w:rsid w:val="00CE6F5B"/>
    <w:rsid w:val="00CF01D6"/>
    <w:rsid w:val="00CF03B0"/>
    <w:rsid w:val="00CF044D"/>
    <w:rsid w:val="00CF15DE"/>
    <w:rsid w:val="00CF2BC2"/>
    <w:rsid w:val="00CF617C"/>
    <w:rsid w:val="00CF74E2"/>
    <w:rsid w:val="00CF7FBE"/>
    <w:rsid w:val="00D03913"/>
    <w:rsid w:val="00D04281"/>
    <w:rsid w:val="00D05E3F"/>
    <w:rsid w:val="00D0696A"/>
    <w:rsid w:val="00D07ABA"/>
    <w:rsid w:val="00D126B8"/>
    <w:rsid w:val="00D134B7"/>
    <w:rsid w:val="00D13EB7"/>
    <w:rsid w:val="00D145F9"/>
    <w:rsid w:val="00D1647D"/>
    <w:rsid w:val="00D17018"/>
    <w:rsid w:val="00D20E64"/>
    <w:rsid w:val="00D20F45"/>
    <w:rsid w:val="00D21BD9"/>
    <w:rsid w:val="00D257C3"/>
    <w:rsid w:val="00D2599C"/>
    <w:rsid w:val="00D25DAA"/>
    <w:rsid w:val="00D30579"/>
    <w:rsid w:val="00D30B08"/>
    <w:rsid w:val="00D31511"/>
    <w:rsid w:val="00D31B88"/>
    <w:rsid w:val="00D40760"/>
    <w:rsid w:val="00D41CA1"/>
    <w:rsid w:val="00D426E5"/>
    <w:rsid w:val="00D42E0B"/>
    <w:rsid w:val="00D45ACD"/>
    <w:rsid w:val="00D508DA"/>
    <w:rsid w:val="00D50A94"/>
    <w:rsid w:val="00D51D39"/>
    <w:rsid w:val="00D51D61"/>
    <w:rsid w:val="00D52F1B"/>
    <w:rsid w:val="00D5379C"/>
    <w:rsid w:val="00D56217"/>
    <w:rsid w:val="00D6198E"/>
    <w:rsid w:val="00D64BE0"/>
    <w:rsid w:val="00D64D32"/>
    <w:rsid w:val="00D650C8"/>
    <w:rsid w:val="00D660D5"/>
    <w:rsid w:val="00D71469"/>
    <w:rsid w:val="00D71999"/>
    <w:rsid w:val="00D71E3E"/>
    <w:rsid w:val="00D76160"/>
    <w:rsid w:val="00D76E36"/>
    <w:rsid w:val="00D807C3"/>
    <w:rsid w:val="00D81A8F"/>
    <w:rsid w:val="00D81FC6"/>
    <w:rsid w:val="00D82640"/>
    <w:rsid w:val="00D8329A"/>
    <w:rsid w:val="00D84C89"/>
    <w:rsid w:val="00D856B2"/>
    <w:rsid w:val="00D85980"/>
    <w:rsid w:val="00D86B00"/>
    <w:rsid w:val="00D91BB6"/>
    <w:rsid w:val="00D92601"/>
    <w:rsid w:val="00D92A22"/>
    <w:rsid w:val="00D940CB"/>
    <w:rsid w:val="00D96669"/>
    <w:rsid w:val="00DA0C3B"/>
    <w:rsid w:val="00DA1BB2"/>
    <w:rsid w:val="00DA3297"/>
    <w:rsid w:val="00DA36DF"/>
    <w:rsid w:val="00DA63C3"/>
    <w:rsid w:val="00DB0898"/>
    <w:rsid w:val="00DB1439"/>
    <w:rsid w:val="00DB18C8"/>
    <w:rsid w:val="00DB1DB0"/>
    <w:rsid w:val="00DB24B6"/>
    <w:rsid w:val="00DB3CEB"/>
    <w:rsid w:val="00DB4044"/>
    <w:rsid w:val="00DB4E19"/>
    <w:rsid w:val="00DB4FD6"/>
    <w:rsid w:val="00DB5552"/>
    <w:rsid w:val="00DB7020"/>
    <w:rsid w:val="00DB70BF"/>
    <w:rsid w:val="00DC0C49"/>
    <w:rsid w:val="00DC261A"/>
    <w:rsid w:val="00DC3DC5"/>
    <w:rsid w:val="00DC4328"/>
    <w:rsid w:val="00DC4E0E"/>
    <w:rsid w:val="00DC5893"/>
    <w:rsid w:val="00DC5948"/>
    <w:rsid w:val="00DD095E"/>
    <w:rsid w:val="00DD1C0F"/>
    <w:rsid w:val="00DD29FF"/>
    <w:rsid w:val="00DD3B3F"/>
    <w:rsid w:val="00DD5728"/>
    <w:rsid w:val="00DD5A5F"/>
    <w:rsid w:val="00DD5E8E"/>
    <w:rsid w:val="00DE0BCD"/>
    <w:rsid w:val="00DE15C2"/>
    <w:rsid w:val="00DE1D2D"/>
    <w:rsid w:val="00DE1FC2"/>
    <w:rsid w:val="00DE2DF3"/>
    <w:rsid w:val="00DE4C92"/>
    <w:rsid w:val="00DE747C"/>
    <w:rsid w:val="00DE7BE9"/>
    <w:rsid w:val="00DE7C42"/>
    <w:rsid w:val="00DF2091"/>
    <w:rsid w:val="00DF2B8B"/>
    <w:rsid w:val="00DF2E05"/>
    <w:rsid w:val="00DF318E"/>
    <w:rsid w:val="00DF3CD6"/>
    <w:rsid w:val="00DF505F"/>
    <w:rsid w:val="00DF6324"/>
    <w:rsid w:val="00DF6B72"/>
    <w:rsid w:val="00E004FD"/>
    <w:rsid w:val="00E00C0D"/>
    <w:rsid w:val="00E02982"/>
    <w:rsid w:val="00E038E6"/>
    <w:rsid w:val="00E04EF6"/>
    <w:rsid w:val="00E053E0"/>
    <w:rsid w:val="00E05AC4"/>
    <w:rsid w:val="00E05E02"/>
    <w:rsid w:val="00E06B9E"/>
    <w:rsid w:val="00E07E09"/>
    <w:rsid w:val="00E07E44"/>
    <w:rsid w:val="00E10CF2"/>
    <w:rsid w:val="00E12875"/>
    <w:rsid w:val="00E14FE1"/>
    <w:rsid w:val="00E151E8"/>
    <w:rsid w:val="00E15BC7"/>
    <w:rsid w:val="00E163A1"/>
    <w:rsid w:val="00E1651C"/>
    <w:rsid w:val="00E17519"/>
    <w:rsid w:val="00E2260B"/>
    <w:rsid w:val="00E232C4"/>
    <w:rsid w:val="00E243D1"/>
    <w:rsid w:val="00E24875"/>
    <w:rsid w:val="00E25925"/>
    <w:rsid w:val="00E27942"/>
    <w:rsid w:val="00E31117"/>
    <w:rsid w:val="00E32CF1"/>
    <w:rsid w:val="00E3458E"/>
    <w:rsid w:val="00E35BB9"/>
    <w:rsid w:val="00E40FC4"/>
    <w:rsid w:val="00E41211"/>
    <w:rsid w:val="00E42A75"/>
    <w:rsid w:val="00E42BD0"/>
    <w:rsid w:val="00E44122"/>
    <w:rsid w:val="00E44E2C"/>
    <w:rsid w:val="00E45837"/>
    <w:rsid w:val="00E45C3D"/>
    <w:rsid w:val="00E46738"/>
    <w:rsid w:val="00E50587"/>
    <w:rsid w:val="00E50A95"/>
    <w:rsid w:val="00E51071"/>
    <w:rsid w:val="00E510A4"/>
    <w:rsid w:val="00E53DA8"/>
    <w:rsid w:val="00E5437E"/>
    <w:rsid w:val="00E54AD2"/>
    <w:rsid w:val="00E55648"/>
    <w:rsid w:val="00E55F84"/>
    <w:rsid w:val="00E578D4"/>
    <w:rsid w:val="00E62B1D"/>
    <w:rsid w:val="00E63287"/>
    <w:rsid w:val="00E63634"/>
    <w:rsid w:val="00E64613"/>
    <w:rsid w:val="00E65DD1"/>
    <w:rsid w:val="00E66432"/>
    <w:rsid w:val="00E675AD"/>
    <w:rsid w:val="00E70270"/>
    <w:rsid w:val="00E70513"/>
    <w:rsid w:val="00E70DEB"/>
    <w:rsid w:val="00E73290"/>
    <w:rsid w:val="00E75E99"/>
    <w:rsid w:val="00E76540"/>
    <w:rsid w:val="00E77FCD"/>
    <w:rsid w:val="00E80092"/>
    <w:rsid w:val="00E8141C"/>
    <w:rsid w:val="00E85642"/>
    <w:rsid w:val="00E85A5B"/>
    <w:rsid w:val="00E86445"/>
    <w:rsid w:val="00E8691D"/>
    <w:rsid w:val="00E86D97"/>
    <w:rsid w:val="00E90B65"/>
    <w:rsid w:val="00E926E0"/>
    <w:rsid w:val="00E9384B"/>
    <w:rsid w:val="00E9447E"/>
    <w:rsid w:val="00E94B0A"/>
    <w:rsid w:val="00E9794C"/>
    <w:rsid w:val="00EA1365"/>
    <w:rsid w:val="00EA1B8F"/>
    <w:rsid w:val="00EA1F60"/>
    <w:rsid w:val="00EA1F94"/>
    <w:rsid w:val="00EA3529"/>
    <w:rsid w:val="00EA35D5"/>
    <w:rsid w:val="00EA4061"/>
    <w:rsid w:val="00EA44D3"/>
    <w:rsid w:val="00EA4863"/>
    <w:rsid w:val="00EA4A15"/>
    <w:rsid w:val="00EA4CC1"/>
    <w:rsid w:val="00EA6F5A"/>
    <w:rsid w:val="00EA7784"/>
    <w:rsid w:val="00EB0409"/>
    <w:rsid w:val="00EB3B5E"/>
    <w:rsid w:val="00EB430C"/>
    <w:rsid w:val="00EB4DC3"/>
    <w:rsid w:val="00EB5156"/>
    <w:rsid w:val="00EC223B"/>
    <w:rsid w:val="00EC339F"/>
    <w:rsid w:val="00EC33BF"/>
    <w:rsid w:val="00EC4E51"/>
    <w:rsid w:val="00ED5895"/>
    <w:rsid w:val="00ED5AD3"/>
    <w:rsid w:val="00EE2F5D"/>
    <w:rsid w:val="00EE4031"/>
    <w:rsid w:val="00EE4861"/>
    <w:rsid w:val="00EE5C5E"/>
    <w:rsid w:val="00EE6086"/>
    <w:rsid w:val="00EE6315"/>
    <w:rsid w:val="00EF053C"/>
    <w:rsid w:val="00EF13B7"/>
    <w:rsid w:val="00EF31A0"/>
    <w:rsid w:val="00EF68F4"/>
    <w:rsid w:val="00F0038C"/>
    <w:rsid w:val="00F01204"/>
    <w:rsid w:val="00F036BD"/>
    <w:rsid w:val="00F03D95"/>
    <w:rsid w:val="00F04C96"/>
    <w:rsid w:val="00F04D3A"/>
    <w:rsid w:val="00F056B9"/>
    <w:rsid w:val="00F05C02"/>
    <w:rsid w:val="00F071E3"/>
    <w:rsid w:val="00F113AA"/>
    <w:rsid w:val="00F13770"/>
    <w:rsid w:val="00F14866"/>
    <w:rsid w:val="00F14A8C"/>
    <w:rsid w:val="00F153DA"/>
    <w:rsid w:val="00F15B07"/>
    <w:rsid w:val="00F1693C"/>
    <w:rsid w:val="00F17242"/>
    <w:rsid w:val="00F2179C"/>
    <w:rsid w:val="00F23198"/>
    <w:rsid w:val="00F235A4"/>
    <w:rsid w:val="00F2528D"/>
    <w:rsid w:val="00F26716"/>
    <w:rsid w:val="00F27EE2"/>
    <w:rsid w:val="00F31475"/>
    <w:rsid w:val="00F31B4A"/>
    <w:rsid w:val="00F32C98"/>
    <w:rsid w:val="00F3359D"/>
    <w:rsid w:val="00F336B2"/>
    <w:rsid w:val="00F33B4F"/>
    <w:rsid w:val="00F36556"/>
    <w:rsid w:val="00F36E22"/>
    <w:rsid w:val="00F37DF2"/>
    <w:rsid w:val="00F42B8B"/>
    <w:rsid w:val="00F44AE3"/>
    <w:rsid w:val="00F46022"/>
    <w:rsid w:val="00F47FF5"/>
    <w:rsid w:val="00F530C1"/>
    <w:rsid w:val="00F5527C"/>
    <w:rsid w:val="00F56372"/>
    <w:rsid w:val="00F57033"/>
    <w:rsid w:val="00F60E66"/>
    <w:rsid w:val="00F61470"/>
    <w:rsid w:val="00F63AD0"/>
    <w:rsid w:val="00F659CE"/>
    <w:rsid w:val="00F70775"/>
    <w:rsid w:val="00F71588"/>
    <w:rsid w:val="00F767F5"/>
    <w:rsid w:val="00F8209F"/>
    <w:rsid w:val="00F82F41"/>
    <w:rsid w:val="00F83440"/>
    <w:rsid w:val="00F839A9"/>
    <w:rsid w:val="00F8402E"/>
    <w:rsid w:val="00F84CF0"/>
    <w:rsid w:val="00F84F89"/>
    <w:rsid w:val="00F852E5"/>
    <w:rsid w:val="00F85FD1"/>
    <w:rsid w:val="00F86718"/>
    <w:rsid w:val="00F87E22"/>
    <w:rsid w:val="00F90398"/>
    <w:rsid w:val="00F90BA3"/>
    <w:rsid w:val="00F91771"/>
    <w:rsid w:val="00F91DAE"/>
    <w:rsid w:val="00F946B1"/>
    <w:rsid w:val="00F96359"/>
    <w:rsid w:val="00F965AC"/>
    <w:rsid w:val="00F97DDC"/>
    <w:rsid w:val="00FA5427"/>
    <w:rsid w:val="00FA684C"/>
    <w:rsid w:val="00FA6BA3"/>
    <w:rsid w:val="00FB00BF"/>
    <w:rsid w:val="00FB0AD1"/>
    <w:rsid w:val="00FB2F99"/>
    <w:rsid w:val="00FB66E6"/>
    <w:rsid w:val="00FC073A"/>
    <w:rsid w:val="00FC12D7"/>
    <w:rsid w:val="00FC17A9"/>
    <w:rsid w:val="00FC1C6D"/>
    <w:rsid w:val="00FC1D1F"/>
    <w:rsid w:val="00FC2670"/>
    <w:rsid w:val="00FC5325"/>
    <w:rsid w:val="00FC5E64"/>
    <w:rsid w:val="00FC6532"/>
    <w:rsid w:val="00FD00C9"/>
    <w:rsid w:val="00FD0387"/>
    <w:rsid w:val="00FD0D42"/>
    <w:rsid w:val="00FD113C"/>
    <w:rsid w:val="00FD13BB"/>
    <w:rsid w:val="00FD147B"/>
    <w:rsid w:val="00FD17A6"/>
    <w:rsid w:val="00FD29C0"/>
    <w:rsid w:val="00FD3155"/>
    <w:rsid w:val="00FD3B27"/>
    <w:rsid w:val="00FD3D69"/>
    <w:rsid w:val="00FD43F8"/>
    <w:rsid w:val="00FD5EDD"/>
    <w:rsid w:val="00FD68C6"/>
    <w:rsid w:val="00FD7C60"/>
    <w:rsid w:val="00FD7DD6"/>
    <w:rsid w:val="00FE0EFA"/>
    <w:rsid w:val="00FE15C0"/>
    <w:rsid w:val="00FE279C"/>
    <w:rsid w:val="00FE3BEB"/>
    <w:rsid w:val="00FE3DBD"/>
    <w:rsid w:val="00FE6662"/>
    <w:rsid w:val="00FE6F56"/>
    <w:rsid w:val="00FF08F6"/>
    <w:rsid w:val="00FF1197"/>
    <w:rsid w:val="00FF11FB"/>
    <w:rsid w:val="00FF1495"/>
    <w:rsid w:val="00FF178F"/>
    <w:rsid w:val="00FF263F"/>
    <w:rsid w:val="00FF2D2B"/>
    <w:rsid w:val="00FF3C3E"/>
    <w:rsid w:val="00FF5704"/>
    <w:rsid w:val="06C80966"/>
    <w:rsid w:val="0ACF1886"/>
    <w:rsid w:val="18031D95"/>
    <w:rsid w:val="1A632C0C"/>
    <w:rsid w:val="1BB85CB8"/>
    <w:rsid w:val="2A3458EC"/>
    <w:rsid w:val="3E997B5D"/>
    <w:rsid w:val="411512B3"/>
    <w:rsid w:val="452A2CE6"/>
    <w:rsid w:val="52A25FA4"/>
    <w:rsid w:val="532B74AA"/>
    <w:rsid w:val="5F68269D"/>
    <w:rsid w:val="68874E63"/>
    <w:rsid w:val="6FDA10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1D88F29"/>
  <w15:docId w15:val="{6B4937E4-31D9-4D78-A7ED-9F0A58DF2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qFormat/>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3"/>
    <w:basedOn w:val="a"/>
    <w:next w:val="a"/>
    <w:link w:val="30"/>
    <w:uiPriority w:val="9"/>
    <w:unhideWhenUsed/>
    <w:qFormat/>
    <w:pPr>
      <w:keepNext/>
      <w:keepLines/>
      <w:spacing w:before="260" w:after="260" w:line="416" w:lineRule="auto"/>
      <w:outlineLvl w:val="2"/>
    </w:pPr>
    <w:rPr>
      <w:rFonts w:asciiTheme="minorHAnsi" w:eastAsiaTheme="minorEastAsia" w:hAnsiTheme="minorHAnsi" w:cstheme="minorBidi"/>
      <w:b/>
      <w:bCs/>
      <w:sz w:val="32"/>
      <w:szCs w:val="32"/>
    </w:rPr>
  </w:style>
  <w:style w:type="paragraph" w:styleId="4">
    <w:name w:val="heading 4"/>
    <w:basedOn w:val="a"/>
    <w:next w:val="a"/>
    <w:link w:val="40"/>
    <w:uiPriority w:val="9"/>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semiHidden/>
    <w:unhideWhenUsed/>
    <w:qFormat/>
    <w:pPr>
      <w:keepNext/>
      <w:keepLines/>
      <w:spacing w:before="280" w:after="290" w:line="376" w:lineRule="auto"/>
      <w:outlineLvl w:val="4"/>
    </w:pPr>
    <w:rPr>
      <w:rFonts w:asciiTheme="minorHAnsi" w:eastAsiaTheme="minorEastAsia" w:hAnsiTheme="minorHAnsi" w:cstheme="minorBidi"/>
      <w:b/>
      <w:bCs/>
      <w:sz w:val="28"/>
      <w:szCs w:val="28"/>
    </w:rPr>
  </w:style>
  <w:style w:type="paragraph" w:styleId="6">
    <w:name w:val="heading 6"/>
    <w:basedOn w:val="a"/>
    <w:next w:val="a"/>
    <w:link w:val="60"/>
    <w:uiPriority w:val="9"/>
    <w:semiHidden/>
    <w:unhideWhenUsed/>
    <w:qFormat/>
    <w:pPr>
      <w:keepNext/>
      <w:keepLines/>
      <w:spacing w:before="240" w:after="64" w:line="320" w:lineRule="auto"/>
      <w:outlineLvl w:val="5"/>
    </w:pPr>
    <w:rPr>
      <w:rFonts w:asciiTheme="majorHAnsi" w:eastAsiaTheme="majorEastAsia" w:hAnsiTheme="majorHAnsi" w:cstheme="majorBidi"/>
      <w:b/>
      <w:b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pPr>
      <w:autoSpaceDE w:val="0"/>
      <w:autoSpaceDN w:val="0"/>
      <w:jc w:val="left"/>
    </w:pPr>
    <w:rPr>
      <w:rFonts w:eastAsia="Times New Roman"/>
      <w:kern w:val="0"/>
      <w:sz w:val="17"/>
      <w:szCs w:val="17"/>
      <w:lang w:eastAsia="en-US" w:bidi="en-US"/>
    </w:rPr>
  </w:style>
  <w:style w:type="paragraph" w:styleId="a5">
    <w:name w:val="Date"/>
    <w:basedOn w:val="a"/>
    <w:next w:val="a"/>
    <w:link w:val="a6"/>
    <w:uiPriority w:val="99"/>
    <w:semiHidden/>
    <w:unhideWhenUsed/>
    <w:qFormat/>
    <w:pPr>
      <w:ind w:leftChars="2500" w:left="100"/>
    </w:pPr>
  </w:style>
  <w:style w:type="paragraph" w:styleId="21">
    <w:name w:val="Body Text Indent 2"/>
    <w:basedOn w:val="a"/>
    <w:link w:val="22"/>
    <w:uiPriority w:val="99"/>
    <w:semiHidden/>
    <w:unhideWhenUsed/>
    <w:qFormat/>
    <w:pPr>
      <w:spacing w:after="120" w:line="480" w:lineRule="auto"/>
      <w:ind w:leftChars="200" w:left="420"/>
    </w:p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TOC1">
    <w:name w:val="toc 1"/>
    <w:basedOn w:val="a"/>
    <w:next w:val="a"/>
    <w:uiPriority w:val="39"/>
    <w:unhideWhenUsed/>
    <w:pPr>
      <w:tabs>
        <w:tab w:val="right" w:leader="dot" w:pos="9402"/>
      </w:tabs>
      <w:spacing w:line="360" w:lineRule="auto"/>
    </w:pPr>
    <w:rPr>
      <w:rFonts w:eastAsia="黑体"/>
      <w:b/>
      <w:bCs/>
    </w:rPr>
  </w:style>
  <w:style w:type="paragraph" w:styleId="TOC2">
    <w:name w:val="toc 2"/>
    <w:basedOn w:val="a"/>
    <w:next w:val="a"/>
    <w:uiPriority w:val="39"/>
    <w:unhideWhenUsed/>
    <w:pPr>
      <w:tabs>
        <w:tab w:val="right" w:leader="dot" w:pos="9402"/>
      </w:tabs>
      <w:ind w:leftChars="200" w:left="420"/>
    </w:pPr>
    <w:rPr>
      <w:rFonts w:ascii="黑体" w:eastAsia="黑体" w:hAnsi="黑体"/>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color w:val="000000"/>
      <w:kern w:val="0"/>
      <w:sz w:val="20"/>
      <w:szCs w:val="20"/>
    </w:rPr>
  </w:style>
  <w:style w:type="paragraph" w:styleId="ad">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table" w:styleId="ae">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uiPriority w:val="22"/>
    <w:qFormat/>
    <w:rPr>
      <w:b/>
      <w:bCs/>
    </w:rPr>
  </w:style>
  <w:style w:type="character" w:styleId="af0">
    <w:name w:val="FollowedHyperlink"/>
    <w:basedOn w:val="a0"/>
    <w:uiPriority w:val="99"/>
    <w:semiHidden/>
    <w:unhideWhenUsed/>
    <w:qFormat/>
    <w:rPr>
      <w:color w:val="800080"/>
      <w:u w:val="single"/>
    </w:rPr>
  </w:style>
  <w:style w:type="character" w:styleId="af1">
    <w:name w:val="Emphasis"/>
    <w:basedOn w:val="a0"/>
    <w:uiPriority w:val="20"/>
    <w:qFormat/>
    <w:rPr>
      <w:i/>
      <w:iCs/>
    </w:rPr>
  </w:style>
  <w:style w:type="character" w:styleId="af2">
    <w:name w:val="Hyperlink"/>
    <w:basedOn w:val="a0"/>
    <w:uiPriority w:val="99"/>
    <w:unhideWhenUsed/>
    <w:qFormat/>
    <w:rPr>
      <w:color w:val="0000FF"/>
      <w:u w:val="single"/>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uiPriority w:val="9"/>
    <w:qFormat/>
    <w:rPr>
      <w:rFonts w:ascii="宋体" w:eastAsia="宋体" w:hAnsi="宋体" w:cs="宋体"/>
      <w:b/>
      <w:bCs/>
      <w:kern w:val="0"/>
      <w:sz w:val="36"/>
      <w:szCs w:val="36"/>
    </w:rPr>
  </w:style>
  <w:style w:type="character" w:customStyle="1" w:styleId="30">
    <w:name w:val="标题 3 字符"/>
    <w:basedOn w:val="a0"/>
    <w:link w:val="3"/>
    <w:uiPriority w:val="9"/>
    <w:qFormat/>
    <w:rPr>
      <w:b/>
      <w:bCs/>
      <w:sz w:val="32"/>
      <w:szCs w:val="32"/>
    </w:rPr>
  </w:style>
  <w:style w:type="character" w:customStyle="1" w:styleId="40">
    <w:name w:val="标题 4 字符"/>
    <w:basedOn w:val="a0"/>
    <w:link w:val="4"/>
    <w:uiPriority w:val="9"/>
    <w:qFormat/>
    <w:rPr>
      <w:rFonts w:asciiTheme="majorHAnsi" w:eastAsiaTheme="majorEastAsia" w:hAnsiTheme="majorHAnsi" w:cstheme="majorBidi"/>
      <w:b/>
      <w:bCs/>
      <w:sz w:val="28"/>
      <w:szCs w:val="28"/>
    </w:rPr>
  </w:style>
  <w:style w:type="character" w:customStyle="1" w:styleId="50">
    <w:name w:val="标题 5 字符"/>
    <w:basedOn w:val="a0"/>
    <w:link w:val="5"/>
    <w:uiPriority w:val="9"/>
    <w:semiHidden/>
    <w:qFormat/>
    <w:rPr>
      <w:b/>
      <w:bCs/>
      <w:sz w:val="28"/>
      <w:szCs w:val="28"/>
    </w:rPr>
  </w:style>
  <w:style w:type="character" w:customStyle="1" w:styleId="60">
    <w:name w:val="标题 6 字符"/>
    <w:basedOn w:val="a0"/>
    <w:link w:val="6"/>
    <w:uiPriority w:val="9"/>
    <w:semiHidden/>
    <w:qFormat/>
    <w:rPr>
      <w:rFonts w:asciiTheme="majorHAnsi" w:eastAsiaTheme="majorEastAsia" w:hAnsiTheme="majorHAnsi" w:cstheme="majorBidi"/>
      <w:b/>
      <w:bCs/>
      <w:sz w:val="24"/>
      <w:szCs w:val="24"/>
    </w:rPr>
  </w:style>
  <w:style w:type="character" w:customStyle="1" w:styleId="ac">
    <w:name w:val="页眉 字符"/>
    <w:basedOn w:val="a0"/>
    <w:link w:val="ab"/>
    <w:uiPriority w:val="99"/>
    <w:qFormat/>
    <w:rPr>
      <w:sz w:val="18"/>
      <w:szCs w:val="18"/>
    </w:rPr>
  </w:style>
  <w:style w:type="character" w:customStyle="1" w:styleId="aa">
    <w:name w:val="页脚 字符"/>
    <w:basedOn w:val="a0"/>
    <w:link w:val="a9"/>
    <w:uiPriority w:val="99"/>
    <w:qFormat/>
    <w:rPr>
      <w:sz w:val="18"/>
      <w:szCs w:val="18"/>
    </w:rPr>
  </w:style>
  <w:style w:type="character" w:customStyle="1" w:styleId="a8">
    <w:name w:val="批注框文本 字符"/>
    <w:basedOn w:val="a0"/>
    <w:link w:val="a7"/>
    <w:uiPriority w:val="99"/>
    <w:semiHidden/>
    <w:qFormat/>
    <w:rPr>
      <w:rFonts w:ascii="Times New Roman" w:eastAsia="宋体" w:hAnsi="Times New Roman" w:cs="Times New Roman"/>
      <w:sz w:val="18"/>
      <w:szCs w:val="18"/>
    </w:rPr>
  </w:style>
  <w:style w:type="character" w:customStyle="1" w:styleId="apple-converted-space">
    <w:name w:val="apple-converted-space"/>
    <w:basedOn w:val="a0"/>
    <w:qFormat/>
  </w:style>
  <w:style w:type="paragraph" w:styleId="af3">
    <w:name w:val="List Paragraph"/>
    <w:basedOn w:val="a"/>
    <w:uiPriority w:val="34"/>
    <w:qFormat/>
    <w:pPr>
      <w:ind w:firstLineChars="200" w:firstLine="420"/>
    </w:pPr>
    <w:rPr>
      <w:rFonts w:asciiTheme="minorHAnsi" w:eastAsiaTheme="minorEastAsia" w:hAnsiTheme="minorHAnsi" w:cstheme="minorBidi"/>
      <w:szCs w:val="22"/>
    </w:rPr>
  </w:style>
  <w:style w:type="paragraph" w:customStyle="1" w:styleId="article-author">
    <w:name w:val="article-author"/>
    <w:basedOn w:val="a"/>
    <w:qFormat/>
    <w:pPr>
      <w:widowControl/>
      <w:spacing w:before="100" w:beforeAutospacing="1" w:after="100" w:afterAutospacing="1"/>
      <w:jc w:val="left"/>
    </w:pPr>
    <w:rPr>
      <w:rFonts w:ascii="宋体" w:hAnsi="宋体" w:cs="宋体"/>
      <w:kern w:val="0"/>
      <w:sz w:val="24"/>
    </w:rPr>
  </w:style>
  <w:style w:type="paragraph" w:customStyle="1" w:styleId="article-info-en">
    <w:name w:val="article-info-en"/>
    <w:basedOn w:val="a"/>
    <w:qFormat/>
    <w:pPr>
      <w:widowControl/>
      <w:spacing w:before="100" w:beforeAutospacing="1" w:after="100" w:afterAutospacing="1"/>
      <w:jc w:val="left"/>
    </w:pPr>
    <w:rPr>
      <w:rFonts w:ascii="宋体" w:hAnsi="宋体" w:cs="宋体"/>
      <w:kern w:val="0"/>
      <w:sz w:val="24"/>
    </w:rPr>
  </w:style>
  <w:style w:type="character" w:customStyle="1" w:styleId="xref">
    <w:name w:val="xref"/>
    <w:basedOn w:val="a0"/>
    <w:qFormat/>
  </w:style>
  <w:style w:type="character" w:customStyle="1" w:styleId="sec-title">
    <w:name w:val="sec-title"/>
    <w:basedOn w:val="a0"/>
    <w:qFormat/>
  </w:style>
  <w:style w:type="character" w:customStyle="1" w:styleId="tabletext">
    <w:name w:val="tabletext"/>
    <w:basedOn w:val="a0"/>
    <w:qFormat/>
  </w:style>
  <w:style w:type="character" w:customStyle="1" w:styleId="figtext">
    <w:name w:val="figtext"/>
    <w:basedOn w:val="a0"/>
    <w:qFormat/>
  </w:style>
  <w:style w:type="paragraph" w:customStyle="1" w:styleId="imgtit">
    <w:name w:val="img_tit"/>
    <w:basedOn w:val="a"/>
    <w:qFormat/>
    <w:pPr>
      <w:widowControl/>
      <w:spacing w:before="100" w:beforeAutospacing="1" w:after="100" w:afterAutospacing="1"/>
      <w:jc w:val="left"/>
    </w:pPr>
    <w:rPr>
      <w:rFonts w:ascii="宋体" w:hAnsi="宋体" w:cs="宋体"/>
      <w:kern w:val="0"/>
      <w:sz w:val="24"/>
    </w:rPr>
  </w:style>
  <w:style w:type="paragraph" w:customStyle="1" w:styleId="imgnote">
    <w:name w:val="img_note"/>
    <w:basedOn w:val="a"/>
    <w:qFormat/>
    <w:pPr>
      <w:widowControl/>
      <w:spacing w:before="100" w:beforeAutospacing="1" w:after="100" w:afterAutospacing="1"/>
      <w:jc w:val="left"/>
    </w:pPr>
    <w:rPr>
      <w:rFonts w:ascii="宋体" w:hAnsi="宋体" w:cs="宋体"/>
      <w:kern w:val="0"/>
      <w:sz w:val="24"/>
    </w:rPr>
  </w:style>
  <w:style w:type="character" w:customStyle="1" w:styleId="richmediameta">
    <w:name w:val="rich_media_meta"/>
    <w:basedOn w:val="a0"/>
    <w:qFormat/>
  </w:style>
  <w:style w:type="character" w:customStyle="1" w:styleId="keys">
    <w:name w:val="keys"/>
    <w:basedOn w:val="a0"/>
    <w:qFormat/>
  </w:style>
  <w:style w:type="character" w:customStyle="1" w:styleId="Char">
    <w:name w:val="续段落 Char"/>
    <w:link w:val="af4"/>
    <w:qFormat/>
    <w:rPr>
      <w:rFonts w:eastAsia="仿宋_GB2312"/>
      <w:color w:val="000000"/>
      <w:sz w:val="28"/>
      <w:szCs w:val="28"/>
    </w:rPr>
  </w:style>
  <w:style w:type="paragraph" w:customStyle="1" w:styleId="af4">
    <w:name w:val="续段落"/>
    <w:basedOn w:val="a"/>
    <w:link w:val="Char"/>
    <w:qFormat/>
    <w:pPr>
      <w:spacing w:line="500" w:lineRule="exact"/>
      <w:ind w:firstLine="561"/>
    </w:pPr>
    <w:rPr>
      <w:rFonts w:asciiTheme="minorHAnsi" w:eastAsia="仿宋_GB2312" w:hAnsiTheme="minorHAnsi" w:cstheme="minorBidi"/>
      <w:color w:val="000000"/>
      <w:sz w:val="28"/>
      <w:szCs w:val="28"/>
    </w:rPr>
  </w:style>
  <w:style w:type="character" w:customStyle="1" w:styleId="keytitle">
    <w:name w:val="key_title"/>
    <w:basedOn w:val="a0"/>
    <w:qFormat/>
  </w:style>
  <w:style w:type="character" w:customStyle="1" w:styleId="keyword">
    <w:name w:val="keyword"/>
    <w:basedOn w:val="a0"/>
    <w:qFormat/>
  </w:style>
  <w:style w:type="character" w:customStyle="1" w:styleId="paragraphtitle">
    <w:name w:val="paragraph_title"/>
    <w:basedOn w:val="a0"/>
    <w:qFormat/>
  </w:style>
  <w:style w:type="character" w:customStyle="1" w:styleId="11">
    <w:name w:val="题注1"/>
    <w:basedOn w:val="a0"/>
    <w:qFormat/>
  </w:style>
  <w:style w:type="character" w:customStyle="1" w:styleId="outlineanchor">
    <w:name w:val="outline_anchor"/>
    <w:basedOn w:val="a0"/>
    <w:qFormat/>
  </w:style>
  <w:style w:type="character" w:customStyle="1" w:styleId="z-">
    <w:name w:val="z-窗体顶端 字符"/>
    <w:basedOn w:val="a0"/>
    <w:link w:val="z-1"/>
    <w:uiPriority w:val="99"/>
    <w:semiHidden/>
    <w:qFormat/>
    <w:rPr>
      <w:rFonts w:ascii="Arial" w:eastAsia="宋体" w:hAnsi="Arial" w:cs="Arial"/>
      <w:vanish/>
      <w:kern w:val="0"/>
      <w:sz w:val="16"/>
      <w:szCs w:val="16"/>
    </w:rPr>
  </w:style>
  <w:style w:type="paragraph" w:customStyle="1" w:styleId="z-1">
    <w:name w:val="z-窗体顶端1"/>
    <w:basedOn w:val="a"/>
    <w:next w:val="a"/>
    <w:link w:val="z-"/>
    <w:uiPriority w:val="99"/>
    <w:semiHidden/>
    <w:unhideWhenUsed/>
    <w:qFormat/>
    <w:pPr>
      <w:widowControl/>
      <w:pBdr>
        <w:bottom w:val="single" w:sz="6" w:space="1" w:color="auto"/>
      </w:pBdr>
      <w:jc w:val="center"/>
    </w:pPr>
    <w:rPr>
      <w:rFonts w:ascii="Arial" w:hAnsi="Arial" w:cs="Arial"/>
      <w:vanish/>
      <w:kern w:val="0"/>
      <w:sz w:val="16"/>
      <w:szCs w:val="16"/>
    </w:rPr>
  </w:style>
  <w:style w:type="character" w:customStyle="1" w:styleId="z-Char1">
    <w:name w:val="z-窗体顶端 Char1"/>
    <w:basedOn w:val="a0"/>
    <w:uiPriority w:val="99"/>
    <w:semiHidden/>
    <w:qFormat/>
    <w:rPr>
      <w:rFonts w:ascii="Arial" w:eastAsia="宋体" w:hAnsi="Arial" w:cs="Arial"/>
      <w:vanish/>
      <w:sz w:val="16"/>
      <w:szCs w:val="16"/>
    </w:rPr>
  </w:style>
  <w:style w:type="character" w:customStyle="1" w:styleId="z-0">
    <w:name w:val="z-窗体底端 字符"/>
    <w:basedOn w:val="a0"/>
    <w:link w:val="z-10"/>
    <w:uiPriority w:val="99"/>
    <w:semiHidden/>
    <w:qFormat/>
    <w:rPr>
      <w:rFonts w:ascii="Arial" w:eastAsia="宋体" w:hAnsi="Arial" w:cs="Arial"/>
      <w:vanish/>
      <w:kern w:val="0"/>
      <w:sz w:val="16"/>
      <w:szCs w:val="16"/>
    </w:rPr>
  </w:style>
  <w:style w:type="paragraph" w:customStyle="1" w:styleId="z-10">
    <w:name w:val="z-窗体底端1"/>
    <w:basedOn w:val="a"/>
    <w:next w:val="a"/>
    <w:link w:val="z-0"/>
    <w:uiPriority w:val="99"/>
    <w:semiHidden/>
    <w:unhideWhenUsed/>
    <w:qFormat/>
    <w:pPr>
      <w:widowControl/>
      <w:pBdr>
        <w:top w:val="single" w:sz="6" w:space="1" w:color="auto"/>
      </w:pBdr>
      <w:jc w:val="center"/>
    </w:pPr>
    <w:rPr>
      <w:rFonts w:ascii="Arial" w:hAnsi="Arial" w:cs="Arial"/>
      <w:vanish/>
      <w:kern w:val="0"/>
      <w:sz w:val="16"/>
      <w:szCs w:val="16"/>
    </w:rPr>
  </w:style>
  <w:style w:type="character" w:customStyle="1" w:styleId="z-Char10">
    <w:name w:val="z-窗体底端 Char1"/>
    <w:basedOn w:val="a0"/>
    <w:uiPriority w:val="99"/>
    <w:semiHidden/>
    <w:qFormat/>
    <w:rPr>
      <w:rFonts w:ascii="Arial" w:eastAsia="宋体" w:hAnsi="Arial" w:cs="Arial"/>
      <w:vanish/>
      <w:sz w:val="16"/>
      <w:szCs w:val="16"/>
    </w:rPr>
  </w:style>
  <w:style w:type="paragraph" w:customStyle="1" w:styleId="reader-word-layerreader-word-s2-16">
    <w:name w:val="reader-word-layer reader-word-s2-16"/>
    <w:basedOn w:val="a"/>
    <w:qFormat/>
    <w:pPr>
      <w:widowControl/>
      <w:spacing w:before="100" w:beforeAutospacing="1" w:after="100" w:afterAutospacing="1"/>
      <w:jc w:val="left"/>
    </w:pPr>
    <w:rPr>
      <w:rFonts w:ascii="宋体" w:hAnsi="宋体" w:cs="宋体"/>
      <w:kern w:val="0"/>
      <w:sz w:val="24"/>
    </w:rPr>
  </w:style>
  <w:style w:type="character" w:customStyle="1" w:styleId="bjh-p">
    <w:name w:val="bjh-p"/>
    <w:basedOn w:val="a0"/>
    <w:qFormat/>
  </w:style>
  <w:style w:type="character" w:customStyle="1" w:styleId="bjh-strong">
    <w:name w:val="bjh-strong"/>
    <w:basedOn w:val="a0"/>
    <w:qFormat/>
  </w:style>
  <w:style w:type="character" w:customStyle="1" w:styleId="authorcn">
    <w:name w:val="author_cn"/>
    <w:basedOn w:val="a0"/>
    <w:qFormat/>
  </w:style>
  <w:style w:type="character" w:customStyle="1" w:styleId="authoren">
    <w:name w:val="author_en"/>
    <w:basedOn w:val="a0"/>
    <w:qFormat/>
  </w:style>
  <w:style w:type="character" w:customStyle="1" w:styleId="23">
    <w:name w:val="题注2"/>
    <w:basedOn w:val="a0"/>
    <w:qFormat/>
  </w:style>
  <w:style w:type="character" w:customStyle="1" w:styleId="tabtext">
    <w:name w:val="tabtext"/>
    <w:basedOn w:val="a0"/>
    <w:qFormat/>
  </w:style>
  <w:style w:type="character" w:customStyle="1" w:styleId="mathjaxpreview">
    <w:name w:val="mathjax_preview"/>
    <w:basedOn w:val="a0"/>
    <w:qFormat/>
  </w:style>
  <w:style w:type="character" w:customStyle="1" w:styleId="mathjax">
    <w:name w:val="mathjax"/>
    <w:basedOn w:val="a0"/>
    <w:qFormat/>
  </w:style>
  <w:style w:type="character" w:customStyle="1" w:styleId="math">
    <w:name w:val="math"/>
    <w:basedOn w:val="a0"/>
    <w:qFormat/>
  </w:style>
  <w:style w:type="character" w:customStyle="1" w:styleId="mrow">
    <w:name w:val="mrow"/>
    <w:basedOn w:val="a0"/>
    <w:qFormat/>
  </w:style>
  <w:style w:type="character" w:customStyle="1" w:styleId="mtable">
    <w:name w:val="mtable"/>
    <w:basedOn w:val="a0"/>
    <w:qFormat/>
  </w:style>
  <w:style w:type="character" w:customStyle="1" w:styleId="mtd">
    <w:name w:val="mtd"/>
    <w:basedOn w:val="a0"/>
    <w:qFormat/>
  </w:style>
  <w:style w:type="character" w:customStyle="1" w:styleId="texatom">
    <w:name w:val="texatom"/>
    <w:basedOn w:val="a0"/>
    <w:qFormat/>
  </w:style>
  <w:style w:type="character" w:customStyle="1" w:styleId="mi">
    <w:name w:val="mi"/>
    <w:basedOn w:val="a0"/>
    <w:qFormat/>
  </w:style>
  <w:style w:type="character" w:customStyle="1" w:styleId="mo">
    <w:name w:val="mo"/>
    <w:basedOn w:val="a0"/>
    <w:qFormat/>
  </w:style>
  <w:style w:type="character" w:customStyle="1" w:styleId="msubsup">
    <w:name w:val="msubsup"/>
    <w:basedOn w:val="a0"/>
    <w:qFormat/>
  </w:style>
  <w:style w:type="character" w:customStyle="1" w:styleId="mn">
    <w:name w:val="mn"/>
    <w:basedOn w:val="a0"/>
    <w:qFormat/>
  </w:style>
  <w:style w:type="character" w:customStyle="1" w:styleId="mjxassistivemathml">
    <w:name w:val="mjx_assistive_mathml"/>
    <w:basedOn w:val="a0"/>
    <w:qFormat/>
  </w:style>
  <w:style w:type="character" w:customStyle="1" w:styleId="a6">
    <w:name w:val="日期 字符"/>
    <w:basedOn w:val="a0"/>
    <w:link w:val="a5"/>
    <w:uiPriority w:val="99"/>
    <w:semiHidden/>
    <w:qFormat/>
    <w:rPr>
      <w:rFonts w:ascii="Times New Roman" w:eastAsia="宋体" w:hAnsi="Times New Roman" w:cs="Times New Roman"/>
      <w:szCs w:val="24"/>
    </w:rPr>
  </w:style>
  <w:style w:type="paragraph" w:customStyle="1" w:styleId="msonormal0">
    <w:name w:val="msonormal"/>
    <w:basedOn w:val="a"/>
    <w:qFormat/>
    <w:pPr>
      <w:widowControl/>
      <w:spacing w:before="100" w:beforeAutospacing="1" w:after="100" w:afterAutospacing="1"/>
      <w:jc w:val="left"/>
    </w:pPr>
    <w:rPr>
      <w:rFonts w:ascii="宋体" w:hAnsi="宋体" w:cs="宋体"/>
      <w:kern w:val="0"/>
      <w:sz w:val="24"/>
    </w:rPr>
  </w:style>
  <w:style w:type="paragraph" w:customStyle="1" w:styleId="customunionstyle">
    <w:name w:val="custom_unionstyle"/>
    <w:basedOn w:val="a"/>
    <w:qFormat/>
    <w:pPr>
      <w:widowControl/>
      <w:spacing w:before="100" w:beforeAutospacing="1" w:after="100" w:afterAutospacing="1"/>
      <w:jc w:val="left"/>
    </w:pPr>
    <w:rPr>
      <w:rFonts w:ascii="宋体" w:hAnsi="宋体" w:cs="宋体"/>
      <w:kern w:val="0"/>
      <w:sz w:val="24"/>
    </w:rPr>
  </w:style>
  <w:style w:type="paragraph" w:customStyle="1" w:styleId="li-pdf">
    <w:name w:val="li-pdf"/>
    <w:basedOn w:val="a"/>
    <w:qFormat/>
    <w:pPr>
      <w:widowControl/>
      <w:spacing w:before="100" w:beforeAutospacing="1" w:after="100" w:afterAutospacing="1"/>
      <w:jc w:val="left"/>
    </w:pPr>
    <w:rPr>
      <w:rFonts w:ascii="宋体" w:hAnsi="宋体" w:cs="宋体"/>
      <w:kern w:val="0"/>
      <w:sz w:val="24"/>
    </w:rPr>
  </w:style>
  <w:style w:type="paragraph" w:customStyle="1" w:styleId="li-excel">
    <w:name w:val="li-excel"/>
    <w:basedOn w:val="a"/>
    <w:qFormat/>
    <w:pPr>
      <w:widowControl/>
      <w:spacing w:before="100" w:beforeAutospacing="1" w:after="100" w:afterAutospacing="1"/>
      <w:jc w:val="left"/>
    </w:pPr>
    <w:rPr>
      <w:rFonts w:ascii="宋体" w:hAnsi="宋体" w:cs="宋体"/>
      <w:kern w:val="0"/>
      <w:sz w:val="24"/>
    </w:rPr>
  </w:style>
  <w:style w:type="paragraph" w:customStyle="1" w:styleId="li-xml">
    <w:name w:val="li-xml"/>
    <w:basedOn w:val="a"/>
    <w:qFormat/>
    <w:pPr>
      <w:widowControl/>
      <w:spacing w:before="100" w:beforeAutospacing="1" w:after="100" w:afterAutospacing="1"/>
      <w:jc w:val="left"/>
    </w:pPr>
    <w:rPr>
      <w:rFonts w:ascii="宋体" w:hAnsi="宋体" w:cs="宋体"/>
      <w:kern w:val="0"/>
      <w:sz w:val="24"/>
    </w:rPr>
  </w:style>
  <w:style w:type="character" w:customStyle="1" w:styleId="maincolor">
    <w:name w:val="maincolor"/>
    <w:basedOn w:val="a0"/>
    <w:qFormat/>
  </w:style>
  <w:style w:type="paragraph" w:customStyle="1" w:styleId="articleceiltitle">
    <w:name w:val="article_ceil_title"/>
    <w:basedOn w:val="a"/>
    <w:qFormat/>
    <w:pPr>
      <w:widowControl/>
      <w:spacing w:before="100" w:beforeAutospacing="1" w:after="100" w:afterAutospacing="1"/>
      <w:jc w:val="left"/>
    </w:pPr>
    <w:rPr>
      <w:rFonts w:ascii="宋体" w:hAnsi="宋体" w:cs="宋体"/>
      <w:kern w:val="0"/>
      <w:sz w:val="24"/>
    </w:rPr>
  </w:style>
  <w:style w:type="paragraph" w:customStyle="1" w:styleId="articleceilauthor">
    <w:name w:val="article_ceil_author"/>
    <w:basedOn w:val="a"/>
    <w:qFormat/>
    <w:pPr>
      <w:widowControl/>
      <w:spacing w:before="100" w:beforeAutospacing="1" w:after="100" w:afterAutospacing="1"/>
      <w:jc w:val="left"/>
    </w:pPr>
    <w:rPr>
      <w:rFonts w:ascii="宋体" w:hAnsi="宋体" w:cs="宋体"/>
      <w:kern w:val="0"/>
      <w:sz w:val="24"/>
    </w:rPr>
  </w:style>
  <w:style w:type="paragraph" w:customStyle="1" w:styleId="articletoolli1">
    <w:name w:val="articletool_li1"/>
    <w:basedOn w:val="a"/>
    <w:qFormat/>
    <w:pPr>
      <w:widowControl/>
      <w:spacing w:before="100" w:beforeAutospacing="1" w:after="100" w:afterAutospacing="1"/>
      <w:jc w:val="left"/>
    </w:pPr>
    <w:rPr>
      <w:rFonts w:ascii="宋体" w:hAnsi="宋体" w:cs="宋体"/>
      <w:kern w:val="0"/>
      <w:sz w:val="24"/>
    </w:rPr>
  </w:style>
  <w:style w:type="paragraph" w:customStyle="1" w:styleId="articletoolli2">
    <w:name w:val="articletool_li2"/>
    <w:basedOn w:val="a"/>
    <w:qFormat/>
    <w:pPr>
      <w:widowControl/>
      <w:spacing w:before="100" w:beforeAutospacing="1" w:after="100" w:afterAutospacing="1"/>
      <w:jc w:val="left"/>
    </w:pPr>
    <w:rPr>
      <w:rFonts w:ascii="宋体" w:hAnsi="宋体" w:cs="宋体"/>
      <w:kern w:val="0"/>
      <w:sz w:val="24"/>
    </w:rPr>
  </w:style>
  <w:style w:type="paragraph" w:customStyle="1" w:styleId="articletoolli3">
    <w:name w:val="articletool_li3"/>
    <w:basedOn w:val="a"/>
    <w:qFormat/>
    <w:pPr>
      <w:widowControl/>
      <w:spacing w:before="100" w:beforeAutospacing="1" w:after="100" w:afterAutospacing="1"/>
      <w:jc w:val="left"/>
    </w:pPr>
    <w:rPr>
      <w:rFonts w:ascii="宋体" w:hAnsi="宋体" w:cs="宋体"/>
      <w:kern w:val="0"/>
      <w:sz w:val="24"/>
    </w:rPr>
  </w:style>
  <w:style w:type="paragraph" w:customStyle="1" w:styleId="figtabspan">
    <w:name w:val="figtabspan"/>
    <w:basedOn w:val="a"/>
    <w:qFormat/>
    <w:pPr>
      <w:widowControl/>
      <w:spacing w:before="100" w:beforeAutospacing="1" w:after="100" w:afterAutospacing="1"/>
      <w:jc w:val="left"/>
    </w:pPr>
    <w:rPr>
      <w:rFonts w:ascii="宋体" w:hAnsi="宋体" w:cs="宋体"/>
      <w:kern w:val="0"/>
      <w:sz w:val="24"/>
    </w:rPr>
  </w:style>
  <w:style w:type="character" w:customStyle="1" w:styleId="info">
    <w:name w:val="info"/>
    <w:basedOn w:val="a0"/>
    <w:qFormat/>
  </w:style>
  <w:style w:type="character" w:customStyle="1" w:styleId="infoen">
    <w:name w:val="infoen"/>
    <w:basedOn w:val="a0"/>
    <w:qFormat/>
  </w:style>
  <w:style w:type="character" w:customStyle="1" w:styleId="richmediametalink">
    <w:name w:val="rich_media_meta_link"/>
    <w:basedOn w:val="a0"/>
    <w:qFormat/>
  </w:style>
  <w:style w:type="character" w:customStyle="1" w:styleId="source">
    <w:name w:val="source"/>
    <w:basedOn w:val="a0"/>
    <w:qFormat/>
  </w:style>
  <w:style w:type="paragraph" w:customStyle="1" w:styleId="one-p">
    <w:name w:val="one-p"/>
    <w:basedOn w:val="a"/>
    <w:qFormat/>
    <w:pPr>
      <w:widowControl/>
      <w:spacing w:before="100" w:beforeAutospacing="1" w:after="100" w:afterAutospacing="1"/>
      <w:jc w:val="left"/>
    </w:pPr>
    <w:rPr>
      <w:rFonts w:ascii="宋体" w:hAnsi="宋体" w:cs="宋体"/>
      <w:kern w:val="0"/>
      <w:sz w:val="24"/>
    </w:rPr>
  </w:style>
  <w:style w:type="character" w:customStyle="1" w:styleId="vm">
    <w:name w:val="vm"/>
    <w:basedOn w:val="a0"/>
    <w:qFormat/>
  </w:style>
  <w:style w:type="character" w:customStyle="1" w:styleId="articletitle3">
    <w:name w:val="article_title3"/>
    <w:basedOn w:val="a0"/>
    <w:qFormat/>
  </w:style>
  <w:style w:type="character" w:customStyle="1" w:styleId="a4">
    <w:name w:val="正文文本 字符"/>
    <w:basedOn w:val="a0"/>
    <w:link w:val="a3"/>
    <w:uiPriority w:val="1"/>
    <w:qFormat/>
    <w:rPr>
      <w:rFonts w:ascii="Times New Roman" w:eastAsia="Times New Roman" w:hAnsi="Times New Roman" w:cs="Times New Roman"/>
      <w:kern w:val="0"/>
      <w:sz w:val="17"/>
      <w:szCs w:val="17"/>
      <w:lang w:eastAsia="en-US" w:bidi="en-US"/>
    </w:rPr>
  </w:style>
  <w:style w:type="paragraph" w:customStyle="1" w:styleId="TableParagraph">
    <w:name w:val="Table Paragraph"/>
    <w:basedOn w:val="a"/>
    <w:uiPriority w:val="1"/>
    <w:qFormat/>
    <w:pPr>
      <w:autoSpaceDE w:val="0"/>
      <w:autoSpaceDN w:val="0"/>
      <w:spacing w:before="46"/>
      <w:jc w:val="center"/>
    </w:pPr>
    <w:rPr>
      <w:rFonts w:eastAsia="Times New Roman"/>
      <w:kern w:val="0"/>
      <w:sz w:val="22"/>
      <w:szCs w:val="22"/>
      <w:lang w:eastAsia="en-US" w:bidi="en-US"/>
    </w:rPr>
  </w:style>
  <w:style w:type="paragraph" w:customStyle="1" w:styleId="piccenter">
    <w:name w:val="pic_center"/>
    <w:basedOn w:val="a"/>
    <w:qFormat/>
    <w:pPr>
      <w:widowControl/>
      <w:spacing w:before="100" w:beforeAutospacing="1" w:after="100" w:afterAutospacing="1"/>
      <w:jc w:val="left"/>
    </w:pPr>
    <w:rPr>
      <w:rFonts w:ascii="宋体" w:hAnsi="宋体" w:cs="宋体"/>
      <w:kern w:val="0"/>
      <w:sz w:val="24"/>
    </w:rPr>
  </w:style>
  <w:style w:type="character" w:customStyle="1" w:styleId="anchor-a">
    <w:name w:val="anchor-a"/>
    <w:basedOn w:val="a0"/>
    <w:qFormat/>
  </w:style>
  <w:style w:type="character" w:customStyle="1" w:styleId="12">
    <w:name w:val="未处理的提及1"/>
    <w:basedOn w:val="a0"/>
    <w:uiPriority w:val="99"/>
    <w:semiHidden/>
    <w:unhideWhenUsed/>
    <w:qFormat/>
    <w:rPr>
      <w:color w:val="605E5C"/>
      <w:shd w:val="clear" w:color="auto" w:fill="E1DFDD"/>
    </w:rPr>
  </w:style>
  <w:style w:type="paragraph" w:styleId="af5">
    <w:name w:val="No Spacing"/>
    <w:uiPriority w:val="1"/>
    <w:qFormat/>
    <w:pPr>
      <w:widowControl w:val="0"/>
      <w:jc w:val="both"/>
    </w:pPr>
    <w:rPr>
      <w:rFonts w:asciiTheme="minorHAnsi" w:eastAsiaTheme="minorEastAsia" w:hAnsiTheme="minorHAnsi" w:cstheme="minorBidi"/>
      <w:kern w:val="2"/>
      <w:sz w:val="21"/>
      <w:szCs w:val="22"/>
    </w:rPr>
  </w:style>
  <w:style w:type="paragraph" w:customStyle="1" w:styleId="s1">
    <w:name w:val="s1"/>
    <w:basedOn w:val="a"/>
    <w:qFormat/>
    <w:pPr>
      <w:widowControl/>
      <w:spacing w:before="100" w:beforeAutospacing="1" w:after="100" w:afterAutospacing="1"/>
      <w:jc w:val="left"/>
    </w:pPr>
    <w:rPr>
      <w:rFonts w:ascii="宋体" w:hAnsi="宋体" w:cs="宋体"/>
      <w:kern w:val="0"/>
      <w:sz w:val="24"/>
    </w:rPr>
  </w:style>
  <w:style w:type="character" w:customStyle="1" w:styleId="s2">
    <w:name w:val="s2"/>
    <w:basedOn w:val="a0"/>
    <w:qFormat/>
  </w:style>
  <w:style w:type="character" w:customStyle="1" w:styleId="s3">
    <w:name w:val="s3"/>
    <w:basedOn w:val="a0"/>
    <w:qFormat/>
  </w:style>
  <w:style w:type="paragraph" w:customStyle="1" w:styleId="s4">
    <w:name w:val="s4"/>
    <w:basedOn w:val="a"/>
    <w:qFormat/>
    <w:pPr>
      <w:widowControl/>
      <w:spacing w:before="100" w:beforeAutospacing="1" w:after="100" w:afterAutospacing="1"/>
      <w:jc w:val="left"/>
    </w:pPr>
    <w:rPr>
      <w:rFonts w:ascii="宋体" w:hAnsi="宋体" w:cs="宋体"/>
      <w:kern w:val="0"/>
      <w:sz w:val="24"/>
    </w:rPr>
  </w:style>
  <w:style w:type="character" w:customStyle="1" w:styleId="s5">
    <w:name w:val="s5"/>
    <w:basedOn w:val="a0"/>
    <w:qFormat/>
  </w:style>
  <w:style w:type="character" w:customStyle="1" w:styleId="s6">
    <w:name w:val="s6"/>
    <w:basedOn w:val="a0"/>
    <w:qFormat/>
  </w:style>
  <w:style w:type="character" w:customStyle="1" w:styleId="p">
    <w:name w:val="p"/>
    <w:basedOn w:val="a0"/>
    <w:qFormat/>
  </w:style>
  <w:style w:type="paragraph" w:customStyle="1" w:styleId="s7">
    <w:name w:val="s7"/>
    <w:basedOn w:val="a"/>
    <w:qFormat/>
    <w:pPr>
      <w:widowControl/>
      <w:spacing w:before="100" w:beforeAutospacing="1" w:after="100" w:afterAutospacing="1"/>
      <w:jc w:val="left"/>
    </w:pPr>
    <w:rPr>
      <w:rFonts w:ascii="宋体" w:hAnsi="宋体" w:cs="宋体"/>
      <w:kern w:val="0"/>
      <w:sz w:val="24"/>
    </w:rPr>
  </w:style>
  <w:style w:type="character" w:customStyle="1" w:styleId="s41">
    <w:name w:val="s41"/>
    <w:basedOn w:val="a0"/>
    <w:qFormat/>
  </w:style>
  <w:style w:type="character" w:customStyle="1" w:styleId="h2">
    <w:name w:val="h2"/>
    <w:basedOn w:val="a0"/>
    <w:qFormat/>
  </w:style>
  <w:style w:type="paragraph" w:customStyle="1" w:styleId="s10">
    <w:name w:val="s10"/>
    <w:basedOn w:val="a"/>
    <w:qFormat/>
    <w:pPr>
      <w:widowControl/>
      <w:spacing w:before="100" w:beforeAutospacing="1" w:after="100" w:afterAutospacing="1"/>
      <w:jc w:val="left"/>
    </w:pPr>
    <w:rPr>
      <w:rFonts w:ascii="宋体" w:hAnsi="宋体" w:cs="宋体"/>
      <w:kern w:val="0"/>
      <w:sz w:val="24"/>
    </w:rPr>
  </w:style>
  <w:style w:type="paragraph" w:customStyle="1" w:styleId="s9">
    <w:name w:val="s9"/>
    <w:basedOn w:val="a"/>
    <w:qFormat/>
    <w:pPr>
      <w:widowControl/>
      <w:spacing w:before="100" w:beforeAutospacing="1" w:after="100" w:afterAutospacing="1"/>
      <w:jc w:val="left"/>
    </w:pPr>
    <w:rPr>
      <w:rFonts w:ascii="宋体" w:hAnsi="宋体" w:cs="宋体"/>
      <w:kern w:val="0"/>
      <w:sz w:val="24"/>
    </w:rPr>
  </w:style>
  <w:style w:type="character" w:customStyle="1" w:styleId="s11">
    <w:name w:val="s11"/>
    <w:basedOn w:val="a0"/>
    <w:qFormat/>
  </w:style>
  <w:style w:type="paragraph" w:customStyle="1" w:styleId="s14">
    <w:name w:val="s14"/>
    <w:basedOn w:val="a"/>
    <w:qFormat/>
    <w:pPr>
      <w:widowControl/>
      <w:spacing w:before="100" w:beforeAutospacing="1" w:after="100" w:afterAutospacing="1"/>
      <w:jc w:val="left"/>
    </w:pPr>
    <w:rPr>
      <w:rFonts w:ascii="宋体" w:hAnsi="宋体" w:cs="宋体"/>
      <w:kern w:val="0"/>
      <w:sz w:val="24"/>
    </w:rPr>
  </w:style>
  <w:style w:type="character" w:customStyle="1" w:styleId="s12">
    <w:name w:val="s12"/>
    <w:basedOn w:val="a0"/>
    <w:qFormat/>
  </w:style>
  <w:style w:type="character" w:customStyle="1" w:styleId="s13">
    <w:name w:val="s13"/>
    <w:basedOn w:val="a0"/>
    <w:qFormat/>
  </w:style>
  <w:style w:type="paragraph" w:customStyle="1" w:styleId="s131">
    <w:name w:val="s131"/>
    <w:basedOn w:val="a"/>
    <w:qFormat/>
    <w:pPr>
      <w:widowControl/>
      <w:spacing w:before="100" w:beforeAutospacing="1" w:after="100" w:afterAutospacing="1"/>
      <w:jc w:val="left"/>
    </w:pPr>
    <w:rPr>
      <w:rFonts w:ascii="宋体" w:hAnsi="宋体" w:cs="宋体"/>
      <w:kern w:val="0"/>
      <w:sz w:val="24"/>
    </w:rPr>
  </w:style>
  <w:style w:type="character" w:customStyle="1" w:styleId="h4">
    <w:name w:val="h4"/>
    <w:basedOn w:val="a0"/>
    <w:qFormat/>
  </w:style>
  <w:style w:type="character" w:customStyle="1" w:styleId="s141">
    <w:name w:val="s141"/>
    <w:basedOn w:val="a0"/>
    <w:qFormat/>
  </w:style>
  <w:style w:type="paragraph" w:customStyle="1" w:styleId="s121">
    <w:name w:val="s121"/>
    <w:basedOn w:val="a"/>
    <w:qFormat/>
    <w:pPr>
      <w:widowControl/>
      <w:spacing w:before="100" w:beforeAutospacing="1" w:after="100" w:afterAutospacing="1"/>
      <w:jc w:val="left"/>
    </w:pPr>
    <w:rPr>
      <w:rFonts w:ascii="宋体" w:hAnsi="宋体" w:cs="宋体"/>
      <w:kern w:val="0"/>
      <w:sz w:val="24"/>
    </w:rPr>
  </w:style>
  <w:style w:type="paragraph" w:customStyle="1" w:styleId="s16">
    <w:name w:val="s16"/>
    <w:basedOn w:val="a"/>
    <w:qFormat/>
    <w:pPr>
      <w:widowControl/>
      <w:spacing w:before="100" w:beforeAutospacing="1" w:after="100" w:afterAutospacing="1"/>
      <w:jc w:val="left"/>
    </w:pPr>
    <w:rPr>
      <w:rFonts w:ascii="宋体" w:hAnsi="宋体" w:cs="宋体"/>
      <w:kern w:val="0"/>
      <w:sz w:val="24"/>
    </w:rPr>
  </w:style>
  <w:style w:type="character" w:customStyle="1" w:styleId="s17">
    <w:name w:val="s17"/>
    <w:basedOn w:val="a0"/>
    <w:qFormat/>
  </w:style>
  <w:style w:type="character" w:customStyle="1" w:styleId="s18">
    <w:name w:val="s18"/>
    <w:basedOn w:val="a0"/>
    <w:qFormat/>
  </w:style>
  <w:style w:type="character" w:customStyle="1" w:styleId="s19">
    <w:name w:val="s19"/>
    <w:basedOn w:val="a0"/>
    <w:qFormat/>
  </w:style>
  <w:style w:type="character" w:customStyle="1" w:styleId="s20">
    <w:name w:val="s20"/>
    <w:basedOn w:val="a0"/>
    <w:qFormat/>
  </w:style>
  <w:style w:type="character" w:customStyle="1" w:styleId="s21">
    <w:name w:val="s21"/>
    <w:basedOn w:val="a0"/>
    <w:qFormat/>
  </w:style>
  <w:style w:type="paragraph" w:customStyle="1" w:styleId="s22">
    <w:name w:val="s22"/>
    <w:basedOn w:val="a"/>
    <w:qFormat/>
    <w:pPr>
      <w:widowControl/>
      <w:spacing w:before="100" w:beforeAutospacing="1" w:after="100" w:afterAutospacing="1"/>
      <w:jc w:val="left"/>
    </w:pPr>
    <w:rPr>
      <w:rFonts w:ascii="宋体" w:hAnsi="宋体" w:cs="宋体"/>
      <w:kern w:val="0"/>
      <w:sz w:val="24"/>
    </w:rPr>
  </w:style>
  <w:style w:type="character" w:customStyle="1" w:styleId="s23">
    <w:name w:val="s23"/>
    <w:basedOn w:val="a0"/>
    <w:qFormat/>
  </w:style>
  <w:style w:type="character" w:customStyle="1" w:styleId="s24">
    <w:name w:val="s24"/>
    <w:basedOn w:val="a0"/>
    <w:qFormat/>
  </w:style>
  <w:style w:type="paragraph" w:customStyle="1" w:styleId="s25">
    <w:name w:val="s25"/>
    <w:basedOn w:val="a"/>
    <w:qFormat/>
    <w:pPr>
      <w:widowControl/>
      <w:spacing w:before="100" w:beforeAutospacing="1" w:after="100" w:afterAutospacing="1"/>
      <w:jc w:val="left"/>
    </w:pPr>
    <w:rPr>
      <w:rFonts w:ascii="宋体" w:hAnsi="宋体" w:cs="宋体"/>
      <w:kern w:val="0"/>
      <w:sz w:val="24"/>
    </w:rPr>
  </w:style>
  <w:style w:type="character" w:customStyle="1" w:styleId="s221">
    <w:name w:val="s221"/>
    <w:basedOn w:val="a0"/>
    <w:qFormat/>
  </w:style>
  <w:style w:type="paragraph" w:customStyle="1" w:styleId="s27">
    <w:name w:val="s27"/>
    <w:basedOn w:val="a"/>
    <w:qFormat/>
    <w:pPr>
      <w:widowControl/>
      <w:spacing w:before="100" w:beforeAutospacing="1" w:after="100" w:afterAutospacing="1"/>
      <w:jc w:val="left"/>
    </w:pPr>
    <w:rPr>
      <w:rFonts w:ascii="宋体" w:hAnsi="宋体" w:cs="宋体"/>
      <w:kern w:val="0"/>
      <w:sz w:val="24"/>
    </w:rPr>
  </w:style>
  <w:style w:type="paragraph" w:customStyle="1" w:styleId="s28">
    <w:name w:val="s28"/>
    <w:basedOn w:val="a"/>
    <w:qFormat/>
    <w:pPr>
      <w:widowControl/>
      <w:spacing w:before="100" w:beforeAutospacing="1" w:after="100" w:afterAutospacing="1"/>
      <w:jc w:val="left"/>
    </w:pPr>
    <w:rPr>
      <w:rFonts w:ascii="宋体" w:hAnsi="宋体" w:cs="宋体"/>
      <w:kern w:val="0"/>
      <w:sz w:val="24"/>
    </w:rPr>
  </w:style>
  <w:style w:type="character" w:customStyle="1" w:styleId="s30">
    <w:name w:val="s30"/>
    <w:basedOn w:val="a0"/>
    <w:qFormat/>
  </w:style>
  <w:style w:type="paragraph" w:customStyle="1" w:styleId="s171">
    <w:name w:val="s171"/>
    <w:basedOn w:val="a"/>
    <w:qFormat/>
    <w:pPr>
      <w:widowControl/>
      <w:spacing w:before="100" w:beforeAutospacing="1" w:after="100" w:afterAutospacing="1"/>
      <w:jc w:val="left"/>
    </w:pPr>
    <w:rPr>
      <w:rFonts w:ascii="宋体" w:hAnsi="宋体" w:cs="宋体"/>
      <w:kern w:val="0"/>
      <w:sz w:val="24"/>
    </w:rPr>
  </w:style>
  <w:style w:type="character" w:customStyle="1" w:styleId="s161">
    <w:name w:val="s161"/>
    <w:basedOn w:val="a0"/>
    <w:qFormat/>
  </w:style>
  <w:style w:type="paragraph" w:customStyle="1" w:styleId="s31">
    <w:name w:val="s31"/>
    <w:basedOn w:val="a"/>
    <w:qFormat/>
    <w:pPr>
      <w:widowControl/>
      <w:spacing w:before="100" w:beforeAutospacing="1" w:after="100" w:afterAutospacing="1"/>
      <w:jc w:val="left"/>
    </w:pPr>
    <w:rPr>
      <w:rFonts w:ascii="宋体" w:hAnsi="宋体" w:cs="宋体"/>
      <w:kern w:val="0"/>
      <w:sz w:val="24"/>
    </w:rPr>
  </w:style>
  <w:style w:type="character" w:customStyle="1" w:styleId="s32">
    <w:name w:val="s32"/>
    <w:basedOn w:val="a0"/>
    <w:qFormat/>
  </w:style>
  <w:style w:type="paragraph" w:customStyle="1" w:styleId="s33">
    <w:name w:val="s33"/>
    <w:basedOn w:val="a"/>
    <w:qFormat/>
    <w:pPr>
      <w:widowControl/>
      <w:spacing w:before="100" w:beforeAutospacing="1" w:after="100" w:afterAutospacing="1"/>
      <w:jc w:val="left"/>
    </w:pPr>
    <w:rPr>
      <w:rFonts w:ascii="宋体" w:hAnsi="宋体" w:cs="宋体"/>
      <w:kern w:val="0"/>
      <w:sz w:val="24"/>
    </w:rPr>
  </w:style>
  <w:style w:type="paragraph" w:customStyle="1" w:styleId="s34">
    <w:name w:val="s34"/>
    <w:basedOn w:val="a"/>
    <w:qFormat/>
    <w:pPr>
      <w:widowControl/>
      <w:spacing w:before="100" w:beforeAutospacing="1" w:after="100" w:afterAutospacing="1"/>
      <w:jc w:val="left"/>
    </w:pPr>
    <w:rPr>
      <w:rFonts w:ascii="宋体" w:hAnsi="宋体" w:cs="宋体"/>
      <w:kern w:val="0"/>
      <w:sz w:val="24"/>
    </w:rPr>
  </w:style>
  <w:style w:type="character" w:customStyle="1" w:styleId="s331">
    <w:name w:val="s331"/>
    <w:basedOn w:val="a0"/>
    <w:qFormat/>
  </w:style>
  <w:style w:type="character" w:customStyle="1" w:styleId="s35">
    <w:name w:val="s35"/>
    <w:basedOn w:val="a0"/>
    <w:qFormat/>
  </w:style>
  <w:style w:type="character" w:customStyle="1" w:styleId="s36">
    <w:name w:val="s36"/>
    <w:basedOn w:val="a0"/>
    <w:qFormat/>
  </w:style>
  <w:style w:type="character" w:customStyle="1" w:styleId="s37">
    <w:name w:val="s37"/>
    <w:basedOn w:val="a0"/>
    <w:qFormat/>
  </w:style>
  <w:style w:type="character" w:customStyle="1" w:styleId="s38">
    <w:name w:val="s38"/>
    <w:basedOn w:val="a0"/>
    <w:qFormat/>
  </w:style>
  <w:style w:type="character" w:customStyle="1" w:styleId="s39">
    <w:name w:val="s39"/>
    <w:basedOn w:val="a0"/>
    <w:qFormat/>
  </w:style>
  <w:style w:type="character" w:customStyle="1" w:styleId="s40">
    <w:name w:val="s40"/>
    <w:basedOn w:val="a0"/>
    <w:qFormat/>
  </w:style>
  <w:style w:type="paragraph" w:customStyle="1" w:styleId="s42">
    <w:name w:val="s42"/>
    <w:basedOn w:val="a"/>
    <w:qFormat/>
    <w:pPr>
      <w:widowControl/>
      <w:spacing w:before="100" w:beforeAutospacing="1" w:after="100" w:afterAutospacing="1"/>
      <w:jc w:val="left"/>
    </w:pPr>
    <w:rPr>
      <w:rFonts w:ascii="宋体" w:hAnsi="宋体" w:cs="宋体"/>
      <w:kern w:val="0"/>
      <w:sz w:val="24"/>
    </w:rPr>
  </w:style>
  <w:style w:type="character" w:customStyle="1" w:styleId="s43">
    <w:name w:val="s43"/>
    <w:basedOn w:val="a0"/>
    <w:qFormat/>
  </w:style>
  <w:style w:type="character" w:customStyle="1" w:styleId="s341">
    <w:name w:val="s341"/>
    <w:basedOn w:val="a0"/>
    <w:qFormat/>
  </w:style>
  <w:style w:type="paragraph" w:customStyle="1" w:styleId="s44">
    <w:name w:val="s44"/>
    <w:basedOn w:val="a"/>
    <w:qFormat/>
    <w:pPr>
      <w:widowControl/>
      <w:spacing w:before="100" w:beforeAutospacing="1" w:after="100" w:afterAutospacing="1"/>
      <w:jc w:val="left"/>
    </w:pPr>
    <w:rPr>
      <w:rFonts w:ascii="宋体" w:hAnsi="宋体" w:cs="宋体"/>
      <w:kern w:val="0"/>
      <w:sz w:val="24"/>
    </w:rPr>
  </w:style>
  <w:style w:type="character" w:customStyle="1" w:styleId="s45">
    <w:name w:val="s45"/>
    <w:basedOn w:val="a0"/>
    <w:qFormat/>
  </w:style>
  <w:style w:type="character" w:customStyle="1" w:styleId="s46">
    <w:name w:val="s46"/>
    <w:basedOn w:val="a0"/>
    <w:qFormat/>
  </w:style>
  <w:style w:type="character" w:customStyle="1" w:styleId="s47">
    <w:name w:val="s47"/>
    <w:basedOn w:val="a0"/>
    <w:qFormat/>
  </w:style>
  <w:style w:type="character" w:customStyle="1" w:styleId="s48">
    <w:name w:val="s48"/>
    <w:basedOn w:val="a0"/>
    <w:qFormat/>
  </w:style>
  <w:style w:type="character" w:customStyle="1" w:styleId="s29">
    <w:name w:val="s29"/>
    <w:basedOn w:val="a0"/>
    <w:qFormat/>
  </w:style>
  <w:style w:type="character" w:customStyle="1" w:styleId="s50">
    <w:name w:val="s50"/>
    <w:basedOn w:val="a0"/>
    <w:qFormat/>
  </w:style>
  <w:style w:type="paragraph" w:customStyle="1" w:styleId="s241">
    <w:name w:val="s241"/>
    <w:basedOn w:val="a"/>
    <w:qFormat/>
    <w:pPr>
      <w:widowControl/>
      <w:spacing w:before="100" w:beforeAutospacing="1" w:after="100" w:afterAutospacing="1"/>
      <w:jc w:val="left"/>
    </w:pPr>
    <w:rPr>
      <w:rFonts w:ascii="宋体" w:hAnsi="宋体" w:cs="宋体"/>
      <w:kern w:val="0"/>
      <w:sz w:val="24"/>
    </w:rPr>
  </w:style>
  <w:style w:type="character" w:customStyle="1" w:styleId="s51">
    <w:name w:val="s51"/>
    <w:basedOn w:val="a0"/>
    <w:qFormat/>
  </w:style>
  <w:style w:type="paragraph" w:customStyle="1" w:styleId="s511">
    <w:name w:val="s511"/>
    <w:basedOn w:val="a"/>
    <w:qFormat/>
    <w:pPr>
      <w:widowControl/>
      <w:spacing w:before="100" w:beforeAutospacing="1" w:after="100" w:afterAutospacing="1"/>
      <w:jc w:val="left"/>
    </w:pPr>
    <w:rPr>
      <w:rFonts w:ascii="宋体" w:hAnsi="宋体" w:cs="宋体"/>
      <w:kern w:val="0"/>
      <w:sz w:val="24"/>
    </w:rPr>
  </w:style>
  <w:style w:type="paragraph" w:customStyle="1" w:styleId="s52">
    <w:name w:val="s52"/>
    <w:basedOn w:val="a"/>
    <w:qFormat/>
    <w:pPr>
      <w:widowControl/>
      <w:spacing w:before="100" w:beforeAutospacing="1" w:after="100" w:afterAutospacing="1"/>
      <w:jc w:val="left"/>
    </w:pPr>
    <w:rPr>
      <w:rFonts w:ascii="宋体" w:hAnsi="宋体" w:cs="宋体"/>
      <w:kern w:val="0"/>
      <w:sz w:val="24"/>
    </w:rPr>
  </w:style>
  <w:style w:type="character" w:customStyle="1" w:styleId="s53">
    <w:name w:val="s53"/>
    <w:basedOn w:val="a0"/>
    <w:qFormat/>
  </w:style>
  <w:style w:type="paragraph" w:customStyle="1" w:styleId="s531">
    <w:name w:val="s531"/>
    <w:basedOn w:val="a"/>
    <w:qFormat/>
    <w:pPr>
      <w:widowControl/>
      <w:spacing w:before="100" w:beforeAutospacing="1" w:after="100" w:afterAutospacing="1"/>
      <w:jc w:val="left"/>
    </w:pPr>
    <w:rPr>
      <w:rFonts w:ascii="宋体" w:hAnsi="宋体" w:cs="宋体"/>
      <w:kern w:val="0"/>
      <w:sz w:val="24"/>
    </w:rPr>
  </w:style>
  <w:style w:type="character" w:customStyle="1" w:styleId="s521">
    <w:name w:val="s521"/>
    <w:basedOn w:val="a0"/>
    <w:qFormat/>
  </w:style>
  <w:style w:type="paragraph" w:customStyle="1" w:styleId="s501">
    <w:name w:val="s501"/>
    <w:basedOn w:val="a"/>
    <w:qFormat/>
    <w:pPr>
      <w:widowControl/>
      <w:spacing w:before="100" w:beforeAutospacing="1" w:after="100" w:afterAutospacing="1"/>
      <w:jc w:val="left"/>
    </w:pPr>
    <w:rPr>
      <w:rFonts w:ascii="宋体" w:hAnsi="宋体" w:cs="宋体"/>
      <w:kern w:val="0"/>
      <w:sz w:val="24"/>
    </w:rPr>
  </w:style>
  <w:style w:type="paragraph" w:customStyle="1" w:styleId="s8">
    <w:name w:val="s8"/>
    <w:basedOn w:val="a"/>
    <w:qFormat/>
    <w:pPr>
      <w:widowControl/>
      <w:spacing w:before="100" w:beforeAutospacing="1" w:after="100" w:afterAutospacing="1"/>
      <w:jc w:val="left"/>
    </w:pPr>
    <w:rPr>
      <w:rFonts w:ascii="宋体" w:hAnsi="宋体" w:cs="宋体"/>
      <w:kern w:val="0"/>
      <w:sz w:val="24"/>
    </w:rPr>
  </w:style>
  <w:style w:type="paragraph" w:customStyle="1" w:styleId="s15">
    <w:name w:val="s15"/>
    <w:basedOn w:val="a"/>
    <w:qFormat/>
    <w:pPr>
      <w:widowControl/>
      <w:spacing w:before="100" w:beforeAutospacing="1" w:after="100" w:afterAutospacing="1"/>
      <w:jc w:val="left"/>
    </w:pPr>
    <w:rPr>
      <w:rFonts w:ascii="宋体" w:hAnsi="宋体" w:cs="宋体"/>
      <w:kern w:val="0"/>
      <w:sz w:val="24"/>
    </w:rPr>
  </w:style>
  <w:style w:type="character" w:customStyle="1" w:styleId="h3">
    <w:name w:val="h3"/>
    <w:basedOn w:val="a0"/>
    <w:qFormat/>
  </w:style>
  <w:style w:type="paragraph" w:customStyle="1" w:styleId="s61">
    <w:name w:val="s61"/>
    <w:basedOn w:val="a"/>
    <w:qFormat/>
    <w:pPr>
      <w:widowControl/>
      <w:spacing w:before="100" w:beforeAutospacing="1" w:after="100" w:afterAutospacing="1"/>
      <w:jc w:val="left"/>
    </w:pPr>
    <w:rPr>
      <w:rFonts w:ascii="宋体" w:hAnsi="宋体" w:cs="宋体"/>
      <w:kern w:val="0"/>
      <w:sz w:val="24"/>
    </w:rPr>
  </w:style>
  <w:style w:type="character" w:customStyle="1" w:styleId="s26">
    <w:name w:val="s26"/>
    <w:basedOn w:val="a0"/>
    <w:qFormat/>
  </w:style>
  <w:style w:type="paragraph" w:customStyle="1" w:styleId="s261">
    <w:name w:val="s261"/>
    <w:basedOn w:val="a"/>
    <w:qFormat/>
    <w:pPr>
      <w:widowControl/>
      <w:spacing w:before="100" w:beforeAutospacing="1" w:after="100" w:afterAutospacing="1"/>
      <w:jc w:val="left"/>
    </w:pPr>
    <w:rPr>
      <w:rFonts w:ascii="宋体" w:hAnsi="宋体" w:cs="宋体"/>
      <w:kern w:val="0"/>
      <w:sz w:val="24"/>
    </w:rPr>
  </w:style>
  <w:style w:type="paragraph" w:customStyle="1" w:styleId="s291">
    <w:name w:val="s291"/>
    <w:basedOn w:val="a"/>
    <w:qFormat/>
    <w:pPr>
      <w:widowControl/>
      <w:spacing w:before="100" w:beforeAutospacing="1" w:after="100" w:afterAutospacing="1"/>
      <w:jc w:val="left"/>
    </w:pPr>
    <w:rPr>
      <w:rFonts w:ascii="宋体" w:hAnsi="宋体" w:cs="宋体"/>
      <w:kern w:val="0"/>
      <w:sz w:val="24"/>
    </w:rPr>
  </w:style>
  <w:style w:type="character" w:customStyle="1" w:styleId="s281">
    <w:name w:val="s281"/>
    <w:basedOn w:val="a0"/>
    <w:qFormat/>
  </w:style>
  <w:style w:type="paragraph" w:customStyle="1" w:styleId="s211">
    <w:name w:val="s211"/>
    <w:basedOn w:val="a"/>
    <w:qFormat/>
    <w:pPr>
      <w:widowControl/>
      <w:spacing w:before="100" w:beforeAutospacing="1" w:after="100" w:afterAutospacing="1"/>
      <w:jc w:val="left"/>
    </w:pPr>
    <w:rPr>
      <w:rFonts w:ascii="宋体" w:hAnsi="宋体" w:cs="宋体"/>
      <w:kern w:val="0"/>
      <w:sz w:val="24"/>
    </w:rPr>
  </w:style>
  <w:style w:type="paragraph" w:customStyle="1" w:styleId="s201">
    <w:name w:val="s201"/>
    <w:basedOn w:val="a"/>
    <w:qFormat/>
    <w:pPr>
      <w:widowControl/>
      <w:spacing w:before="100" w:beforeAutospacing="1" w:after="100" w:afterAutospacing="1"/>
      <w:jc w:val="left"/>
    </w:pPr>
    <w:rPr>
      <w:rFonts w:ascii="宋体" w:hAnsi="宋体" w:cs="宋体"/>
      <w:kern w:val="0"/>
      <w:sz w:val="24"/>
    </w:rPr>
  </w:style>
  <w:style w:type="character" w:customStyle="1" w:styleId="s231">
    <w:name w:val="s231"/>
    <w:basedOn w:val="a0"/>
    <w:qFormat/>
  </w:style>
  <w:style w:type="character" w:customStyle="1" w:styleId="s271">
    <w:name w:val="s271"/>
    <w:basedOn w:val="a0"/>
    <w:qFormat/>
  </w:style>
  <w:style w:type="character" w:customStyle="1" w:styleId="s301">
    <w:name w:val="s301"/>
    <w:basedOn w:val="a0"/>
    <w:qFormat/>
  </w:style>
  <w:style w:type="character" w:customStyle="1" w:styleId="s351">
    <w:name w:val="s351"/>
    <w:basedOn w:val="a0"/>
    <w:qFormat/>
  </w:style>
  <w:style w:type="character" w:customStyle="1" w:styleId="fontstyle01">
    <w:name w:val="fontstyle01"/>
    <w:basedOn w:val="a0"/>
    <w:qFormat/>
    <w:rPr>
      <w:rFonts w:ascii="宋体" w:eastAsia="宋体" w:hAnsi="宋体" w:hint="eastAsia"/>
      <w:color w:val="000000"/>
      <w:sz w:val="22"/>
      <w:szCs w:val="22"/>
    </w:rPr>
  </w:style>
  <w:style w:type="character" w:customStyle="1" w:styleId="fontstyle21">
    <w:name w:val="fontstyle21"/>
    <w:basedOn w:val="a0"/>
    <w:qFormat/>
    <w:rPr>
      <w:rFonts w:ascii="TimesNewRomanPSMT" w:hAnsi="TimesNewRomanPSMT" w:hint="default"/>
      <w:color w:val="0000FF"/>
      <w:sz w:val="22"/>
      <w:szCs w:val="22"/>
    </w:rPr>
  </w:style>
  <w:style w:type="character" w:customStyle="1" w:styleId="fontstyle31">
    <w:name w:val="fontstyle31"/>
    <w:basedOn w:val="a0"/>
    <w:qFormat/>
    <w:rPr>
      <w:rFonts w:ascii="TimesNewRomanPS-ItalicMT" w:hAnsi="TimesNewRomanPS-ItalicMT" w:hint="default"/>
      <w:i/>
      <w:iCs/>
      <w:color w:val="000000"/>
      <w:sz w:val="22"/>
      <w:szCs w:val="22"/>
    </w:rPr>
  </w:style>
  <w:style w:type="character" w:customStyle="1" w:styleId="fontstyle11">
    <w:name w:val="fontstyle11"/>
    <w:basedOn w:val="a0"/>
    <w:qFormat/>
    <w:rPr>
      <w:rFonts w:ascii="TimesNewRomanPSMT" w:hAnsi="TimesNewRomanPSMT" w:hint="default"/>
      <w:color w:val="000000"/>
      <w:sz w:val="22"/>
      <w:szCs w:val="22"/>
    </w:rPr>
  </w:style>
  <w:style w:type="character" w:customStyle="1" w:styleId="fontstyle41">
    <w:name w:val="fontstyle41"/>
    <w:basedOn w:val="a0"/>
    <w:qFormat/>
    <w:rPr>
      <w:rFonts w:ascii="TimesNewRomanPSMT" w:hAnsi="TimesNewRomanPSMT" w:hint="default"/>
      <w:color w:val="000000"/>
      <w:sz w:val="20"/>
      <w:szCs w:val="20"/>
    </w:rPr>
  </w:style>
  <w:style w:type="paragraph" w:customStyle="1" w:styleId="cur">
    <w:name w:val="cur"/>
    <w:basedOn w:val="a"/>
    <w:qFormat/>
    <w:pPr>
      <w:widowControl/>
      <w:spacing w:before="100" w:beforeAutospacing="1" w:after="100" w:afterAutospacing="1"/>
      <w:jc w:val="left"/>
    </w:pPr>
    <w:rPr>
      <w:rFonts w:ascii="宋体" w:hAnsi="宋体" w:cs="宋体"/>
      <w:kern w:val="0"/>
      <w:sz w:val="24"/>
    </w:rPr>
  </w:style>
  <w:style w:type="character" w:customStyle="1" w:styleId="shareboard">
    <w:name w:val="shareboard"/>
    <w:basedOn w:val="a0"/>
    <w:qFormat/>
  </w:style>
  <w:style w:type="character" w:customStyle="1" w:styleId="msqrt">
    <w:name w:val="msqrt"/>
    <w:basedOn w:val="a0"/>
    <w:qFormat/>
  </w:style>
  <w:style w:type="paragraph" w:customStyle="1" w:styleId="ql-align-justify">
    <w:name w:val="ql-align-justify"/>
    <w:basedOn w:val="a"/>
    <w:qFormat/>
    <w:pPr>
      <w:widowControl/>
      <w:spacing w:before="100" w:beforeAutospacing="1" w:after="100" w:afterAutospacing="1"/>
      <w:jc w:val="left"/>
    </w:pPr>
    <w:rPr>
      <w:rFonts w:ascii="宋体" w:hAnsi="宋体" w:cs="宋体"/>
      <w:kern w:val="0"/>
      <w:sz w:val="24"/>
    </w:rPr>
  </w:style>
  <w:style w:type="paragraph" w:customStyle="1" w:styleId="ql-align-center">
    <w:name w:val="ql-align-center"/>
    <w:basedOn w:val="a"/>
    <w:qFormat/>
    <w:pPr>
      <w:widowControl/>
      <w:spacing w:before="100" w:beforeAutospacing="1" w:after="100" w:afterAutospacing="1"/>
      <w:jc w:val="left"/>
    </w:pPr>
    <w:rPr>
      <w:rFonts w:ascii="宋体" w:hAnsi="宋体" w:cs="宋体"/>
      <w:kern w:val="0"/>
      <w:sz w:val="24"/>
    </w:rPr>
  </w:style>
  <w:style w:type="character" w:customStyle="1" w:styleId="mtext">
    <w:name w:val="mtext"/>
    <w:basedOn w:val="a0"/>
    <w:qFormat/>
  </w:style>
  <w:style w:type="character" w:customStyle="1" w:styleId="22">
    <w:name w:val="正文文本缩进 2 字符"/>
    <w:basedOn w:val="a0"/>
    <w:link w:val="21"/>
    <w:uiPriority w:val="99"/>
    <w:semiHidden/>
    <w:qFormat/>
    <w:rPr>
      <w:rFonts w:ascii="Times New Roman" w:eastAsia="宋体" w:hAnsi="Times New Roman" w:cs="Times New Roman"/>
      <w:szCs w:val="24"/>
    </w:rPr>
  </w:style>
  <w:style w:type="character" w:customStyle="1" w:styleId="HTML0">
    <w:name w:val="HTML 预设格式 字符"/>
    <w:basedOn w:val="a0"/>
    <w:link w:val="HTML"/>
    <w:qFormat/>
    <w:rPr>
      <w:rFonts w:ascii="黑体" w:eastAsia="黑体" w:hAnsi="Courier New" w:cs="Courier New"/>
      <w:color w:val="000000"/>
      <w:kern w:val="0"/>
      <w:sz w:val="20"/>
      <w:szCs w:val="20"/>
    </w:rPr>
  </w:style>
  <w:style w:type="character" w:customStyle="1" w:styleId="rowtit">
    <w:name w:val="rowtit"/>
    <w:basedOn w:val="a0"/>
    <w:qFormat/>
  </w:style>
  <w:style w:type="character" w:customStyle="1" w:styleId="abstract-text">
    <w:name w:val="abstract-text"/>
    <w:basedOn w:val="a0"/>
    <w:qFormat/>
  </w:style>
  <w:style w:type="paragraph" w:customStyle="1" w:styleId="keywords">
    <w:name w:val="keywords"/>
    <w:basedOn w:val="a"/>
    <w:qFormat/>
    <w:pPr>
      <w:widowControl/>
      <w:spacing w:before="100" w:beforeAutospacing="1" w:after="100" w:afterAutospacing="1"/>
      <w:jc w:val="left"/>
    </w:pPr>
    <w:rPr>
      <w:rFonts w:ascii="宋体" w:hAnsi="宋体" w:cs="宋体"/>
      <w:kern w:val="0"/>
      <w:sz w:val="24"/>
    </w:rPr>
  </w:style>
  <w:style w:type="paragraph" w:customStyle="1" w:styleId="code-formula">
    <w:name w:val="code-formula"/>
    <w:basedOn w:val="a"/>
    <w:qFormat/>
    <w:pPr>
      <w:widowControl/>
      <w:spacing w:before="100" w:beforeAutospacing="1" w:after="100" w:afterAutospacing="1"/>
      <w:jc w:val="left"/>
    </w:pPr>
    <w:rPr>
      <w:rFonts w:ascii="宋体" w:hAnsi="宋体" w:cs="宋体"/>
      <w:kern w:val="0"/>
      <w:sz w:val="24"/>
    </w:rPr>
  </w:style>
  <w:style w:type="character" w:customStyle="1" w:styleId="24">
    <w:name w:val="未处理的提及2"/>
    <w:basedOn w:val="a0"/>
    <w:uiPriority w:val="99"/>
    <w:semiHidden/>
    <w:unhideWhenUsed/>
    <w:qFormat/>
    <w:rPr>
      <w:color w:val="605E5C"/>
      <w:shd w:val="clear" w:color="auto" w:fill="E1DFDD"/>
    </w:rPr>
  </w:style>
  <w:style w:type="paragraph" w:customStyle="1" w:styleId="TOC10">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yyfh2021@163.com&#12290;" TargetMode="External"/><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5" Type="http://schemas.openxmlformats.org/officeDocument/2006/relationships/settings" Target="settings.xml"/><Relationship Id="rId61" Type="http://schemas.openxmlformats.org/officeDocument/2006/relationships/image" Target="media/image51.png"/><Relationship Id="rId19" Type="http://schemas.openxmlformats.org/officeDocument/2006/relationships/image" Target="media/image10.png"/><Relationship Id="rId14" Type="http://schemas.openxmlformats.org/officeDocument/2006/relationships/image" Target="media/image6.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8" Type="http://schemas.openxmlformats.org/officeDocument/2006/relationships/endnotes" Target="endnotes.xml"/><Relationship Id="rId51" Type="http://schemas.openxmlformats.org/officeDocument/2006/relationships/image" Target="media/image41.png"/><Relationship Id="rId72"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yperlink" Target="mailto:xjleng@shou.edu.cn" TargetMode="External"/><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1.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2.png"/><Relationship Id="rId31" Type="http://schemas.openxmlformats.org/officeDocument/2006/relationships/image" Target="media/image22.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9.png"/><Relationship Id="rId39" Type="http://schemas.openxmlformats.org/officeDocument/2006/relationships/image" Target="media/image29.png"/><Relationship Id="rId34" Type="http://schemas.openxmlformats.org/officeDocument/2006/relationships/image" Target="media/image25.png"/><Relationship Id="rId50" Type="http://schemas.openxmlformats.org/officeDocument/2006/relationships/image" Target="media/image40.png"/><Relationship Id="rId55" Type="http://schemas.openxmlformats.org/officeDocument/2006/relationships/image" Target="media/image4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0D33A5D-B4B5-4A84-A6EC-FFFAB3741C3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86</Pages>
  <Words>12619</Words>
  <Characters>71930</Characters>
  <Application>Microsoft Office Word</Application>
  <DocSecurity>0</DocSecurity>
  <Lines>599</Lines>
  <Paragraphs>168</Paragraphs>
  <ScaleCrop>false</ScaleCrop>
  <Company>Win10NeT.COM</Company>
  <LinksUpToDate>false</LinksUpToDate>
  <CharactersWithSpaces>84381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李 七困</cp:lastModifiedBy>
  <cp:revision>8</cp:revision>
  <cp:lastPrinted>2022-09-14T12:17:00Z</cp:lastPrinted>
  <dcterms:created xsi:type="dcterms:W3CDTF">2022-09-14T11:54:00Z</dcterms:created>
  <dcterms:modified xsi:type="dcterms:W3CDTF">2022-09-14T12:21:00Z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y fmtid="{D5CDD505-2E9C-101B-9397-08002B2CF9AE}" pid="3" name="ICV">
    <vt:lpwstr>AB4334ED5FD54086BA35BE835A757B6F</vt:lpwstr>
  </property>
</Properties>
</file>