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C4683">
      <w:pPr>
        <w:spacing w:line="360" w:lineRule="auto"/>
        <w:ind w:left="-94" w:leftChars="-45" w:right="-334" w:rightChars="-159"/>
        <w:jc w:val="left"/>
        <w:rPr>
          <w:b/>
          <w:bCs/>
          <w:sz w:val="32"/>
          <w:szCs w:val="32"/>
        </w:rPr>
      </w:pPr>
      <w:bookmarkStart w:id="0" w:name="_Hlk21261980"/>
      <w:bookmarkEnd w:id="0"/>
      <w:r>
        <w:rPr>
          <w:b/>
          <w:bCs/>
          <w:sz w:val="32"/>
          <w:szCs w:val="32"/>
        </w:rPr>
        <mc:AlternateContent>
          <mc:Choice Requires="wps">
            <w:drawing>
              <wp:anchor distT="0" distB="0" distL="114300" distR="114300" simplePos="0" relativeHeight="251666432" behindDoc="0" locked="0" layoutInCell="1" allowOverlap="1">
                <wp:simplePos x="0" y="0"/>
                <wp:positionH relativeFrom="column">
                  <wp:posOffset>-112395</wp:posOffset>
                </wp:positionH>
                <wp:positionV relativeFrom="paragraph">
                  <wp:posOffset>1882140</wp:posOffset>
                </wp:positionV>
                <wp:extent cx="6339840" cy="0"/>
                <wp:effectExtent l="0" t="19050" r="41910" b="38100"/>
                <wp:wrapNone/>
                <wp:docPr id="390694634" name="直线 5"/>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57150" cmpd="thickThin">
                          <a:solidFill>
                            <a:srgbClr val="000000"/>
                          </a:solidFill>
                          <a:round/>
                        </a:ln>
                      </wps:spPr>
                      <wps:bodyPr/>
                    </wps:wsp>
                  </a:graphicData>
                </a:graphic>
              </wp:anchor>
            </w:drawing>
          </mc:Choice>
          <mc:Fallback>
            <w:pict>
              <v:line id="直线 5" o:spid="_x0000_s1026" o:spt="20" style="position:absolute;left:0pt;margin-left:-8.85pt;margin-top:148.2pt;height:0pt;width:499.2pt;z-index:251666432;mso-width-relative:page;mso-height-relative:page;" filled="f" stroked="t" coordsize="21600,21600" o:gfxdata="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T432&#10;1gAAAAsBAAAPAAAAAAAAAAEAIAAAACIAAABkcnMvZG93bnJldi54bWxQSwECFAAUAAAACACHTuJA&#10;/3fm1eoBAAC7AwAADgAAAAAAAAABACAAAAAlAQAAZHJzL2Uyb0RvYy54bWxQSwUGAAAAAAYABgBZ&#10;AQAAgQUAAAAA&#10;">
                <v:fill on="f" focussize="0,0"/>
                <v:stroke weight="4.5pt" color="#000000" linestyle="thickThin" joinstyle="round"/>
                <v:imagedata o:title=""/>
                <o:lock v:ext="edit" aspectratio="f"/>
              </v:line>
            </w:pict>
          </mc:Fallback>
        </mc:AlternateContent>
      </w:r>
      <w:r>
        <w:rPr>
          <w:b/>
          <w:bCs/>
          <w:sz w:val="32"/>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1257300" cy="1257300"/>
            <wp:effectExtent l="0" t="0" r="0" b="0"/>
            <wp:wrapTopAndBottom/>
            <wp:docPr id="696947255" name="图片 696947255"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7255" name="图片 696947255" descr="徽标（白边）"/>
                    <pic:cNvPicPr>
                      <a:picLocks noChangeAspect="1" noChangeArrowheads="1"/>
                    </pic:cNvPicPr>
                  </pic:nvPicPr>
                  <pic:blipFill>
                    <a:blip r:embed="rId5"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4384" behindDoc="0" locked="0" layoutInCell="1" allowOverlap="1">
            <wp:simplePos x="0" y="0"/>
            <wp:positionH relativeFrom="column">
              <wp:posOffset>1714500</wp:posOffset>
            </wp:positionH>
            <wp:positionV relativeFrom="paragraph">
              <wp:posOffset>693420</wp:posOffset>
            </wp:positionV>
            <wp:extent cx="3200400" cy="805180"/>
            <wp:effectExtent l="0" t="0" r="0" b="0"/>
            <wp:wrapTopAndBottom/>
            <wp:docPr id="361701434" name="图片 361701434"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01434" name="图片 361701434" descr="信息简报"/>
                    <pic:cNvPicPr>
                      <a:picLocks noChangeAspect="1" noChangeArrowheads="1"/>
                    </pic:cNvPicPr>
                  </pic:nvPicPr>
                  <pic:blipFill>
                    <a:blip r:embed="rId6"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5408" behindDoc="0" locked="0" layoutInCell="1" allowOverlap="1">
            <wp:simplePos x="0" y="0"/>
            <wp:positionH relativeFrom="column">
              <wp:posOffset>914400</wp:posOffset>
            </wp:positionH>
            <wp:positionV relativeFrom="paragraph">
              <wp:posOffset>0</wp:posOffset>
            </wp:positionV>
            <wp:extent cx="5029200" cy="783590"/>
            <wp:effectExtent l="0" t="0" r="0" b="0"/>
            <wp:wrapNone/>
            <wp:docPr id="1232514000" name="图片 1232514000"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14000" name="图片 1232514000" descr="福建省水产饲料研究会 - 刘中一题—红色"/>
                    <pic:cNvPicPr>
                      <a:picLocks noChangeAspect="1" noChangeArrowheads="1"/>
                    </pic:cNvPicPr>
                  </pic:nvPicPr>
                  <pic:blipFill>
                    <a:blip r:embed="rId7"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B-2088184-5       第</w:t>
      </w:r>
      <w:r>
        <w:rPr>
          <w:rFonts w:hint="eastAsia"/>
          <w:b/>
          <w:bCs/>
          <w:sz w:val="32"/>
          <w:szCs w:val="32"/>
        </w:rPr>
        <w:t>9</w:t>
      </w:r>
      <w:r>
        <w:rPr>
          <w:b/>
          <w:bCs/>
          <w:sz w:val="32"/>
          <w:szCs w:val="32"/>
        </w:rPr>
        <w:t>期   (总第</w:t>
      </w:r>
      <w:r>
        <w:rPr>
          <w:rFonts w:hint="eastAsia"/>
          <w:b/>
          <w:bCs/>
          <w:sz w:val="32"/>
          <w:szCs w:val="32"/>
        </w:rPr>
        <w:t>431</w:t>
      </w:r>
      <w:r>
        <w:rPr>
          <w:b/>
          <w:bCs/>
          <w:sz w:val="32"/>
          <w:szCs w:val="32"/>
        </w:rPr>
        <w:t>期)     202</w:t>
      </w:r>
      <w:r>
        <w:rPr>
          <w:rFonts w:hint="eastAsia"/>
          <w:b/>
          <w:bCs/>
          <w:sz w:val="32"/>
          <w:szCs w:val="32"/>
        </w:rPr>
        <w:t>5</w:t>
      </w:r>
      <w:r>
        <w:rPr>
          <w:b/>
          <w:bCs/>
          <w:sz w:val="32"/>
          <w:szCs w:val="32"/>
        </w:rPr>
        <w:t>年</w:t>
      </w:r>
      <w:r>
        <w:rPr>
          <w:rFonts w:hint="eastAsia"/>
          <w:b/>
          <w:bCs/>
          <w:sz w:val="32"/>
          <w:szCs w:val="32"/>
        </w:rPr>
        <w:t>5</w:t>
      </w:r>
      <w:r>
        <w:rPr>
          <w:b/>
          <w:bCs/>
          <w:sz w:val="32"/>
          <w:szCs w:val="32"/>
        </w:rPr>
        <w:t>月</w:t>
      </w:r>
      <w:r>
        <w:rPr>
          <w:rFonts w:hint="eastAsia"/>
          <w:b/>
          <w:bCs/>
          <w:sz w:val="32"/>
          <w:szCs w:val="32"/>
        </w:rPr>
        <w:t>15</w:t>
      </w:r>
      <w:r>
        <w:rPr>
          <w:b/>
          <w:bCs/>
          <w:sz w:val="32"/>
          <w:szCs w:val="32"/>
        </w:rPr>
        <w:t>日</w:t>
      </w:r>
    </w:p>
    <w:sdt>
      <w:sdtPr>
        <w:rPr>
          <w:rFonts w:ascii="Times New Roman" w:hAnsi="Times New Roman" w:eastAsia="宋体" w:cs="Times New Roman"/>
          <w:color w:val="auto"/>
          <w:kern w:val="2"/>
          <w:sz w:val="21"/>
          <w:szCs w:val="24"/>
          <w:lang w:val="zh-CN"/>
        </w:rPr>
        <w:id w:val="537700606"/>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14:paraId="280DC9D1">
          <w:pPr>
            <w:pStyle w:val="234"/>
            <w:jc w:val="center"/>
            <w:rPr>
              <w:rFonts w:ascii="黑体" w:hAnsi="黑体" w:eastAsia="黑体"/>
              <w:b/>
              <w:bCs/>
              <w:color w:val="auto"/>
            </w:rPr>
          </w:pPr>
          <w:r>
            <w:rPr>
              <w:rFonts w:ascii="黑体" w:hAnsi="黑体" w:eastAsia="黑体"/>
              <w:b/>
              <w:bCs/>
              <w:color w:val="auto"/>
              <w:lang w:val="zh-CN"/>
            </w:rPr>
            <w:t>目录</w:t>
          </w:r>
        </w:p>
        <w:p w14:paraId="674A7A6D">
          <w:pPr>
            <w:pStyle w:val="17"/>
            <w:spacing w:line="312" w:lineRule="auto"/>
          </w:pPr>
          <w:r>
            <w:fldChar w:fldCharType="begin"/>
          </w:r>
          <w:r>
            <w:instrText xml:space="preserve"> TOC \o "1-3" \h \z \u </w:instrText>
          </w:r>
          <w:r>
            <w:fldChar w:fldCharType="separate"/>
          </w:r>
          <w:r>
            <w:fldChar w:fldCharType="begin"/>
          </w:r>
          <w:r>
            <w:instrText xml:space="preserve"> HYPERLINK \l "_Toc198113445" </w:instrText>
          </w:r>
          <w:r>
            <w:fldChar w:fldCharType="separate"/>
          </w:r>
          <w:r>
            <w:rPr>
              <w:rStyle w:val="29"/>
              <w:rFonts w:hint="eastAsia"/>
            </w:rPr>
            <w:t>重要资讯</w:t>
          </w:r>
          <w:r>
            <w:rPr>
              <w:rFonts w:hint="eastAsia"/>
            </w:rPr>
            <w:tab/>
          </w:r>
          <w:r>
            <w:rPr>
              <w:rFonts w:hint="eastAsia"/>
            </w:rPr>
            <w:fldChar w:fldCharType="begin"/>
          </w:r>
          <w:r>
            <w:rPr>
              <w:rFonts w:hint="eastAsia"/>
            </w:rPr>
            <w:instrText xml:space="preserve"> </w:instrText>
          </w:r>
          <w:r>
            <w:instrText xml:space="preserve">PAGEREF _Toc198113445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929E775">
          <w:pPr>
            <w:pStyle w:val="19"/>
            <w:tabs>
              <w:tab w:val="right" w:leader="dot" w:pos="9402"/>
            </w:tabs>
            <w:spacing w:line="312" w:lineRule="auto"/>
          </w:pPr>
          <w:r>
            <w:fldChar w:fldCharType="begin"/>
          </w:r>
          <w:r>
            <w:instrText xml:space="preserve"> HYPERLINK \l "_Toc198113446" </w:instrText>
          </w:r>
          <w:r>
            <w:fldChar w:fldCharType="separate"/>
          </w:r>
          <w:r>
            <w:rPr>
              <w:rStyle w:val="29"/>
              <w:rFonts w:hint="eastAsia" w:eastAsia="黑体"/>
            </w:rPr>
            <w:t>七部门联合印发《关于加快提升农业科技创新体系整体效能的实施意见》</w:t>
          </w:r>
          <w:r>
            <w:rPr>
              <w:rFonts w:hint="eastAsia"/>
            </w:rPr>
            <w:tab/>
          </w:r>
          <w:r>
            <w:rPr>
              <w:rFonts w:hint="eastAsia"/>
            </w:rPr>
            <w:fldChar w:fldCharType="begin"/>
          </w:r>
          <w:r>
            <w:rPr>
              <w:rFonts w:hint="eastAsia"/>
            </w:rPr>
            <w:instrText xml:space="preserve"> </w:instrText>
          </w:r>
          <w:r>
            <w:instrText xml:space="preserve">PAGEREF _Toc198113446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9E49F0D">
          <w:pPr>
            <w:pStyle w:val="19"/>
            <w:tabs>
              <w:tab w:val="right" w:leader="dot" w:pos="9402"/>
            </w:tabs>
            <w:spacing w:line="312" w:lineRule="auto"/>
          </w:pPr>
          <w:r>
            <w:fldChar w:fldCharType="begin"/>
          </w:r>
          <w:r>
            <w:instrText xml:space="preserve"> HYPERLINK \l "_Toc198113447" </w:instrText>
          </w:r>
          <w:r>
            <w:fldChar w:fldCharType="separate"/>
          </w:r>
          <w:r>
            <w:rPr>
              <w:rStyle w:val="29"/>
              <w:rFonts w:hint="eastAsia" w:eastAsia="黑体"/>
            </w:rPr>
            <w:t>农业农村部 公安部 中国海警局联合印发《关于开展2025年海洋伏季休渔专项执法行动的通知》</w:t>
          </w:r>
          <w:r>
            <w:rPr>
              <w:rFonts w:hint="eastAsia"/>
            </w:rPr>
            <w:tab/>
          </w:r>
          <w:r>
            <w:rPr>
              <w:rFonts w:hint="eastAsia"/>
            </w:rPr>
            <w:fldChar w:fldCharType="begin"/>
          </w:r>
          <w:r>
            <w:rPr>
              <w:rFonts w:hint="eastAsia"/>
            </w:rPr>
            <w:instrText xml:space="preserve"> </w:instrText>
          </w:r>
          <w:r>
            <w:instrText xml:space="preserve">PAGEREF _Toc198113447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615AB0CF">
          <w:pPr>
            <w:pStyle w:val="19"/>
            <w:tabs>
              <w:tab w:val="right" w:leader="dot" w:pos="9402"/>
            </w:tabs>
            <w:spacing w:line="312" w:lineRule="auto"/>
          </w:pPr>
          <w:r>
            <w:fldChar w:fldCharType="begin"/>
          </w:r>
          <w:r>
            <w:instrText xml:space="preserve"> HYPERLINK \l "_Toc198113448" </w:instrText>
          </w:r>
          <w:r>
            <w:fldChar w:fldCharType="separate"/>
          </w:r>
          <w:r>
            <w:rPr>
              <w:rStyle w:val="29"/>
              <w:rFonts w:hint="eastAsia" w:eastAsia="黑体"/>
            </w:rPr>
            <w:t>农业农村部办公厅公布2025年渔业绿色循环发展项目立项名单</w:t>
          </w:r>
          <w:r>
            <w:rPr>
              <w:rFonts w:hint="eastAsia"/>
            </w:rPr>
            <w:tab/>
          </w:r>
          <w:r>
            <w:rPr>
              <w:rFonts w:hint="eastAsia"/>
            </w:rPr>
            <w:fldChar w:fldCharType="begin"/>
          </w:r>
          <w:r>
            <w:rPr>
              <w:rFonts w:hint="eastAsia"/>
            </w:rPr>
            <w:instrText xml:space="preserve"> </w:instrText>
          </w:r>
          <w:r>
            <w:instrText xml:space="preserve">PAGEREF _Toc198113448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F8B8FA0">
          <w:pPr>
            <w:pStyle w:val="19"/>
            <w:tabs>
              <w:tab w:val="right" w:leader="dot" w:pos="9402"/>
            </w:tabs>
            <w:spacing w:line="312" w:lineRule="auto"/>
          </w:pPr>
          <w:r>
            <w:fldChar w:fldCharType="begin"/>
          </w:r>
          <w:r>
            <w:instrText xml:space="preserve"> HYPERLINK \l "_Toc198113449" </w:instrText>
          </w:r>
          <w:r>
            <w:fldChar w:fldCharType="separate"/>
          </w:r>
          <w:r>
            <w:rPr>
              <w:rStyle w:val="29"/>
              <w:rFonts w:hint="eastAsia" w:eastAsia="黑体"/>
            </w:rPr>
            <w:t>2024年度渔业统计年报数据集中会审会在四川成都召开</w:t>
          </w:r>
          <w:r>
            <w:rPr>
              <w:rFonts w:hint="eastAsia"/>
            </w:rPr>
            <w:tab/>
          </w:r>
          <w:r>
            <w:rPr>
              <w:rFonts w:hint="eastAsia"/>
            </w:rPr>
            <w:fldChar w:fldCharType="begin"/>
          </w:r>
          <w:r>
            <w:rPr>
              <w:rFonts w:hint="eastAsia"/>
            </w:rPr>
            <w:instrText xml:space="preserve"> </w:instrText>
          </w:r>
          <w:r>
            <w:instrText xml:space="preserve">PAGEREF _Toc198113449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5C114F6">
          <w:pPr>
            <w:pStyle w:val="19"/>
            <w:tabs>
              <w:tab w:val="right" w:leader="dot" w:pos="9402"/>
            </w:tabs>
            <w:spacing w:line="312" w:lineRule="auto"/>
          </w:pPr>
          <w:r>
            <w:fldChar w:fldCharType="begin"/>
          </w:r>
          <w:r>
            <w:instrText xml:space="preserve"> HYPERLINK \l "_Toc198113450" </w:instrText>
          </w:r>
          <w:r>
            <w:fldChar w:fldCharType="separate"/>
          </w:r>
          <w:r>
            <w:rPr>
              <w:rStyle w:val="29"/>
              <w:rFonts w:hint="eastAsia" w:eastAsia="黑体"/>
            </w:rPr>
            <w:t>农业农村部办公厅公布2025年国家级沿海渔港经济区项目名单</w:t>
          </w:r>
          <w:r>
            <w:rPr>
              <w:rFonts w:hint="eastAsia"/>
            </w:rPr>
            <w:tab/>
          </w:r>
          <w:r>
            <w:rPr>
              <w:rFonts w:hint="eastAsia"/>
            </w:rPr>
            <w:fldChar w:fldCharType="begin"/>
          </w:r>
          <w:r>
            <w:rPr>
              <w:rFonts w:hint="eastAsia"/>
            </w:rPr>
            <w:instrText xml:space="preserve"> </w:instrText>
          </w:r>
          <w:r>
            <w:instrText xml:space="preserve">PAGEREF _Toc198113450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11383BF">
          <w:pPr>
            <w:pStyle w:val="17"/>
            <w:spacing w:line="312" w:lineRule="auto"/>
          </w:pPr>
          <w:r>
            <w:fldChar w:fldCharType="begin"/>
          </w:r>
          <w:r>
            <w:instrText xml:space="preserve"> HYPERLINK \l "_Toc198113451" </w:instrText>
          </w:r>
          <w:r>
            <w:fldChar w:fldCharType="separate"/>
          </w:r>
          <w:r>
            <w:rPr>
              <w:rStyle w:val="29"/>
              <w:rFonts w:hint="eastAsia"/>
            </w:rPr>
            <w:t>行业资讯</w:t>
          </w:r>
          <w:r>
            <w:rPr>
              <w:rFonts w:hint="eastAsia"/>
            </w:rPr>
            <w:tab/>
          </w:r>
          <w:r>
            <w:rPr>
              <w:rFonts w:hint="eastAsia"/>
            </w:rPr>
            <w:fldChar w:fldCharType="begin"/>
          </w:r>
          <w:r>
            <w:rPr>
              <w:rFonts w:hint="eastAsia"/>
            </w:rPr>
            <w:instrText xml:space="preserve"> </w:instrText>
          </w:r>
          <w:r>
            <w:instrText xml:space="preserve">PAGEREF _Toc198113451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39C15D73">
          <w:pPr>
            <w:pStyle w:val="19"/>
            <w:tabs>
              <w:tab w:val="right" w:leader="dot" w:pos="9402"/>
            </w:tabs>
            <w:spacing w:line="312" w:lineRule="auto"/>
          </w:pPr>
          <w:r>
            <w:fldChar w:fldCharType="begin"/>
          </w:r>
          <w:r>
            <w:instrText xml:space="preserve"> HYPERLINK \l "_Toc198113452" </w:instrText>
          </w:r>
          <w:r>
            <w:fldChar w:fldCharType="separate"/>
          </w:r>
          <w:r>
            <w:rPr>
              <w:rStyle w:val="29"/>
              <w:rFonts w:hint="eastAsia" w:eastAsia="黑体"/>
            </w:rPr>
            <w:t>中国水产学会水产微生物生态与资源专业委员会首届学术年会在京召开</w:t>
          </w:r>
          <w:r>
            <w:rPr>
              <w:rFonts w:hint="eastAsia"/>
            </w:rPr>
            <w:tab/>
          </w:r>
          <w:r>
            <w:rPr>
              <w:rFonts w:hint="eastAsia"/>
            </w:rPr>
            <w:fldChar w:fldCharType="begin"/>
          </w:r>
          <w:r>
            <w:rPr>
              <w:rFonts w:hint="eastAsia"/>
            </w:rPr>
            <w:instrText xml:space="preserve"> </w:instrText>
          </w:r>
          <w:r>
            <w:instrText xml:space="preserve">PAGEREF _Toc198113452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7E058017">
          <w:pPr>
            <w:pStyle w:val="19"/>
            <w:tabs>
              <w:tab w:val="right" w:leader="dot" w:pos="9402"/>
            </w:tabs>
            <w:spacing w:line="312" w:lineRule="auto"/>
          </w:pPr>
          <w:r>
            <w:fldChar w:fldCharType="begin"/>
          </w:r>
          <w:r>
            <w:instrText xml:space="preserve"> HYPERLINK \l "_Toc198113453" </w:instrText>
          </w:r>
          <w:r>
            <w:fldChar w:fldCharType="separate"/>
          </w:r>
          <w:r>
            <w:rPr>
              <w:rStyle w:val="29"/>
              <w:rFonts w:hint="eastAsia" w:eastAsia="黑体"/>
            </w:rPr>
            <w:t>福建省2025年海洋伏季休渔执法监管工作方案发布</w:t>
          </w:r>
          <w:r>
            <w:rPr>
              <w:rFonts w:hint="eastAsia"/>
            </w:rPr>
            <w:tab/>
          </w:r>
          <w:r>
            <w:rPr>
              <w:rFonts w:hint="eastAsia"/>
            </w:rPr>
            <w:fldChar w:fldCharType="begin"/>
          </w:r>
          <w:r>
            <w:rPr>
              <w:rFonts w:hint="eastAsia"/>
            </w:rPr>
            <w:instrText xml:space="preserve"> </w:instrText>
          </w:r>
          <w:r>
            <w:instrText xml:space="preserve">PAGEREF _Toc198113453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58F99C42">
          <w:pPr>
            <w:pStyle w:val="19"/>
            <w:tabs>
              <w:tab w:val="right" w:leader="dot" w:pos="9402"/>
            </w:tabs>
            <w:spacing w:line="312" w:lineRule="auto"/>
          </w:pPr>
          <w:r>
            <w:fldChar w:fldCharType="begin"/>
          </w:r>
          <w:r>
            <w:instrText xml:space="preserve"> HYPERLINK \l "_Toc198113454" </w:instrText>
          </w:r>
          <w:r>
            <w:fldChar w:fldCharType="separate"/>
          </w:r>
          <w:r>
            <w:rPr>
              <w:rStyle w:val="29"/>
              <w:rFonts w:hint="eastAsia" w:eastAsia="黑体"/>
            </w:rPr>
            <w:t>2025中国渔业协会水族大会在广东佛山召开</w:t>
          </w:r>
          <w:r>
            <w:rPr>
              <w:rFonts w:hint="eastAsia"/>
            </w:rPr>
            <w:tab/>
          </w:r>
          <w:r>
            <w:rPr>
              <w:rFonts w:hint="eastAsia"/>
            </w:rPr>
            <w:fldChar w:fldCharType="begin"/>
          </w:r>
          <w:r>
            <w:rPr>
              <w:rFonts w:hint="eastAsia"/>
            </w:rPr>
            <w:instrText xml:space="preserve"> </w:instrText>
          </w:r>
          <w:r>
            <w:instrText xml:space="preserve">PAGEREF _Toc198113454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7957E8D9">
          <w:pPr>
            <w:pStyle w:val="19"/>
            <w:tabs>
              <w:tab w:val="right" w:leader="dot" w:pos="9402"/>
            </w:tabs>
            <w:spacing w:line="312" w:lineRule="auto"/>
          </w:pPr>
          <w:r>
            <w:fldChar w:fldCharType="begin"/>
          </w:r>
          <w:r>
            <w:instrText xml:space="preserve"> HYPERLINK \l "_Toc198113455" </w:instrText>
          </w:r>
          <w:r>
            <w:fldChar w:fldCharType="separate"/>
          </w:r>
          <w:r>
            <w:rPr>
              <w:rStyle w:val="29"/>
              <w:rFonts w:hint="eastAsia" w:eastAsia="黑体"/>
            </w:rPr>
            <w:t>浙江台州：“执法检查+技术服务” 助推养殖企业合规经营</w:t>
          </w:r>
          <w:r>
            <w:rPr>
              <w:rFonts w:hint="eastAsia"/>
            </w:rPr>
            <w:tab/>
          </w:r>
          <w:r>
            <w:rPr>
              <w:rFonts w:hint="eastAsia"/>
            </w:rPr>
            <w:fldChar w:fldCharType="begin"/>
          </w:r>
          <w:r>
            <w:rPr>
              <w:rFonts w:hint="eastAsia"/>
            </w:rPr>
            <w:instrText xml:space="preserve"> </w:instrText>
          </w:r>
          <w:r>
            <w:instrText xml:space="preserve">PAGEREF _Toc198113455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10E02315">
          <w:pPr>
            <w:pStyle w:val="17"/>
            <w:spacing w:line="312" w:lineRule="auto"/>
          </w:pPr>
          <w:r>
            <w:fldChar w:fldCharType="begin"/>
          </w:r>
          <w:r>
            <w:instrText xml:space="preserve"> HYPERLINK \l "_Toc198113456" </w:instrText>
          </w:r>
          <w:r>
            <w:fldChar w:fldCharType="separate"/>
          </w:r>
          <w:r>
            <w:rPr>
              <w:rStyle w:val="29"/>
              <w:rFonts w:hint="eastAsia"/>
            </w:rPr>
            <w:t>典型案例</w:t>
          </w:r>
          <w:r>
            <w:rPr>
              <w:rFonts w:hint="eastAsia"/>
            </w:rPr>
            <w:tab/>
          </w:r>
          <w:r>
            <w:rPr>
              <w:rFonts w:hint="eastAsia"/>
            </w:rPr>
            <w:fldChar w:fldCharType="begin"/>
          </w:r>
          <w:r>
            <w:rPr>
              <w:rFonts w:hint="eastAsia"/>
            </w:rPr>
            <w:instrText xml:space="preserve"> </w:instrText>
          </w:r>
          <w:r>
            <w:instrText xml:space="preserve">PAGEREF _Toc198113456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5F4B1FC7">
          <w:pPr>
            <w:pStyle w:val="19"/>
            <w:tabs>
              <w:tab w:val="right" w:leader="dot" w:pos="9402"/>
            </w:tabs>
            <w:spacing w:line="312" w:lineRule="auto"/>
          </w:pPr>
          <w:r>
            <w:fldChar w:fldCharType="begin"/>
          </w:r>
          <w:r>
            <w:instrText xml:space="preserve"> HYPERLINK \l "_Toc198113457" </w:instrText>
          </w:r>
          <w:r>
            <w:fldChar w:fldCharType="separate"/>
          </w:r>
          <w:r>
            <w:rPr>
              <w:rStyle w:val="29"/>
              <w:rFonts w:hint="eastAsia" w:eastAsia="黑体"/>
            </w:rPr>
            <w:t>农业农村部发布“中国渔政亮剑2024”九大执法典型案例</w:t>
          </w:r>
          <w:r>
            <w:rPr>
              <w:rFonts w:hint="eastAsia"/>
            </w:rPr>
            <w:tab/>
          </w:r>
          <w:r>
            <w:rPr>
              <w:rFonts w:hint="eastAsia"/>
            </w:rPr>
            <w:fldChar w:fldCharType="begin"/>
          </w:r>
          <w:r>
            <w:rPr>
              <w:rFonts w:hint="eastAsia"/>
            </w:rPr>
            <w:instrText xml:space="preserve"> </w:instrText>
          </w:r>
          <w:r>
            <w:instrText xml:space="preserve">PAGEREF _Toc198113457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09E546EA">
          <w:pPr>
            <w:pStyle w:val="17"/>
            <w:spacing w:line="312" w:lineRule="auto"/>
          </w:pPr>
          <w:r>
            <w:fldChar w:fldCharType="begin"/>
          </w:r>
          <w:r>
            <w:instrText xml:space="preserve"> HYPERLINK \l "_Toc198113460" </w:instrText>
          </w:r>
          <w:r>
            <w:fldChar w:fldCharType="separate"/>
          </w:r>
          <w:r>
            <w:rPr>
              <w:rStyle w:val="29"/>
              <w:rFonts w:hint="eastAsia"/>
            </w:rPr>
            <w:t>研究进展</w:t>
          </w:r>
          <w:r>
            <w:rPr>
              <w:rFonts w:hint="eastAsia"/>
            </w:rPr>
            <w:tab/>
          </w:r>
          <w:r>
            <w:rPr>
              <w:rFonts w:hint="eastAsia"/>
            </w:rPr>
            <w:fldChar w:fldCharType="begin"/>
          </w:r>
          <w:r>
            <w:rPr>
              <w:rFonts w:hint="eastAsia"/>
            </w:rPr>
            <w:instrText xml:space="preserve"> </w:instrText>
          </w:r>
          <w:r>
            <w:instrText xml:space="preserve">PAGEREF _Toc198113460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76A2D9AB">
          <w:pPr>
            <w:pStyle w:val="19"/>
            <w:tabs>
              <w:tab w:val="right" w:leader="dot" w:pos="9402"/>
            </w:tabs>
            <w:spacing w:line="312" w:lineRule="auto"/>
          </w:pPr>
          <w:r>
            <w:fldChar w:fldCharType="begin"/>
          </w:r>
          <w:r>
            <w:instrText xml:space="preserve"> HYPERLINK \l "_Toc198113461" </w:instrText>
          </w:r>
          <w:r>
            <w:fldChar w:fldCharType="separate"/>
          </w:r>
          <w:r>
            <w:rPr>
              <w:rStyle w:val="29"/>
              <w:rFonts w:hint="eastAsia" w:eastAsia="黑体"/>
            </w:rPr>
            <w:t>不同动物蛋白源替代鱼粉的研究进展</w:t>
          </w:r>
          <w:r>
            <w:rPr>
              <w:rFonts w:hint="eastAsia"/>
            </w:rPr>
            <w:tab/>
          </w:r>
          <w:r>
            <w:rPr>
              <w:rFonts w:hint="eastAsia"/>
            </w:rPr>
            <w:fldChar w:fldCharType="begin"/>
          </w:r>
          <w:r>
            <w:rPr>
              <w:rFonts w:hint="eastAsia"/>
            </w:rPr>
            <w:instrText xml:space="preserve"> </w:instrText>
          </w:r>
          <w:r>
            <w:instrText xml:space="preserve">PAGEREF _Toc198113461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1067DEAF">
          <w:pPr>
            <w:pStyle w:val="17"/>
            <w:spacing w:line="312" w:lineRule="auto"/>
          </w:pPr>
          <w:r>
            <w:fldChar w:fldCharType="begin"/>
          </w:r>
          <w:r>
            <w:instrText xml:space="preserve"> HYPERLINK \l "_Toc198113462" </w:instrText>
          </w:r>
          <w:r>
            <w:fldChar w:fldCharType="separate"/>
          </w:r>
          <w:r>
            <w:rPr>
              <w:rStyle w:val="29"/>
              <w:rFonts w:hint="eastAsia"/>
            </w:rPr>
            <w:t>科学研究</w:t>
          </w:r>
          <w:r>
            <w:rPr>
              <w:rFonts w:hint="eastAsia"/>
            </w:rPr>
            <w:tab/>
          </w:r>
          <w:r>
            <w:rPr>
              <w:rFonts w:hint="eastAsia"/>
            </w:rPr>
            <w:fldChar w:fldCharType="begin"/>
          </w:r>
          <w:r>
            <w:rPr>
              <w:rFonts w:hint="eastAsia"/>
            </w:rPr>
            <w:instrText xml:space="preserve"> </w:instrText>
          </w:r>
          <w:r>
            <w:instrText xml:space="preserve">PAGEREF _Toc198113462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7ABB0D0D">
          <w:pPr>
            <w:pStyle w:val="19"/>
            <w:tabs>
              <w:tab w:val="right" w:leader="dot" w:pos="9402"/>
            </w:tabs>
            <w:spacing w:line="312" w:lineRule="auto"/>
          </w:pPr>
          <w:r>
            <w:fldChar w:fldCharType="begin"/>
          </w:r>
          <w:r>
            <w:instrText xml:space="preserve"> HYPERLINK \l "_Toc198113463" </w:instrText>
          </w:r>
          <w:r>
            <w:fldChar w:fldCharType="separate"/>
          </w:r>
          <w:r>
            <w:rPr>
              <w:rStyle w:val="29"/>
              <w:rFonts w:hint="eastAsia" w:ascii="黑体" w:hAnsi="黑体" w:eastAsia="黑体"/>
            </w:rPr>
            <w:t>发酵棉籽粕对黄颡鱼生长性能、表观消化率和肠道健康的影响</w:t>
          </w:r>
          <w:r>
            <w:rPr>
              <w:rFonts w:hint="eastAsia"/>
            </w:rPr>
            <w:tab/>
          </w:r>
          <w:r>
            <w:rPr>
              <w:rFonts w:hint="eastAsia"/>
            </w:rPr>
            <w:fldChar w:fldCharType="begin"/>
          </w:r>
          <w:r>
            <w:rPr>
              <w:rFonts w:hint="eastAsia"/>
            </w:rPr>
            <w:instrText xml:space="preserve"> </w:instrText>
          </w:r>
          <w:r>
            <w:instrText xml:space="preserve">PAGEREF _Toc198113463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67502BB4">
          <w:pPr>
            <w:pStyle w:val="19"/>
            <w:tabs>
              <w:tab w:val="right" w:leader="dot" w:pos="9402"/>
            </w:tabs>
            <w:spacing w:line="312" w:lineRule="auto"/>
          </w:pPr>
          <w:r>
            <w:fldChar w:fldCharType="begin"/>
          </w:r>
          <w:r>
            <w:instrText xml:space="preserve"> HYPERLINK \l "_Toc198113464" </w:instrText>
          </w:r>
          <w:r>
            <w:fldChar w:fldCharType="separate"/>
          </w:r>
          <w:r>
            <w:rPr>
              <w:rStyle w:val="29"/>
              <w:rFonts w:hint="eastAsia" w:ascii="黑体" w:hAnsi="黑体" w:eastAsia="黑体" w:cs="黑体"/>
            </w:rPr>
            <w:t>柑橘类植物精油的组成尧生物活性及其在水产饲料中的应用</w:t>
          </w:r>
          <w:r>
            <w:rPr>
              <w:rFonts w:hint="eastAsia"/>
            </w:rPr>
            <w:tab/>
          </w:r>
          <w:r>
            <w:rPr>
              <w:rFonts w:hint="eastAsia"/>
            </w:rPr>
            <w:fldChar w:fldCharType="begin"/>
          </w:r>
          <w:r>
            <w:rPr>
              <w:rFonts w:hint="eastAsia"/>
            </w:rPr>
            <w:instrText xml:space="preserve"> </w:instrText>
          </w:r>
          <w:r>
            <w:instrText xml:space="preserve">PAGEREF _Toc198113464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5CAA9DC9">
          <w:pPr>
            <w:pStyle w:val="17"/>
            <w:spacing w:line="312" w:lineRule="auto"/>
          </w:pPr>
          <w:r>
            <w:fldChar w:fldCharType="begin"/>
          </w:r>
          <w:r>
            <w:instrText xml:space="preserve"> HYPERLINK \l "_Toc198113465" </w:instrText>
          </w:r>
          <w:r>
            <w:fldChar w:fldCharType="separate"/>
          </w:r>
          <w:r>
            <w:rPr>
              <w:rStyle w:val="29"/>
              <w:rFonts w:hint="eastAsia"/>
            </w:rPr>
            <w:t>饲料研发</w:t>
          </w:r>
          <w:r>
            <w:rPr>
              <w:rFonts w:hint="eastAsia"/>
            </w:rPr>
            <w:tab/>
          </w:r>
          <w:r>
            <w:rPr>
              <w:rFonts w:hint="eastAsia"/>
            </w:rPr>
            <w:fldChar w:fldCharType="begin"/>
          </w:r>
          <w:r>
            <w:rPr>
              <w:rFonts w:hint="eastAsia"/>
            </w:rPr>
            <w:instrText xml:space="preserve"> </w:instrText>
          </w:r>
          <w:r>
            <w:instrText xml:space="preserve">PAGEREF _Toc198113465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35D3B62E">
          <w:pPr>
            <w:pStyle w:val="19"/>
            <w:tabs>
              <w:tab w:val="right" w:leader="dot" w:pos="9402"/>
            </w:tabs>
            <w:spacing w:line="312" w:lineRule="auto"/>
          </w:pPr>
          <w:r>
            <w:fldChar w:fldCharType="begin"/>
          </w:r>
          <w:r>
            <w:instrText xml:space="preserve"> HYPERLINK \l "_Toc198113466" </w:instrText>
          </w:r>
          <w:r>
            <w:fldChar w:fldCharType="separate"/>
          </w:r>
          <w:r>
            <w:rPr>
              <w:rStyle w:val="29"/>
              <w:rFonts w:hint="eastAsia" w:ascii="黑体" w:hAnsi="黑体" w:eastAsia="黑体"/>
            </w:rPr>
            <w:t>不同制粒温度熟化软颗粒饲料品质分析及其对罗非鱼生长性能的影响</w:t>
          </w:r>
          <w:r>
            <w:rPr>
              <w:rFonts w:hint="eastAsia"/>
            </w:rPr>
            <w:tab/>
          </w:r>
          <w:r>
            <w:rPr>
              <w:rFonts w:hint="eastAsia"/>
            </w:rPr>
            <w:fldChar w:fldCharType="begin"/>
          </w:r>
          <w:r>
            <w:rPr>
              <w:rFonts w:hint="eastAsia"/>
            </w:rPr>
            <w:instrText xml:space="preserve"> </w:instrText>
          </w:r>
          <w:r>
            <w:instrText xml:space="preserve">PAGEREF _Toc198113466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0A0B37D2">
          <w:pPr>
            <w:pStyle w:val="19"/>
            <w:tabs>
              <w:tab w:val="right" w:leader="dot" w:pos="9402"/>
            </w:tabs>
            <w:spacing w:line="312" w:lineRule="auto"/>
          </w:pPr>
          <w:r>
            <w:fldChar w:fldCharType="begin"/>
          </w:r>
          <w:r>
            <w:instrText xml:space="preserve"> HYPERLINK \l "_Toc198113467" </w:instrText>
          </w:r>
          <w:r>
            <w:fldChar w:fldCharType="separate"/>
          </w:r>
          <w:r>
            <w:rPr>
              <w:rStyle w:val="29"/>
              <w:rFonts w:hint="eastAsia" w:ascii="等线 Light" w:hAnsi="等线 Light" w:eastAsia="黑体"/>
              <w:spacing w:val="-10"/>
              <w:kern w:val="28"/>
            </w:rPr>
            <w:t>发酵菜籽褐饼替代豆粕对鲤鱼生长性能</w:t>
          </w:r>
          <w:r>
            <w:rPr>
              <w:rStyle w:val="29"/>
              <w:rFonts w:hint="eastAsia" w:ascii="宋体" w:hAnsi="宋体" w:cs="微软雅黑"/>
              <w:spacing w:val="-10"/>
              <w:kern w:val="28"/>
            </w:rPr>
            <w:t>、</w:t>
          </w:r>
          <w:r>
            <w:rPr>
              <w:rStyle w:val="29"/>
              <w:rFonts w:hint="eastAsia" w:ascii="黑体" w:hAnsi="黑体" w:eastAsia="黑体" w:cs="黑体"/>
              <w:spacing w:val="-10"/>
              <w:kern w:val="28"/>
            </w:rPr>
            <w:t>肉品质和肠</w:t>
          </w:r>
          <w:r>
            <w:rPr>
              <w:rStyle w:val="29"/>
              <w:rFonts w:hint="eastAsia" w:ascii="等线 Light" w:hAnsi="等线 Light" w:eastAsia="黑体"/>
              <w:spacing w:val="-10"/>
              <w:kern w:val="28"/>
            </w:rPr>
            <w:t>道健康的影响</w:t>
          </w:r>
          <w:r>
            <w:rPr>
              <w:rFonts w:hint="eastAsia"/>
            </w:rPr>
            <w:tab/>
          </w:r>
          <w:r>
            <w:rPr>
              <w:rFonts w:hint="eastAsia"/>
            </w:rPr>
            <w:fldChar w:fldCharType="begin"/>
          </w:r>
          <w:r>
            <w:rPr>
              <w:rFonts w:hint="eastAsia"/>
            </w:rPr>
            <w:instrText xml:space="preserve"> </w:instrText>
          </w:r>
          <w:r>
            <w:instrText xml:space="preserve">PAGEREF _Toc198113467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14:paraId="713B5AEB">
          <w:r>
            <w:rPr>
              <w:b/>
              <w:bCs/>
              <w:lang w:val="zh-CN"/>
            </w:rPr>
            <w:fldChar w:fldCharType="end"/>
          </w:r>
        </w:p>
      </w:sdtContent>
    </w:sdt>
    <w:p w14:paraId="12FEEEB3">
      <w:pPr>
        <w:spacing w:line="360" w:lineRule="auto"/>
        <w:ind w:left="-94" w:leftChars="-45" w:right="-334" w:rightChars="-159"/>
        <w:jc w:val="left"/>
        <w:rPr>
          <w:b/>
          <w:bCs/>
          <w:sz w:val="32"/>
          <w:szCs w:val="32"/>
        </w:rPr>
      </w:pPr>
      <w:r>
        <w:rPr>
          <w:b/>
          <w:bCs/>
          <w:sz w:val="32"/>
          <w:szCs w:val="32"/>
        </w:rPr>
        <mc:AlternateContent>
          <mc:Choice Requires="wps">
            <w:drawing>
              <wp:anchor distT="0" distB="0" distL="114300" distR="114300" simplePos="0" relativeHeight="251662336" behindDoc="0" locked="0" layoutInCell="1" allowOverlap="1">
                <wp:simplePos x="0" y="0"/>
                <wp:positionH relativeFrom="column">
                  <wp:posOffset>-112395</wp:posOffset>
                </wp:positionH>
                <wp:positionV relativeFrom="paragraph">
                  <wp:posOffset>1882140</wp:posOffset>
                </wp:positionV>
                <wp:extent cx="6339840" cy="0"/>
                <wp:effectExtent l="0" t="19050" r="41910" b="38100"/>
                <wp:wrapNone/>
                <wp:docPr id="24" name="直线 5"/>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57150" cmpd="thickThin">
                          <a:solidFill>
                            <a:srgbClr val="000000"/>
                          </a:solidFill>
                          <a:round/>
                        </a:ln>
                      </wps:spPr>
                      <wps:bodyPr/>
                    </wps:wsp>
                  </a:graphicData>
                </a:graphic>
              </wp:anchor>
            </w:drawing>
          </mc:Choice>
          <mc:Fallback>
            <w:pict>
              <v:line id="直线 5" o:spid="_x0000_s1026" o:spt="20" style="position:absolute;left:0pt;margin-left:-8.85pt;margin-top:148.2pt;height:0pt;width:499.2pt;z-index:251662336;mso-width-relative:page;mso-height-relative:page;" filled="f" stroked="t" coordsize="21600,21600" o:gfxdata="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1PjfbWAAAACwEA&#10;AA8AAAAAAAAAAQAgAAAAIgAAAGRycy9kb3ducmV2LnhtbFBLAQIUABQAAAAIAIdO4kDObXag4wEA&#10;ALQDAAAOAAAAAAAAAAEAIAAAACUBAABkcnMvZTJvRG9jLnhtbFBLBQYAAAAABgAGAFkBAAB6BQAA&#10;AAA=&#10;">
                <v:fill on="f" focussize="0,0"/>
                <v:stroke weight="4.5pt" color="#000000" linestyle="thickThin" joinstyle="round"/>
                <v:imagedata o:title=""/>
                <o:lock v:ext="edit" aspectratio="f"/>
              </v:line>
            </w:pict>
          </mc:Fallback>
        </mc:AlternateContent>
      </w:r>
      <w:r>
        <w:rPr>
          <w:b/>
          <w:bCs/>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5"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6"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1312" behindDoc="0" locked="0" layoutInCell="1" allowOverlap="1">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7"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B-2088184-5       第</w:t>
      </w:r>
      <w:r>
        <w:rPr>
          <w:rFonts w:hint="eastAsia"/>
          <w:b/>
          <w:bCs/>
          <w:sz w:val="32"/>
          <w:szCs w:val="32"/>
        </w:rPr>
        <w:t>9</w:t>
      </w:r>
      <w:r>
        <w:rPr>
          <w:b/>
          <w:bCs/>
          <w:sz w:val="32"/>
          <w:szCs w:val="32"/>
        </w:rPr>
        <w:t>期   (总第</w:t>
      </w:r>
      <w:r>
        <w:rPr>
          <w:rFonts w:hint="eastAsia"/>
          <w:b/>
          <w:bCs/>
          <w:sz w:val="32"/>
          <w:szCs w:val="32"/>
        </w:rPr>
        <w:t>431</w:t>
      </w:r>
      <w:r>
        <w:rPr>
          <w:b/>
          <w:bCs/>
          <w:sz w:val="32"/>
          <w:szCs w:val="32"/>
        </w:rPr>
        <w:t>期)     202</w:t>
      </w:r>
      <w:r>
        <w:rPr>
          <w:rFonts w:hint="eastAsia"/>
          <w:b/>
          <w:bCs/>
          <w:sz w:val="32"/>
          <w:szCs w:val="32"/>
        </w:rPr>
        <w:t>5</w:t>
      </w:r>
      <w:r>
        <w:rPr>
          <w:b/>
          <w:bCs/>
          <w:sz w:val="32"/>
          <w:szCs w:val="32"/>
        </w:rPr>
        <w:t>年</w:t>
      </w:r>
      <w:r>
        <w:rPr>
          <w:rFonts w:hint="eastAsia"/>
          <w:b/>
          <w:bCs/>
          <w:sz w:val="32"/>
          <w:szCs w:val="32"/>
        </w:rPr>
        <w:t>5</w:t>
      </w:r>
      <w:r>
        <w:rPr>
          <w:b/>
          <w:bCs/>
          <w:sz w:val="32"/>
          <w:szCs w:val="32"/>
        </w:rPr>
        <w:t>月</w:t>
      </w:r>
      <w:r>
        <w:rPr>
          <w:rFonts w:hint="eastAsia"/>
          <w:b/>
          <w:bCs/>
          <w:sz w:val="32"/>
          <w:szCs w:val="32"/>
        </w:rPr>
        <w:t>15</w:t>
      </w:r>
      <w:r>
        <w:rPr>
          <w:b/>
          <w:bCs/>
          <w:sz w:val="32"/>
          <w:szCs w:val="32"/>
        </w:rPr>
        <w:t>日</w:t>
      </w:r>
    </w:p>
    <w:p w14:paraId="71C7472A">
      <w:pPr>
        <w:spacing w:line="276" w:lineRule="auto"/>
        <w:jc w:val="left"/>
        <w:outlineLvl w:val="0"/>
        <w:rPr>
          <w:rStyle w:val="101"/>
          <w:rFonts w:eastAsia="黑体"/>
          <w:b/>
          <w:bCs/>
          <w:sz w:val="32"/>
          <w:szCs w:val="32"/>
          <w:bdr w:val="single" w:color="auto" w:sz="4" w:space="0"/>
        </w:rPr>
      </w:pPr>
      <w:bookmarkStart w:id="1" w:name="_Toc198113445"/>
      <w:bookmarkStart w:id="2" w:name="OLE_LINK1"/>
      <w:r>
        <w:rPr>
          <w:rStyle w:val="101"/>
          <w:rFonts w:eastAsia="黑体"/>
          <w:b/>
          <w:bCs/>
          <w:sz w:val="32"/>
          <w:szCs w:val="32"/>
          <w:bdr w:val="single" w:color="auto" w:sz="4" w:space="0"/>
        </w:rPr>
        <w:t>重要资讯</w:t>
      </w:r>
      <w:bookmarkEnd w:id="1"/>
    </w:p>
    <w:bookmarkEnd w:id="2"/>
    <w:p w14:paraId="6F53C4E9">
      <w:pPr>
        <w:jc w:val="center"/>
        <w:outlineLvl w:val="1"/>
        <w:rPr>
          <w:rFonts w:eastAsia="黑体"/>
          <w:b/>
          <w:bCs/>
          <w:sz w:val="32"/>
          <w:szCs w:val="32"/>
        </w:rPr>
      </w:pPr>
      <w:bookmarkStart w:id="3" w:name="_Toc198113446"/>
      <w:bookmarkStart w:id="4" w:name="_Hlk95645129"/>
      <w:r>
        <w:rPr>
          <w:rFonts w:hint="eastAsia" w:eastAsia="黑体"/>
          <w:b/>
          <w:bCs/>
          <w:sz w:val="32"/>
          <w:szCs w:val="32"/>
        </w:rPr>
        <w:t>七部门联合印发《关于加快提升农业科技创新体系整体效能</w:t>
      </w:r>
    </w:p>
    <w:p w14:paraId="05391084">
      <w:pPr>
        <w:jc w:val="center"/>
        <w:outlineLvl w:val="1"/>
        <w:rPr>
          <w:rFonts w:eastAsiaTheme="minorEastAsia"/>
          <w:sz w:val="24"/>
        </w:rPr>
      </w:pPr>
      <w:r>
        <w:rPr>
          <w:rFonts w:hint="eastAsia" w:eastAsia="黑体"/>
          <w:b/>
          <w:bCs/>
          <w:sz w:val="32"/>
          <w:szCs w:val="32"/>
        </w:rPr>
        <w:t>的实施意见》</w:t>
      </w:r>
      <w:bookmarkEnd w:id="3"/>
    </w:p>
    <w:p w14:paraId="3C66B013">
      <w:pPr>
        <w:spacing w:line="360" w:lineRule="auto"/>
        <w:ind w:firstLine="426"/>
        <w:rPr>
          <w:rFonts w:eastAsiaTheme="minorEastAsia"/>
          <w:sz w:val="24"/>
        </w:rPr>
      </w:pPr>
      <w:r>
        <w:rPr>
          <w:rFonts w:hint="eastAsia" w:eastAsiaTheme="minorEastAsia"/>
          <w:sz w:val="24"/>
        </w:rPr>
        <w:t>近日，农业农村部、科技部、教育部、工业和信息化部、财政部、水利部、中国科学院等7部门联合印发《关于加快提升农业科技创新体系整体效能的实施意见》（以下简称《实施意见》），推进构建梯次分明、分工协作、适度竞争的农业科技创新体系。</w:t>
      </w:r>
    </w:p>
    <w:p w14:paraId="1BE46D12">
      <w:pPr>
        <w:spacing w:line="360" w:lineRule="auto"/>
        <w:ind w:firstLine="426"/>
        <w:rPr>
          <w:rFonts w:eastAsiaTheme="minorEastAsia"/>
          <w:sz w:val="24"/>
        </w:rPr>
      </w:pPr>
      <w:r>
        <w:rPr>
          <w:rFonts w:hint="eastAsia" w:eastAsiaTheme="minorEastAsia"/>
          <w:sz w:val="24"/>
        </w:rPr>
        <w:t>《实施意见》指出，切实把科技创新摆在农业现代化建设突出重要位置，发挥新型举国体制优势，强化企业科技创新主体地位，加强创新资源统筹和力量组织，优化科技组织模式和创新范式，改善创新生态和科研环境，提升农业科技系统化组织水平和体系化攻关能力，实现高水平农业科技自立自强，为农业强国建设提供强有力的支撑。</w:t>
      </w:r>
    </w:p>
    <w:p w14:paraId="403E8ED3">
      <w:pPr>
        <w:spacing w:line="360" w:lineRule="auto"/>
        <w:ind w:firstLine="426"/>
        <w:rPr>
          <w:rFonts w:eastAsiaTheme="minorEastAsia"/>
          <w:sz w:val="24"/>
        </w:rPr>
      </w:pPr>
      <w:r>
        <w:rPr>
          <w:rFonts w:hint="eastAsia" w:eastAsiaTheme="minorEastAsia"/>
          <w:sz w:val="24"/>
        </w:rPr>
        <w:t>《实施意见》强调，加快提升农业科技创新体系整体效能，必须坚持进一步全面深化改革，坚持农业科技公共性基础性社会性定位，坚持产业需求导向，坚持守正创新，坚持人才引领发展。明确到2035年，建成运转高效的农业科技创新体系，农业科技创新和产业创新深度融合，农业科技创新整体水平居于世界前列，实现高水平农业科技自立自强。</w:t>
      </w:r>
    </w:p>
    <w:p w14:paraId="56CB77B2">
      <w:pPr>
        <w:spacing w:line="360" w:lineRule="auto"/>
        <w:ind w:firstLine="426"/>
        <w:rPr>
          <w:rFonts w:eastAsiaTheme="minorEastAsia"/>
          <w:sz w:val="24"/>
        </w:rPr>
      </w:pPr>
      <w:r>
        <w:rPr>
          <w:rFonts w:hint="eastAsia" w:eastAsiaTheme="minorEastAsia"/>
          <w:sz w:val="24"/>
        </w:rPr>
        <w:t>《实施意见》部署了8项重点任务。一是强化相关科研院所、高校科技创新核心使命，二是加快培育壮大农业科技领军企业，三是优化农业科技创新组织机制，四是建强农业科技人才队伍，五是提升农业科技条件支撑能力，六是加快农业科技成果转化，七是推动农业科技高水平开放合作，八是改善农业科技创新生态。</w:t>
      </w:r>
    </w:p>
    <w:p w14:paraId="71C95340">
      <w:pPr>
        <w:spacing w:line="360" w:lineRule="auto"/>
        <w:ind w:firstLine="426"/>
        <w:rPr>
          <w:rFonts w:eastAsiaTheme="minorEastAsia"/>
          <w:sz w:val="24"/>
        </w:rPr>
      </w:pPr>
      <w:r>
        <w:rPr>
          <w:rFonts w:hint="eastAsia" w:eastAsiaTheme="minorEastAsia"/>
          <w:sz w:val="24"/>
        </w:rPr>
        <w:t>《实施意见》要求，在中央科技委领导下，要加强农业科技工作央地联动和部际协调。各省（自治区、直辖市）结合实际建立农业科技管理协调机制，建立农业科研机构创新能力和省域农业科技创新效能监测机制</w:t>
      </w:r>
      <w:r>
        <w:rPr>
          <w:rFonts w:eastAsiaTheme="minorEastAsia"/>
          <w:sz w:val="24"/>
        </w:rPr>
        <w:t>,</w:t>
      </w:r>
      <w:r>
        <w:rPr>
          <w:rFonts w:hint="eastAsia" w:eastAsiaTheme="minorEastAsia"/>
          <w:sz w:val="24"/>
        </w:rPr>
        <w:t>细化任务分工</w:t>
      </w:r>
      <w:r>
        <w:rPr>
          <w:rFonts w:eastAsiaTheme="minorEastAsia"/>
          <w:sz w:val="24"/>
        </w:rPr>
        <w:t>,</w:t>
      </w:r>
      <w:r>
        <w:rPr>
          <w:rFonts w:hint="eastAsia" w:eastAsiaTheme="minorEastAsia"/>
          <w:sz w:val="24"/>
        </w:rPr>
        <w:t>强化工作调度</w:t>
      </w:r>
      <w:r>
        <w:rPr>
          <w:rFonts w:eastAsiaTheme="minorEastAsia"/>
          <w:sz w:val="24"/>
        </w:rPr>
        <w:t>,</w:t>
      </w:r>
      <w:r>
        <w:rPr>
          <w:rFonts w:hint="eastAsia" w:eastAsiaTheme="minorEastAsia"/>
          <w:sz w:val="24"/>
        </w:rPr>
        <w:t>推动各项工作落实落地。</w:t>
      </w:r>
    </w:p>
    <w:p w14:paraId="7768A5BA">
      <w:pPr>
        <w:spacing w:line="360" w:lineRule="auto"/>
        <w:ind w:firstLine="426"/>
        <w:jc w:val="right"/>
        <w:rPr>
          <w:rStyle w:val="101"/>
          <w:rFonts w:eastAsiaTheme="minorEastAsia"/>
          <w:szCs w:val="21"/>
        </w:rPr>
      </w:pPr>
      <w:r>
        <w:rPr>
          <w:rStyle w:val="101"/>
          <w:rFonts w:eastAsiaTheme="minorEastAsia"/>
          <w:szCs w:val="21"/>
        </w:rPr>
        <w:t>转摘自</w:t>
      </w:r>
      <w:r>
        <w:rPr>
          <w:rStyle w:val="101"/>
          <w:rFonts w:hint="eastAsia" w:eastAsiaTheme="minorEastAsia"/>
          <w:szCs w:val="21"/>
        </w:rPr>
        <w:t>农业农村部</w:t>
      </w:r>
    </w:p>
    <w:p w14:paraId="19F5A921">
      <w:pPr>
        <w:jc w:val="center"/>
        <w:outlineLvl w:val="1"/>
        <w:rPr>
          <w:rFonts w:eastAsia="黑体"/>
          <w:b/>
          <w:bCs/>
          <w:sz w:val="32"/>
          <w:szCs w:val="32"/>
        </w:rPr>
      </w:pPr>
      <w:bookmarkStart w:id="5" w:name="_Toc198113447"/>
      <w:r>
        <w:rPr>
          <w:rFonts w:hint="eastAsia" w:eastAsia="黑体"/>
          <w:b/>
          <w:bCs/>
          <w:sz w:val="32"/>
          <w:szCs w:val="32"/>
        </w:rPr>
        <w:t>农业农村部 公安部 中国海警局联合印发《关于开展2025年海洋伏季休渔专项执法行动的通知》</w:t>
      </w:r>
      <w:bookmarkEnd w:id="5"/>
    </w:p>
    <w:p w14:paraId="78FEDE2A">
      <w:pPr>
        <w:spacing w:line="360" w:lineRule="auto"/>
        <w:ind w:firstLine="426"/>
        <w:rPr>
          <w:rFonts w:eastAsiaTheme="minorEastAsia"/>
          <w:sz w:val="24"/>
        </w:rPr>
      </w:pPr>
      <w:r>
        <w:rPr>
          <w:rFonts w:hint="eastAsia" w:eastAsiaTheme="minorEastAsia"/>
          <w:sz w:val="24"/>
        </w:rPr>
        <w:t>日前，农业农村部、公安部、中国海警局联合印发通知，决定自2025年5月1日至9月16日开展海洋伏季休渔专项执法行动（以下简称“专项行动”），进一步保护海洋渔业资源和生态环境，维护海洋伏季休渔秩序。</w:t>
      </w:r>
    </w:p>
    <w:p w14:paraId="64CF2660">
      <w:pPr>
        <w:spacing w:line="360" w:lineRule="auto"/>
        <w:rPr>
          <w:rFonts w:eastAsiaTheme="minorEastAsia"/>
          <w:sz w:val="24"/>
        </w:rPr>
      </w:pPr>
      <w:r>
        <w:rPr>
          <w:rFonts w:hint="eastAsia" w:eastAsiaTheme="minorEastAsia"/>
          <w:sz w:val="24"/>
        </w:rPr>
        <w:t>一、重点任务</w:t>
      </w:r>
    </w:p>
    <w:p w14:paraId="711BE647">
      <w:pPr>
        <w:spacing w:line="360" w:lineRule="auto"/>
        <w:ind w:firstLine="426"/>
        <w:rPr>
          <w:rFonts w:eastAsiaTheme="minorEastAsia"/>
          <w:sz w:val="24"/>
        </w:rPr>
      </w:pPr>
      <w:r>
        <w:rPr>
          <w:rFonts w:hint="eastAsia" w:eastAsiaTheme="minorEastAsia"/>
          <w:sz w:val="24"/>
        </w:rPr>
        <w:t>（一）严查渔港码头。全面掌握渔港码头情况，实施依港管船管人，以县（市、区）为单位建立应休渔渔船名册，做到底数清、情况明、动态准。严格执行渔船船籍港休渔、定人联船、定期点验、进出港报告等制度，切实做到“船回港、人上岸、网入库”。确需异地休渔的渔船，由船籍港所在地渔业渔政主管部门主动对接靠泊港，建立完善船籍港和靠泊港共管机制，做到异地停靠渔船监管责任清晰、措施到位，不留“法外之地”。</w:t>
      </w:r>
    </w:p>
    <w:p w14:paraId="6A68F192">
      <w:pPr>
        <w:spacing w:line="360" w:lineRule="auto"/>
        <w:ind w:firstLine="426"/>
        <w:rPr>
          <w:rFonts w:eastAsiaTheme="minorEastAsia"/>
          <w:sz w:val="24"/>
        </w:rPr>
      </w:pPr>
      <w:r>
        <w:rPr>
          <w:rFonts w:hint="eastAsia" w:eastAsiaTheme="minorEastAsia"/>
          <w:sz w:val="24"/>
        </w:rPr>
        <w:t>（二）严抓海上执法。合理部署执法力量，把日常巡查、交叉检查、突击抽查、区域联查有机融合，构建全时段、全海域、全链条渔业执法体系，切实做到管控无漏洞，打击无盲区。利用中国渔政管理指挥系统，及时发现跟踪违规作业渔船动态。加大海上登临检查力度，对巡航发现的涉渔船舶，第一时间核实渔船信息；对海上查获的涉渔违法违规船舶，一律扣押回港处理；面对恶劣海况等不具备海上执法条件的情况，要注重采集涉渔船舶特征、AIS（自动识别系统）等信息，及时将线索移交有关部门核处。</w:t>
      </w:r>
    </w:p>
    <w:p w14:paraId="22039373">
      <w:pPr>
        <w:spacing w:line="360" w:lineRule="auto"/>
        <w:ind w:firstLine="426"/>
        <w:rPr>
          <w:rFonts w:eastAsiaTheme="minorEastAsia"/>
          <w:sz w:val="24"/>
        </w:rPr>
      </w:pPr>
      <w:r>
        <w:rPr>
          <w:rFonts w:hint="eastAsia" w:eastAsiaTheme="minorEastAsia"/>
          <w:sz w:val="24"/>
        </w:rPr>
        <w:t>（三）严管专项捕捞。按照农业农村部关于2025年伏季休渔期间专项捕捞许可和捕捞辅助船配套服务安排的通告要求，加强专项捕捞监管。加强专项捕捞渔船船位动态监控、渔获物定点上岸、捕捞限额、渔政船伴航执法等制度落实，强化全时管控、全域覆盖、全环节监管。加强对桁杆拖虾、笼壶类、刺网和灯光围（敷）网等4种作业类型（方式）渔船专项捕捞监管，严厉打击无证作业、违反捕捞许可证核定的时限、区域作业等违法违规行为。加强对海洋渔业资源调查等科研活动的海上检查，监督其执行进出港报告等相关管理制度，确保渔获物妥善处置，防止流入市场，一旦发现违法违规行为应依法依规处罚，并及时通报有关单位。</w:t>
      </w:r>
    </w:p>
    <w:p w14:paraId="0046C32E">
      <w:pPr>
        <w:spacing w:line="360" w:lineRule="auto"/>
        <w:ind w:firstLine="426"/>
        <w:rPr>
          <w:rFonts w:eastAsiaTheme="minorEastAsia"/>
          <w:sz w:val="24"/>
        </w:rPr>
      </w:pPr>
      <w:r>
        <w:rPr>
          <w:rFonts w:hint="eastAsia" w:eastAsiaTheme="minorEastAsia"/>
          <w:sz w:val="24"/>
        </w:rPr>
        <w:t>（四）严控重点海域。加强对长江口禁捕水域和机动渔船底拖网禁渔区线附近海域等违法行为高发、举报线索集中海域管控，利用渔船船位动态监控系统、小目标雷达等设备，精准布控、高效打击。根据开渔时间先后，加强对北纬26度30分线和北纬35度线等重点区域的执法监管，严查越线作业以及规模性、群体性非法捕捞活动。加强对涉韩朝、涉日等涉外敏感海域巡逻管控，严防我渔船非法越界（线）捕捞。加强北部湾我方一侧、海南岛周边等外籍渔船侵渔高发海域巡航执法，综合运用行政和司法等手段，依法严厉打击外籍渔船侵渔活动，坚定维护国家海洋权益。</w:t>
      </w:r>
    </w:p>
    <w:p w14:paraId="16639E70">
      <w:pPr>
        <w:spacing w:line="360" w:lineRule="auto"/>
        <w:ind w:firstLine="426"/>
        <w:rPr>
          <w:rFonts w:eastAsiaTheme="minorEastAsia"/>
          <w:sz w:val="24"/>
        </w:rPr>
      </w:pPr>
      <w:r>
        <w:rPr>
          <w:rFonts w:hint="eastAsia" w:eastAsiaTheme="minorEastAsia"/>
          <w:sz w:val="24"/>
        </w:rPr>
        <w:t>（五）严防重点对象。聚焦异地休渔渔船、捕捞辅助船、生态环境（渔业资源）监测调查船等重点涉渔船舶，加强对违法违规行为易发多发对象的监管。加强对养殖渔船、钓具渔船、休闲渔船等不休渔渔船的监管，防范其改变用途从事非法捕捞活动。利用休渔期适时组织封港清船行动，持续推进清理取缔涉渔“三无”船舶，依法依规对其没收拆解。加大涉渔大马力快艇打击力度，坚决遏制快艇非法捕捞、盗采养殖水产品、靠泊卸载非法渔获物等行为。持续打击整治违规渔具渔法捕捞，严查使用禁用渔具以及多层囊网、加装衬网等网目尺寸严重不合格渔具作业行为。联合相关部门严查市场、网络销售禁用渔具、电鱼工具等行为。</w:t>
      </w:r>
    </w:p>
    <w:p w14:paraId="429F6C49">
      <w:pPr>
        <w:spacing w:line="360" w:lineRule="auto"/>
        <w:ind w:firstLine="426"/>
        <w:rPr>
          <w:rFonts w:eastAsiaTheme="minorEastAsia"/>
          <w:sz w:val="24"/>
        </w:rPr>
      </w:pPr>
      <w:r>
        <w:rPr>
          <w:rFonts w:hint="eastAsia" w:eastAsiaTheme="minorEastAsia"/>
          <w:sz w:val="24"/>
        </w:rPr>
        <w:t>（六）严惩涉渔犯罪。加强基础信息摸排和情报搜集，定期组织会商，研判伏季休渔形势，及时发现涉渔犯罪线索，集中力量查办非法捕捞大案要案。落实《中华人民共和国反有组织犯罪法》，按照扫黑除恶常态化部署安排，深挖渔业领域特别是组织使用涉渔“三无”船舶和禁用渔具渔法非法捕捞、非法越境（界）、海洋捕捞划界圈海、“强买强卖”等涉黑涉恶线索。对涉嫌组织化、团伙化的案件，按照“破现案、挖源头、断链条、打外围”相结合原则，实现全链条打击整治；对发现的“海霸”、“渔霸”及非法捕捞的幕后组织者、黑中介等从严惩处；对渔民个人情节轻微的非法捕捞行为，以教育引导为主、打击整治为辅，实行宽严相济的刑事司法政策。</w:t>
      </w:r>
    </w:p>
    <w:p w14:paraId="6A89CD70">
      <w:pPr>
        <w:spacing w:line="360" w:lineRule="auto"/>
        <w:rPr>
          <w:rFonts w:eastAsiaTheme="minorEastAsia"/>
          <w:sz w:val="24"/>
        </w:rPr>
      </w:pPr>
      <w:r>
        <w:rPr>
          <w:rFonts w:hint="eastAsia" w:eastAsiaTheme="minorEastAsia"/>
          <w:sz w:val="24"/>
        </w:rPr>
        <w:t>二、工作要点</w:t>
      </w:r>
    </w:p>
    <w:p w14:paraId="7FB56CB0">
      <w:pPr>
        <w:spacing w:line="360" w:lineRule="auto"/>
        <w:ind w:firstLine="426"/>
        <w:rPr>
          <w:rFonts w:eastAsiaTheme="minorEastAsia"/>
          <w:sz w:val="24"/>
        </w:rPr>
      </w:pPr>
      <w:r>
        <w:rPr>
          <w:rFonts w:hint="eastAsia" w:eastAsiaTheme="minorEastAsia"/>
          <w:sz w:val="24"/>
        </w:rPr>
        <w:t>（一）5月1日至5月10日，全面部署执法船艇开展海上巡查，全面清查管辖海域渔船情况。</w:t>
      </w:r>
    </w:p>
    <w:p w14:paraId="155C8611">
      <w:pPr>
        <w:spacing w:line="360" w:lineRule="auto"/>
        <w:ind w:firstLine="426"/>
        <w:rPr>
          <w:rFonts w:eastAsiaTheme="minorEastAsia"/>
          <w:sz w:val="24"/>
        </w:rPr>
      </w:pPr>
      <w:r>
        <w:rPr>
          <w:rFonts w:hint="eastAsia" w:eastAsiaTheme="minorEastAsia"/>
          <w:sz w:val="24"/>
        </w:rPr>
        <w:t>（二）8月5日至9月16日，开展对北纬35度至北纬26度30分之间海域桁杆拖虾、笼壶类、刺网和灯光围（敷）网等四种作业类型渔船专项监管。</w:t>
      </w:r>
    </w:p>
    <w:p w14:paraId="55212DCF">
      <w:pPr>
        <w:spacing w:line="360" w:lineRule="auto"/>
        <w:ind w:firstLine="426"/>
        <w:rPr>
          <w:rFonts w:eastAsiaTheme="minorEastAsia"/>
          <w:sz w:val="24"/>
        </w:rPr>
      </w:pPr>
      <w:r>
        <w:rPr>
          <w:rFonts w:hint="eastAsia" w:eastAsiaTheme="minorEastAsia"/>
          <w:sz w:val="24"/>
        </w:rPr>
        <w:t>（三）8月16日至9月16日，开展北纬26度30分附近海域集中管控行动。</w:t>
      </w:r>
    </w:p>
    <w:p w14:paraId="41F4C2DA">
      <w:pPr>
        <w:spacing w:line="360" w:lineRule="auto"/>
        <w:ind w:firstLine="426"/>
        <w:rPr>
          <w:rFonts w:eastAsiaTheme="minorEastAsia"/>
          <w:sz w:val="24"/>
        </w:rPr>
      </w:pPr>
      <w:r>
        <w:rPr>
          <w:rFonts w:hint="eastAsia" w:eastAsiaTheme="minorEastAsia"/>
          <w:sz w:val="24"/>
        </w:rPr>
        <w:t>（四）9月1日至9月16日，开展北纬35度附近海域集中管控行动。</w:t>
      </w:r>
    </w:p>
    <w:p w14:paraId="732AB677">
      <w:pPr>
        <w:spacing w:line="360" w:lineRule="auto"/>
        <w:ind w:firstLine="426"/>
        <w:rPr>
          <w:rFonts w:eastAsiaTheme="minorEastAsia"/>
          <w:sz w:val="24"/>
        </w:rPr>
      </w:pPr>
      <w:r>
        <w:rPr>
          <w:rFonts w:hint="eastAsia" w:eastAsiaTheme="minorEastAsia"/>
          <w:sz w:val="24"/>
        </w:rPr>
        <w:t>（五）其余时间段，落实常态化管控要求，做好港内巡查和渔船船位动态监测。根据海上态势适时组织开展集中管控行动，严打大规模偷捕、涉外敏感海域非法捕捞和外籍渔船侵渔活动。</w:t>
      </w:r>
    </w:p>
    <w:p w14:paraId="1427B329">
      <w:pPr>
        <w:spacing w:line="360" w:lineRule="auto"/>
        <w:rPr>
          <w:rFonts w:eastAsiaTheme="minorEastAsia"/>
          <w:sz w:val="24"/>
        </w:rPr>
      </w:pPr>
      <w:r>
        <w:rPr>
          <w:rFonts w:hint="eastAsia" w:eastAsiaTheme="minorEastAsia"/>
          <w:sz w:val="24"/>
        </w:rPr>
        <w:t>三、有关要求</w:t>
      </w:r>
    </w:p>
    <w:p w14:paraId="0C04DDBF">
      <w:pPr>
        <w:spacing w:line="360" w:lineRule="auto"/>
        <w:ind w:firstLine="426"/>
        <w:rPr>
          <w:rFonts w:eastAsiaTheme="minorEastAsia"/>
          <w:sz w:val="24"/>
        </w:rPr>
      </w:pPr>
      <w:r>
        <w:rPr>
          <w:rFonts w:hint="eastAsia" w:eastAsiaTheme="minorEastAsia"/>
          <w:sz w:val="24"/>
        </w:rPr>
        <w:t>（一）提高政治站位。各级渔业渔政、公安、海警部门要提高政治站位，深化思想认识，根据本通知要求，结合职责任务和辖区工作实际，按时有序推进各项工作，确保海洋伏季休渔制度执行到位。农业农村部、公安部、中国海警局将以适当方式对专项行动中工作突出的单位和工作人员给予表扬；对工作落实不到位、案件查办不力、发生涉外事件或安全事故的，将予以通报批评；对造成严重后果的，将严肃追责问责。</w:t>
      </w:r>
    </w:p>
    <w:p w14:paraId="4C6D726E">
      <w:pPr>
        <w:spacing w:line="360" w:lineRule="auto"/>
        <w:ind w:firstLine="426"/>
        <w:rPr>
          <w:rFonts w:eastAsiaTheme="minorEastAsia"/>
          <w:sz w:val="24"/>
        </w:rPr>
      </w:pPr>
      <w:r>
        <w:rPr>
          <w:rFonts w:hint="eastAsia" w:eastAsiaTheme="minorEastAsia"/>
          <w:sz w:val="24"/>
        </w:rPr>
        <w:t>（二）深化执法协作。各级渔业渔政、公安、海警部门要深化海上综合治理，建立健全执法协作配合机制，发挥伏季休渔执法监管整体合力。按照依法严厉打击海洋渔业违法犯罪有关文件要求，用好渔政海警执法协作、省际渔政执法共管协作等机制，共同打击伏季休渔期间各类涉渔违法犯罪行为。农业农村部渔政保障中心和中国海警局各分局要协调指导海区渔政、海警机构开展专项行动，在重点时段、重要区域组织开展跨省、跨海区、跨部门联合管控，推动构建信息联通、执法联动、问题联处的良好工作格局。</w:t>
      </w:r>
    </w:p>
    <w:p w14:paraId="67D42658">
      <w:pPr>
        <w:spacing w:line="360" w:lineRule="auto"/>
        <w:ind w:firstLine="426"/>
        <w:rPr>
          <w:rFonts w:eastAsiaTheme="minorEastAsia"/>
          <w:sz w:val="24"/>
        </w:rPr>
      </w:pPr>
      <w:r>
        <w:rPr>
          <w:rFonts w:hint="eastAsia" w:eastAsiaTheme="minorEastAsia"/>
          <w:sz w:val="24"/>
        </w:rPr>
        <w:t>（三）强化社会监督。发挥渔政执法举报受理平台（010－59191110）、110报警平台和95110海上报警平台以及各类情报员、信息员作用，充分调动社会力量监督，及时受理群众举报和报警。发挥科研院所、高等院校等第三方机构作用，收集伏休政策落实、海上执法监管、渔业资源监测等方面的社情民意。通过中央和地方主流媒体网站、官方公众号、短视频等方式开展执法宣传，发布典型案例和指导案例，强化警示教育。视情况邀请媒体记者参加相关执法行动，加强对执法全过程的监督和宣传。</w:t>
      </w:r>
    </w:p>
    <w:p w14:paraId="713B9183">
      <w:pPr>
        <w:spacing w:line="360" w:lineRule="auto"/>
        <w:ind w:firstLine="426"/>
        <w:rPr>
          <w:rFonts w:eastAsiaTheme="minorEastAsia"/>
          <w:sz w:val="24"/>
        </w:rPr>
      </w:pPr>
      <w:r>
        <w:rPr>
          <w:rFonts w:hint="eastAsia" w:eastAsiaTheme="minorEastAsia"/>
          <w:sz w:val="24"/>
        </w:rPr>
        <w:t>农业农村部、公安部和中国海警局将根据需要组成联合工作组赴重点地区开展集中调研，对重大疑难案件加大指导力度。各地要在海洋伏季休渔专项执法行动结束一周内，及时总结梳理经验和做法，分析问题和不足，提出对策和建议，并逐级归口上报。</w:t>
      </w:r>
    </w:p>
    <w:p w14:paraId="79AAC0E8">
      <w:pPr>
        <w:spacing w:line="360" w:lineRule="auto"/>
        <w:ind w:firstLine="426"/>
        <w:rPr>
          <w:rFonts w:eastAsiaTheme="minorEastAsia"/>
          <w:sz w:val="24"/>
        </w:rPr>
      </w:pPr>
      <w:r>
        <w:rPr>
          <w:rFonts w:hint="eastAsia" w:eastAsiaTheme="minorEastAsia"/>
          <w:sz w:val="24"/>
        </w:rPr>
        <w:t>联系人及联系方式：</w:t>
      </w:r>
    </w:p>
    <w:p w14:paraId="5B01D354">
      <w:pPr>
        <w:spacing w:line="360" w:lineRule="auto"/>
        <w:ind w:firstLine="426"/>
        <w:rPr>
          <w:rFonts w:eastAsiaTheme="minorEastAsia"/>
          <w:sz w:val="24"/>
        </w:rPr>
      </w:pPr>
      <w:r>
        <w:rPr>
          <w:rFonts w:hint="eastAsia" w:eastAsiaTheme="minorEastAsia"/>
          <w:sz w:val="24"/>
        </w:rPr>
        <w:t>农业农村部渔业渔政管理局</w:t>
      </w:r>
    </w:p>
    <w:p w14:paraId="076DB81A">
      <w:pPr>
        <w:spacing w:line="360" w:lineRule="auto"/>
        <w:ind w:firstLine="426"/>
        <w:rPr>
          <w:rFonts w:eastAsiaTheme="minorEastAsia"/>
          <w:sz w:val="24"/>
        </w:rPr>
      </w:pPr>
      <w:r>
        <w:rPr>
          <w:rFonts w:hint="eastAsia" w:eastAsiaTheme="minorEastAsia"/>
          <w:sz w:val="24"/>
        </w:rPr>
        <w:t>张  宇 010－59192927</w:t>
      </w:r>
    </w:p>
    <w:p w14:paraId="758D0C94">
      <w:pPr>
        <w:spacing w:line="360" w:lineRule="auto"/>
        <w:ind w:firstLine="426"/>
        <w:rPr>
          <w:rFonts w:eastAsiaTheme="minorEastAsia"/>
          <w:sz w:val="24"/>
        </w:rPr>
      </w:pPr>
      <w:r>
        <w:rPr>
          <w:rFonts w:hint="eastAsia" w:eastAsiaTheme="minorEastAsia"/>
          <w:sz w:val="24"/>
        </w:rPr>
        <w:t>公安部治安管理局</w:t>
      </w:r>
    </w:p>
    <w:p w14:paraId="33215ECE">
      <w:pPr>
        <w:spacing w:line="360" w:lineRule="auto"/>
        <w:ind w:firstLine="426"/>
        <w:rPr>
          <w:rFonts w:eastAsiaTheme="minorEastAsia"/>
          <w:sz w:val="24"/>
        </w:rPr>
      </w:pPr>
      <w:r>
        <w:rPr>
          <w:rFonts w:hint="eastAsia" w:eastAsiaTheme="minorEastAsia"/>
          <w:sz w:val="24"/>
        </w:rPr>
        <w:t>祁  聪 010－66269372</w:t>
      </w:r>
    </w:p>
    <w:p w14:paraId="72966E77">
      <w:pPr>
        <w:spacing w:line="360" w:lineRule="auto"/>
        <w:ind w:firstLine="426"/>
        <w:rPr>
          <w:rFonts w:eastAsiaTheme="minorEastAsia"/>
          <w:sz w:val="24"/>
        </w:rPr>
      </w:pPr>
      <w:r>
        <w:rPr>
          <w:rFonts w:hint="eastAsia" w:eastAsiaTheme="minorEastAsia"/>
          <w:sz w:val="24"/>
        </w:rPr>
        <w:t>中国海警局执法部</w:t>
      </w:r>
    </w:p>
    <w:p w14:paraId="502AA09F">
      <w:pPr>
        <w:spacing w:line="360" w:lineRule="auto"/>
        <w:ind w:firstLine="426"/>
        <w:rPr>
          <w:rFonts w:eastAsiaTheme="minorEastAsia"/>
          <w:sz w:val="24"/>
        </w:rPr>
      </w:pPr>
      <w:r>
        <w:rPr>
          <w:rFonts w:hint="eastAsia" w:eastAsiaTheme="minorEastAsia"/>
          <w:sz w:val="24"/>
        </w:rPr>
        <w:t>张吉喆 010－67418180</w:t>
      </w:r>
    </w:p>
    <w:p w14:paraId="0CEEE904">
      <w:pPr>
        <w:spacing w:line="360" w:lineRule="auto"/>
        <w:ind w:firstLine="426"/>
        <w:jc w:val="right"/>
        <w:rPr>
          <w:rStyle w:val="101"/>
          <w:rFonts w:eastAsiaTheme="minorEastAsia"/>
          <w:szCs w:val="21"/>
        </w:rPr>
      </w:pPr>
      <w:r>
        <w:rPr>
          <w:rStyle w:val="101"/>
          <w:rFonts w:eastAsiaTheme="minorEastAsia"/>
          <w:szCs w:val="21"/>
        </w:rPr>
        <w:t>转摘自</w:t>
      </w:r>
      <w:r>
        <w:rPr>
          <w:rStyle w:val="101"/>
          <w:rFonts w:hint="eastAsia" w:eastAsiaTheme="minorEastAsia"/>
          <w:szCs w:val="21"/>
        </w:rPr>
        <w:t>农业农村部</w:t>
      </w:r>
    </w:p>
    <w:p w14:paraId="236C8785">
      <w:pPr>
        <w:spacing w:line="360" w:lineRule="auto"/>
        <w:jc w:val="center"/>
        <w:outlineLvl w:val="1"/>
        <w:rPr>
          <w:rFonts w:eastAsia="黑体"/>
          <w:b/>
          <w:bCs/>
          <w:sz w:val="32"/>
          <w:szCs w:val="32"/>
        </w:rPr>
      </w:pPr>
      <w:bookmarkStart w:id="6" w:name="_Toc198113448"/>
      <w:r>
        <w:rPr>
          <w:rFonts w:hint="eastAsia" w:eastAsia="黑体"/>
          <w:b/>
          <w:bCs/>
          <w:sz w:val="32"/>
          <w:szCs w:val="32"/>
        </w:rPr>
        <w:t>农业农村部办公厅公布2025年渔业绿色循环发展项目立项名单</w:t>
      </w:r>
      <w:bookmarkEnd w:id="6"/>
    </w:p>
    <w:p w14:paraId="7E9D013E">
      <w:pPr>
        <w:spacing w:line="360" w:lineRule="auto"/>
        <w:ind w:firstLine="426"/>
        <w:rPr>
          <w:rFonts w:eastAsiaTheme="minorEastAsia"/>
          <w:sz w:val="24"/>
        </w:rPr>
      </w:pPr>
      <w:r>
        <w:rPr>
          <w:rFonts w:hint="eastAsia" w:eastAsiaTheme="minorEastAsia"/>
          <w:sz w:val="24"/>
        </w:rPr>
        <w:t>为贯彻落实党中央、国务院关于渔业绿色循环发展的决策部署，根据《农业农村部办公厅、财政部办公厅关于开展2025年渔业绿色循环发展项目申报的通知》（农办渔〔2025〕11号，以下简称《通知》）要求，经农业农村部会同财政部评审并公示，现对2025年渔业绿色循环发展项目立项名单予以公布，具体名单见附件。现就有关事项通知如下。</w:t>
      </w:r>
    </w:p>
    <w:p w14:paraId="61797346">
      <w:pPr>
        <w:spacing w:line="360" w:lineRule="auto"/>
        <w:rPr>
          <w:rFonts w:eastAsiaTheme="minorEastAsia"/>
          <w:sz w:val="24"/>
        </w:rPr>
      </w:pPr>
      <w:r>
        <w:rPr>
          <w:rFonts w:hint="eastAsia" w:eastAsiaTheme="minorEastAsia"/>
          <w:sz w:val="24"/>
        </w:rPr>
        <w:t>一、加强组织领导，扎实推进项目实施</w:t>
      </w:r>
    </w:p>
    <w:p w14:paraId="7D8369E4">
      <w:pPr>
        <w:spacing w:line="360" w:lineRule="auto"/>
        <w:ind w:firstLine="426"/>
        <w:rPr>
          <w:rFonts w:eastAsiaTheme="minorEastAsia"/>
          <w:sz w:val="24"/>
        </w:rPr>
      </w:pPr>
      <w:r>
        <w:rPr>
          <w:rFonts w:hint="eastAsia" w:eastAsiaTheme="minorEastAsia"/>
          <w:sz w:val="24"/>
        </w:rPr>
        <w:t>省级农业农村（渔业）部门要密切与财政部门沟通配合，建立健全政府领导下分工协作的工作机制，切实加强组织协调，压实工作责任，强化业务指导，上下衔接联动，完善扶持政策，加强用地保障，优化发展环境。项目县要高度重视，加强组织领导和部门协作，确保各项任务落实，按照项目评审意见，抓紧修改完善项目实施方案，明确建设目标、重点任务、建设内容和政策措施。项目应聚焦水产养殖业高质量发展，坚持统筹谋划、因地制宜，注重建设内容的关联性和完整性，做到各功能区合理布局、有效衔接，效能充分发挥。修改完善后的项目实施方案由省级农业农村（渔业）部门会同财政部门进行批复。</w:t>
      </w:r>
    </w:p>
    <w:p w14:paraId="33233A36">
      <w:pPr>
        <w:spacing w:line="360" w:lineRule="auto"/>
        <w:rPr>
          <w:rFonts w:eastAsiaTheme="minorEastAsia"/>
          <w:sz w:val="24"/>
        </w:rPr>
      </w:pPr>
      <w:r>
        <w:rPr>
          <w:rFonts w:hint="eastAsia" w:eastAsiaTheme="minorEastAsia"/>
          <w:sz w:val="24"/>
        </w:rPr>
        <w:t>二、严格资金使用，切实提高资金使用效益</w:t>
      </w:r>
    </w:p>
    <w:p w14:paraId="3B0247DD">
      <w:pPr>
        <w:spacing w:line="360" w:lineRule="auto"/>
        <w:ind w:firstLine="426"/>
        <w:rPr>
          <w:rFonts w:eastAsiaTheme="minorEastAsia"/>
          <w:sz w:val="24"/>
        </w:rPr>
      </w:pPr>
      <w:r>
        <w:rPr>
          <w:rFonts w:hint="eastAsia" w:eastAsiaTheme="minorEastAsia"/>
          <w:sz w:val="24"/>
        </w:rPr>
        <w:t>省级农业农村（渔业）部门要会同财政部门督促项目县按照《通知》要求修改完善中央财政补奖资金使用一览表，明确资金具体支持内容、对象和方式，细化年度使用计划和总体资金筹措方案。中央财政补奖资金不得“撒胡椒面”，不得搞平均分配；不得用于建设楼堂馆所、市政道路、农村公路，不得用于一般性支出、列支管理费、列支项目咨询费和项目论证评审费，不得用于“三保”和政府债务还本付息，三年内中央财政资金已支持的建设内容不予重复支持。要加快项目执行，年底资金执行情况将作为下年度项目安排的重要参考。要严格落实公开公示制度，补奖对象确定后，应在项目所在地的地方政府官方网站公示中央财政补奖资金支持的建设主体、建设内容、资金额度等事项。</w:t>
      </w:r>
    </w:p>
    <w:p w14:paraId="59B67356">
      <w:pPr>
        <w:spacing w:line="360" w:lineRule="auto"/>
        <w:rPr>
          <w:rFonts w:eastAsiaTheme="minorEastAsia"/>
          <w:sz w:val="24"/>
        </w:rPr>
      </w:pPr>
      <w:r>
        <w:rPr>
          <w:rFonts w:hint="eastAsia" w:eastAsiaTheme="minorEastAsia"/>
          <w:sz w:val="24"/>
        </w:rPr>
        <w:t>三、严格项目全过程监管，确保项目取得实效</w:t>
      </w:r>
    </w:p>
    <w:p w14:paraId="4260C7C0">
      <w:pPr>
        <w:spacing w:line="360" w:lineRule="auto"/>
        <w:ind w:firstLine="426"/>
        <w:rPr>
          <w:rFonts w:eastAsiaTheme="minorEastAsia"/>
          <w:sz w:val="24"/>
        </w:rPr>
      </w:pPr>
      <w:r>
        <w:rPr>
          <w:rFonts w:hint="eastAsia" w:eastAsiaTheme="minorEastAsia"/>
          <w:sz w:val="24"/>
        </w:rPr>
        <w:t>省级农业农村（渔业）部门要会同财政部门严格按照农业产业发展资金管理办法，及时拨付中央财政补奖资金，量化考核指标，加强资金使用全过程监督管理。对挤占、挪用、截留中央财政补奖资金的，一经发现，以后年度不再安排资金支持。省级农业农村（渔业）部门要利用农业农村部转移支付管理平台加强项目管理，定期调度资金使用、建设进展等情况，及时发现并协调解决项目建设过程中的问题，加强建设成效总结和宣传。农业农村部按照中央财政资金管理的有关要求，适时组织开展绩效评估，强化正向激励，并将评估结果作为后续资金安排的重要依据。对建设任务完成进度慢、中央财政补奖资金违规使用或执行进度慢、实施效果差的项目，将进行通报、限期整改、扣减资金。请有关省份将项目批复文件和实施方案，于2025年5月20日前一并报送农业农村部和财政部备案。</w:t>
      </w:r>
    </w:p>
    <w:p w14:paraId="4FBD3AFE">
      <w:pPr>
        <w:spacing w:line="360" w:lineRule="auto"/>
        <w:rPr>
          <w:rFonts w:eastAsiaTheme="minorEastAsia"/>
          <w:b/>
          <w:bCs/>
          <w:sz w:val="24"/>
        </w:rPr>
      </w:pPr>
      <w:r>
        <w:rPr>
          <w:rFonts w:hint="eastAsia" w:eastAsiaTheme="minorEastAsia"/>
          <w:b/>
          <w:bCs/>
          <w:sz w:val="24"/>
        </w:rPr>
        <w:t>2025年渔业绿色循环发展项目立项名单：</w:t>
      </w:r>
    </w:p>
    <w:p w14:paraId="40BCB6F7">
      <w:pPr>
        <w:spacing w:line="360" w:lineRule="auto"/>
        <w:ind w:firstLine="426"/>
        <w:rPr>
          <w:rFonts w:eastAsiaTheme="minorEastAsia"/>
          <w:sz w:val="24"/>
        </w:rPr>
      </w:pPr>
      <w:r>
        <w:rPr>
          <w:rFonts w:hint="eastAsia" w:eastAsiaTheme="minorEastAsia"/>
          <w:sz w:val="24"/>
        </w:rPr>
        <w:t>1.天津市滨海新区渔业绿色循环发展项目</w:t>
      </w:r>
    </w:p>
    <w:p w14:paraId="473EEFD8">
      <w:pPr>
        <w:spacing w:line="360" w:lineRule="auto"/>
        <w:ind w:firstLine="426"/>
        <w:rPr>
          <w:rFonts w:eastAsiaTheme="minorEastAsia"/>
          <w:sz w:val="24"/>
        </w:rPr>
      </w:pPr>
      <w:r>
        <w:rPr>
          <w:rFonts w:hint="eastAsia" w:eastAsiaTheme="minorEastAsia"/>
          <w:sz w:val="24"/>
        </w:rPr>
        <w:t>2.山西省永济市渔业绿色循环发展项目</w:t>
      </w:r>
    </w:p>
    <w:p w14:paraId="5E6CBE36">
      <w:pPr>
        <w:spacing w:line="360" w:lineRule="auto"/>
        <w:ind w:firstLine="426"/>
        <w:rPr>
          <w:rFonts w:eastAsiaTheme="minorEastAsia"/>
          <w:sz w:val="24"/>
        </w:rPr>
      </w:pPr>
      <w:r>
        <w:rPr>
          <w:rFonts w:hint="eastAsia" w:eastAsiaTheme="minorEastAsia"/>
          <w:sz w:val="24"/>
        </w:rPr>
        <w:t>3.吉林省前郭尔罗斯蒙古族自治县渔业绿色循环发展项目</w:t>
      </w:r>
    </w:p>
    <w:p w14:paraId="2E6C8BA9">
      <w:pPr>
        <w:spacing w:line="360" w:lineRule="auto"/>
        <w:ind w:firstLine="426"/>
        <w:rPr>
          <w:rFonts w:eastAsiaTheme="minorEastAsia"/>
          <w:sz w:val="24"/>
        </w:rPr>
      </w:pPr>
      <w:r>
        <w:rPr>
          <w:rFonts w:hint="eastAsia" w:eastAsiaTheme="minorEastAsia"/>
          <w:sz w:val="24"/>
        </w:rPr>
        <w:t>4.江苏省高邮市渔业绿色循环发展项目</w:t>
      </w:r>
    </w:p>
    <w:p w14:paraId="200A0EEE">
      <w:pPr>
        <w:spacing w:line="360" w:lineRule="auto"/>
        <w:ind w:firstLine="426"/>
        <w:rPr>
          <w:rFonts w:eastAsiaTheme="minorEastAsia"/>
          <w:sz w:val="24"/>
        </w:rPr>
      </w:pPr>
      <w:r>
        <w:rPr>
          <w:rFonts w:hint="eastAsia" w:eastAsiaTheme="minorEastAsia"/>
          <w:sz w:val="24"/>
        </w:rPr>
        <w:t>5.浙江省德清县渔业绿色循环发展项目</w:t>
      </w:r>
    </w:p>
    <w:p w14:paraId="64479196">
      <w:pPr>
        <w:spacing w:line="360" w:lineRule="auto"/>
        <w:ind w:firstLine="426"/>
        <w:rPr>
          <w:rFonts w:eastAsiaTheme="minorEastAsia"/>
          <w:sz w:val="24"/>
        </w:rPr>
      </w:pPr>
      <w:r>
        <w:rPr>
          <w:rFonts w:hint="eastAsia" w:eastAsiaTheme="minorEastAsia"/>
          <w:sz w:val="24"/>
        </w:rPr>
        <w:t>6.浙江省长兴县渔业绿色循环发展项目</w:t>
      </w:r>
    </w:p>
    <w:p w14:paraId="239AAED2">
      <w:pPr>
        <w:spacing w:line="360" w:lineRule="auto"/>
        <w:ind w:firstLine="426"/>
        <w:rPr>
          <w:rFonts w:eastAsiaTheme="minorEastAsia"/>
          <w:sz w:val="24"/>
        </w:rPr>
      </w:pPr>
      <w:r>
        <w:rPr>
          <w:rFonts w:hint="eastAsia" w:eastAsiaTheme="minorEastAsia"/>
          <w:sz w:val="24"/>
        </w:rPr>
        <w:t>7.安徽省当涂县渔业绿色循环发展项目</w:t>
      </w:r>
    </w:p>
    <w:p w14:paraId="55550183">
      <w:pPr>
        <w:spacing w:line="360" w:lineRule="auto"/>
        <w:ind w:firstLine="426"/>
        <w:rPr>
          <w:rFonts w:eastAsiaTheme="minorEastAsia"/>
          <w:sz w:val="24"/>
        </w:rPr>
      </w:pPr>
      <w:r>
        <w:rPr>
          <w:rFonts w:hint="eastAsia" w:eastAsiaTheme="minorEastAsia"/>
          <w:sz w:val="24"/>
        </w:rPr>
        <w:t>8.安徽省怀远县渔业绿色循环发展项目</w:t>
      </w:r>
    </w:p>
    <w:p w14:paraId="0B05B172">
      <w:pPr>
        <w:spacing w:line="360" w:lineRule="auto"/>
        <w:ind w:firstLine="426"/>
        <w:rPr>
          <w:rFonts w:eastAsiaTheme="minorEastAsia"/>
          <w:sz w:val="24"/>
        </w:rPr>
      </w:pPr>
      <w:r>
        <w:rPr>
          <w:rFonts w:hint="eastAsia" w:eastAsiaTheme="minorEastAsia"/>
          <w:sz w:val="24"/>
        </w:rPr>
        <w:t>9.安徽省贵池区渔业绿色循环发展项目</w:t>
      </w:r>
    </w:p>
    <w:p w14:paraId="000A9F5D">
      <w:pPr>
        <w:spacing w:line="360" w:lineRule="auto"/>
        <w:ind w:firstLine="426"/>
        <w:rPr>
          <w:rFonts w:eastAsiaTheme="minorEastAsia"/>
          <w:sz w:val="24"/>
        </w:rPr>
      </w:pPr>
      <w:r>
        <w:rPr>
          <w:rFonts w:hint="eastAsia" w:eastAsiaTheme="minorEastAsia"/>
          <w:sz w:val="24"/>
        </w:rPr>
        <w:t>10.福建省新罗区渔业绿色循环发展项目</w:t>
      </w:r>
    </w:p>
    <w:p w14:paraId="29A9D1A9">
      <w:pPr>
        <w:spacing w:line="360" w:lineRule="auto"/>
        <w:ind w:firstLine="426"/>
        <w:rPr>
          <w:rFonts w:eastAsiaTheme="minorEastAsia"/>
          <w:sz w:val="24"/>
        </w:rPr>
      </w:pPr>
      <w:r>
        <w:rPr>
          <w:rFonts w:hint="eastAsia" w:eastAsiaTheme="minorEastAsia"/>
          <w:sz w:val="24"/>
        </w:rPr>
        <w:t>11.江西省永修县渔业绿色循环发展项目</w:t>
      </w:r>
    </w:p>
    <w:p w14:paraId="637B226A">
      <w:pPr>
        <w:spacing w:line="360" w:lineRule="auto"/>
        <w:ind w:firstLine="426"/>
        <w:rPr>
          <w:rFonts w:eastAsiaTheme="minorEastAsia"/>
          <w:sz w:val="24"/>
        </w:rPr>
      </w:pPr>
      <w:r>
        <w:rPr>
          <w:rFonts w:hint="eastAsia" w:eastAsiaTheme="minorEastAsia"/>
          <w:sz w:val="24"/>
        </w:rPr>
        <w:t>12.山东省博兴县渔业绿色循环发展项目</w:t>
      </w:r>
    </w:p>
    <w:p w14:paraId="096C282A">
      <w:pPr>
        <w:spacing w:line="360" w:lineRule="auto"/>
        <w:ind w:firstLine="426"/>
        <w:rPr>
          <w:rFonts w:eastAsiaTheme="minorEastAsia"/>
          <w:sz w:val="24"/>
        </w:rPr>
      </w:pPr>
      <w:r>
        <w:rPr>
          <w:rFonts w:hint="eastAsia" w:eastAsiaTheme="minorEastAsia"/>
          <w:sz w:val="24"/>
        </w:rPr>
        <w:t>13.山东省河口区渔业绿色循环发展项目</w:t>
      </w:r>
    </w:p>
    <w:p w14:paraId="33BAB2CF">
      <w:pPr>
        <w:spacing w:line="360" w:lineRule="auto"/>
        <w:ind w:firstLine="426"/>
        <w:rPr>
          <w:rFonts w:eastAsiaTheme="minorEastAsia"/>
          <w:sz w:val="24"/>
        </w:rPr>
      </w:pPr>
      <w:r>
        <w:rPr>
          <w:rFonts w:hint="eastAsia" w:eastAsiaTheme="minorEastAsia"/>
          <w:sz w:val="24"/>
        </w:rPr>
        <w:t>14.河南省潢川县渔业绿色循环发展项目</w:t>
      </w:r>
    </w:p>
    <w:p w14:paraId="2E523C5F">
      <w:pPr>
        <w:spacing w:line="360" w:lineRule="auto"/>
        <w:ind w:firstLine="426"/>
        <w:rPr>
          <w:rFonts w:eastAsiaTheme="minorEastAsia"/>
          <w:sz w:val="24"/>
        </w:rPr>
      </w:pPr>
      <w:r>
        <w:rPr>
          <w:rFonts w:hint="eastAsia" w:eastAsiaTheme="minorEastAsia"/>
          <w:sz w:val="24"/>
        </w:rPr>
        <w:t>15.湖北省监利市渔业绿色循环发展项目</w:t>
      </w:r>
    </w:p>
    <w:p w14:paraId="03E442D1">
      <w:pPr>
        <w:spacing w:line="360" w:lineRule="auto"/>
        <w:ind w:firstLine="426"/>
        <w:rPr>
          <w:rFonts w:eastAsiaTheme="minorEastAsia"/>
          <w:sz w:val="24"/>
        </w:rPr>
      </w:pPr>
      <w:r>
        <w:rPr>
          <w:rFonts w:hint="eastAsia" w:eastAsiaTheme="minorEastAsia"/>
          <w:sz w:val="24"/>
        </w:rPr>
        <w:t>16.湖南省湘阴县渔业绿色循环发展项目</w:t>
      </w:r>
    </w:p>
    <w:p w14:paraId="79D00B03">
      <w:pPr>
        <w:spacing w:line="360" w:lineRule="auto"/>
        <w:ind w:firstLine="426"/>
        <w:rPr>
          <w:rFonts w:eastAsiaTheme="minorEastAsia"/>
          <w:sz w:val="24"/>
        </w:rPr>
      </w:pPr>
      <w:r>
        <w:rPr>
          <w:rFonts w:hint="eastAsia" w:eastAsiaTheme="minorEastAsia"/>
          <w:sz w:val="24"/>
        </w:rPr>
        <w:t>17.湖南省澧县渔业绿色循环发展项目</w:t>
      </w:r>
    </w:p>
    <w:p w14:paraId="208B2F1B">
      <w:pPr>
        <w:spacing w:line="360" w:lineRule="auto"/>
        <w:ind w:firstLine="426"/>
        <w:rPr>
          <w:rFonts w:eastAsiaTheme="minorEastAsia"/>
          <w:sz w:val="24"/>
        </w:rPr>
      </w:pPr>
      <w:r>
        <w:rPr>
          <w:rFonts w:hint="eastAsia" w:eastAsiaTheme="minorEastAsia"/>
          <w:sz w:val="24"/>
        </w:rPr>
        <w:t>18.广东省中山市渔业绿色循环发展项目</w:t>
      </w:r>
    </w:p>
    <w:p w14:paraId="403422D6">
      <w:pPr>
        <w:spacing w:line="360" w:lineRule="auto"/>
        <w:ind w:firstLine="426"/>
        <w:rPr>
          <w:rFonts w:eastAsiaTheme="minorEastAsia"/>
          <w:sz w:val="24"/>
        </w:rPr>
      </w:pPr>
      <w:r>
        <w:rPr>
          <w:rFonts w:hint="eastAsia" w:eastAsiaTheme="minorEastAsia"/>
          <w:sz w:val="24"/>
        </w:rPr>
        <w:t>19.重庆市长寿区渔业绿色循环发展项目</w:t>
      </w:r>
    </w:p>
    <w:p w14:paraId="01DA1F33">
      <w:pPr>
        <w:spacing w:line="360" w:lineRule="auto"/>
        <w:ind w:firstLine="426"/>
        <w:rPr>
          <w:rFonts w:eastAsiaTheme="minorEastAsia"/>
          <w:sz w:val="24"/>
        </w:rPr>
      </w:pPr>
      <w:r>
        <w:rPr>
          <w:rFonts w:hint="eastAsia" w:eastAsiaTheme="minorEastAsia"/>
          <w:sz w:val="24"/>
        </w:rPr>
        <w:t>20.四川省中江县渔业绿色循环发展项目</w:t>
      </w:r>
    </w:p>
    <w:p w14:paraId="0941166F">
      <w:pPr>
        <w:spacing w:line="360" w:lineRule="auto"/>
        <w:ind w:firstLine="426"/>
        <w:rPr>
          <w:rFonts w:eastAsiaTheme="minorEastAsia"/>
          <w:sz w:val="24"/>
        </w:rPr>
      </w:pPr>
      <w:r>
        <w:rPr>
          <w:rFonts w:hint="eastAsia" w:eastAsiaTheme="minorEastAsia"/>
          <w:sz w:val="24"/>
        </w:rPr>
        <w:t>21.四川省射洪市渔业绿色循环发展项目</w:t>
      </w:r>
    </w:p>
    <w:p w14:paraId="44847096">
      <w:pPr>
        <w:spacing w:line="360" w:lineRule="auto"/>
        <w:ind w:firstLine="426"/>
        <w:rPr>
          <w:rFonts w:eastAsiaTheme="minorEastAsia"/>
          <w:sz w:val="24"/>
        </w:rPr>
      </w:pPr>
      <w:r>
        <w:rPr>
          <w:rFonts w:hint="eastAsia" w:eastAsiaTheme="minorEastAsia"/>
          <w:sz w:val="24"/>
        </w:rPr>
        <w:t>22.云南省景洪市渔业绿色循环发展项目</w:t>
      </w:r>
    </w:p>
    <w:p w14:paraId="692A16C2">
      <w:pPr>
        <w:spacing w:line="360" w:lineRule="auto"/>
        <w:ind w:firstLine="426"/>
        <w:rPr>
          <w:rFonts w:eastAsiaTheme="minorEastAsia"/>
          <w:sz w:val="24"/>
        </w:rPr>
      </w:pPr>
      <w:r>
        <w:rPr>
          <w:rFonts w:hint="eastAsia" w:eastAsiaTheme="minorEastAsia"/>
          <w:sz w:val="24"/>
        </w:rPr>
        <w:t>23.陕西省汉阴县渔业绿色循环发展项目</w:t>
      </w:r>
    </w:p>
    <w:p w14:paraId="60B52017">
      <w:pPr>
        <w:spacing w:line="360" w:lineRule="auto"/>
        <w:ind w:firstLine="426"/>
        <w:rPr>
          <w:rFonts w:eastAsiaTheme="minorEastAsia"/>
          <w:sz w:val="24"/>
        </w:rPr>
      </w:pPr>
      <w:r>
        <w:rPr>
          <w:rFonts w:hint="eastAsia" w:eastAsiaTheme="minorEastAsia"/>
          <w:sz w:val="24"/>
        </w:rPr>
        <w:t>24.宁夏回族自治区平罗县渔业绿色循环发展项目</w:t>
      </w:r>
    </w:p>
    <w:p w14:paraId="66EF5534">
      <w:pPr>
        <w:spacing w:line="360" w:lineRule="auto"/>
        <w:ind w:firstLine="426"/>
        <w:rPr>
          <w:rFonts w:eastAsiaTheme="minorEastAsia"/>
          <w:sz w:val="24"/>
        </w:rPr>
      </w:pPr>
      <w:r>
        <w:rPr>
          <w:rFonts w:hint="eastAsia" w:eastAsiaTheme="minorEastAsia"/>
          <w:sz w:val="24"/>
        </w:rPr>
        <w:t>25.新疆维吾尔自治区温宿县渔业绿色循环发展项目</w:t>
      </w:r>
    </w:p>
    <w:p w14:paraId="327BCC74">
      <w:pPr>
        <w:spacing w:line="360" w:lineRule="auto"/>
        <w:ind w:firstLine="426"/>
        <w:jc w:val="right"/>
        <w:rPr>
          <w:rStyle w:val="101"/>
          <w:rFonts w:eastAsiaTheme="minorEastAsia"/>
          <w:szCs w:val="21"/>
        </w:rPr>
      </w:pPr>
      <w:r>
        <w:rPr>
          <w:rStyle w:val="101"/>
          <w:rFonts w:eastAsiaTheme="minorEastAsia"/>
          <w:szCs w:val="21"/>
        </w:rPr>
        <w:t>转摘自</w:t>
      </w:r>
      <w:r>
        <w:rPr>
          <w:rStyle w:val="101"/>
          <w:rFonts w:hint="eastAsia" w:eastAsiaTheme="minorEastAsia"/>
          <w:szCs w:val="21"/>
        </w:rPr>
        <w:t>农业农村部办公厅</w:t>
      </w:r>
    </w:p>
    <w:p w14:paraId="1F10ABBB">
      <w:pPr>
        <w:jc w:val="center"/>
        <w:outlineLvl w:val="1"/>
        <w:rPr>
          <w:rFonts w:eastAsia="黑体"/>
          <w:b/>
          <w:bCs/>
          <w:sz w:val="32"/>
          <w:szCs w:val="32"/>
        </w:rPr>
      </w:pPr>
      <w:bookmarkStart w:id="7" w:name="_Toc198113449"/>
      <w:r>
        <w:rPr>
          <w:rFonts w:hint="eastAsia" w:eastAsia="黑体"/>
          <w:b/>
          <w:bCs/>
          <w:sz w:val="32"/>
          <w:szCs w:val="32"/>
        </w:rPr>
        <w:t>2024年度渔业统计年报数据集中会审会在四川成都召开</w:t>
      </w:r>
      <w:bookmarkEnd w:id="7"/>
    </w:p>
    <w:p w14:paraId="67AF2C63">
      <w:pPr>
        <w:spacing w:line="360" w:lineRule="auto"/>
        <w:ind w:firstLine="426"/>
        <w:rPr>
          <w:rFonts w:eastAsiaTheme="minorEastAsia"/>
          <w:sz w:val="24"/>
        </w:rPr>
      </w:pPr>
      <w:r>
        <w:rPr>
          <w:rFonts w:hint="eastAsia" w:eastAsiaTheme="minorEastAsia"/>
          <w:sz w:val="24"/>
        </w:rPr>
        <w:t>4月28日~29日，2024年度渔业统计年报数据集中会审会在四川省成都市召开。农业农村部渔业渔政管理局副局长袁晓初，全国水产技术推广总站、中国水产学会副站长陈家勇，四川省农业农村厅总畜牧师李春华及国家统计局农村社会经济调查司农村经济研究处处长孟晓娴出席会议。</w:t>
      </w:r>
    </w:p>
    <w:p w14:paraId="418FBDBF">
      <w:pPr>
        <w:spacing w:line="360" w:lineRule="auto"/>
        <w:ind w:firstLine="426"/>
        <w:rPr>
          <w:rFonts w:eastAsiaTheme="minorEastAsia"/>
          <w:sz w:val="24"/>
        </w:rPr>
      </w:pPr>
      <w:r>
        <w:rPr>
          <w:rFonts w:hint="eastAsia" w:eastAsiaTheme="minorEastAsia"/>
          <w:sz w:val="24"/>
        </w:rPr>
        <w:t>会议指出，2024年，全国各级渔业主管部门及渔业统计人员深入学习贯彻习近平总书记关于统计工作重要指示批示精神，紧紧围绕渔业渔政中心工作，渔业统计监测各项工作得到有效推进。</w:t>
      </w:r>
    </w:p>
    <w:p w14:paraId="04B102A4">
      <w:pPr>
        <w:spacing w:line="360" w:lineRule="auto"/>
        <w:ind w:firstLine="426"/>
        <w:rPr>
          <w:rFonts w:eastAsiaTheme="minorEastAsia"/>
          <w:sz w:val="24"/>
        </w:rPr>
      </w:pPr>
      <w:r>
        <w:rPr>
          <w:rFonts w:hint="eastAsia" w:eastAsiaTheme="minorEastAsia"/>
          <w:sz w:val="24"/>
        </w:rPr>
        <w:t>会议认为，在回顾工作的同时，也必须清醒认识到，渔业统计工作还面临许多困难和问题，主要表现在：一是个别渔业主管部门对渔业统计工作的重要性认识不足。二是基层统计力量仍很薄弱。三是部分地区统计报表格式不规范、指标数据之间缺乏联动性。四是部分统计人员专业性不强、业务素质有待提升。</w:t>
      </w:r>
    </w:p>
    <w:p w14:paraId="1270E2BD">
      <w:pPr>
        <w:spacing w:line="360" w:lineRule="auto"/>
        <w:ind w:firstLine="426"/>
        <w:rPr>
          <w:rFonts w:eastAsiaTheme="minorEastAsia"/>
          <w:sz w:val="24"/>
        </w:rPr>
      </w:pPr>
      <w:r>
        <w:rPr>
          <w:rFonts w:hint="eastAsia" w:eastAsiaTheme="minorEastAsia"/>
          <w:sz w:val="24"/>
        </w:rPr>
        <w:t>会议要求，2025年，按照统计工作有关要求，对照渔业高质量发展和现代化建设部署安排，全面提高渔业统计工作科学性和现代化水平，着力压紧压实防治统计造假责任，不断强化渔业统计规范管理。各级渔业主管部门要认真学习并严格按照《中华人民共和国统计法》《渔业统计工作规定》等法律规范开展统计调查，加强质量审核，强化数据管理。要建立健全统计基础工作规范，建立严格的统计人员交接制度、数据档案管理制度、数据质量审核制度和审核办法、统计工作流程标准，规范原始数据填报管理，严格落实首报责任制、审核责任制。要持续推进渔业统计基层基础建设，加强基层基础保障力度。要加强各级专业培训，尤其是面向基层统计调查人员的业务培训，确保渔业统计工作规范有序开展，责任层层落实。</w:t>
      </w:r>
    </w:p>
    <w:p w14:paraId="66023CA8">
      <w:pPr>
        <w:spacing w:line="360" w:lineRule="auto"/>
        <w:ind w:firstLine="426"/>
        <w:rPr>
          <w:rFonts w:eastAsiaTheme="minorEastAsia"/>
          <w:sz w:val="24"/>
        </w:rPr>
      </w:pPr>
      <w:r>
        <w:rPr>
          <w:rFonts w:hint="eastAsia" w:eastAsiaTheme="minorEastAsia"/>
          <w:sz w:val="24"/>
        </w:rPr>
        <w:t>会议强调，各级渔业主管部门要提高政治站位，把依法统计、依法调查、依法审核贯穿于工作全过程，克服困难，履职尽责，狠抓落实，守住统计数据质量生命线，提升渔业统计工作制度化、规范化、科学化水平。把习近平总书记关于统计工作重要讲话和指示批示精神以及党中央国</w:t>
      </w:r>
      <w:bookmarkStart w:id="25" w:name="_GoBack"/>
      <w:bookmarkEnd w:id="25"/>
      <w:r>
        <w:rPr>
          <w:rFonts w:hint="eastAsia" w:eastAsiaTheme="minorEastAsia"/>
          <w:sz w:val="24"/>
        </w:rPr>
        <w:t>务院重大决策部署落到实处，为渔业高质量发展和现代化建设提供可靠的统计保障。</w:t>
      </w:r>
    </w:p>
    <w:p w14:paraId="4F642527">
      <w:pPr>
        <w:spacing w:line="360" w:lineRule="auto"/>
        <w:ind w:firstLine="426"/>
        <w:rPr>
          <w:rFonts w:eastAsiaTheme="minorEastAsia"/>
          <w:sz w:val="24"/>
        </w:rPr>
      </w:pPr>
      <w:r>
        <w:rPr>
          <w:rFonts w:hint="eastAsia" w:eastAsiaTheme="minorEastAsia"/>
          <w:sz w:val="24"/>
        </w:rPr>
        <w:t>会上宣读了《关于通报2024年度渔业统计监测工作情况的函》，对去年工作突出的单位和个人进行通报表扬。四川、湖南、浙江、内蒙古等省（区）渔业主管部门就渔业统计工作开展情况作了交流，会议还集中会审了2024年年报数据。各省、自治区、直辖市渔业主管部门有关负责同志参加会议。</w:t>
      </w:r>
    </w:p>
    <w:p w14:paraId="0ED561D0">
      <w:pPr>
        <w:spacing w:line="360" w:lineRule="auto"/>
        <w:ind w:firstLine="426"/>
        <w:jc w:val="right"/>
        <w:rPr>
          <w:rStyle w:val="101"/>
          <w:rFonts w:eastAsiaTheme="minorEastAsia"/>
          <w:szCs w:val="21"/>
        </w:rPr>
      </w:pPr>
      <w:r>
        <w:rPr>
          <w:rStyle w:val="101"/>
          <w:rFonts w:eastAsiaTheme="minorEastAsia"/>
          <w:szCs w:val="21"/>
        </w:rPr>
        <w:t>转摘自</w:t>
      </w:r>
      <w:r>
        <w:rPr>
          <w:rStyle w:val="101"/>
          <w:rFonts w:hint="eastAsia" w:eastAsiaTheme="minorEastAsia"/>
          <w:szCs w:val="21"/>
        </w:rPr>
        <w:t>农业农村部渔业渔政管理局</w:t>
      </w:r>
    </w:p>
    <w:p w14:paraId="496A8286">
      <w:pPr>
        <w:spacing w:line="360" w:lineRule="auto"/>
        <w:ind w:firstLine="426"/>
        <w:jc w:val="right"/>
        <w:rPr>
          <w:rStyle w:val="101"/>
          <w:rFonts w:eastAsiaTheme="minorEastAsia"/>
          <w:szCs w:val="21"/>
        </w:rPr>
      </w:pPr>
    </w:p>
    <w:p w14:paraId="0CFA9EEA">
      <w:pPr>
        <w:jc w:val="center"/>
        <w:outlineLvl w:val="1"/>
        <w:rPr>
          <w:rFonts w:eastAsiaTheme="minorEastAsia"/>
          <w:sz w:val="24"/>
        </w:rPr>
      </w:pPr>
      <w:bookmarkStart w:id="8" w:name="_Toc198113450"/>
      <w:r>
        <w:rPr>
          <w:rFonts w:hint="eastAsia" w:eastAsia="黑体"/>
          <w:b/>
          <w:bCs/>
          <w:sz w:val="32"/>
          <w:szCs w:val="32"/>
        </w:rPr>
        <w:t>农业农村部办公厅公布2025年国家级沿海渔港经济区项目名单</w:t>
      </w:r>
      <w:bookmarkEnd w:id="8"/>
    </w:p>
    <w:p w14:paraId="2526A741">
      <w:pPr>
        <w:spacing w:line="360" w:lineRule="auto"/>
        <w:ind w:firstLine="426"/>
        <w:rPr>
          <w:rFonts w:eastAsiaTheme="minorEastAsia"/>
          <w:sz w:val="24"/>
        </w:rPr>
      </w:pPr>
      <w:r>
        <w:rPr>
          <w:rFonts w:hint="eastAsia" w:eastAsiaTheme="minorEastAsia"/>
          <w:sz w:val="24"/>
        </w:rPr>
        <w:t>按照《农业农村部办公厅、财政部办公厅关于开展2025年国家级沿海渔港经济区建设试点申报的通知》（农办渔〔2025〕10号，以下简称《通知》）要求,经农业农村部和财政部评审并公示,日前,农业农村部办公厅印发《关于公布2025年国家级沿海渔港经济区项目名单的通知》</w:t>
      </w:r>
      <w:r>
        <w:rPr>
          <w:rFonts w:eastAsiaTheme="minorEastAsia"/>
          <w:sz w:val="24"/>
        </w:rPr>
        <w:t>,</w:t>
      </w:r>
      <w:r>
        <w:rPr>
          <w:rFonts w:hint="eastAsia" w:eastAsiaTheme="minorEastAsia"/>
          <w:sz w:val="24"/>
        </w:rPr>
        <w:t>对2025年国家级沿海渔港经济区项目名单予以公布,并对有关事项作出通知。</w:t>
      </w:r>
    </w:p>
    <w:p w14:paraId="222C309C">
      <w:pPr>
        <w:spacing w:line="360" w:lineRule="auto"/>
        <w:rPr>
          <w:rFonts w:eastAsiaTheme="minorEastAsia"/>
          <w:sz w:val="24"/>
        </w:rPr>
      </w:pPr>
      <w:r>
        <w:rPr>
          <w:rFonts w:hint="eastAsia" w:eastAsiaTheme="minorEastAsia"/>
          <w:sz w:val="24"/>
        </w:rPr>
        <w:t>一、加强组织领导，扎实推进项目建设</w:t>
      </w:r>
    </w:p>
    <w:p w14:paraId="4F6AC625">
      <w:pPr>
        <w:spacing w:line="360" w:lineRule="auto"/>
        <w:ind w:firstLine="426"/>
        <w:rPr>
          <w:rFonts w:eastAsiaTheme="minorEastAsia"/>
          <w:sz w:val="24"/>
        </w:rPr>
      </w:pPr>
      <w:r>
        <w:rPr>
          <w:rFonts w:hint="eastAsia" w:eastAsiaTheme="minorEastAsia"/>
          <w:sz w:val="24"/>
        </w:rPr>
        <w:t>各项目所在省（自治区、计划单列市）农业农村（渔业）部门要密切与财政部门的沟通配合，切实履行管理责任，加强对项目建设工作的指导，完善扶持政策。项目所在地要高度重视，建立健全统筹推进项目实施的工作机制，加强部门协作，及时发现并解决项目建设过程中的问题，确保按时高质高效完成建设任务。</w:t>
      </w:r>
    </w:p>
    <w:p w14:paraId="0A2AA5B4">
      <w:pPr>
        <w:spacing w:line="360" w:lineRule="auto"/>
        <w:rPr>
          <w:rFonts w:eastAsiaTheme="minorEastAsia"/>
          <w:sz w:val="24"/>
        </w:rPr>
      </w:pPr>
      <w:r>
        <w:rPr>
          <w:rFonts w:hint="eastAsia" w:eastAsiaTheme="minorEastAsia"/>
          <w:sz w:val="24"/>
        </w:rPr>
        <w:t>二、明确建设要求，统筹优化功能布局</w:t>
      </w:r>
    </w:p>
    <w:p w14:paraId="1CF3853B">
      <w:pPr>
        <w:spacing w:line="360" w:lineRule="auto"/>
        <w:ind w:firstLine="426"/>
        <w:rPr>
          <w:rFonts w:eastAsiaTheme="minorEastAsia"/>
          <w:sz w:val="24"/>
        </w:rPr>
      </w:pPr>
      <w:r>
        <w:rPr>
          <w:rFonts w:hint="eastAsia" w:eastAsiaTheme="minorEastAsia"/>
          <w:sz w:val="24"/>
        </w:rPr>
        <w:t>项目所在地要按照《通知》要求和答辩评审意见，抓紧修改完善项目建设规划和实施方案。统筹规划渔港经济区建设，与国土空间规划及其他相关规划相互衔接。科学规划区域内渔港及相关产业等子项目，优化空间布局，做到“点多、面广、链长”。在着眼渔业安全管理等功能的同时，创新渔港建设模式，依港兴产、以产带城、以城促港，促进渔港综合开发，推动港、产、城一体化，提升渔港多元化功能和现代化水平。</w:t>
      </w:r>
    </w:p>
    <w:p w14:paraId="28AF8A12">
      <w:pPr>
        <w:spacing w:line="360" w:lineRule="auto"/>
        <w:rPr>
          <w:rFonts w:eastAsiaTheme="minorEastAsia"/>
          <w:sz w:val="24"/>
        </w:rPr>
      </w:pPr>
      <w:r>
        <w:rPr>
          <w:rFonts w:hint="eastAsia" w:eastAsiaTheme="minorEastAsia"/>
          <w:sz w:val="24"/>
        </w:rPr>
        <w:t>三、规范使用资金，充分发挥资金效益</w:t>
      </w:r>
    </w:p>
    <w:p w14:paraId="6A7E32CD">
      <w:pPr>
        <w:spacing w:line="360" w:lineRule="auto"/>
        <w:ind w:firstLine="426"/>
        <w:rPr>
          <w:rFonts w:eastAsiaTheme="minorEastAsia"/>
          <w:sz w:val="24"/>
        </w:rPr>
      </w:pPr>
      <w:r>
        <w:rPr>
          <w:rFonts w:hint="eastAsia" w:eastAsiaTheme="minorEastAsia"/>
          <w:sz w:val="24"/>
        </w:rPr>
        <w:t>各项目所在省（自治区、计划单列市）农业农村（渔业）部门要督促项目实施主体单位抓紧修改完善中央财政补奖资金使用方案，明确具体支持内容、支持对象、支持方式，细化年度使用计划和总体资金筹措方案。中央财政补奖资金重点用于对渔港相关公益性基础设施进行更新改造和整治维护，不得“撒胡椒面”、搞平均分配，不得用于建设楼堂馆所、一般性支出和列支管理费。通过引入金融专业力量，进一步细化完善投融资模式，充分发挥中央财政补奖资金撬动作用，引导金融和社会资本加大投入。</w:t>
      </w:r>
    </w:p>
    <w:p w14:paraId="10AB2928">
      <w:pPr>
        <w:spacing w:line="360" w:lineRule="auto"/>
        <w:rPr>
          <w:rFonts w:eastAsiaTheme="minorEastAsia"/>
          <w:sz w:val="24"/>
        </w:rPr>
      </w:pPr>
      <w:r>
        <w:rPr>
          <w:rFonts w:hint="eastAsia" w:eastAsiaTheme="minorEastAsia"/>
          <w:sz w:val="24"/>
        </w:rPr>
        <w:t>四、严格评估验收，确保项目取得实效</w:t>
      </w:r>
    </w:p>
    <w:p w14:paraId="2F49D767">
      <w:pPr>
        <w:spacing w:line="360" w:lineRule="auto"/>
        <w:ind w:firstLine="426"/>
        <w:rPr>
          <w:rFonts w:eastAsiaTheme="minorEastAsia"/>
          <w:sz w:val="24"/>
        </w:rPr>
      </w:pPr>
      <w:r>
        <w:rPr>
          <w:rFonts w:hint="eastAsia" w:eastAsiaTheme="minorEastAsia"/>
          <w:sz w:val="24"/>
        </w:rPr>
        <w:t>各项目所在省（自治区、计划单列市）农业农村（渔业）部门要会同财政部门按照《通知》要求开展项目绩效评估和验收，农业农村部将会同财政部适时对评估结果和验收情况进行复核，并结合项目建设进展和复核情况，对通过绩效评估的安排后续奖励资金，强化补奖资金与建设成效挂钩机制。要及时拨付中央财政补奖资金，加强资金使用全过程监督管理，不得挤占、挪用、截留，不得纳入整合资金范围。</w:t>
      </w:r>
    </w:p>
    <w:p w14:paraId="510674C8">
      <w:pPr>
        <w:spacing w:line="360" w:lineRule="auto"/>
        <w:ind w:firstLine="426"/>
        <w:rPr>
          <w:rFonts w:eastAsiaTheme="minorEastAsia"/>
          <w:sz w:val="24"/>
        </w:rPr>
      </w:pPr>
      <w:r>
        <w:rPr>
          <w:rFonts w:hint="eastAsia" w:eastAsiaTheme="minorEastAsia"/>
          <w:sz w:val="24"/>
        </w:rPr>
        <w:t>请相关省（自治区、计划单列市）农业农村（渔业）部门将修改完善的建设规划、实施方案和中央财政补奖资金使用方案（PDF版）于2025年5月20日前报送农业农村部备案。</w:t>
      </w:r>
    </w:p>
    <w:p w14:paraId="00CF503B">
      <w:pPr>
        <w:spacing w:line="360" w:lineRule="auto"/>
        <w:ind w:firstLine="426"/>
        <w:rPr>
          <w:rFonts w:eastAsiaTheme="minorEastAsia"/>
          <w:sz w:val="24"/>
        </w:rPr>
      </w:pPr>
      <w:r>
        <w:rPr>
          <w:rFonts w:hint="eastAsia" w:eastAsiaTheme="minorEastAsia"/>
          <w:sz w:val="24"/>
        </w:rPr>
        <w:t>联系方式：</w:t>
      </w:r>
    </w:p>
    <w:p w14:paraId="58110530">
      <w:pPr>
        <w:spacing w:line="360" w:lineRule="auto"/>
        <w:ind w:firstLine="426"/>
        <w:rPr>
          <w:rFonts w:eastAsiaTheme="minorEastAsia"/>
          <w:sz w:val="24"/>
        </w:rPr>
      </w:pPr>
      <w:r>
        <w:rPr>
          <w:rFonts w:hint="eastAsia" w:eastAsiaTheme="minorEastAsia"/>
          <w:sz w:val="24"/>
        </w:rPr>
        <w:t>农业农村部渔业渔政管理局行业发展处</w:t>
      </w:r>
    </w:p>
    <w:p w14:paraId="3D8C3E68">
      <w:pPr>
        <w:spacing w:line="360" w:lineRule="auto"/>
        <w:ind w:firstLine="426"/>
        <w:rPr>
          <w:rFonts w:eastAsiaTheme="minorEastAsia"/>
          <w:sz w:val="24"/>
        </w:rPr>
      </w:pPr>
      <w:r>
        <w:rPr>
          <w:rFonts w:hint="eastAsia" w:eastAsiaTheme="minorEastAsia"/>
          <w:sz w:val="24"/>
        </w:rPr>
        <w:t>010-59192989</w:t>
      </w:r>
    </w:p>
    <w:p w14:paraId="2F8EAA40">
      <w:pPr>
        <w:spacing w:line="360" w:lineRule="auto"/>
        <w:ind w:firstLine="426"/>
        <w:rPr>
          <w:rFonts w:eastAsiaTheme="minorEastAsia"/>
          <w:sz w:val="24"/>
        </w:rPr>
      </w:pPr>
      <w:r>
        <w:rPr>
          <w:rFonts w:hint="eastAsia" w:eastAsiaTheme="minorEastAsia"/>
          <w:sz w:val="24"/>
        </w:rPr>
        <w:t>010-59192961（传真）</w:t>
      </w:r>
    </w:p>
    <w:p w14:paraId="75F67A24">
      <w:pPr>
        <w:spacing w:line="360" w:lineRule="auto"/>
        <w:ind w:firstLine="426"/>
        <w:rPr>
          <w:rFonts w:eastAsiaTheme="minorEastAsia"/>
          <w:sz w:val="24"/>
        </w:rPr>
      </w:pPr>
      <w:r>
        <w:rPr>
          <w:rFonts w:hint="eastAsia" w:eastAsiaTheme="minorEastAsia"/>
          <w:sz w:val="24"/>
        </w:rPr>
        <w:t>bofplan@agri.gov.cn</w:t>
      </w:r>
    </w:p>
    <w:p w14:paraId="4C6CEC8E">
      <w:pPr>
        <w:spacing w:line="360" w:lineRule="auto"/>
        <w:ind w:firstLine="426"/>
        <w:rPr>
          <w:rFonts w:eastAsiaTheme="minorEastAsia"/>
          <w:sz w:val="24"/>
        </w:rPr>
      </w:pPr>
      <w:r>
        <w:rPr>
          <w:rFonts w:hint="eastAsia" w:eastAsiaTheme="minorEastAsia"/>
          <w:sz w:val="24"/>
        </w:rPr>
        <w:t>农业农村部计划财务司农业补贴处</w:t>
      </w:r>
    </w:p>
    <w:p w14:paraId="1A9BE5A5">
      <w:pPr>
        <w:spacing w:line="360" w:lineRule="auto"/>
        <w:ind w:firstLine="426"/>
        <w:rPr>
          <w:rFonts w:eastAsiaTheme="minorEastAsia"/>
          <w:sz w:val="24"/>
        </w:rPr>
      </w:pPr>
      <w:r>
        <w:rPr>
          <w:rFonts w:hint="eastAsia" w:eastAsiaTheme="minorEastAsia"/>
          <w:sz w:val="24"/>
        </w:rPr>
        <w:t>010-59191313</w:t>
      </w:r>
    </w:p>
    <w:p w14:paraId="4BB3818E">
      <w:pPr>
        <w:spacing w:line="360" w:lineRule="auto"/>
        <w:ind w:firstLine="426"/>
        <w:rPr>
          <w:rFonts w:eastAsiaTheme="minorEastAsia"/>
          <w:sz w:val="24"/>
        </w:rPr>
      </w:pPr>
      <w:r>
        <w:rPr>
          <w:rFonts w:hint="eastAsia" w:eastAsiaTheme="minorEastAsia"/>
          <w:sz w:val="24"/>
        </w:rPr>
        <w:t>010-59193264（传真）</w:t>
      </w:r>
    </w:p>
    <w:p w14:paraId="5FBFC6E9">
      <w:pPr>
        <w:spacing w:line="360" w:lineRule="auto"/>
        <w:ind w:firstLine="426"/>
        <w:rPr>
          <w:rFonts w:eastAsiaTheme="minorEastAsia"/>
          <w:sz w:val="24"/>
        </w:rPr>
      </w:pPr>
      <w:r>
        <w:rPr>
          <w:rFonts w:hint="eastAsia" w:eastAsiaTheme="minorEastAsia"/>
          <w:sz w:val="24"/>
        </w:rPr>
        <w:t>nongyebutie@agri.gov.cn</w:t>
      </w:r>
    </w:p>
    <w:p w14:paraId="64228366">
      <w:pPr>
        <w:spacing w:line="360" w:lineRule="auto"/>
        <w:rPr>
          <w:rFonts w:eastAsiaTheme="minorEastAsia"/>
          <w:b/>
          <w:bCs/>
          <w:sz w:val="24"/>
        </w:rPr>
      </w:pPr>
      <w:r>
        <w:rPr>
          <w:rFonts w:hint="eastAsia" w:eastAsiaTheme="minorEastAsia"/>
          <w:b/>
          <w:bCs/>
          <w:sz w:val="24"/>
        </w:rPr>
        <w:t>2025年国家级沿海渔港经济区项目名单：</w:t>
      </w:r>
    </w:p>
    <w:p w14:paraId="49654B78">
      <w:pPr>
        <w:spacing w:line="360" w:lineRule="auto"/>
        <w:ind w:firstLine="426"/>
        <w:rPr>
          <w:rFonts w:eastAsiaTheme="minorEastAsia"/>
          <w:sz w:val="24"/>
        </w:rPr>
      </w:pPr>
      <w:r>
        <w:rPr>
          <w:rFonts w:hint="eastAsia" w:eastAsiaTheme="minorEastAsia"/>
          <w:sz w:val="24"/>
        </w:rPr>
        <w:t>1.江苏省连云港市连云区渔港经济区</w:t>
      </w:r>
    </w:p>
    <w:p w14:paraId="31028B0B">
      <w:pPr>
        <w:spacing w:line="360" w:lineRule="auto"/>
        <w:ind w:firstLine="426"/>
        <w:rPr>
          <w:rFonts w:eastAsiaTheme="minorEastAsia"/>
          <w:sz w:val="24"/>
        </w:rPr>
      </w:pPr>
      <w:r>
        <w:rPr>
          <w:rFonts w:hint="eastAsia" w:eastAsiaTheme="minorEastAsia"/>
          <w:sz w:val="24"/>
        </w:rPr>
        <w:t>2.浙江省舟山市嵊泗县渔港经济区</w:t>
      </w:r>
    </w:p>
    <w:p w14:paraId="273D7FCC">
      <w:pPr>
        <w:spacing w:line="360" w:lineRule="auto"/>
        <w:ind w:firstLine="426"/>
        <w:rPr>
          <w:rFonts w:eastAsiaTheme="minorEastAsia"/>
          <w:sz w:val="24"/>
        </w:rPr>
      </w:pPr>
      <w:r>
        <w:rPr>
          <w:rFonts w:hint="eastAsia" w:eastAsiaTheme="minorEastAsia"/>
          <w:sz w:val="24"/>
        </w:rPr>
        <w:t>3.广西壮族自治区钦州市渔港经济区</w:t>
      </w:r>
    </w:p>
    <w:p w14:paraId="002A8832">
      <w:pPr>
        <w:spacing w:line="360" w:lineRule="auto"/>
        <w:ind w:firstLine="426"/>
        <w:rPr>
          <w:rFonts w:eastAsiaTheme="minorEastAsia"/>
          <w:sz w:val="24"/>
        </w:rPr>
      </w:pPr>
      <w:r>
        <w:rPr>
          <w:rFonts w:hint="eastAsia" w:eastAsiaTheme="minorEastAsia"/>
          <w:sz w:val="24"/>
        </w:rPr>
        <w:t>4.海南省琼海市渔港经济区</w:t>
      </w:r>
    </w:p>
    <w:p w14:paraId="243352FB">
      <w:pPr>
        <w:spacing w:line="360" w:lineRule="auto"/>
        <w:ind w:firstLine="426"/>
        <w:rPr>
          <w:rFonts w:eastAsiaTheme="minorEastAsia"/>
          <w:sz w:val="24"/>
        </w:rPr>
      </w:pPr>
      <w:r>
        <w:rPr>
          <w:rFonts w:hint="eastAsia" w:eastAsiaTheme="minorEastAsia"/>
          <w:sz w:val="24"/>
        </w:rPr>
        <w:t>5.大连市长海县渔港经济区</w:t>
      </w:r>
    </w:p>
    <w:p w14:paraId="63AF57C3">
      <w:pPr>
        <w:spacing w:line="360" w:lineRule="auto"/>
        <w:ind w:firstLine="426"/>
        <w:rPr>
          <w:rFonts w:eastAsiaTheme="minorEastAsia"/>
          <w:sz w:val="24"/>
        </w:rPr>
      </w:pPr>
      <w:r>
        <w:rPr>
          <w:rFonts w:hint="eastAsia" w:eastAsiaTheme="minorEastAsia"/>
          <w:sz w:val="24"/>
        </w:rPr>
        <w:t>6.宁波市奉化区渔港经济区</w:t>
      </w:r>
    </w:p>
    <w:p w14:paraId="5FB52316">
      <w:pPr>
        <w:spacing w:line="360" w:lineRule="auto"/>
        <w:ind w:firstLine="426"/>
        <w:jc w:val="right"/>
        <w:rPr>
          <w:rStyle w:val="101"/>
          <w:rFonts w:eastAsiaTheme="minorEastAsia"/>
          <w:szCs w:val="21"/>
        </w:rPr>
      </w:pPr>
      <w:r>
        <w:rPr>
          <w:rStyle w:val="101"/>
          <w:rFonts w:eastAsiaTheme="minorEastAsia"/>
          <w:szCs w:val="21"/>
        </w:rPr>
        <w:t>转摘自</w:t>
      </w:r>
      <w:r>
        <w:rPr>
          <w:rStyle w:val="101"/>
          <w:rFonts w:hint="eastAsia" w:eastAsiaTheme="minorEastAsia"/>
          <w:szCs w:val="21"/>
        </w:rPr>
        <w:t>农业农村部办公厅</w:t>
      </w:r>
    </w:p>
    <w:p w14:paraId="5E0D5DC5">
      <w:pPr>
        <w:spacing w:line="360" w:lineRule="auto"/>
        <w:ind w:firstLine="426"/>
        <w:jc w:val="right"/>
        <w:rPr>
          <w:rStyle w:val="101"/>
          <w:rFonts w:eastAsiaTheme="minorEastAsia"/>
          <w:szCs w:val="21"/>
        </w:rPr>
      </w:pPr>
    </w:p>
    <w:bookmarkEnd w:id="4"/>
    <w:p w14:paraId="5693F024">
      <w:pPr>
        <w:spacing w:line="276" w:lineRule="auto"/>
        <w:jc w:val="left"/>
        <w:outlineLvl w:val="0"/>
        <w:rPr>
          <w:rStyle w:val="101"/>
          <w:rFonts w:eastAsia="黑体"/>
          <w:b/>
          <w:bCs/>
          <w:sz w:val="32"/>
          <w:szCs w:val="32"/>
          <w:bdr w:val="single" w:color="auto" w:sz="4" w:space="0"/>
        </w:rPr>
      </w:pPr>
      <w:bookmarkStart w:id="9" w:name="_Toc198113451"/>
      <w:r>
        <w:rPr>
          <w:rStyle w:val="101"/>
          <w:rFonts w:eastAsia="黑体"/>
          <w:b/>
          <w:bCs/>
          <w:sz w:val="32"/>
          <w:szCs w:val="32"/>
          <w:bdr w:val="single" w:color="auto" w:sz="4" w:space="0"/>
        </w:rPr>
        <w:t>行业资讯</w:t>
      </w:r>
      <w:bookmarkEnd w:id="9"/>
    </w:p>
    <w:p w14:paraId="44419CF0">
      <w:pPr>
        <w:spacing w:line="360" w:lineRule="auto"/>
        <w:jc w:val="center"/>
        <w:outlineLvl w:val="1"/>
        <w:rPr>
          <w:rFonts w:eastAsia="黑体"/>
          <w:b/>
          <w:bCs/>
          <w:sz w:val="32"/>
          <w:szCs w:val="32"/>
        </w:rPr>
      </w:pPr>
      <w:bookmarkStart w:id="10" w:name="_Toc198113452"/>
      <w:r>
        <w:rPr>
          <w:rFonts w:hint="eastAsia" w:eastAsia="黑体"/>
          <w:b/>
          <w:bCs/>
          <w:sz w:val="32"/>
          <w:szCs w:val="32"/>
        </w:rPr>
        <w:t>中国水产学会水产微生物生态与资源专业委员会</w:t>
      </w:r>
    </w:p>
    <w:p w14:paraId="5D923C45">
      <w:pPr>
        <w:spacing w:line="360" w:lineRule="auto"/>
        <w:jc w:val="center"/>
        <w:outlineLvl w:val="1"/>
        <w:rPr>
          <w:rFonts w:eastAsia="黑体"/>
          <w:b/>
          <w:bCs/>
          <w:sz w:val="32"/>
          <w:szCs w:val="32"/>
        </w:rPr>
      </w:pPr>
      <w:r>
        <w:rPr>
          <w:rFonts w:hint="eastAsia" w:eastAsia="黑体"/>
          <w:b/>
          <w:bCs/>
          <w:sz w:val="32"/>
          <w:szCs w:val="32"/>
        </w:rPr>
        <w:t>首届学术年会在京召开</w:t>
      </w:r>
      <w:bookmarkEnd w:id="10"/>
    </w:p>
    <w:p w14:paraId="6311A864">
      <w:pPr>
        <w:spacing w:line="360" w:lineRule="auto"/>
        <w:ind w:firstLine="420"/>
        <w:rPr>
          <w:rFonts w:eastAsiaTheme="minorEastAsia"/>
          <w:sz w:val="24"/>
        </w:rPr>
      </w:pPr>
      <w:r>
        <w:rPr>
          <w:rFonts w:hint="eastAsia" w:eastAsiaTheme="minorEastAsia"/>
          <w:sz w:val="24"/>
        </w:rPr>
        <w:t>2025年4月22—24日，由中国水产学会主办，中国水产学会水产微生物生态与资源专业委员会、中国农业科学院饲料研究所和中国农业科学院生物技术研究所共同承办的中国水产学会水产微生物生态与资源专业委员会首届学术年会在北京召开。</w:t>
      </w:r>
    </w:p>
    <w:p w14:paraId="745AF1B3">
      <w:pPr>
        <w:spacing w:line="360" w:lineRule="auto"/>
        <w:ind w:firstLine="420"/>
        <w:rPr>
          <w:rFonts w:eastAsiaTheme="minorEastAsia"/>
          <w:sz w:val="24"/>
        </w:rPr>
      </w:pPr>
      <w:r>
        <w:rPr>
          <w:rFonts w:hint="eastAsia" w:eastAsiaTheme="minorEastAsia"/>
          <w:sz w:val="24"/>
        </w:rPr>
        <w:t>中国水产学会秘书长、全国水产技术推广总站站长韩刚，中国农业科学院饲料研究所所长马莹、党委书记陆建中出席会议并致辞。年会开幕式由中国水产学会水产微生物生态与资源专业委员会主任委员、中国农业科学院生物技术研究所副所长周志刚主持。</w:t>
      </w:r>
    </w:p>
    <w:p w14:paraId="16DCF228">
      <w:pPr>
        <w:spacing w:line="360" w:lineRule="auto"/>
        <w:ind w:firstLine="420"/>
        <w:rPr>
          <w:rFonts w:eastAsiaTheme="minorEastAsia"/>
          <w:sz w:val="24"/>
        </w:rPr>
      </w:pPr>
      <w:r>
        <w:rPr>
          <w:rFonts w:hint="eastAsia" w:eastAsiaTheme="minorEastAsia"/>
          <w:sz w:val="24"/>
        </w:rPr>
        <w:t>会议指出，水产微生物生态与资源相关的研究方兴未艾，逐步成长为水产学科的一个重要分支。水产微生态制剂产业蓬勃发展，在引领水产养殖业向环境友好和可持续发展转型中扮演着重要角色。水产微生物生态与资源研究对推动水产绿色高质量发展具有重要意义。</w:t>
      </w:r>
    </w:p>
    <w:p w14:paraId="409A2329">
      <w:pPr>
        <w:spacing w:line="360" w:lineRule="auto"/>
        <w:ind w:firstLine="420"/>
        <w:rPr>
          <w:rFonts w:eastAsiaTheme="minorEastAsia"/>
          <w:sz w:val="24"/>
        </w:rPr>
      </w:pPr>
      <w:r>
        <w:rPr>
          <w:rFonts w:hint="eastAsia" w:eastAsiaTheme="minorEastAsia"/>
          <w:sz w:val="24"/>
        </w:rPr>
        <w:t>会议强调，水产微生物生态与资源专业委员会成立后，要积极适应新形势、新任务和新使命，以“大食物观”为指引，坚持科技创新“四个面向”，团结带领广大科技工作者，大力弘扬科学家精神，加强水产微生物生态与资源重大科学问题和关键技术难题研究，加强科技成果转化应用和科学普及，加强人才培养和队伍建设，加强产业发展和政策研究，发挥智库作用，推动自主创新，为推进水产微生物领域科研和产业发展提供强有力支撑。</w:t>
      </w:r>
    </w:p>
    <w:p w14:paraId="780C9241">
      <w:pPr>
        <w:spacing w:line="360" w:lineRule="auto"/>
        <w:ind w:firstLine="420"/>
        <w:rPr>
          <w:rFonts w:eastAsiaTheme="minorEastAsia"/>
          <w:sz w:val="24"/>
        </w:rPr>
      </w:pPr>
      <w:r>
        <w:rPr>
          <w:rFonts w:hint="eastAsia" w:eastAsiaTheme="minorEastAsia"/>
          <w:sz w:val="24"/>
        </w:rPr>
        <w:t>本次会议以“水产微生物驱动绿色养殖”为主题，围绕水产微生物资源挖掘与应用、水产微生物与宿主互作、水产微生物与环境互作、水产微生物研究新技术等4个方面议题开展学术交流。</w:t>
      </w:r>
    </w:p>
    <w:p w14:paraId="3E5C05B7">
      <w:pPr>
        <w:spacing w:line="360" w:lineRule="auto"/>
        <w:ind w:firstLine="420"/>
        <w:rPr>
          <w:rFonts w:eastAsiaTheme="minorEastAsia"/>
          <w:sz w:val="24"/>
        </w:rPr>
      </w:pPr>
      <w:r>
        <w:rPr>
          <w:rFonts w:hint="eastAsia" w:eastAsiaTheme="minorEastAsia"/>
          <w:sz w:val="24"/>
        </w:rPr>
        <w:t>中国水产学会水产微生物生态与资源专业委员会主任委员周志刚研究员，副主任委员、宁波大学张德民教授、华东师范大学张美玲教授、中国海洋大学田相利教授、中国农业科学院北京畜牧兽医研究所涂涛研究员分别以“鱼类肠道微生物与宿主互作：理论与应用”“水产微生物生态学是发展新质生产力的重要推手—以对虾养殖为例”“植物乳植杆菌通过调控微生物色氨酸代谢物以缓解棉酚诱导的肝脏脂毒性损伤”“水产有益微生物：过去、现在和未来”“基于饲料用酶的绿色投入品生物制造”为题做大会主题报告。　</w:t>
      </w:r>
    </w:p>
    <w:p w14:paraId="3078F53B">
      <w:pPr>
        <w:spacing w:line="360" w:lineRule="auto"/>
        <w:ind w:firstLine="420"/>
        <w:rPr>
          <w:rFonts w:eastAsiaTheme="minorEastAsia"/>
          <w:sz w:val="24"/>
        </w:rPr>
      </w:pPr>
      <w:r>
        <w:rPr>
          <w:rFonts w:hint="eastAsia" w:eastAsiaTheme="minorEastAsia"/>
          <w:sz w:val="24"/>
        </w:rPr>
        <w:t>27位国内外专家学者和4位优秀博士研究生做专题报告，大会共收录论文摘要70篇。来自国内外高校、科研院所和企业的150余位专家、学者和学生代表参会。</w:t>
      </w:r>
    </w:p>
    <w:p w14:paraId="726C0B91">
      <w:pPr>
        <w:spacing w:line="360" w:lineRule="auto"/>
        <w:ind w:firstLine="420"/>
        <w:rPr>
          <w:rFonts w:eastAsiaTheme="minorEastAsia"/>
          <w:sz w:val="24"/>
        </w:rPr>
      </w:pPr>
      <w:r>
        <w:rPr>
          <w:rFonts w:hint="eastAsia" w:eastAsiaTheme="minorEastAsia"/>
          <w:sz w:val="24"/>
        </w:rPr>
        <w:t>会前还召开了中国水产学会水产微生物生态与资源专业委员会成立会议。中国水产学会水产微生物生态与资源专业委员会是2024年3月经中国水产学会十一届五次理事会审议通过成立，由此中国水产学会分支机构达30个。</w:t>
      </w:r>
    </w:p>
    <w:p w14:paraId="17FDAADE">
      <w:pPr>
        <w:spacing w:line="360" w:lineRule="auto"/>
        <w:ind w:firstLine="420"/>
        <w:jc w:val="right"/>
        <w:rPr>
          <w:rStyle w:val="101"/>
          <w:rFonts w:eastAsiaTheme="minorEastAsia"/>
          <w:szCs w:val="21"/>
        </w:rPr>
      </w:pPr>
      <w:r>
        <w:rPr>
          <w:rStyle w:val="101"/>
          <w:rFonts w:eastAsiaTheme="minorEastAsia"/>
          <w:szCs w:val="21"/>
        </w:rPr>
        <w:t>转摘</w:t>
      </w:r>
      <w:r>
        <w:rPr>
          <w:rStyle w:val="101"/>
          <w:rFonts w:hint="eastAsia" w:eastAsiaTheme="minorEastAsia"/>
          <w:szCs w:val="21"/>
        </w:rPr>
        <w:t>自中国水产学会</w:t>
      </w:r>
    </w:p>
    <w:p w14:paraId="16B81820">
      <w:pPr>
        <w:spacing w:line="360" w:lineRule="auto"/>
        <w:ind w:firstLine="420"/>
        <w:jc w:val="right"/>
        <w:rPr>
          <w:rStyle w:val="101"/>
          <w:rFonts w:eastAsiaTheme="minorEastAsia"/>
          <w:szCs w:val="21"/>
        </w:rPr>
      </w:pPr>
    </w:p>
    <w:p w14:paraId="1A8AAD4B">
      <w:pPr>
        <w:spacing w:line="360" w:lineRule="auto"/>
        <w:ind w:firstLine="420"/>
        <w:jc w:val="right"/>
        <w:rPr>
          <w:rStyle w:val="101"/>
          <w:rFonts w:eastAsiaTheme="minorEastAsia"/>
          <w:szCs w:val="21"/>
        </w:rPr>
      </w:pPr>
    </w:p>
    <w:p w14:paraId="1AE1F37E">
      <w:pPr>
        <w:spacing w:line="360" w:lineRule="auto"/>
        <w:jc w:val="center"/>
        <w:outlineLvl w:val="1"/>
        <w:rPr>
          <w:rFonts w:eastAsia="黑体"/>
          <w:b/>
          <w:bCs/>
          <w:sz w:val="32"/>
          <w:szCs w:val="32"/>
        </w:rPr>
      </w:pPr>
      <w:bookmarkStart w:id="11" w:name="_Toc198113453"/>
      <w:r>
        <w:rPr>
          <w:rFonts w:hint="eastAsia" w:eastAsia="黑体"/>
          <w:b/>
          <w:bCs/>
          <w:sz w:val="32"/>
          <w:szCs w:val="32"/>
        </w:rPr>
        <w:t>福建省2025年海洋伏季休渔执法监管工作方案发布</w:t>
      </w:r>
      <w:bookmarkEnd w:id="11"/>
    </w:p>
    <w:p w14:paraId="6110C87F">
      <w:pPr>
        <w:spacing w:line="360" w:lineRule="auto"/>
        <w:rPr>
          <w:rFonts w:eastAsiaTheme="minorEastAsia"/>
          <w:sz w:val="24"/>
        </w:rPr>
      </w:pPr>
      <w:r>
        <w:rPr>
          <w:rFonts w:hint="eastAsia" w:eastAsiaTheme="minorEastAsia"/>
          <w:sz w:val="24"/>
        </w:rPr>
        <w:t>一、总体要求</w:t>
      </w:r>
    </w:p>
    <w:p w14:paraId="2999285B">
      <w:pPr>
        <w:spacing w:line="360" w:lineRule="auto"/>
        <w:ind w:firstLine="420"/>
        <w:rPr>
          <w:rFonts w:eastAsiaTheme="minorEastAsia"/>
          <w:sz w:val="24"/>
        </w:rPr>
      </w:pPr>
      <w:r>
        <w:rPr>
          <w:rFonts w:hint="eastAsia" w:eastAsiaTheme="minorEastAsia"/>
          <w:sz w:val="24"/>
        </w:rPr>
        <w:t>以习近平新时代中国特色社会主义思想为指导，全面落实党的二十大和二十届二中、三中全会精神，深入贯彻习近平生态文明思想和习近平法治思想，不断强化海洋渔业资源养护，始终坚持最严格监管、最严厉执法，切实维护海洋伏季休渔秩序稳定，全力服务保障海洋与渔业经济高质量发展。</w:t>
      </w:r>
    </w:p>
    <w:p w14:paraId="6D5BDB87">
      <w:pPr>
        <w:spacing w:line="360" w:lineRule="auto"/>
        <w:rPr>
          <w:rFonts w:eastAsiaTheme="minorEastAsia"/>
          <w:sz w:val="24"/>
        </w:rPr>
      </w:pPr>
      <w:r>
        <w:rPr>
          <w:rFonts w:hint="eastAsia" w:eastAsiaTheme="minorEastAsia"/>
          <w:sz w:val="24"/>
        </w:rPr>
        <w:t>二、重点任务</w:t>
      </w:r>
    </w:p>
    <w:p w14:paraId="1F525F26">
      <w:pPr>
        <w:spacing w:line="360" w:lineRule="auto"/>
        <w:ind w:firstLine="420"/>
        <w:rPr>
          <w:rFonts w:eastAsiaTheme="minorEastAsia"/>
          <w:sz w:val="24"/>
        </w:rPr>
      </w:pPr>
      <w:r>
        <w:rPr>
          <w:rFonts w:hint="eastAsia" w:eastAsiaTheme="minorEastAsia"/>
          <w:sz w:val="24"/>
        </w:rPr>
        <w:t>（一）加强船舶监管。落实船籍港休渔和“依港管船”“定人联船”“定期点船”等监管措施，紧盯严管严控重点渔船、异地伏休渔船，以及伏休期过户渔船、活鱼运输船、资源调查船、专项（特许）捕捞渔船、异地扣押渔船、涉渔乡镇船舶、大马力快艇等，坚持人防、物防、技防、机制防相结合，做到“船回港、港规范、人上岸、网封存”，确保休渔期间渔港渔船安全有序。</w:t>
      </w:r>
    </w:p>
    <w:p w14:paraId="01321580">
      <w:pPr>
        <w:spacing w:line="360" w:lineRule="auto"/>
        <w:ind w:firstLine="420"/>
        <w:rPr>
          <w:rFonts w:eastAsiaTheme="minorEastAsia"/>
          <w:sz w:val="24"/>
        </w:rPr>
      </w:pPr>
      <w:r>
        <w:rPr>
          <w:rFonts w:hint="eastAsia" w:eastAsiaTheme="minorEastAsia"/>
          <w:sz w:val="24"/>
        </w:rPr>
        <w:t>（二）强化执法检查。坚持海陆统筹、打防结合，健全常态化巡查与专项执法相结合的工作机制，实施高频次、全覆盖执法检查。推动部门间协作，锁定重点海域、港口，抓住关键时段、环节，组织开展巡港查船、明察暗访、突击检查、区域联查、夜间抽查等。强化执法动态研判，及时调整打击重点，保持执法检查高压态势。</w:t>
      </w:r>
    </w:p>
    <w:p w14:paraId="6A2AB367">
      <w:pPr>
        <w:spacing w:line="360" w:lineRule="auto"/>
        <w:ind w:firstLine="420"/>
        <w:rPr>
          <w:rFonts w:eastAsiaTheme="minorEastAsia"/>
          <w:sz w:val="24"/>
        </w:rPr>
      </w:pPr>
      <w:r>
        <w:rPr>
          <w:rFonts w:hint="eastAsia" w:eastAsiaTheme="minorEastAsia"/>
          <w:sz w:val="24"/>
        </w:rPr>
        <w:t>（三）深化宣传教育。落实“谁执法谁普法”责任制，以深入学习贯彻习近平生态文明思想、努力实现人与自然和谐共生，组织开展宣传周活动，宣贯解读伏季休渔政策和典型案例剖析等为重点，主动应对、及时回应执法监管中的热点、焦点信息，加强法律政策宣传落实落地，强化教育引导警示提醒的实际成效。</w:t>
      </w:r>
    </w:p>
    <w:p w14:paraId="750C7DD1">
      <w:pPr>
        <w:spacing w:line="360" w:lineRule="auto"/>
        <w:rPr>
          <w:rFonts w:eastAsiaTheme="minorEastAsia"/>
          <w:sz w:val="24"/>
        </w:rPr>
      </w:pPr>
      <w:r>
        <w:rPr>
          <w:rFonts w:hint="eastAsia" w:eastAsiaTheme="minorEastAsia"/>
          <w:sz w:val="24"/>
        </w:rPr>
        <w:t>三、主要措施</w:t>
      </w:r>
    </w:p>
    <w:p w14:paraId="09B94914">
      <w:pPr>
        <w:spacing w:line="360" w:lineRule="auto"/>
        <w:ind w:firstLine="420"/>
        <w:rPr>
          <w:rFonts w:eastAsiaTheme="minorEastAsia"/>
          <w:sz w:val="24"/>
        </w:rPr>
      </w:pPr>
      <w:r>
        <w:rPr>
          <w:rFonts w:hint="eastAsia" w:eastAsiaTheme="minorEastAsia"/>
          <w:sz w:val="24"/>
        </w:rPr>
        <w:t>（一）加强组织领导，压实监管责任</w:t>
      </w:r>
    </w:p>
    <w:p w14:paraId="128981BF">
      <w:pPr>
        <w:spacing w:line="360" w:lineRule="auto"/>
        <w:ind w:firstLine="420"/>
        <w:rPr>
          <w:rFonts w:eastAsiaTheme="minorEastAsia"/>
          <w:sz w:val="24"/>
        </w:rPr>
      </w:pPr>
      <w:r>
        <w:rPr>
          <w:rFonts w:hint="eastAsia" w:eastAsiaTheme="minorEastAsia"/>
          <w:sz w:val="24"/>
        </w:rPr>
        <w:t>海洋伏季休渔执法监管工作实行“统一领导、分级管理”。福建省海洋与渔业执法总队（下称“省总队”）负责全省伏休执法监管工作的统一指挥调度和督导检查；总队派出支队负责辖区伏休执法监管工作的组织、协调、调度和监督。各设区市海洋与渔业执法机构负责指导、督导本辖区伏休执法监管工作，牵头组织开展区域性的重点执法行动。县（市、区）海洋与渔业执法机构具体承担本辖区伏休执法监管工作。各地执法机构要高度重视，主要领导要亲自抓，精心组织，建立各司其职、互相协调、步调一致、协同作战的伏季休渔执法监管工作机制，确保执法监管责任到岗、落实到人。</w:t>
      </w:r>
    </w:p>
    <w:p w14:paraId="5B1AE8B0">
      <w:pPr>
        <w:spacing w:line="360" w:lineRule="auto"/>
        <w:ind w:firstLine="420"/>
        <w:rPr>
          <w:rFonts w:eastAsiaTheme="minorEastAsia"/>
          <w:sz w:val="24"/>
        </w:rPr>
      </w:pPr>
      <w:r>
        <w:rPr>
          <w:rFonts w:hint="eastAsia" w:eastAsiaTheme="minorEastAsia"/>
          <w:sz w:val="24"/>
        </w:rPr>
        <w:t>（二）坚持海陆联动，提升执法质效</w:t>
      </w:r>
    </w:p>
    <w:p w14:paraId="40B2F6D6">
      <w:pPr>
        <w:spacing w:line="360" w:lineRule="auto"/>
        <w:ind w:firstLine="420"/>
        <w:rPr>
          <w:rFonts w:eastAsiaTheme="minorEastAsia"/>
          <w:sz w:val="24"/>
        </w:rPr>
      </w:pPr>
      <w:r>
        <w:rPr>
          <w:rFonts w:hint="eastAsia" w:eastAsiaTheme="minorEastAsia"/>
          <w:sz w:val="24"/>
        </w:rPr>
        <w:t>要结合“中国渔政亮剑2025”、福建海洋“蓝剑”等执法行动，持续加强港口和海上执法检查力度，建立渔港清查、近岸巡查、海上追查执法模式，切实提升执法质效。</w:t>
      </w:r>
    </w:p>
    <w:p w14:paraId="6BCEF13F">
      <w:pPr>
        <w:spacing w:line="360" w:lineRule="auto"/>
        <w:ind w:firstLine="420"/>
        <w:rPr>
          <w:rFonts w:eastAsiaTheme="minorEastAsia"/>
          <w:sz w:val="24"/>
        </w:rPr>
      </w:pPr>
      <w:r>
        <w:rPr>
          <w:rFonts w:hint="eastAsia" w:eastAsiaTheme="minorEastAsia"/>
          <w:sz w:val="24"/>
        </w:rPr>
        <w:t>1.强化依港管船。要实施依港管船，筑牢港口管控防线。一是在伏休前，对本辖区内休渔渔船分类登记造册，组织渔船就近停泊，并将休渔渔船的船名号张榜公布在相应的港口、码头、澳口，接受群众监督。二是不定期组织开展清点渔船、明察暗访、突击抽查、区域联查，严查海洋渔船北斗示位仪安装情况，确保渔船应休尽休。三是加强科技管控，充分运用渔船动态监管、福海通等信息化平台，对重点管控渔船、未休渔船等赋色标识，常态化监测掌握渔船动态；探索运用无人机、无人艇等装备辅助执法监管；强化智能AI、大数据等新技术手段分析研判辖区渔船动向和风险隐患，守好港口管住渔船。四是要加强与市场监管等部门的联合协作，对辖区造船厂（点）、油库、冷库、鱼货交易场所和水产品流通环节等开展经常性检查，依法查处包括违规向休渔渔船供油、供冰等各类违法行为。</w:t>
      </w:r>
    </w:p>
    <w:p w14:paraId="67D13485">
      <w:pPr>
        <w:spacing w:line="360" w:lineRule="auto"/>
        <w:ind w:firstLine="420"/>
        <w:rPr>
          <w:rFonts w:eastAsiaTheme="minorEastAsia"/>
          <w:sz w:val="24"/>
        </w:rPr>
      </w:pPr>
      <w:r>
        <w:rPr>
          <w:rFonts w:hint="eastAsia" w:eastAsiaTheme="minorEastAsia"/>
          <w:sz w:val="24"/>
        </w:rPr>
        <w:t>2.强化海上执法。要保持海上严厉打击的高压态势，筑牢海上管控防线。一是建立健全执法船艇编队执法巡查机制，省总队牵头组织全省性、跨区域性海上联合编队执法巡查行动。各设区市（平潭综合实验区）牵头组织辖区执法船艇开展常态化或专项执法编队巡航，省总队执法船艇可适时增援协助。二是强化省际联合执法。加强省际交流互通，进一步增强协作效能，提升执法实效，形成资源共享、信息互通、协作顺畅的工作格局。省总队在伏休关键时间节点牵头协调浙粤执法机构开展省际交界水域联合行动，共同打击渔业违法违规行为。三是推进部门协作机制。加强与公安（海岸）、海事、海警、海关及边检部门的信息通报、案件协查、业务交流，组织开展有声势、有震慑力的海上协同执法行动，持续提升“五海一边”涉海安全执法协作能力。</w:t>
      </w:r>
    </w:p>
    <w:p w14:paraId="29A96492">
      <w:pPr>
        <w:spacing w:line="360" w:lineRule="auto"/>
        <w:ind w:firstLine="420"/>
        <w:rPr>
          <w:rFonts w:eastAsiaTheme="minorEastAsia"/>
          <w:sz w:val="24"/>
        </w:rPr>
      </w:pPr>
      <w:r>
        <w:rPr>
          <w:rFonts w:hint="eastAsia" w:eastAsiaTheme="minorEastAsia"/>
          <w:sz w:val="24"/>
        </w:rPr>
        <w:t>（三）聚焦执法重点，实施精准打击</w:t>
      </w:r>
    </w:p>
    <w:p w14:paraId="14A89743">
      <w:pPr>
        <w:spacing w:line="360" w:lineRule="auto"/>
        <w:ind w:firstLine="420"/>
        <w:rPr>
          <w:rFonts w:eastAsiaTheme="minorEastAsia"/>
          <w:sz w:val="24"/>
        </w:rPr>
      </w:pPr>
      <w:r>
        <w:rPr>
          <w:rFonts w:hint="eastAsia" w:eastAsiaTheme="minorEastAsia"/>
          <w:sz w:val="24"/>
        </w:rPr>
        <w:t>1.突出重点区域。一是强化对渔船集中停泊港口和往年违法违规行为多发港口开展常态化巡查和突击性检查，必要时组织人员驻点监管。二是强化闽浙海域交界线、北纬26度30分、闽粤海域交界线“三线”巡查，重点打击擅自跨省、跨海区异地休渔、违规出海作业、违反核定作业场所规定捕捞作业等违法行为。三是强化宁德东冲口、三都澳、福鼎沙埕等海域巡查，严厉打击冰鲜杂鱼海上交易行为，严查代冻、收购、销售、运输非法捕捞的渔获物。四是强化相关海域管控。防范制止未休渔钓具、专项（特许）捕捞等渔船进入相关海域生产作业。</w:t>
      </w:r>
    </w:p>
    <w:p w14:paraId="2C966236">
      <w:pPr>
        <w:spacing w:line="360" w:lineRule="auto"/>
        <w:ind w:firstLine="420"/>
        <w:rPr>
          <w:rFonts w:eastAsiaTheme="minorEastAsia"/>
          <w:sz w:val="24"/>
        </w:rPr>
      </w:pPr>
      <w:r>
        <w:rPr>
          <w:rFonts w:hint="eastAsia" w:eastAsiaTheme="minorEastAsia"/>
          <w:sz w:val="24"/>
        </w:rPr>
        <w:t>2.盯牢重点对象。一是未参与伏休钓具渔船和专项捕捞渔船监管。强化船舶动态监管，重点核查船员持证、进出港报告、渔获物定点上岸等情况。二是异地渔船监管。各地要提前摸排异地休渔渔船数量，伏休期间加强渔船点验和检查。三是伏休期间过户渔船和异地修船渔船监管。严格执行省局对伏休期过户渔船和省内异地修船渔船的监管要求，重点对进出港渔船申请手续情况进行检查，转出地和转入地渔业执法机构要加强监管衔接，避免出现监管“真空期”。四是捕捞辅助船监管。重点关注捕捞辅助船未按时回港休渔、违规出海收购渔获物以及非法从事捕捞生产等违法违规行为。五是严厉打击乡镇船舶、“三无”船舶涉渔违法违规行为和渔船违反伏休规定擅自离港作业、擅自变更作业类型</w:t>
      </w:r>
      <w:r>
        <w:rPr>
          <w:rFonts w:hint="eastAsia" w:eastAsiaTheme="minorEastAsia"/>
          <w:sz w:val="24"/>
          <w:lang w:eastAsia="zh-CN"/>
        </w:rPr>
        <w:t>，</w:t>
      </w:r>
      <w:r>
        <w:rPr>
          <w:rFonts w:hint="eastAsia" w:eastAsiaTheme="minorEastAsia"/>
          <w:sz w:val="24"/>
        </w:rPr>
        <w:t>以及故意关闭、拆卸或屏蔽船位监测终端设备等违法违规行为。</w:t>
      </w:r>
    </w:p>
    <w:p w14:paraId="6E5266CC">
      <w:pPr>
        <w:spacing w:line="360" w:lineRule="auto"/>
        <w:ind w:firstLine="420"/>
        <w:rPr>
          <w:rFonts w:eastAsiaTheme="minorEastAsia"/>
          <w:sz w:val="24"/>
        </w:rPr>
      </w:pPr>
      <w:r>
        <w:rPr>
          <w:rFonts w:hint="eastAsia" w:eastAsiaTheme="minorEastAsia"/>
          <w:sz w:val="24"/>
        </w:rPr>
        <w:t>3.把握重点节点。密切关注5月1日、8月5日、8月16日等关键节点。一是5月1日前，重点开展政策宣传，特别是对外省籍渔船的劝离；伏休开始后，对没有按时到港的，属地跟踪核实，涉嫌违规的依法查处；严禁外省籍渔船违规在福建省港口和管辖海域停泊。二是8月5日前后，重点落实四种作业类型专项捕捞渔船动态监管措施，严查专项捕捞渔船是否符合捕捞许可证规定的作业类型、场所、时限等要求，严防未开渔渔船提前出海、已开渔渔船违规越线等违法违规行为。三是8月16日前后，防范渔船提前冲港出海，同时协调联合海事等开展“商渔共治”专项执法。</w:t>
      </w:r>
    </w:p>
    <w:p w14:paraId="202144C5">
      <w:pPr>
        <w:spacing w:line="360" w:lineRule="auto"/>
        <w:ind w:firstLine="420"/>
        <w:rPr>
          <w:rFonts w:eastAsiaTheme="minorEastAsia"/>
          <w:sz w:val="24"/>
        </w:rPr>
      </w:pPr>
      <w:r>
        <w:rPr>
          <w:rFonts w:hint="eastAsia" w:eastAsiaTheme="minorEastAsia"/>
          <w:sz w:val="24"/>
        </w:rPr>
        <w:t>（四）服务民生民本，推进普法宣教</w:t>
      </w:r>
    </w:p>
    <w:p w14:paraId="43337A99">
      <w:pPr>
        <w:spacing w:line="360" w:lineRule="auto"/>
        <w:ind w:firstLine="420"/>
        <w:rPr>
          <w:rFonts w:eastAsiaTheme="minorEastAsia"/>
          <w:sz w:val="24"/>
        </w:rPr>
      </w:pPr>
      <w:r>
        <w:rPr>
          <w:rFonts w:hint="eastAsia" w:eastAsiaTheme="minorEastAsia"/>
          <w:sz w:val="24"/>
        </w:rPr>
        <w:t>一是在辖区重点渔港、渔村开展宣传活动，多形式、多途径广泛报道海洋伏季休渔制度内容、要求、目的和重要意义。二是充分利用伏休期有利时机，加大力度开展职务船员、普通船员考试以及船东船长安全教育培训，提高渔船民生产技能和持证率。三是主动对接当地海警、公安（海岸）、市场监管、检察机关等部门共同参与伏休宣传，发布典型案例，以案释法、以案说法、以案普法，加大对违法犯罪分子震慑，营造强大舆论氛围。</w:t>
      </w:r>
    </w:p>
    <w:p w14:paraId="18818E4B">
      <w:pPr>
        <w:spacing w:line="360" w:lineRule="auto"/>
        <w:rPr>
          <w:rFonts w:eastAsiaTheme="minorEastAsia"/>
          <w:sz w:val="24"/>
        </w:rPr>
      </w:pPr>
      <w:r>
        <w:rPr>
          <w:rFonts w:hint="eastAsia" w:eastAsiaTheme="minorEastAsia"/>
          <w:sz w:val="24"/>
        </w:rPr>
        <w:t>四、工作要求</w:t>
      </w:r>
    </w:p>
    <w:p w14:paraId="57D07E8C">
      <w:pPr>
        <w:spacing w:line="360" w:lineRule="auto"/>
        <w:ind w:firstLine="420"/>
        <w:rPr>
          <w:rFonts w:eastAsiaTheme="minorEastAsia"/>
          <w:sz w:val="24"/>
        </w:rPr>
      </w:pPr>
      <w:r>
        <w:rPr>
          <w:rFonts w:hint="eastAsia" w:eastAsiaTheme="minorEastAsia"/>
          <w:sz w:val="24"/>
        </w:rPr>
        <w:t>（一）提高政治站位。海洋伏季休渔制度是养护海洋渔业资源、推进生态文明建设的重要制度。各级执法机构要深刻认识伏季休渔工作的政治性、战略性和系统性，以高度的政治责任感和使命感，主动担当、积极作为，要对照上级决策部署，结合辖区实际细化实化工作举措，压实责任链条，确保各项任务落地落细、见行见效，切实维护渔业生产秩序。</w:t>
      </w:r>
    </w:p>
    <w:p w14:paraId="42B90CB1">
      <w:pPr>
        <w:spacing w:line="360" w:lineRule="auto"/>
        <w:ind w:firstLine="420"/>
        <w:rPr>
          <w:rFonts w:eastAsiaTheme="minorEastAsia"/>
          <w:sz w:val="24"/>
        </w:rPr>
      </w:pPr>
      <w:r>
        <w:rPr>
          <w:rFonts w:hint="eastAsia" w:eastAsiaTheme="minorEastAsia"/>
          <w:sz w:val="24"/>
        </w:rPr>
        <w:t>（二）加强执法创新。各级执法机构要主动适应新情况、新动态，合力推动建立全省统一指挥调度机制，在工作手段、资源整合、搭建平台等方面加强创新执法。建立健全重大案件挂牌督办、执法协查通报等制度，提升执法效能。完善“有举必查、查实必究”的举报机制，主动接受社会监督。践行新时代“枫桥经验”，向当事人释法说理，抓源头防范化解矛盾，做好社会稳定风险评估分析。</w:t>
      </w:r>
    </w:p>
    <w:p w14:paraId="10F3B11D">
      <w:pPr>
        <w:spacing w:line="360" w:lineRule="auto"/>
        <w:ind w:firstLine="420"/>
        <w:rPr>
          <w:rFonts w:eastAsiaTheme="minorEastAsia"/>
          <w:sz w:val="24"/>
        </w:rPr>
      </w:pPr>
    </w:p>
    <w:p w14:paraId="3ABE36DB">
      <w:pPr>
        <w:spacing w:line="360" w:lineRule="auto"/>
        <w:ind w:firstLine="420"/>
        <w:rPr>
          <w:rFonts w:eastAsiaTheme="minorEastAsia"/>
          <w:sz w:val="24"/>
        </w:rPr>
      </w:pPr>
      <w:r>
        <w:rPr>
          <w:rFonts w:hint="eastAsia" w:eastAsiaTheme="minorEastAsia"/>
          <w:sz w:val="24"/>
        </w:rPr>
        <w:t>（三）严格执法标准。各级执法机构要严格适用自由裁量基准，确保执法同案同罚。对复杂、疑难、重大案件，全方位运用案件咨询、案情会商、提前介入、联查联审等措施，提升执法办案质效。完善行刑衔接机制，对涉嫌犯罪的案件线索，一律移送海警或公安机关依法查处。同时，要将执法目的和执法形式结合起来，严格公正执法，努力实现最佳的政治效果、法律效果、社会效果。</w:t>
      </w:r>
    </w:p>
    <w:p w14:paraId="20F6723C">
      <w:pPr>
        <w:spacing w:line="360" w:lineRule="auto"/>
        <w:ind w:firstLine="420"/>
        <w:jc w:val="right"/>
        <w:rPr>
          <w:rStyle w:val="101"/>
          <w:rFonts w:eastAsiaTheme="minorEastAsia"/>
          <w:szCs w:val="21"/>
        </w:rPr>
      </w:pPr>
      <w:r>
        <w:rPr>
          <w:rStyle w:val="101"/>
          <w:rFonts w:eastAsiaTheme="minorEastAsia"/>
          <w:szCs w:val="21"/>
        </w:rPr>
        <w:t>转摘</w:t>
      </w:r>
      <w:r>
        <w:rPr>
          <w:rStyle w:val="101"/>
          <w:rFonts w:hint="eastAsia" w:eastAsiaTheme="minorEastAsia"/>
          <w:szCs w:val="21"/>
        </w:rPr>
        <w:t>自福建省海洋与渔业执法总队</w:t>
      </w:r>
    </w:p>
    <w:p w14:paraId="34CB5583">
      <w:pPr>
        <w:spacing w:line="360" w:lineRule="auto"/>
        <w:ind w:firstLine="420"/>
        <w:jc w:val="right"/>
        <w:rPr>
          <w:rFonts w:eastAsia="黑体"/>
          <w:b/>
          <w:bCs/>
          <w:sz w:val="32"/>
          <w:szCs w:val="32"/>
        </w:rPr>
      </w:pPr>
    </w:p>
    <w:p w14:paraId="625A24C7">
      <w:pPr>
        <w:spacing w:line="360" w:lineRule="auto"/>
        <w:jc w:val="center"/>
        <w:outlineLvl w:val="1"/>
        <w:rPr>
          <w:rFonts w:eastAsia="黑体"/>
          <w:b/>
          <w:bCs/>
          <w:sz w:val="32"/>
          <w:szCs w:val="32"/>
        </w:rPr>
      </w:pPr>
      <w:bookmarkStart w:id="12" w:name="_Toc198113454"/>
      <w:r>
        <w:rPr>
          <w:rFonts w:hint="eastAsia" w:eastAsia="黑体"/>
          <w:b/>
          <w:bCs/>
          <w:sz w:val="32"/>
          <w:szCs w:val="32"/>
        </w:rPr>
        <w:t>2025中国渔业协会水族大会在广东佛山召开</w:t>
      </w:r>
      <w:bookmarkEnd w:id="12"/>
    </w:p>
    <w:p w14:paraId="77A77A21">
      <w:pPr>
        <w:spacing w:line="360" w:lineRule="auto"/>
        <w:ind w:firstLine="420"/>
        <w:rPr>
          <w:rFonts w:eastAsiaTheme="minorEastAsia"/>
          <w:sz w:val="24"/>
        </w:rPr>
      </w:pPr>
      <w:r>
        <w:rPr>
          <w:rFonts w:hint="eastAsia" w:eastAsiaTheme="minorEastAsia"/>
          <w:sz w:val="24"/>
        </w:rPr>
        <w:t>5月10日，2025中国渔业协会水族大会暨水族分会第四届第一次会员代表大会、魟鱼分会第二届第一次会员代表大会在广东省佛山市召开。</w:t>
      </w:r>
    </w:p>
    <w:p w14:paraId="6C47AF06">
      <w:pPr>
        <w:spacing w:line="360" w:lineRule="auto"/>
        <w:ind w:firstLine="420"/>
        <w:rPr>
          <w:rFonts w:eastAsiaTheme="minorEastAsia"/>
          <w:sz w:val="24"/>
        </w:rPr>
      </w:pPr>
      <w:r>
        <w:rPr>
          <w:rFonts w:hint="eastAsia" w:eastAsiaTheme="minorEastAsia"/>
          <w:sz w:val="24"/>
        </w:rPr>
        <w:t>中国渔业协会会长崔利锋，中国野生动物保护协会水生野生动物保护分会会长李彦亮，广东省农业技术推广中心渔业技术推广部部长姜志勇，佛山市委农办专职副主任、乡村振兴局副局长廖成林，佛山市农业农村局二级调研员梁城坚，广州市观赏鱼产业专班副组长陈振宇</w:t>
      </w:r>
      <w:r>
        <w:rPr>
          <w:rFonts w:eastAsiaTheme="minorEastAsia"/>
          <w:sz w:val="24"/>
        </w:rPr>
        <w:t>,</w:t>
      </w:r>
      <w:r>
        <w:rPr>
          <w:rFonts w:hint="eastAsia" w:eastAsiaTheme="minorEastAsia"/>
          <w:sz w:val="24"/>
        </w:rPr>
        <w:t>中国渔业协会常务副会长兼秘书长李胜利</w:t>
      </w:r>
      <w:r>
        <w:rPr>
          <w:rFonts w:eastAsiaTheme="minorEastAsia"/>
          <w:sz w:val="24"/>
        </w:rPr>
        <w:t>,</w:t>
      </w:r>
      <w:r>
        <w:rPr>
          <w:rFonts w:hint="eastAsia" w:eastAsiaTheme="minorEastAsia"/>
          <w:sz w:val="24"/>
        </w:rPr>
        <w:t>中国渔业协会副会长､武汉中科瑞华生态科技股份有限公司董事长叶明</w:t>
      </w:r>
      <w:r>
        <w:rPr>
          <w:rFonts w:eastAsiaTheme="minorEastAsia"/>
          <w:sz w:val="24"/>
        </w:rPr>
        <w:t>,</w:t>
      </w:r>
      <w:r>
        <w:rPr>
          <w:rFonts w:hint="eastAsia" w:eastAsiaTheme="minorEastAsia"/>
          <w:sz w:val="24"/>
        </w:rPr>
        <w:t>中国渔业协会副会长､北京金源财富花卉市场有限公司董事长文建强</w:t>
      </w:r>
      <w:r>
        <w:rPr>
          <w:rFonts w:eastAsiaTheme="minorEastAsia"/>
          <w:sz w:val="24"/>
        </w:rPr>
        <w:t>,</w:t>
      </w:r>
      <w:r>
        <w:rPr>
          <w:rFonts w:hint="eastAsia" w:eastAsiaTheme="minorEastAsia"/>
          <w:sz w:val="24"/>
        </w:rPr>
        <w:t>江门海豚水族有限公司董事长林震能等领导嘉宾出席会议</w:t>
      </w:r>
      <w:r>
        <w:rPr>
          <w:rFonts w:eastAsiaTheme="minorEastAsia"/>
          <w:sz w:val="24"/>
        </w:rPr>
        <w:t>,</w:t>
      </w:r>
      <w:r>
        <w:rPr>
          <w:rFonts w:hint="eastAsia" w:eastAsiaTheme="minorEastAsia"/>
          <w:sz w:val="24"/>
        </w:rPr>
        <w:t>中国渔业协会副会长李清主持会议｡来自全国水族领域的专家学者､企业代表和行业同仁近200人参加大会</w:t>
      </w:r>
      <w:r>
        <w:rPr>
          <w:rFonts w:eastAsiaTheme="minorEastAsia"/>
          <w:sz w:val="24"/>
        </w:rPr>
        <w:t>,</w:t>
      </w:r>
      <w:r>
        <w:rPr>
          <w:rFonts w:hint="eastAsia" w:eastAsiaTheme="minorEastAsia"/>
          <w:sz w:val="24"/>
        </w:rPr>
        <w:t>围绕水族产业发展的机遇与挑战展开深入交流</w:t>
      </w:r>
      <w:r>
        <w:rPr>
          <w:rFonts w:eastAsiaTheme="minorEastAsia"/>
          <w:sz w:val="24"/>
        </w:rPr>
        <w:t>,</w:t>
      </w:r>
      <w:r>
        <w:rPr>
          <w:rFonts w:hint="eastAsia" w:eastAsiaTheme="minorEastAsia"/>
          <w:sz w:val="24"/>
        </w:rPr>
        <w:t>共同探讨水族产业未来高质量发展路径｡</w:t>
      </w:r>
    </w:p>
    <w:p w14:paraId="3BD0B737">
      <w:pPr>
        <w:spacing w:line="360" w:lineRule="auto"/>
        <w:ind w:firstLine="420"/>
        <w:rPr>
          <w:rFonts w:eastAsiaTheme="minorEastAsia"/>
          <w:sz w:val="24"/>
        </w:rPr>
      </w:pPr>
      <w:r>
        <w:rPr>
          <w:rFonts w:hint="eastAsia" w:eastAsiaTheme="minorEastAsia"/>
          <w:sz w:val="24"/>
        </w:rPr>
        <w:t>中国渔业协会会长崔利锋在致辞中表示，水族产业‌是以观赏水生生物为核心对象，涵盖种苗繁育、活体养殖、饲料渔药、器材设备、景观设计、休闲文化、养护服务等全链条的综合性产业。近年来，我国水族产业发展呈现“发展快速、布局优化、质量提升、领域拓展”的良好态势，产业规模持续扩大、消费需求多元拓展、科技赋能产业升级、国际合作日益紧密、市场影响力不断增强。水族产业成为一些地区促进渔业提质增效、渔民就业增收、乡村产业振兴的重要抓手，同时也成为传承弘扬优秀渔文化和满足人民美好生活需要的重要载体。他指出，中国渔业协会长期以来高度重视我国水族产业的发展，早在2008年就成立了水族分会，随后协会又针对一些重要水族种类和产业领域成立了多个相关分支机构，在举办赛事活动、赋能地方发展、深化文化传播、强化标准建设、促进人才培养等方面不断探索和实践，开展了大力工作，取得了较好效果。他强调，当前水族产业发展仍面临种质资源瓶颈、选育体系不健全、标准体系不完善、国际竞争压力加剧、产业链协同不足等问题和挑战，但与此同时，我国水族产业发展也面临重要机遇，在产量产值增长、地域分布拓展、国内市场开发等方面还有巨大的发展潜力和空间。面对挑战和机遇，必须以创新驱动为引领，以绿色发展为方向，以品牌建设为抓手，以合作发展为动力，集思广益、积极行动，同心协力推动我国水族产业向前发展。他希望新一届水族分会和魟鱼分会及其他相关分会要完善机制、积极作为，协调行动、形成合力，突出重点、履行职责，加强分会、会员及与相关方面的团结协作，共同推动产业的高质量发展。水族产业虽是渔业中的“小产业”，但蕴含着“大文章”，相信只要大家不懈努力，我国水族产业一定能够做大做强，为我国渔业绿色高质量发展和现代化建设作出更大的贡献。</w:t>
      </w:r>
    </w:p>
    <w:p w14:paraId="502CD1A1">
      <w:pPr>
        <w:spacing w:line="360" w:lineRule="auto"/>
        <w:ind w:firstLine="420"/>
        <w:rPr>
          <w:rFonts w:eastAsiaTheme="minorEastAsia"/>
          <w:sz w:val="24"/>
        </w:rPr>
      </w:pPr>
      <w:r>
        <w:rPr>
          <w:rFonts w:hint="eastAsia" w:eastAsiaTheme="minorEastAsia"/>
          <w:sz w:val="24"/>
        </w:rPr>
        <w:t>大会同期召开了中国渔业协会水族分会第四届第一次会员代表大会和中国渔业协会魟鱼分会第二届第一次会员代表大会。分别审议通过了水族分会和魟鱼分会管理办法、会费标准及管理办法、财务管理制度等重要文件修改稿，为分会的规范运作奠定了坚实基础；审议通过了水族分会和魟鱼分会徽标，进一步提升了分会整体形象。</w:t>
      </w:r>
    </w:p>
    <w:p w14:paraId="7EE38295">
      <w:pPr>
        <w:spacing w:line="360" w:lineRule="auto"/>
        <w:ind w:firstLine="420"/>
        <w:rPr>
          <w:rFonts w:eastAsiaTheme="minorEastAsia"/>
          <w:sz w:val="24"/>
        </w:rPr>
      </w:pPr>
      <w:r>
        <w:rPr>
          <w:rFonts w:hint="eastAsia" w:eastAsiaTheme="minorEastAsia"/>
          <w:sz w:val="24"/>
        </w:rPr>
        <w:t>水族分会选举产生第四届理事会理事、常务理事及负责人。中国渔业协会常务副会长兼秘书长李胜利当选为水族分会会长；中国渔业协会副会长、北京金源财富花卉市场有限公司董事长文建强，长城国际展览有限责任公司董事长李劲，江门海豚水族有限公司董事长林震能3人当选为水族分会常务副会长；森森集团股份有限公司董事长林坚定、广东闽江水族实业有限公司董事长周洪春、苏州旺山锦鲤有限公司总经理钟艺等11人当选为水族分会副会长；中国渔业协会秘书长助理兼新兴产业部主任王心怡当选为水族分会秘书长。分会聘请大连海洋大学水产与生命学院教授王伟等12人担任水族分会专家。</w:t>
      </w:r>
    </w:p>
    <w:p w14:paraId="7DD6E318">
      <w:pPr>
        <w:spacing w:line="360" w:lineRule="auto"/>
        <w:ind w:firstLine="420"/>
        <w:rPr>
          <w:rFonts w:eastAsiaTheme="minorEastAsia"/>
          <w:sz w:val="24"/>
        </w:rPr>
      </w:pPr>
      <w:r>
        <w:rPr>
          <w:rFonts w:hint="eastAsia" w:eastAsiaTheme="minorEastAsia"/>
          <w:sz w:val="24"/>
        </w:rPr>
        <w:t>魟鱼分会选举产生第二届理事会理事及负责人。山东喜尊商贸有限公司董事长李斌当选为魟鱼分会会长；广州市天雁管道有限公司总经理方智伟等12人当选为魟鱼分会副会长；绍兴高璐水族用品有限公司总经理梁美玲当选为魟鱼分会秘书长。</w:t>
      </w:r>
    </w:p>
    <w:p w14:paraId="7BDB1673">
      <w:pPr>
        <w:spacing w:line="360" w:lineRule="auto"/>
        <w:ind w:firstLine="420"/>
        <w:rPr>
          <w:rFonts w:eastAsiaTheme="minorEastAsia"/>
          <w:sz w:val="24"/>
        </w:rPr>
      </w:pPr>
      <w:r>
        <w:rPr>
          <w:rFonts w:hint="eastAsia" w:eastAsiaTheme="minorEastAsia"/>
          <w:sz w:val="24"/>
        </w:rPr>
        <w:t xml:space="preserve">大会上，还举行了中国渔业协会水族分会与魟鱼分会会徽发布仪式；崔利锋会长为水族分会和魟鱼分会新一届负责人颁发了证书与牌匾；中国渔业协会常务副会长兼秘书长、水族分会新当选会长李胜利为水族分会专家颁发了聘书。 </w:t>
      </w:r>
    </w:p>
    <w:p w14:paraId="1588DA5C">
      <w:pPr>
        <w:spacing w:line="360" w:lineRule="auto"/>
        <w:ind w:firstLine="420"/>
        <w:rPr>
          <w:rFonts w:eastAsiaTheme="minorEastAsia"/>
          <w:sz w:val="24"/>
        </w:rPr>
      </w:pPr>
      <w:r>
        <w:rPr>
          <w:rFonts w:hint="eastAsia" w:eastAsiaTheme="minorEastAsia"/>
          <w:sz w:val="24"/>
        </w:rPr>
        <w:t>大会主旨报告环节由大连海洋大学教授王伟主持。黄埔海关动植物检疫处负责同志介绍了观赏鱼出境海关检疫监管的相关情况，为水族从业者提供了政策指导；中国野生动物保护协会水生野生动物保护分会会长李彦亮以“我国观赏鱼产业发展面临的问题与前景展望”为题，进行了全面分析，并提出了加强科技投入、品牌建设和市场拓展等建议；集美大学水产学院教授王淑红和大家探讨了“观赏水族产教研融合发展路径与对策”；中国水产科学研究院珠江水产研究所研究员汪学杰分享了他“对观赏鱼领域标准化方向的思考”，阐述了标准化在水族产业发展中的重要性；三亚热带水产研究院科研部主任胡静针对“我国观赏鱼产业的发展与前景”，分析了当前我国水族产业的特点，提出了场景多元化等趋势和加快整合产业链等建议；江门海豚水族有限公司技术部经理冯丽萍分析了“中国观赏鱼饲料行业的发展历程与趋势”，结合现阶段面临的困难和挑战，展望了观赏鱼饲料将向高端化、功能化、智能化及国际化发展的趋势；大发国际集团董事会主席周敏围绕“水族大市场发展”的话题，就我国水族市场如何拓展分享了她的思考；中国渔业协会副会长、武汉中科瑞华生态科技股份有限公司董事长叶明以“智慧渔业赋能水族养殖新环境”为题，介绍了智慧渔业在水族养殖领域的应用与实践，提出通过物联网、大数据和AI技术实现智能化管理。</w:t>
      </w:r>
    </w:p>
    <w:p w14:paraId="7E22EB86">
      <w:pPr>
        <w:spacing w:line="360" w:lineRule="auto"/>
        <w:ind w:firstLine="420"/>
        <w:rPr>
          <w:rFonts w:eastAsiaTheme="minorEastAsia"/>
          <w:sz w:val="24"/>
        </w:rPr>
      </w:pPr>
      <w:r>
        <w:rPr>
          <w:rFonts w:hint="eastAsia" w:eastAsiaTheme="minorEastAsia"/>
          <w:sz w:val="24"/>
        </w:rPr>
        <w:t>本次大会的召开为协会广大会员和水族业界同仁搭建了高水平的交流平台，对破解产业热点难点问题起到了积极的推动作用。通过大会的召开，大家增进了了解，加强了团结，开阔了思路，凝聚了共识。与会代表一致表示，愿携手并进，共同为我国水族产业的高质量发展作出新的更大的贡献。</w:t>
      </w:r>
    </w:p>
    <w:p w14:paraId="0944DE13">
      <w:pPr>
        <w:spacing w:line="360" w:lineRule="auto"/>
        <w:ind w:firstLine="420"/>
        <w:jc w:val="right"/>
        <w:rPr>
          <w:rStyle w:val="101"/>
          <w:rFonts w:eastAsiaTheme="minorEastAsia"/>
          <w:szCs w:val="21"/>
        </w:rPr>
      </w:pPr>
      <w:bookmarkStart w:id="13" w:name="OLE_LINK2"/>
      <w:r>
        <w:rPr>
          <w:rStyle w:val="101"/>
          <w:rFonts w:eastAsiaTheme="minorEastAsia"/>
          <w:szCs w:val="21"/>
        </w:rPr>
        <w:t>转摘</w:t>
      </w:r>
      <w:r>
        <w:rPr>
          <w:rStyle w:val="101"/>
          <w:rFonts w:hint="eastAsia" w:eastAsiaTheme="minorEastAsia"/>
          <w:szCs w:val="21"/>
        </w:rPr>
        <w:t>自中国渔业协会</w:t>
      </w:r>
    </w:p>
    <w:p w14:paraId="1F07E099">
      <w:pPr>
        <w:spacing w:line="360" w:lineRule="auto"/>
        <w:ind w:firstLine="420"/>
        <w:jc w:val="right"/>
        <w:rPr>
          <w:rStyle w:val="101"/>
          <w:rFonts w:eastAsiaTheme="minorEastAsia"/>
          <w:szCs w:val="21"/>
        </w:rPr>
      </w:pPr>
    </w:p>
    <w:p w14:paraId="3E712C15">
      <w:pPr>
        <w:spacing w:line="360" w:lineRule="auto"/>
        <w:jc w:val="center"/>
        <w:outlineLvl w:val="1"/>
        <w:rPr>
          <w:rFonts w:eastAsia="黑体"/>
          <w:b/>
          <w:bCs/>
          <w:sz w:val="32"/>
          <w:szCs w:val="32"/>
        </w:rPr>
      </w:pPr>
      <w:bookmarkStart w:id="14" w:name="_Toc198113455"/>
      <w:r>
        <w:rPr>
          <w:rFonts w:hint="eastAsia" w:eastAsia="黑体"/>
          <w:b/>
          <w:bCs/>
          <w:sz w:val="32"/>
          <w:szCs w:val="32"/>
        </w:rPr>
        <w:t>浙江台州：“执法检查+技术服务”助推养殖企业合规经营</w:t>
      </w:r>
      <w:bookmarkEnd w:id="14"/>
    </w:p>
    <w:p w14:paraId="3C302ED0">
      <w:pPr>
        <w:spacing w:line="360" w:lineRule="auto"/>
        <w:ind w:firstLine="420"/>
        <w:rPr>
          <w:rFonts w:eastAsiaTheme="minorEastAsia"/>
          <w:sz w:val="24"/>
        </w:rPr>
      </w:pPr>
      <w:r>
        <w:rPr>
          <w:rFonts w:hint="eastAsia" w:eastAsiaTheme="minorEastAsia"/>
          <w:sz w:val="24"/>
        </w:rPr>
        <w:t>为深入贯彻落实《浙江省人民政府办公厅关于严格规范涉企行政检查的实施意见》，浙江省台州市海洋与渔业执法队积极践行“六干”工作理念，坚持“管住风险、无事不扰”原则，探索建立初级水产品质量安全“执法检查+技术服务”新模式，以规范检查、精准检查、协同检查提升渔业行政执法质效，实现执法不扰企、监管不缺位、服务不减分。</w:t>
      </w:r>
    </w:p>
    <w:p w14:paraId="7DD31071">
      <w:pPr>
        <w:spacing w:line="360" w:lineRule="auto"/>
        <w:ind w:firstLine="420"/>
        <w:rPr>
          <w:rFonts w:eastAsiaTheme="minorEastAsia"/>
          <w:sz w:val="24"/>
        </w:rPr>
      </w:pPr>
      <w:r>
        <w:rPr>
          <w:rFonts w:hint="eastAsia" w:eastAsiaTheme="minorEastAsia"/>
          <w:sz w:val="24"/>
        </w:rPr>
        <w:t>创新联检方式，高效实施“综合查一次”。聚焦营商环境优化，探索开展“执法检查+技术服务”工作机制，采取渔业执法、技术推广部门协同、市县联动模式，立体推进水产品质量安全联合检查与技术服务，在严守舌尖安全底线的同时，最大限度减轻执法检查对企业正常生产经营的负担。3月至4月，台州市海洋与渔业执法队联合台州市水产技术推广站，对椒江大陈、玉环两地的5家大黄鱼养殖场开展了“执法检查+技术服务”。</w:t>
      </w:r>
    </w:p>
    <w:p w14:paraId="42C6F531">
      <w:pPr>
        <w:spacing w:line="360" w:lineRule="auto"/>
        <w:ind w:firstLine="420"/>
        <w:rPr>
          <w:rFonts w:eastAsiaTheme="minorEastAsia"/>
          <w:sz w:val="24"/>
        </w:rPr>
      </w:pPr>
      <w:r>
        <w:rPr>
          <w:rFonts w:hint="eastAsia" w:eastAsiaTheme="minorEastAsia"/>
          <w:sz w:val="24"/>
        </w:rPr>
        <w:t>深化精准帮扶，打造“一站式”服务链条。强化“互动治理”理念，落实“预约式”帮扶指导，提前1至7天与养殖企业沟通帮扶事项、告知联检时间，“一站式”完成水产养殖用药普法、投入品使用情况检查、大黄鱼“体检”、现场病鱼解剖化验、科学用药指导等工作。联检期间，坚持教育与处罚相结合，根据包容审慎原则依法采用提醒、告知、劝阻等方式，处理轻微首违。</w:t>
      </w:r>
    </w:p>
    <w:p w14:paraId="3B42169D">
      <w:pPr>
        <w:spacing w:line="360" w:lineRule="auto"/>
        <w:ind w:firstLine="420"/>
        <w:rPr>
          <w:rFonts w:eastAsiaTheme="minorEastAsia"/>
          <w:sz w:val="24"/>
        </w:rPr>
      </w:pPr>
      <w:r>
        <w:rPr>
          <w:rFonts w:hint="eastAsia" w:eastAsiaTheme="minorEastAsia"/>
          <w:sz w:val="24"/>
        </w:rPr>
        <w:t>双核靶向攻坚，筑牢重点领域“防火墙”。紧抓大黄鱼、青蟹等台州市初级水产重点品种，紧盯流行病高发期、高温期、台风灾后、秋冬交替等重点时段，通过“执法监管+技术下沉”双线并进，构建起覆盖初级水产品全生产周期的质量安全防护网。此次联合检查期间，台州市以大黄鱼和春夏交替作为重点品种和重点时段开展“执法检查+技术服务”，受检的5家大黄鱼养殖场均未发现违法违规问题。</w:t>
      </w:r>
    </w:p>
    <w:p w14:paraId="6972B9EA">
      <w:pPr>
        <w:spacing w:line="360" w:lineRule="auto"/>
        <w:ind w:firstLine="420"/>
        <w:jc w:val="right"/>
        <w:rPr>
          <w:rStyle w:val="101"/>
          <w:rFonts w:eastAsiaTheme="minorEastAsia"/>
          <w:szCs w:val="21"/>
        </w:rPr>
      </w:pPr>
      <w:r>
        <w:rPr>
          <w:rStyle w:val="101"/>
          <w:rFonts w:eastAsiaTheme="minorEastAsia"/>
          <w:szCs w:val="21"/>
        </w:rPr>
        <w:t>转摘</w:t>
      </w:r>
      <w:r>
        <w:rPr>
          <w:rStyle w:val="101"/>
          <w:rFonts w:hint="eastAsia" w:eastAsiaTheme="minorEastAsia"/>
          <w:szCs w:val="21"/>
        </w:rPr>
        <w:t>自台州市海洋与渔业执法队</w:t>
      </w:r>
    </w:p>
    <w:p w14:paraId="709B9407">
      <w:pPr>
        <w:spacing w:line="360" w:lineRule="auto"/>
        <w:ind w:firstLine="420"/>
        <w:jc w:val="right"/>
        <w:rPr>
          <w:rStyle w:val="101"/>
          <w:rFonts w:eastAsiaTheme="minorEastAsia"/>
          <w:szCs w:val="21"/>
        </w:rPr>
      </w:pPr>
    </w:p>
    <w:bookmarkEnd w:id="13"/>
    <w:p w14:paraId="62CA4A0C">
      <w:pPr>
        <w:spacing w:line="276" w:lineRule="auto"/>
        <w:jc w:val="left"/>
        <w:outlineLvl w:val="0"/>
        <w:rPr>
          <w:rStyle w:val="101"/>
          <w:rFonts w:eastAsia="黑体"/>
          <w:b/>
          <w:bCs/>
          <w:sz w:val="32"/>
          <w:szCs w:val="32"/>
          <w:bdr w:val="single" w:color="auto" w:sz="4" w:space="0"/>
        </w:rPr>
      </w:pPr>
      <w:bookmarkStart w:id="15" w:name="_Toc198113456"/>
      <w:r>
        <w:rPr>
          <w:rStyle w:val="101"/>
          <w:rFonts w:hint="eastAsia" w:eastAsia="黑体"/>
          <w:b/>
          <w:bCs/>
          <w:sz w:val="32"/>
          <w:szCs w:val="32"/>
          <w:bdr w:val="single" w:color="auto" w:sz="4" w:space="0"/>
        </w:rPr>
        <w:t>典型案例</w:t>
      </w:r>
      <w:bookmarkEnd w:id="15"/>
    </w:p>
    <w:p w14:paraId="771CF852">
      <w:pPr>
        <w:spacing w:line="360" w:lineRule="auto"/>
        <w:jc w:val="center"/>
        <w:outlineLvl w:val="1"/>
        <w:rPr>
          <w:rFonts w:eastAsia="黑体"/>
          <w:b/>
          <w:bCs/>
          <w:sz w:val="32"/>
          <w:szCs w:val="32"/>
        </w:rPr>
      </w:pPr>
      <w:bookmarkStart w:id="16" w:name="_Toc198113457"/>
      <w:r>
        <w:rPr>
          <w:rFonts w:hint="eastAsia" w:eastAsia="黑体"/>
          <w:b/>
          <w:bCs/>
          <w:sz w:val="32"/>
          <w:szCs w:val="32"/>
        </w:rPr>
        <w:t>农业农村部发布“中国渔政亮剑2024”九大执法典型案例</w:t>
      </w:r>
      <w:bookmarkEnd w:id="16"/>
    </w:p>
    <w:p w14:paraId="34EBBD55">
      <w:pPr>
        <w:spacing w:line="360" w:lineRule="auto"/>
        <w:ind w:firstLine="420"/>
        <w:rPr>
          <w:rFonts w:eastAsiaTheme="minorEastAsia"/>
          <w:sz w:val="24"/>
        </w:rPr>
      </w:pPr>
      <w:r>
        <w:rPr>
          <w:rFonts w:hint="eastAsia" w:eastAsiaTheme="minorEastAsia"/>
          <w:sz w:val="24"/>
        </w:rPr>
        <w:t xml:space="preserve">2024年，全国各级渔业渔政主管部门和渔政执法机构（以下统称“渔政执法机构”）深入贯彻党中央、国务院决策部署，锚定建设农业强国目标，以学习运用“千万工程”经验为引领，以破解危害渔业发展的顽瘴痼疾为导向，聚焦重点领域、重要时段、关键环节，扎实开展执法监管，严厉打击各类涉渔违法违规行为，取得积极成效。据不完全统计，全年累计出动执法人员348.6万人次，清理取缔涉渔“三无”船舶2.3万艘，查办违法违规案件6.4万起，移交司法机关案件2580起，有力维护了渔业生产秩序和渔民群众合法权益。为全面提升渔业行政执法质量和效能，充分发挥典型案例和先进经验的示范引领作用，现从2024年查处或办结的案件中，选取9起典型案例通报如下。 </w:t>
      </w:r>
    </w:p>
    <w:p w14:paraId="189A31A2">
      <w:pPr>
        <w:spacing w:line="360" w:lineRule="auto"/>
        <w:ind w:firstLine="420"/>
        <w:rPr>
          <w:rFonts w:eastAsiaTheme="minorEastAsia"/>
          <w:sz w:val="24"/>
        </w:rPr>
      </w:pPr>
      <w:r>
        <w:rPr>
          <w:rFonts w:hint="eastAsia" w:eastAsiaTheme="minorEastAsia"/>
          <w:sz w:val="24"/>
        </w:rPr>
        <w:t>案例一</w:t>
      </w:r>
    </w:p>
    <w:p w14:paraId="11F273E7">
      <w:pPr>
        <w:spacing w:line="360" w:lineRule="auto"/>
        <w:ind w:firstLine="420"/>
        <w:rPr>
          <w:rFonts w:eastAsiaTheme="minorEastAsia"/>
          <w:sz w:val="24"/>
        </w:rPr>
      </w:pPr>
      <w:r>
        <w:rPr>
          <w:rFonts w:hint="eastAsia" w:eastAsiaTheme="minorEastAsia"/>
          <w:sz w:val="24"/>
        </w:rPr>
        <w:t>河北省秦皇岛市海洋和渔业局查处张某良等3人未正常使用安全通信导航和船位监测终端设备、不服从渔政渔港监督管理机构对渔业生产秩序的管理案——省际联动加强异地休渔渔船监管</w:t>
      </w:r>
    </w:p>
    <w:p w14:paraId="01891E83">
      <w:pPr>
        <w:spacing w:line="360" w:lineRule="auto"/>
        <w:ind w:firstLine="420"/>
        <w:rPr>
          <w:rFonts w:eastAsiaTheme="minorEastAsia"/>
          <w:sz w:val="24"/>
        </w:rPr>
      </w:pPr>
      <w:r>
        <w:rPr>
          <w:rFonts w:hint="eastAsia" w:eastAsiaTheme="minorEastAsia"/>
          <w:sz w:val="24"/>
        </w:rPr>
        <w:t>（一）基本案情</w:t>
      </w:r>
    </w:p>
    <w:p w14:paraId="422B8D88">
      <w:pPr>
        <w:spacing w:line="360" w:lineRule="auto"/>
        <w:ind w:firstLine="420"/>
        <w:rPr>
          <w:rFonts w:eastAsiaTheme="minorEastAsia"/>
          <w:sz w:val="24"/>
        </w:rPr>
      </w:pPr>
      <w:r>
        <w:rPr>
          <w:rFonts w:hint="eastAsia" w:eastAsiaTheme="minorEastAsia"/>
          <w:sz w:val="24"/>
        </w:rPr>
        <w:t>2024年7月25日，河北省秦皇岛市海洋和渔业综合行政执法支队根据农业农村部渔业渔政管理局和浙江省台州市海洋与渔业执法队通报的线索，对“冀某渔06857”船和“冀某渔06858”船开展执法检查。经调查，当事船舶经营人张某良伙同船长张某华、安某华，通过拆卸、屏蔽北斗和AIS（船舶自动识别系统）等方式逃避监管，擅自将当事船舶从浙江省台州市三门县健跳港转移至江苏省盐城市响水县灌河港。</w:t>
      </w:r>
    </w:p>
    <w:p w14:paraId="62C94391">
      <w:pPr>
        <w:spacing w:line="360" w:lineRule="auto"/>
        <w:ind w:firstLine="420"/>
        <w:rPr>
          <w:rFonts w:eastAsiaTheme="minorEastAsia"/>
          <w:sz w:val="24"/>
        </w:rPr>
      </w:pPr>
      <w:r>
        <w:rPr>
          <w:rFonts w:hint="eastAsia" w:eastAsiaTheme="minorEastAsia"/>
          <w:sz w:val="24"/>
        </w:rPr>
        <w:t>（二）处理结果</w:t>
      </w:r>
    </w:p>
    <w:p w14:paraId="2253FF00">
      <w:pPr>
        <w:spacing w:line="360" w:lineRule="auto"/>
        <w:ind w:firstLine="420"/>
        <w:rPr>
          <w:rFonts w:eastAsiaTheme="minorEastAsia"/>
          <w:sz w:val="24"/>
        </w:rPr>
      </w:pPr>
      <w:r>
        <w:rPr>
          <w:rFonts w:hint="eastAsia" w:eastAsiaTheme="minorEastAsia"/>
          <w:sz w:val="24"/>
        </w:rPr>
        <w:t>渔政执法机构依照《中华人民共和国渔业船员管理办法》、《河北省渔业船舶管理条例》有关规定,对船舶经营人张某良作出每艘渔船罚款17万元,合计罚款34万元的行政处罚决定</w:t>
      </w:r>
      <w:r>
        <w:rPr>
          <w:rFonts w:eastAsiaTheme="minorEastAsia"/>
          <w:sz w:val="24"/>
        </w:rPr>
        <w:t>,</w:t>
      </w:r>
      <w:r>
        <w:rPr>
          <w:rFonts w:hint="eastAsia" w:eastAsiaTheme="minorEastAsia"/>
          <w:sz w:val="24"/>
        </w:rPr>
        <w:t>对船长张某华､安某华分别作出罚款2万元并暂扣职务船员证书9个月的行政处罚决定。</w:t>
      </w:r>
    </w:p>
    <w:p w14:paraId="71117631">
      <w:pPr>
        <w:spacing w:line="360" w:lineRule="auto"/>
        <w:ind w:firstLine="420"/>
        <w:rPr>
          <w:rFonts w:eastAsiaTheme="minorEastAsia"/>
          <w:sz w:val="24"/>
        </w:rPr>
      </w:pPr>
      <w:r>
        <w:rPr>
          <w:rFonts w:hint="eastAsia" w:eastAsiaTheme="minorEastAsia"/>
          <w:sz w:val="24"/>
        </w:rPr>
        <w:t>（三）典型意义</w:t>
      </w:r>
    </w:p>
    <w:p w14:paraId="7FCC27CC">
      <w:pPr>
        <w:spacing w:line="360" w:lineRule="auto"/>
        <w:ind w:firstLine="420"/>
        <w:rPr>
          <w:rFonts w:eastAsiaTheme="minorEastAsia"/>
          <w:sz w:val="24"/>
        </w:rPr>
      </w:pPr>
      <w:r>
        <w:rPr>
          <w:rFonts w:hint="eastAsia" w:eastAsiaTheme="minorEastAsia"/>
          <w:sz w:val="24"/>
        </w:rPr>
        <w:t>海洋伏季休渔期间，休渔渔船原则上应当回所属船籍港休渔，因特殊原因确实无法返回的，由船籍港所在地渔业渔政主管部门与靠泊港所在地渔业渔政主管部门开展协作监管，压紧压实属地责任、监管责任和主体责任。2024年，在农业农村部渔业渔政管理局、渔政保障中心的大力推动下，沿海11个省级渔政执法机构签订渔政执法共管协作机制，进一步推动异地休渔等跨省渔船协同监管。本案中，浙江、河北两地渔政执法机构充分运用工作机制，强化信息共享，及时查处违法行为，为加强省际执法协作和异地休渔渔船监管提供了典型范例。</w:t>
      </w:r>
    </w:p>
    <w:p w14:paraId="65FA1AAA">
      <w:pPr>
        <w:spacing w:line="360" w:lineRule="auto"/>
        <w:ind w:firstLine="420"/>
        <w:rPr>
          <w:rFonts w:eastAsiaTheme="minorEastAsia"/>
          <w:sz w:val="24"/>
        </w:rPr>
      </w:pPr>
      <w:r>
        <w:rPr>
          <w:rFonts w:hint="eastAsia" w:eastAsiaTheme="minorEastAsia"/>
          <w:sz w:val="24"/>
        </w:rPr>
        <w:t>案例二</w:t>
      </w:r>
    </w:p>
    <w:p w14:paraId="1BA5FE46">
      <w:pPr>
        <w:spacing w:line="360" w:lineRule="auto"/>
        <w:ind w:firstLine="420"/>
        <w:rPr>
          <w:rFonts w:eastAsiaTheme="minorEastAsia"/>
          <w:sz w:val="24"/>
        </w:rPr>
      </w:pPr>
      <w:r>
        <w:rPr>
          <w:rFonts w:hint="eastAsia" w:eastAsiaTheme="minorEastAsia"/>
          <w:sz w:val="24"/>
        </w:rPr>
        <w:t>上海市浦东新区农业农村委员会查处卫某未按规定保证渔业船舶符合最低配员标准案——加强渔业科研监测船的配员监管</w:t>
      </w:r>
    </w:p>
    <w:p w14:paraId="470D290B">
      <w:pPr>
        <w:spacing w:line="360" w:lineRule="auto"/>
        <w:ind w:firstLine="420"/>
        <w:rPr>
          <w:rFonts w:eastAsiaTheme="minorEastAsia"/>
          <w:sz w:val="24"/>
        </w:rPr>
      </w:pPr>
      <w:r>
        <w:rPr>
          <w:rFonts w:hint="eastAsia" w:eastAsiaTheme="minorEastAsia"/>
          <w:sz w:val="24"/>
        </w:rPr>
        <w:t>（一）基本案情</w:t>
      </w:r>
    </w:p>
    <w:p w14:paraId="748DE917">
      <w:pPr>
        <w:spacing w:line="360" w:lineRule="auto"/>
        <w:ind w:firstLine="420"/>
        <w:rPr>
          <w:rFonts w:eastAsiaTheme="minorEastAsia"/>
          <w:sz w:val="24"/>
        </w:rPr>
      </w:pPr>
      <w:r>
        <w:rPr>
          <w:rFonts w:hint="eastAsia" w:eastAsiaTheme="minorEastAsia"/>
          <w:sz w:val="24"/>
        </w:rPr>
        <w:t>2024年5月25日，上海市浦东新区城市管理综合行政执法局接报，“沪某渔测45678”船所附属的工作艇在长江口九段沙附近开展渔业监测工作时发生安全事故。经调查，当事船舶仅有船长和船副2人，未按规定配备三级轮机长。</w:t>
      </w:r>
    </w:p>
    <w:p w14:paraId="5E7B6D92">
      <w:pPr>
        <w:spacing w:line="360" w:lineRule="auto"/>
        <w:ind w:firstLine="420"/>
        <w:rPr>
          <w:rFonts w:eastAsiaTheme="minorEastAsia"/>
          <w:sz w:val="24"/>
        </w:rPr>
      </w:pPr>
      <w:r>
        <w:rPr>
          <w:rFonts w:hint="eastAsia" w:eastAsiaTheme="minorEastAsia"/>
          <w:sz w:val="24"/>
        </w:rPr>
        <w:t>（二）处理结果</w:t>
      </w:r>
    </w:p>
    <w:p w14:paraId="0635CC30">
      <w:pPr>
        <w:spacing w:line="360" w:lineRule="auto"/>
        <w:ind w:firstLine="420"/>
        <w:rPr>
          <w:rFonts w:eastAsiaTheme="minorEastAsia"/>
          <w:sz w:val="24"/>
        </w:rPr>
      </w:pPr>
      <w:r>
        <w:rPr>
          <w:rFonts w:hint="eastAsia" w:eastAsiaTheme="minorEastAsia"/>
          <w:sz w:val="24"/>
        </w:rPr>
        <w:t>渔政执法机构依照《中华人民共和国渔业船员管理办法》有关规定，对船长卫某作出罚款0.3万元的行政处罚决定。海事管理机构也依照《中华人民共和国海上交通安全法》有关规定，对船舶所有人上海浦某测绘有限公司予以行政处罚。</w:t>
      </w:r>
    </w:p>
    <w:p w14:paraId="33C9BD67">
      <w:pPr>
        <w:spacing w:line="360" w:lineRule="auto"/>
        <w:ind w:firstLine="420"/>
        <w:rPr>
          <w:rFonts w:eastAsiaTheme="minorEastAsia"/>
          <w:sz w:val="24"/>
        </w:rPr>
      </w:pPr>
      <w:r>
        <w:rPr>
          <w:rFonts w:hint="eastAsia" w:eastAsiaTheme="minorEastAsia"/>
          <w:sz w:val="24"/>
        </w:rPr>
        <w:t>（三）典型意义</w:t>
      </w:r>
    </w:p>
    <w:p w14:paraId="4A247D09">
      <w:pPr>
        <w:spacing w:line="360" w:lineRule="auto"/>
        <w:ind w:firstLine="420"/>
        <w:rPr>
          <w:rFonts w:eastAsiaTheme="minorEastAsia"/>
          <w:sz w:val="24"/>
        </w:rPr>
      </w:pPr>
      <w:r>
        <w:rPr>
          <w:rFonts w:hint="eastAsia" w:eastAsiaTheme="minorEastAsia"/>
          <w:sz w:val="24"/>
        </w:rPr>
        <w:t>渔业船舶配员不足导致重要岗位无人履职，影响船舶安全。《中华人民共和国渔业船员管理办法》规定，渔业船舶的船长应保证渔业船舶符合最低配员标准，这里的渔业船舶不仅包括捕捞渔船等生产类船舶，也包括科研监测船等非生产类船舶。本案中，渔政执法机构在事故调查过程中发现，该科研监测船配员不足，存在安全隐患，依法作出行政处罚决定，对强化非生产类渔业船舶的安全监管具有重要意义。</w:t>
      </w:r>
    </w:p>
    <w:p w14:paraId="1F72BDB0">
      <w:pPr>
        <w:spacing w:line="360" w:lineRule="auto"/>
        <w:ind w:firstLine="420"/>
        <w:rPr>
          <w:rFonts w:eastAsiaTheme="minorEastAsia"/>
          <w:sz w:val="24"/>
        </w:rPr>
      </w:pPr>
      <w:r>
        <w:rPr>
          <w:rFonts w:hint="eastAsia" w:eastAsiaTheme="minorEastAsia"/>
          <w:sz w:val="24"/>
        </w:rPr>
        <w:t>案例三</w:t>
      </w:r>
    </w:p>
    <w:p w14:paraId="72471A3B">
      <w:pPr>
        <w:spacing w:line="360" w:lineRule="auto"/>
        <w:ind w:firstLine="420"/>
        <w:rPr>
          <w:rFonts w:eastAsiaTheme="minorEastAsia"/>
          <w:sz w:val="24"/>
        </w:rPr>
      </w:pPr>
      <w:r>
        <w:rPr>
          <w:rFonts w:hint="eastAsia" w:eastAsiaTheme="minorEastAsia"/>
          <w:sz w:val="24"/>
        </w:rPr>
        <w:t>江苏省太湖渔政监督支队查处梁某等10人使用电鱼的方法进行捕捞案——渔政执法机关与公安机关省际协作的新探索</w:t>
      </w:r>
    </w:p>
    <w:p w14:paraId="20607928">
      <w:pPr>
        <w:spacing w:line="360" w:lineRule="auto"/>
        <w:ind w:firstLine="420"/>
        <w:rPr>
          <w:rFonts w:eastAsiaTheme="minorEastAsia"/>
          <w:sz w:val="24"/>
        </w:rPr>
      </w:pPr>
      <w:r>
        <w:rPr>
          <w:rFonts w:hint="eastAsia" w:eastAsiaTheme="minorEastAsia"/>
          <w:sz w:val="24"/>
        </w:rPr>
        <w:t>（一）基本案情</w:t>
      </w:r>
    </w:p>
    <w:p w14:paraId="04F7CF55">
      <w:pPr>
        <w:spacing w:line="360" w:lineRule="auto"/>
        <w:ind w:firstLine="420"/>
        <w:rPr>
          <w:rFonts w:eastAsiaTheme="minorEastAsia"/>
          <w:sz w:val="24"/>
        </w:rPr>
      </w:pPr>
      <w:r>
        <w:rPr>
          <w:rFonts w:hint="eastAsia" w:eastAsiaTheme="minorEastAsia"/>
          <w:sz w:val="24"/>
        </w:rPr>
        <w:t>2024年11月15日，江苏省太湖渔政监督支队三大队与浙江省湖州市公安机关联合执法，依托视频监控平台及无人机等先进技术手段，在两省交界的南太湖罗溇水域查获以梁某为首的非法捕捞团伙。执法人员现场查获涉渔快艇3艘、大型电拖网工具2套，渔获物19.1千克，涉案人员10人。</w:t>
      </w:r>
    </w:p>
    <w:p w14:paraId="226D6AD9">
      <w:pPr>
        <w:spacing w:line="360" w:lineRule="auto"/>
        <w:ind w:firstLine="420"/>
        <w:rPr>
          <w:rFonts w:eastAsiaTheme="minorEastAsia"/>
          <w:sz w:val="24"/>
        </w:rPr>
      </w:pPr>
      <w:r>
        <w:rPr>
          <w:rFonts w:hint="eastAsia" w:eastAsiaTheme="minorEastAsia"/>
          <w:sz w:val="24"/>
        </w:rPr>
        <w:t>（二）处理结果</w:t>
      </w:r>
    </w:p>
    <w:p w14:paraId="733A0558">
      <w:pPr>
        <w:spacing w:line="360" w:lineRule="auto"/>
        <w:ind w:firstLine="420"/>
        <w:rPr>
          <w:rFonts w:eastAsiaTheme="minorEastAsia"/>
          <w:sz w:val="24"/>
        </w:rPr>
      </w:pPr>
      <w:r>
        <w:rPr>
          <w:rFonts w:hint="eastAsia" w:eastAsiaTheme="minorEastAsia"/>
          <w:sz w:val="24"/>
        </w:rPr>
        <w:t>渔政执法机构依照《中华人民共和国渔业法》有关规定，对当事人梁某等10人合计作出罚款3万元并没收渔获物、电鱼工具及涉渔快艇的行政处罚决定，并依法追究当事人水生生物资源损害赔偿责任。</w:t>
      </w:r>
    </w:p>
    <w:p w14:paraId="74341978">
      <w:pPr>
        <w:spacing w:line="360" w:lineRule="auto"/>
        <w:ind w:firstLine="420"/>
        <w:rPr>
          <w:rFonts w:eastAsiaTheme="minorEastAsia"/>
          <w:sz w:val="24"/>
        </w:rPr>
      </w:pPr>
      <w:r>
        <w:rPr>
          <w:rFonts w:hint="eastAsia" w:eastAsiaTheme="minorEastAsia"/>
          <w:sz w:val="24"/>
        </w:rPr>
        <w:t>（三）典型意义</w:t>
      </w:r>
    </w:p>
    <w:p w14:paraId="493457B6">
      <w:pPr>
        <w:spacing w:line="360" w:lineRule="auto"/>
        <w:ind w:firstLine="420"/>
        <w:rPr>
          <w:rFonts w:eastAsiaTheme="minorEastAsia"/>
          <w:sz w:val="24"/>
        </w:rPr>
      </w:pPr>
      <w:r>
        <w:rPr>
          <w:rFonts w:hint="eastAsia" w:eastAsiaTheme="minorEastAsia"/>
          <w:sz w:val="24"/>
        </w:rPr>
        <w:t>传统的省际交界水域协作执法一般限于渔政执法机关之间，既跨省又跨部门的渔政执法合作实践尚不多见。本案中，江苏省太湖渔政监督支队三大队依托与浙江省湖州市公安机关构建的联防联控体系，对省际交界水域内的非法捕捞活动进行共同研判、分工协作，充分发挥各自优势，准确掌握不法分子动向，将快艇、渔获物、电鱼工具、非法捕捞团伙等均置于严密监控之下，精准发现和有效固定非法捕捞线索，对查处类似水域内的非法捕捞活动具有示范意义。</w:t>
      </w:r>
    </w:p>
    <w:p w14:paraId="5D812D40">
      <w:pPr>
        <w:spacing w:line="360" w:lineRule="auto"/>
        <w:ind w:firstLine="420"/>
        <w:rPr>
          <w:rFonts w:eastAsiaTheme="minorEastAsia"/>
          <w:sz w:val="24"/>
        </w:rPr>
      </w:pPr>
      <w:r>
        <w:rPr>
          <w:rFonts w:hint="eastAsia" w:eastAsiaTheme="minorEastAsia"/>
          <w:sz w:val="24"/>
        </w:rPr>
        <w:t>案例四</w:t>
      </w:r>
    </w:p>
    <w:p w14:paraId="4F81D448">
      <w:pPr>
        <w:spacing w:line="360" w:lineRule="auto"/>
        <w:ind w:firstLine="420"/>
        <w:rPr>
          <w:rFonts w:eastAsiaTheme="minorEastAsia"/>
          <w:sz w:val="24"/>
        </w:rPr>
      </w:pPr>
      <w:r>
        <w:rPr>
          <w:rFonts w:hint="eastAsia" w:eastAsiaTheme="minorEastAsia"/>
          <w:sz w:val="24"/>
        </w:rPr>
        <w:t>浙江省宁波市农业农村局查处陈某东违反捕捞许可证关于作业场所的规定进行捕捞案——探索渔获物高效处置方式</w:t>
      </w:r>
    </w:p>
    <w:p w14:paraId="52B6DDFC">
      <w:pPr>
        <w:spacing w:line="360" w:lineRule="auto"/>
        <w:ind w:firstLine="420"/>
        <w:rPr>
          <w:rFonts w:eastAsiaTheme="minorEastAsia"/>
          <w:sz w:val="24"/>
        </w:rPr>
      </w:pPr>
      <w:r>
        <w:rPr>
          <w:rFonts w:hint="eastAsia" w:eastAsiaTheme="minorEastAsia"/>
          <w:sz w:val="24"/>
        </w:rPr>
        <w:t>（一）基本案情</w:t>
      </w:r>
    </w:p>
    <w:p w14:paraId="41D67A2A">
      <w:pPr>
        <w:spacing w:line="360" w:lineRule="auto"/>
        <w:ind w:firstLine="420"/>
        <w:rPr>
          <w:rFonts w:eastAsiaTheme="minorEastAsia"/>
          <w:sz w:val="24"/>
        </w:rPr>
      </w:pPr>
      <w:r>
        <w:rPr>
          <w:rFonts w:hint="eastAsia" w:eastAsiaTheme="minorEastAsia"/>
          <w:sz w:val="24"/>
        </w:rPr>
        <w:t>2024年3月14日，浙江省宁波市农业农村局执法人员在巡航时，发现陈某东驾驶“浙某渔82150”船正在从事捕捞作业，现场查获鮟鱇、小黄鱼、黄鲫等渔获物115千克。经调查，当事人违反了捕捞许可证关于作业场所的规定。</w:t>
      </w:r>
    </w:p>
    <w:p w14:paraId="551CCF0B">
      <w:pPr>
        <w:spacing w:line="360" w:lineRule="auto"/>
        <w:ind w:firstLine="420"/>
        <w:rPr>
          <w:rFonts w:eastAsiaTheme="minorEastAsia"/>
          <w:sz w:val="24"/>
        </w:rPr>
      </w:pPr>
      <w:r>
        <w:rPr>
          <w:rFonts w:hint="eastAsia" w:eastAsiaTheme="minorEastAsia"/>
          <w:sz w:val="24"/>
        </w:rPr>
        <w:t>（二）处理结果</w:t>
      </w:r>
    </w:p>
    <w:p w14:paraId="5BD0A36E">
      <w:pPr>
        <w:spacing w:line="360" w:lineRule="auto"/>
        <w:ind w:firstLine="420"/>
        <w:rPr>
          <w:rFonts w:eastAsiaTheme="minorEastAsia"/>
          <w:sz w:val="24"/>
        </w:rPr>
      </w:pPr>
      <w:r>
        <w:rPr>
          <w:rFonts w:hint="eastAsia" w:eastAsiaTheme="minorEastAsia"/>
          <w:sz w:val="24"/>
        </w:rPr>
        <w:t>渔政执法机构依照《中华人民共和国渔业法》有关规定，对当事人作出罚款2.2万元并没收渔获物的行政处罚决定。执法人员根据宁波市涉案渔获物处置规程，通过海上视频连线，经第三方公司评估渔获物价值后进行现场变卖，在60分钟内完成了渔获物处置。</w:t>
      </w:r>
    </w:p>
    <w:p w14:paraId="40B5DC62">
      <w:pPr>
        <w:spacing w:line="360" w:lineRule="auto"/>
        <w:ind w:firstLine="420"/>
        <w:rPr>
          <w:rFonts w:eastAsiaTheme="minorEastAsia"/>
          <w:sz w:val="24"/>
        </w:rPr>
      </w:pPr>
      <w:r>
        <w:rPr>
          <w:rFonts w:hint="eastAsia" w:eastAsiaTheme="minorEastAsia"/>
          <w:sz w:val="24"/>
        </w:rPr>
        <w:t>（三）典型意义</w:t>
      </w:r>
    </w:p>
    <w:p w14:paraId="435382AB">
      <w:pPr>
        <w:spacing w:line="360" w:lineRule="auto"/>
        <w:ind w:firstLine="420"/>
        <w:rPr>
          <w:rFonts w:eastAsiaTheme="minorEastAsia"/>
          <w:sz w:val="24"/>
        </w:rPr>
      </w:pPr>
      <w:r>
        <w:rPr>
          <w:rFonts w:hint="eastAsia" w:eastAsiaTheme="minorEastAsia"/>
          <w:sz w:val="24"/>
        </w:rPr>
        <w:t>渔获物极易腐烂变质，长期保管不仅操作困难，也会使价值受到严重影响。本案中，渔政执法人员利用“宽带入海”便利条件，在海上对渔获物快速变卖，实现了处置价值最大化，既符合国家罚没财物管理有关规定，也为探索渔获物高效处置提供了实践经验。</w:t>
      </w:r>
    </w:p>
    <w:p w14:paraId="2FFC4E39">
      <w:pPr>
        <w:spacing w:line="360" w:lineRule="auto"/>
        <w:ind w:firstLine="420"/>
        <w:rPr>
          <w:rFonts w:eastAsiaTheme="minorEastAsia"/>
          <w:sz w:val="24"/>
        </w:rPr>
      </w:pPr>
      <w:r>
        <w:rPr>
          <w:rFonts w:hint="eastAsia" w:eastAsiaTheme="minorEastAsia"/>
          <w:sz w:val="24"/>
        </w:rPr>
        <w:t>案例五</w:t>
      </w:r>
    </w:p>
    <w:p w14:paraId="30FFF34A">
      <w:pPr>
        <w:spacing w:line="360" w:lineRule="auto"/>
        <w:ind w:firstLine="420"/>
        <w:rPr>
          <w:rFonts w:eastAsiaTheme="minorEastAsia"/>
          <w:sz w:val="24"/>
        </w:rPr>
      </w:pPr>
      <w:r>
        <w:rPr>
          <w:rFonts w:hint="eastAsia" w:eastAsiaTheme="minorEastAsia"/>
          <w:sz w:val="24"/>
        </w:rPr>
        <w:t>福建省漳州市海洋与渔业执法支队查处陈某雄违反禁渔期规定利用“三无”船舶进行捕捞案——非法捕捞渔获物数量和价值可有条件累计计算</w:t>
      </w:r>
    </w:p>
    <w:p w14:paraId="0D3B8DAD">
      <w:pPr>
        <w:spacing w:line="360" w:lineRule="auto"/>
        <w:ind w:firstLine="420"/>
        <w:rPr>
          <w:rFonts w:eastAsiaTheme="minorEastAsia"/>
          <w:sz w:val="24"/>
        </w:rPr>
      </w:pPr>
      <w:r>
        <w:rPr>
          <w:rFonts w:hint="eastAsia" w:eastAsiaTheme="minorEastAsia"/>
          <w:sz w:val="24"/>
        </w:rPr>
        <w:t>（一）基本案情</w:t>
      </w:r>
    </w:p>
    <w:p w14:paraId="0DDFF84A">
      <w:pPr>
        <w:spacing w:line="360" w:lineRule="auto"/>
        <w:ind w:firstLine="420"/>
        <w:rPr>
          <w:rFonts w:eastAsiaTheme="minorEastAsia"/>
          <w:sz w:val="24"/>
        </w:rPr>
      </w:pPr>
      <w:r>
        <w:rPr>
          <w:rFonts w:hint="eastAsia" w:eastAsiaTheme="minorEastAsia"/>
          <w:sz w:val="24"/>
        </w:rPr>
        <w:t>2024年6月23日，福建省漳州市海洋与渔业执法支队执法人员在相关海域巡查时，查获陈某雄利用“三无”船舶从事非法捕捞活动。经调查，当事人于2023年和2024年海洋伏季休渔期间，利用“三无”船舶从事非法捕捞作业10余次，非法获利累计超过10万元。</w:t>
      </w:r>
    </w:p>
    <w:p w14:paraId="2121C6D2">
      <w:pPr>
        <w:spacing w:line="360" w:lineRule="auto"/>
        <w:ind w:firstLine="420"/>
        <w:rPr>
          <w:rFonts w:eastAsiaTheme="minorEastAsia"/>
          <w:sz w:val="24"/>
        </w:rPr>
      </w:pPr>
      <w:r>
        <w:rPr>
          <w:rFonts w:hint="eastAsia" w:eastAsiaTheme="minorEastAsia"/>
          <w:sz w:val="24"/>
        </w:rPr>
        <w:t>（二）处理结果</w:t>
      </w:r>
    </w:p>
    <w:p w14:paraId="2A1B7559">
      <w:pPr>
        <w:spacing w:line="360" w:lineRule="auto"/>
        <w:ind w:firstLine="420"/>
        <w:rPr>
          <w:rFonts w:eastAsiaTheme="minorEastAsia"/>
          <w:sz w:val="24"/>
        </w:rPr>
      </w:pPr>
      <w:r>
        <w:rPr>
          <w:rFonts w:hint="eastAsia" w:eastAsiaTheme="minorEastAsia"/>
          <w:sz w:val="24"/>
        </w:rPr>
        <w:t>当事人连续2年实施非法捕捞行为未经处理，渔获物价值数额累计达到《最高人民法院关于审理发生在我国管辖海域相关案件若干问题的规定（二）》规定的入刑标准，渔政执法机构已将案件移送海警机构追究刑事责任。</w:t>
      </w:r>
    </w:p>
    <w:p w14:paraId="61E6BA92">
      <w:pPr>
        <w:spacing w:line="360" w:lineRule="auto"/>
        <w:ind w:firstLine="420"/>
        <w:rPr>
          <w:rFonts w:eastAsiaTheme="minorEastAsia"/>
          <w:sz w:val="24"/>
        </w:rPr>
      </w:pPr>
      <w:r>
        <w:rPr>
          <w:rFonts w:hint="eastAsia" w:eastAsiaTheme="minorEastAsia"/>
          <w:sz w:val="24"/>
        </w:rPr>
        <w:t>（三）典型意义</w:t>
      </w:r>
    </w:p>
    <w:p w14:paraId="1A1E015D">
      <w:pPr>
        <w:spacing w:line="360" w:lineRule="auto"/>
        <w:ind w:firstLine="420"/>
        <w:rPr>
          <w:rFonts w:eastAsiaTheme="minorEastAsia"/>
          <w:sz w:val="24"/>
        </w:rPr>
      </w:pPr>
      <w:r>
        <w:rPr>
          <w:rFonts w:hint="eastAsia" w:eastAsiaTheme="minorEastAsia"/>
          <w:sz w:val="24"/>
        </w:rPr>
        <w:t>海洋伏季休渔和打击涉渔“三无”船舶一直是“中国渔政亮剑”系列专项执法行动的重点任务。本案中，渔政执法机构依法查明当事人连续2年违反禁渔期规定实施非法捕捞行为，根据最高人民法院有关司法解释，按累计数额认定非法渔获物价值，依法将案件移送司法机关，对强化非法捕捞活动惩治力度，铁腕维护伏季休渔秩序，具有示范意义。</w:t>
      </w:r>
    </w:p>
    <w:p w14:paraId="72A7BF66">
      <w:pPr>
        <w:spacing w:line="360" w:lineRule="auto"/>
        <w:ind w:firstLine="420"/>
        <w:rPr>
          <w:rFonts w:eastAsiaTheme="minorEastAsia"/>
          <w:sz w:val="24"/>
        </w:rPr>
      </w:pPr>
    </w:p>
    <w:p w14:paraId="1320EA51">
      <w:pPr>
        <w:spacing w:line="360" w:lineRule="auto"/>
        <w:ind w:firstLine="420"/>
        <w:rPr>
          <w:rFonts w:eastAsiaTheme="minorEastAsia"/>
          <w:sz w:val="24"/>
        </w:rPr>
      </w:pPr>
      <w:r>
        <w:rPr>
          <w:rFonts w:hint="eastAsia" w:eastAsiaTheme="minorEastAsia"/>
          <w:sz w:val="24"/>
        </w:rPr>
        <w:t>案例六</w:t>
      </w:r>
    </w:p>
    <w:p w14:paraId="7F09793C">
      <w:pPr>
        <w:spacing w:line="360" w:lineRule="auto"/>
        <w:ind w:firstLine="420"/>
        <w:rPr>
          <w:rFonts w:eastAsiaTheme="minorEastAsia"/>
          <w:sz w:val="24"/>
        </w:rPr>
      </w:pPr>
      <w:r>
        <w:rPr>
          <w:rFonts w:hint="eastAsia" w:eastAsiaTheme="minorEastAsia"/>
          <w:sz w:val="24"/>
        </w:rPr>
        <w:t>江西省鹰潭市农业综合行政执法支队查处罗某红等11人使用毒鱼的方法进行捕捞案——探索多元化生态环境损害赔偿承担方式</w:t>
      </w:r>
    </w:p>
    <w:p w14:paraId="7F78A24E">
      <w:pPr>
        <w:spacing w:line="360" w:lineRule="auto"/>
        <w:ind w:firstLine="420"/>
        <w:rPr>
          <w:rFonts w:eastAsiaTheme="minorEastAsia"/>
          <w:sz w:val="24"/>
        </w:rPr>
      </w:pPr>
      <w:r>
        <w:rPr>
          <w:rFonts w:hint="eastAsia" w:eastAsiaTheme="minorEastAsia"/>
          <w:sz w:val="24"/>
        </w:rPr>
        <w:t>（一）基本案情</w:t>
      </w:r>
    </w:p>
    <w:p w14:paraId="0513AE06">
      <w:pPr>
        <w:spacing w:line="360" w:lineRule="auto"/>
        <w:ind w:firstLine="420"/>
        <w:rPr>
          <w:rFonts w:eastAsiaTheme="minorEastAsia"/>
          <w:sz w:val="24"/>
        </w:rPr>
      </w:pPr>
      <w:r>
        <w:rPr>
          <w:rFonts w:hint="eastAsia" w:eastAsiaTheme="minorEastAsia"/>
          <w:sz w:val="24"/>
        </w:rPr>
        <w:t>2023年12月24日，江西省鹰潭市农业综合行政执法支队余江大队执法人员在信江干流河段巡查时，发现罗某红等11人从事捕捞作业。经调查，当事人使用毒鱼方法，非法捕捞鲤、鳜、鳊等渔获物800余千克，价值1万余元。经鉴定，当事人非法捕捞行为造成水生生物资源损害64.9万元（该案件2024年结案）。</w:t>
      </w:r>
    </w:p>
    <w:p w14:paraId="38A868A7">
      <w:pPr>
        <w:spacing w:line="360" w:lineRule="auto"/>
        <w:ind w:firstLine="420"/>
        <w:rPr>
          <w:rFonts w:eastAsiaTheme="minorEastAsia"/>
          <w:sz w:val="24"/>
        </w:rPr>
      </w:pPr>
      <w:r>
        <w:rPr>
          <w:rFonts w:hint="eastAsia" w:eastAsiaTheme="minorEastAsia"/>
          <w:sz w:val="24"/>
        </w:rPr>
        <w:t>（二）处理结果</w:t>
      </w:r>
    </w:p>
    <w:p w14:paraId="5140F452">
      <w:pPr>
        <w:spacing w:line="360" w:lineRule="auto"/>
        <w:ind w:firstLine="420"/>
        <w:rPr>
          <w:rFonts w:eastAsiaTheme="minorEastAsia"/>
          <w:sz w:val="24"/>
        </w:rPr>
      </w:pPr>
      <w:r>
        <w:rPr>
          <w:rFonts w:hint="eastAsia" w:eastAsiaTheme="minorEastAsia"/>
          <w:sz w:val="24"/>
        </w:rPr>
        <w:t>罗某红等11人的行为涉嫌构成非法捕捞水产品罪，渔政执法机构将案件移送司法机关。法院依照《中华人民共和国刑法》有关规定，分别判处罗某红等11人有期徒刑6至10个月不等，没收全部违法所得和作案工具，并判令其共同承担生态损害赔偿责任。当事人向余江区农业农村粮食局缴纳64.9万元用于购买鱼苗进行增殖放流，以赔偿水生生物资源损害，并与该局签订劳务代偿协议，通过卫生清洁、渔业巡护、普法宣传等公益劳动，以劳务代偿方式折抵生态环境修复费用。</w:t>
      </w:r>
    </w:p>
    <w:p w14:paraId="6EE2DBBD">
      <w:pPr>
        <w:spacing w:line="360" w:lineRule="auto"/>
        <w:ind w:firstLine="420"/>
        <w:rPr>
          <w:rFonts w:eastAsiaTheme="minorEastAsia"/>
          <w:sz w:val="24"/>
        </w:rPr>
      </w:pPr>
      <w:r>
        <w:rPr>
          <w:rFonts w:hint="eastAsia" w:eastAsiaTheme="minorEastAsia"/>
          <w:sz w:val="24"/>
        </w:rPr>
        <w:t>（三）典型意义</w:t>
      </w:r>
    </w:p>
    <w:p w14:paraId="122B6052">
      <w:pPr>
        <w:spacing w:line="360" w:lineRule="auto"/>
        <w:ind w:firstLine="420"/>
        <w:rPr>
          <w:rFonts w:eastAsiaTheme="minorEastAsia"/>
          <w:sz w:val="24"/>
        </w:rPr>
      </w:pPr>
      <w:r>
        <w:rPr>
          <w:rFonts w:hint="eastAsia" w:eastAsiaTheme="minorEastAsia"/>
          <w:sz w:val="24"/>
        </w:rPr>
        <w:t>电毒炸捕捞既损害水生生物资源，也对生态系统造成长期危害。根据农业农村部办公厅2020年印发的《非法捕捞案件涉案物品认（鉴）定和水生生物资源损害评估及修复办法（试行）》有关要求，对于电毒炸捕捞，当事人除了对水生生物直接损害承担赔偿责任以外，还应按不低于直接损害十倍承担间接损害赔偿责任，并按不低于水生生物资源损害总量的数额承担生态修复责任。按上述规定，本案涉及的生态环境损害赔偿责任金额总计近130万元。当事人缴纳水生生物资源损害赔偿金后，通过与渔业渔政主管部门订立劳务代偿协议的方式，以环境公益劳动折抵生态修复费用。这一做法既严格落实生态文明建设要求，符合损害者担责、谁损害谁修复的法律要求，也充分考虑了当事人经济承受能力，增强了法律的操作性，兼顾了法律效果和社会效果，探索了涉渔案件中生态环境损害赔偿责任的多元化实现路径。</w:t>
      </w:r>
    </w:p>
    <w:p w14:paraId="59BC4EC0">
      <w:pPr>
        <w:spacing w:line="360" w:lineRule="auto"/>
        <w:ind w:firstLine="420"/>
        <w:rPr>
          <w:rFonts w:eastAsiaTheme="minorEastAsia"/>
          <w:sz w:val="24"/>
        </w:rPr>
      </w:pPr>
      <w:r>
        <w:rPr>
          <w:rFonts w:hint="eastAsia" w:eastAsiaTheme="minorEastAsia"/>
          <w:sz w:val="24"/>
        </w:rPr>
        <w:t>案例七</w:t>
      </w:r>
    </w:p>
    <w:p w14:paraId="62AF17DB">
      <w:pPr>
        <w:spacing w:line="360" w:lineRule="auto"/>
        <w:ind w:firstLine="420"/>
        <w:rPr>
          <w:rFonts w:eastAsiaTheme="minorEastAsia"/>
          <w:sz w:val="24"/>
        </w:rPr>
      </w:pPr>
      <w:r>
        <w:rPr>
          <w:rFonts w:hint="eastAsia" w:eastAsiaTheme="minorEastAsia"/>
          <w:sz w:val="24"/>
        </w:rPr>
        <w:t>广东省佛山市农业农村局查处某旅游文化发展有限公司未经批准、未依法取得专用标识利用国家重点保护水生野生动物案——规范水生野生动物经营利用和展演活动</w:t>
      </w:r>
    </w:p>
    <w:p w14:paraId="15B61B3F">
      <w:pPr>
        <w:spacing w:line="360" w:lineRule="auto"/>
        <w:ind w:firstLine="420"/>
        <w:rPr>
          <w:rFonts w:eastAsiaTheme="minorEastAsia"/>
          <w:sz w:val="24"/>
        </w:rPr>
      </w:pPr>
      <w:r>
        <w:rPr>
          <w:rFonts w:hint="eastAsia" w:eastAsiaTheme="minorEastAsia"/>
          <w:sz w:val="24"/>
        </w:rPr>
        <w:t>（一）基本案情</w:t>
      </w:r>
    </w:p>
    <w:p w14:paraId="0FDBC4D7">
      <w:pPr>
        <w:spacing w:line="360" w:lineRule="auto"/>
        <w:ind w:firstLine="420"/>
        <w:rPr>
          <w:rFonts w:eastAsiaTheme="minorEastAsia"/>
          <w:sz w:val="24"/>
        </w:rPr>
      </w:pPr>
      <w:r>
        <w:rPr>
          <w:rFonts w:hint="eastAsia" w:eastAsiaTheme="minorEastAsia"/>
          <w:sz w:val="24"/>
        </w:rPr>
        <w:t>2024年6月8日，根据群众举报，广东省佛山市农业农村局执法人员在执法检查中发现，某旅游文化发展有限公司利用《濒危野生动植物种国际贸易公约》（简称CITES）附录所列南美毛皮海狮、巨巴西骨舌鱼、暹罗鳄等经农业农村部核准按国家重点保护野生动物管理的水生野生动物开展公众展示展演。经调查，当事公司未依法取得水生野生动物经营利用许可证或专用标识。</w:t>
      </w:r>
    </w:p>
    <w:p w14:paraId="334FD254">
      <w:pPr>
        <w:spacing w:line="360" w:lineRule="auto"/>
        <w:ind w:firstLine="420"/>
        <w:rPr>
          <w:rFonts w:eastAsiaTheme="minorEastAsia"/>
          <w:sz w:val="24"/>
        </w:rPr>
      </w:pPr>
      <w:r>
        <w:rPr>
          <w:rFonts w:hint="eastAsia" w:eastAsiaTheme="minorEastAsia"/>
          <w:sz w:val="24"/>
        </w:rPr>
        <w:t>（二）处理结果</w:t>
      </w:r>
    </w:p>
    <w:p w14:paraId="27F2C548">
      <w:pPr>
        <w:spacing w:line="360" w:lineRule="auto"/>
        <w:ind w:firstLine="420"/>
        <w:rPr>
          <w:rFonts w:eastAsiaTheme="minorEastAsia"/>
          <w:sz w:val="24"/>
        </w:rPr>
      </w:pPr>
      <w:r>
        <w:rPr>
          <w:rFonts w:hint="eastAsia" w:eastAsiaTheme="minorEastAsia"/>
          <w:sz w:val="24"/>
        </w:rPr>
        <w:t>渔政执法机构依照《中华人民共和国野生动物保护法》有关规定，对当事企业作出罚没款合计6.3万元的行政处罚决定。</w:t>
      </w:r>
    </w:p>
    <w:p w14:paraId="42BC8863">
      <w:pPr>
        <w:spacing w:line="360" w:lineRule="auto"/>
        <w:ind w:firstLine="420"/>
        <w:rPr>
          <w:rFonts w:eastAsiaTheme="minorEastAsia"/>
          <w:sz w:val="24"/>
        </w:rPr>
      </w:pPr>
      <w:r>
        <w:rPr>
          <w:rFonts w:hint="eastAsia" w:eastAsiaTheme="minorEastAsia"/>
          <w:sz w:val="24"/>
        </w:rPr>
        <w:t>（三）典型意义</w:t>
      </w:r>
    </w:p>
    <w:p w14:paraId="3CC01B74">
      <w:pPr>
        <w:spacing w:line="360" w:lineRule="auto"/>
        <w:ind w:firstLine="420"/>
        <w:rPr>
          <w:rFonts w:eastAsiaTheme="minorEastAsia"/>
          <w:sz w:val="24"/>
        </w:rPr>
      </w:pPr>
      <w:r>
        <w:rPr>
          <w:rFonts w:hint="eastAsia" w:eastAsiaTheme="minorEastAsia"/>
          <w:sz w:val="24"/>
        </w:rPr>
        <w:t>对列入《国家重点保护野生动物名录》以及经核准按国家重点保护动物进行国内管理的CITES附录水生动物，依法取得水生野生动物经营利用许可证或专用标识方可进行交易和利用。本案中，渔政执法机构对擅自利用国家重点保护水生野生动物从事公众展示展演的行为予以处罚，对严格规范水生野生动物经营利用活动、提高依法保护水生野生动物意识，具有示范意义。</w:t>
      </w:r>
    </w:p>
    <w:p w14:paraId="7F278ACB">
      <w:pPr>
        <w:spacing w:line="360" w:lineRule="auto"/>
        <w:ind w:firstLine="420"/>
        <w:rPr>
          <w:rFonts w:eastAsiaTheme="minorEastAsia"/>
          <w:sz w:val="24"/>
        </w:rPr>
      </w:pPr>
      <w:r>
        <w:rPr>
          <w:rFonts w:hint="eastAsia" w:eastAsiaTheme="minorEastAsia"/>
          <w:sz w:val="24"/>
        </w:rPr>
        <w:t>案例八</w:t>
      </w:r>
    </w:p>
    <w:p w14:paraId="3F6E4CED">
      <w:pPr>
        <w:spacing w:line="360" w:lineRule="auto"/>
        <w:ind w:firstLine="420"/>
        <w:rPr>
          <w:rFonts w:eastAsiaTheme="minorEastAsia"/>
          <w:sz w:val="24"/>
        </w:rPr>
      </w:pPr>
      <w:r>
        <w:rPr>
          <w:rFonts w:hint="eastAsia" w:eastAsiaTheme="minorEastAsia"/>
          <w:sz w:val="24"/>
        </w:rPr>
        <w:t>四川省乐山市市中区农业农村局查处谢某明等9人非法捕捞水产品案——严打内陆水域非法捕捞团伙</w:t>
      </w:r>
    </w:p>
    <w:p w14:paraId="318AAC7F">
      <w:pPr>
        <w:spacing w:line="360" w:lineRule="auto"/>
        <w:ind w:firstLine="420"/>
        <w:rPr>
          <w:rFonts w:eastAsiaTheme="minorEastAsia"/>
          <w:sz w:val="24"/>
        </w:rPr>
      </w:pPr>
      <w:r>
        <w:rPr>
          <w:rFonts w:hint="eastAsia" w:eastAsiaTheme="minorEastAsia"/>
          <w:sz w:val="24"/>
        </w:rPr>
        <w:t>（一）基本案情</w:t>
      </w:r>
    </w:p>
    <w:p w14:paraId="0033D7A8">
      <w:pPr>
        <w:spacing w:line="360" w:lineRule="auto"/>
        <w:ind w:firstLine="420"/>
        <w:rPr>
          <w:rFonts w:eastAsiaTheme="minorEastAsia"/>
          <w:sz w:val="24"/>
        </w:rPr>
      </w:pPr>
      <w:r>
        <w:rPr>
          <w:rFonts w:hint="eastAsia" w:eastAsiaTheme="minorEastAsia"/>
          <w:sz w:val="24"/>
        </w:rPr>
        <w:t>2024年3月21日，四川省乐山市市中区农业农村局联合公安机关开展联合执法，在岷江水域老江坝段抓获谢某明等非法捕捞人员4人，现场查扣运输车辆、船只、电鱼设备等作案工具，查获渔获物561千克；后又将其余5名团伙成员抓获归案。经调查，谢某明等9人团伙自2022年以来在长江流域禁捕水域使用电鱼方法捕捞各类渔获物1万余千克，并分销至水产市场和餐馆。经鉴定，当事人的电鱼行为造成水生生物资源损害价值605万元。</w:t>
      </w:r>
    </w:p>
    <w:p w14:paraId="6C4DF978">
      <w:pPr>
        <w:spacing w:line="360" w:lineRule="auto"/>
        <w:ind w:firstLine="420"/>
        <w:rPr>
          <w:rFonts w:eastAsiaTheme="minorEastAsia"/>
          <w:sz w:val="24"/>
        </w:rPr>
      </w:pPr>
      <w:r>
        <w:rPr>
          <w:rFonts w:hint="eastAsia" w:eastAsiaTheme="minorEastAsia"/>
          <w:sz w:val="24"/>
        </w:rPr>
        <w:t>（二）处理结果</w:t>
      </w:r>
    </w:p>
    <w:p w14:paraId="226217FD">
      <w:pPr>
        <w:spacing w:line="360" w:lineRule="auto"/>
        <w:ind w:firstLine="420"/>
        <w:rPr>
          <w:rFonts w:eastAsiaTheme="minorEastAsia"/>
          <w:sz w:val="24"/>
        </w:rPr>
      </w:pPr>
      <w:r>
        <w:rPr>
          <w:rFonts w:hint="eastAsia" w:eastAsiaTheme="minorEastAsia"/>
          <w:sz w:val="24"/>
        </w:rPr>
        <w:t>谢某明等9人的行为涉嫌构成非法捕捞水产品罪和掩饰、隐瞒犯罪所得罪，渔政执法机构依据《依法惩治长江流域非法捕捞等违法犯罪的意见》等规定，将案件移送司法机关追究刑事责任。经法院审理，对其中的谢某明等6人分别判处有期徒刑7个月至2年3个月不等有期徒刑、部分并处罚金，没收作案工具和违法所得。此外，四川省乐山市农业农村局对谢某明等9人追究水生生物资源损害赔偿责任。</w:t>
      </w:r>
    </w:p>
    <w:p w14:paraId="29A47DD3">
      <w:pPr>
        <w:spacing w:line="360" w:lineRule="auto"/>
        <w:ind w:firstLine="420"/>
        <w:rPr>
          <w:rFonts w:eastAsiaTheme="minorEastAsia"/>
          <w:sz w:val="24"/>
        </w:rPr>
      </w:pPr>
      <w:r>
        <w:rPr>
          <w:rFonts w:hint="eastAsia" w:eastAsiaTheme="minorEastAsia"/>
          <w:sz w:val="24"/>
        </w:rPr>
        <w:t>（三）典型意义</w:t>
      </w:r>
    </w:p>
    <w:p w14:paraId="59DC48AB">
      <w:pPr>
        <w:spacing w:line="360" w:lineRule="auto"/>
        <w:ind w:firstLine="420"/>
        <w:rPr>
          <w:rFonts w:eastAsiaTheme="minorEastAsia"/>
          <w:sz w:val="24"/>
        </w:rPr>
      </w:pPr>
      <w:r>
        <w:rPr>
          <w:rFonts w:hint="eastAsia" w:eastAsiaTheme="minorEastAsia"/>
          <w:sz w:val="24"/>
        </w:rPr>
        <w:t>长江禁捕以来，长江流域生态环境恢复势头持续向好，部分水域渔业资源量显著增加。一些违法犯罪分子发现非法捕捞“效益显著”，为谋求不法利益并逃避和对抗监管，常结成捕运销网络，以团伙方式作案。本案中，渔政执法机构与公安机关密切配合，通过“人防+技防”方式，运用卫星定位、视频监控等高科技手段取得关键证据，全面查清违法事实，涉案人员悉数归案，成功查处四川省自长江禁捕以来涉案渔获物数量最大的电鱼案件，对持之以恒做好长江禁渔监管工作起到了重要示范作用。</w:t>
      </w:r>
    </w:p>
    <w:p w14:paraId="37F3E614">
      <w:pPr>
        <w:spacing w:line="360" w:lineRule="auto"/>
        <w:ind w:firstLine="420"/>
        <w:rPr>
          <w:rFonts w:eastAsiaTheme="minorEastAsia"/>
          <w:sz w:val="24"/>
        </w:rPr>
      </w:pPr>
      <w:r>
        <w:rPr>
          <w:rFonts w:hint="eastAsia" w:eastAsiaTheme="minorEastAsia"/>
          <w:sz w:val="24"/>
        </w:rPr>
        <w:t>案例九</w:t>
      </w:r>
    </w:p>
    <w:p w14:paraId="2684102C">
      <w:pPr>
        <w:spacing w:line="360" w:lineRule="auto"/>
        <w:ind w:firstLine="420"/>
        <w:rPr>
          <w:rFonts w:eastAsiaTheme="minorEastAsia"/>
          <w:sz w:val="24"/>
        </w:rPr>
      </w:pPr>
      <w:r>
        <w:rPr>
          <w:rFonts w:hint="eastAsia" w:eastAsiaTheme="minorEastAsia"/>
          <w:sz w:val="24"/>
        </w:rPr>
        <w:t>陕西省韩城市农业农村局查处李某学未经批准在水产种质资源保护区内进行捕捞案——严查水产种质资源保护区内的非法捕捞活动</w:t>
      </w:r>
    </w:p>
    <w:p w14:paraId="7D3B1F0A">
      <w:pPr>
        <w:spacing w:line="360" w:lineRule="auto"/>
        <w:ind w:firstLine="420"/>
        <w:rPr>
          <w:rFonts w:eastAsiaTheme="minorEastAsia"/>
          <w:sz w:val="24"/>
        </w:rPr>
      </w:pPr>
      <w:r>
        <w:rPr>
          <w:rFonts w:hint="eastAsia" w:eastAsiaTheme="minorEastAsia"/>
          <w:sz w:val="24"/>
        </w:rPr>
        <w:t>（一）基本案情</w:t>
      </w:r>
    </w:p>
    <w:p w14:paraId="77F0BB19">
      <w:pPr>
        <w:spacing w:line="360" w:lineRule="auto"/>
        <w:ind w:firstLine="420"/>
        <w:rPr>
          <w:rFonts w:eastAsiaTheme="minorEastAsia"/>
          <w:sz w:val="24"/>
        </w:rPr>
      </w:pPr>
      <w:r>
        <w:rPr>
          <w:rFonts w:hint="eastAsia" w:eastAsiaTheme="minorEastAsia"/>
          <w:sz w:val="24"/>
        </w:rPr>
        <w:t>2023年11月29日，陕西省韩城市农业农村局农业综合执法大队根据群众举报，在芝川高速大桥东少梁段桥下滹水河黄河鲤、兰州鲇国家级水产种质资源保护区内发现李某学从事捕捞活动，现场查获白鲢、黄河鲤等渔获物40余千克（该案件2024年结案）。</w:t>
      </w:r>
    </w:p>
    <w:p w14:paraId="3CE54112">
      <w:pPr>
        <w:spacing w:line="360" w:lineRule="auto"/>
        <w:ind w:firstLine="420"/>
        <w:rPr>
          <w:rFonts w:eastAsiaTheme="minorEastAsia"/>
          <w:sz w:val="24"/>
        </w:rPr>
      </w:pPr>
      <w:r>
        <w:rPr>
          <w:rFonts w:hint="eastAsia" w:eastAsiaTheme="minorEastAsia"/>
          <w:sz w:val="24"/>
        </w:rPr>
        <w:t>（二）处理结果</w:t>
      </w:r>
    </w:p>
    <w:p w14:paraId="57A07AC6">
      <w:pPr>
        <w:spacing w:line="360" w:lineRule="auto"/>
        <w:ind w:firstLine="420"/>
        <w:rPr>
          <w:rFonts w:eastAsiaTheme="minorEastAsia"/>
          <w:sz w:val="24"/>
        </w:rPr>
      </w:pPr>
      <w:r>
        <w:rPr>
          <w:rFonts w:hint="eastAsia" w:eastAsiaTheme="minorEastAsia"/>
          <w:sz w:val="24"/>
        </w:rPr>
        <w:t>渔政执法机构依照《中华人民共和国渔业法》有关规定，对李某学作出罚款0.2万元并没收渔获物和渔具的行政处罚决定。</w:t>
      </w:r>
    </w:p>
    <w:p w14:paraId="5E2186C3">
      <w:pPr>
        <w:spacing w:line="360" w:lineRule="auto"/>
        <w:ind w:firstLine="420"/>
        <w:rPr>
          <w:rFonts w:eastAsiaTheme="minorEastAsia"/>
          <w:sz w:val="24"/>
        </w:rPr>
      </w:pPr>
      <w:r>
        <w:rPr>
          <w:rFonts w:hint="eastAsia" w:eastAsiaTheme="minorEastAsia"/>
          <w:sz w:val="24"/>
        </w:rPr>
        <w:t>（三）典型意义</w:t>
      </w:r>
    </w:p>
    <w:p w14:paraId="12FA9CFE">
      <w:pPr>
        <w:spacing w:line="360" w:lineRule="auto"/>
        <w:ind w:firstLine="420"/>
        <w:rPr>
          <w:rFonts w:eastAsiaTheme="minorEastAsia"/>
          <w:sz w:val="24"/>
        </w:rPr>
      </w:pPr>
      <w:r>
        <w:rPr>
          <w:rFonts w:hint="eastAsia" w:eastAsiaTheme="minorEastAsia"/>
          <w:sz w:val="24"/>
        </w:rPr>
        <w:t>水产种质资源保护区是水生生物产卵和繁殖的重要栖息地，是重要渔业水域的核心部分。未经国务院渔业行政主管部门批准，任何单位和个人不得在水产种质资源保护区内从事捕捞活动。本案中，渔政执法机构依法查处违反水产种质资源保护区规定从事非法捕捞作业的行为，对加强渔业资源保护、丰富水生生物多样性具有重要意义。</w:t>
      </w:r>
    </w:p>
    <w:p w14:paraId="36CCA38E">
      <w:pPr>
        <w:spacing w:line="360" w:lineRule="auto"/>
        <w:jc w:val="right"/>
        <w:rPr>
          <w:rStyle w:val="101"/>
          <w:rFonts w:eastAsiaTheme="minorEastAsia"/>
          <w:szCs w:val="21"/>
        </w:rPr>
      </w:pPr>
      <w:r>
        <w:rPr>
          <w:rStyle w:val="101"/>
          <w:rFonts w:hint="eastAsia" w:eastAsiaTheme="minorEastAsia"/>
          <w:szCs w:val="21"/>
        </w:rPr>
        <w:t>转摘自农业农村部</w:t>
      </w:r>
    </w:p>
    <w:p w14:paraId="2B52B612">
      <w:pPr>
        <w:widowControl/>
        <w:jc w:val="left"/>
        <w:rPr>
          <w:rStyle w:val="101"/>
          <w:rFonts w:eastAsiaTheme="minorEastAsia"/>
          <w:szCs w:val="21"/>
        </w:rPr>
      </w:pPr>
      <w:r>
        <w:rPr>
          <w:rStyle w:val="101"/>
          <w:rFonts w:eastAsiaTheme="minorEastAsia"/>
          <w:szCs w:val="21"/>
        </w:rPr>
        <w:br w:type="page"/>
      </w:r>
    </w:p>
    <w:p w14:paraId="20A7DBE4">
      <w:pPr>
        <w:spacing w:line="276" w:lineRule="auto"/>
        <w:jc w:val="left"/>
        <w:outlineLvl w:val="0"/>
        <w:rPr>
          <w:rStyle w:val="101"/>
          <w:rFonts w:eastAsia="黑体"/>
          <w:b/>
          <w:bCs/>
          <w:sz w:val="32"/>
          <w:szCs w:val="32"/>
          <w:bdr w:val="single" w:color="auto" w:sz="4" w:space="0"/>
        </w:rPr>
      </w:pPr>
      <w:bookmarkStart w:id="17" w:name="_Toc198113460"/>
      <w:r>
        <w:rPr>
          <w:rStyle w:val="101"/>
          <w:rFonts w:hint="eastAsia" w:eastAsia="黑体"/>
          <w:b/>
          <w:bCs/>
          <w:sz w:val="32"/>
          <w:szCs w:val="32"/>
          <w:bdr w:val="single" w:color="auto" w:sz="4" w:space="0"/>
        </w:rPr>
        <w:t>研究进展</w:t>
      </w:r>
      <w:bookmarkEnd w:id="17"/>
    </w:p>
    <w:p w14:paraId="3E195B35">
      <w:pPr>
        <w:jc w:val="center"/>
        <w:outlineLvl w:val="1"/>
        <w:rPr>
          <w:rFonts w:eastAsia="黑体"/>
          <w:b/>
          <w:bCs/>
          <w:sz w:val="32"/>
          <w:szCs w:val="32"/>
        </w:rPr>
      </w:pPr>
      <w:bookmarkStart w:id="18" w:name="_Toc198113461"/>
      <w:r>
        <w:rPr>
          <w:rFonts w:eastAsia="黑体"/>
          <w:b/>
          <w:bCs/>
          <w:sz w:val="32"/>
          <w:szCs w:val="32"/>
        </w:rPr>
        <w:t>不同动物蛋白源替代鱼粉的研究进展</w:t>
      </w:r>
      <w:bookmarkEnd w:id="18"/>
    </w:p>
    <w:p w14:paraId="5A3FA8AC">
      <w:pPr>
        <w:jc w:val="center"/>
        <w:rPr>
          <w:szCs w:val="21"/>
        </w:rPr>
      </w:pPr>
      <w:r>
        <w:rPr>
          <w:szCs w:val="21"/>
        </w:rPr>
        <w:t xml:space="preserve">庞垒 </w:t>
      </w:r>
      <w:r>
        <w:rPr>
          <w:szCs w:val="21"/>
          <w:vertAlign w:val="superscript"/>
        </w:rPr>
        <w:t>1,2</w:t>
      </w:r>
      <w:r>
        <w:rPr>
          <w:szCs w:val="21"/>
        </w:rPr>
        <w:t xml:space="preserve"> 徐静 </w:t>
      </w:r>
      <w:r>
        <w:rPr>
          <w:szCs w:val="21"/>
          <w:vertAlign w:val="superscript"/>
        </w:rPr>
        <w:t>1</w:t>
      </w:r>
      <w:r>
        <w:rPr>
          <w:szCs w:val="21"/>
        </w:rPr>
        <w:t xml:space="preserve"> 李华涛 </w:t>
      </w:r>
      <w:r>
        <w:rPr>
          <w:szCs w:val="21"/>
          <w:vertAlign w:val="superscript"/>
        </w:rPr>
        <w:t>1</w:t>
      </w:r>
      <w:r>
        <w:rPr>
          <w:szCs w:val="21"/>
        </w:rPr>
        <w:t xml:space="preserve"> 陈岗富 </w:t>
      </w:r>
      <w:r>
        <w:rPr>
          <w:szCs w:val="21"/>
          <w:vertAlign w:val="superscript"/>
        </w:rPr>
        <w:t>1*</w:t>
      </w:r>
    </w:p>
    <w:p w14:paraId="418C620F">
      <w:pPr>
        <w:jc w:val="center"/>
      </w:pPr>
      <w:r>
        <w:t>（1.内江师范学院生命科学学院，长江上游鱼类资源保护与利用四川省重点实验室，四川内江 641100；</w:t>
      </w:r>
    </w:p>
    <w:p w14:paraId="6C857A8C">
      <w:pPr>
        <w:jc w:val="center"/>
      </w:pPr>
      <w:r>
        <w:t>2.广东海洋大学水产学院，广东湛江 524088）</w:t>
      </w:r>
    </w:p>
    <w:p w14:paraId="6CA61387">
      <w:pPr>
        <w:rPr>
          <w:szCs w:val="21"/>
        </w:rPr>
      </w:pPr>
      <w:r>
        <w:rPr>
          <w:b/>
          <w:bCs/>
          <w:szCs w:val="21"/>
        </w:rPr>
        <w:t>摘要：</w:t>
      </w:r>
      <w:r>
        <w:rPr>
          <w:szCs w:val="21"/>
        </w:rPr>
        <w:t>水产养殖中动物蛋白源是鱼类生长发育主要的营养素之一，鱼粉作为传统动物饲料的重要组成成分，是一种优质的动物蛋白质来源，其必需氨基酸和生长因子含量丰富，对水产动物生长和饲料利用率起着至关重要的作用。近年来，随着水产养殖业的快速发展，鱼粉的需求量日益增加，已经无法满足市场的需求。由于动物蛋白源在营养成分上与鱼粉相似，且来源广泛、价格低廉，具有成为水产饲料中鱼粉替代物的潜力。文章综述了肉骨粉、血粉、羽毛粉、蚕蛹粉、黑水虻虫粉的营养成分、加工工艺流程及替代鱼粉比例对鱼类生长性能和免疫性能的作用机制，为深入研究动物蛋白源替代鱼粉的研究提供参考依据。</w:t>
      </w:r>
    </w:p>
    <w:p w14:paraId="207A4171">
      <w:pPr>
        <w:rPr>
          <w:szCs w:val="21"/>
        </w:rPr>
      </w:pPr>
      <w:r>
        <w:rPr>
          <w:b/>
          <w:bCs/>
          <w:szCs w:val="21"/>
        </w:rPr>
        <w:t>关键词：</w:t>
      </w:r>
      <w:r>
        <w:rPr>
          <w:szCs w:val="21"/>
        </w:rPr>
        <w:t>鱼粉；动物蛋白源；水产养殖；替代蛋白；研究进展</w:t>
      </w:r>
    </w:p>
    <w:p w14:paraId="45EA8447">
      <w:pPr>
        <w:jc w:val="center"/>
        <w:rPr>
          <w:b/>
          <w:bCs/>
          <w:sz w:val="24"/>
        </w:rPr>
      </w:pPr>
      <w:r>
        <w:rPr>
          <w:b/>
          <w:bCs/>
          <w:sz w:val="24"/>
        </w:rPr>
        <w:t>Research Progress of Substituting Fish Meal with Different Animal Protein Sources</w:t>
      </w:r>
    </w:p>
    <w:p w14:paraId="1F70151A">
      <w:pPr>
        <w:jc w:val="center"/>
        <w:rPr>
          <w:szCs w:val="21"/>
        </w:rPr>
      </w:pPr>
      <w:r>
        <w:rPr>
          <w:szCs w:val="21"/>
        </w:rPr>
        <w:t>PANG Lei</w:t>
      </w:r>
      <w:r>
        <w:rPr>
          <w:szCs w:val="21"/>
          <w:vertAlign w:val="superscript"/>
        </w:rPr>
        <w:t>1,2</w:t>
      </w:r>
      <w:r>
        <w:rPr>
          <w:szCs w:val="21"/>
        </w:rPr>
        <w:t xml:space="preserve"> XU Jing1 LI Huatao</w:t>
      </w:r>
      <w:r>
        <w:rPr>
          <w:szCs w:val="21"/>
          <w:vertAlign w:val="superscript"/>
        </w:rPr>
        <w:t>1</w:t>
      </w:r>
      <w:r>
        <w:rPr>
          <w:szCs w:val="21"/>
        </w:rPr>
        <w:t xml:space="preserve"> CHEN Gangfu</w:t>
      </w:r>
      <w:r>
        <w:rPr>
          <w:szCs w:val="21"/>
          <w:vertAlign w:val="superscript"/>
        </w:rPr>
        <w:t>1*</w:t>
      </w:r>
    </w:p>
    <w:p w14:paraId="569F86C5">
      <w:pPr>
        <w:jc w:val="center"/>
        <w:rPr>
          <w:i/>
          <w:iCs/>
          <w:szCs w:val="21"/>
        </w:rPr>
      </w:pPr>
      <w:r>
        <w:rPr>
          <w:i/>
          <w:iCs/>
          <w:szCs w:val="21"/>
        </w:rPr>
        <w:t xml:space="preserve">(1. Fishes Conservation and Utilization in the Upper Reaches of the Yangtze River Key Laboratory of </w:t>
      </w:r>
    </w:p>
    <w:p w14:paraId="395789D3">
      <w:pPr>
        <w:jc w:val="center"/>
        <w:rPr>
          <w:i/>
          <w:iCs/>
          <w:szCs w:val="21"/>
        </w:rPr>
      </w:pPr>
      <w:r>
        <w:rPr>
          <w:i/>
          <w:iCs/>
          <w:szCs w:val="21"/>
        </w:rPr>
        <w:t>Sichuan Province, College of Life Sciences, Neijiang Normal University, Sichuan Neijiang 641100, China; 2.</w:t>
      </w:r>
    </w:p>
    <w:p w14:paraId="4D1A4EAF">
      <w:pPr>
        <w:jc w:val="center"/>
        <w:rPr>
          <w:i/>
          <w:iCs/>
          <w:szCs w:val="21"/>
        </w:rPr>
      </w:pPr>
      <w:r>
        <w:rPr>
          <w:i/>
          <w:iCs/>
          <w:szCs w:val="21"/>
        </w:rPr>
        <w:t>College of Fisheries, Guangdong Ocean University, Guangdong Zhanjiang 524088, China)</w:t>
      </w:r>
    </w:p>
    <w:p w14:paraId="56C476F4">
      <w:pPr>
        <w:rPr>
          <w:szCs w:val="21"/>
        </w:rPr>
      </w:pPr>
      <w:r>
        <w:rPr>
          <w:b/>
          <w:bCs/>
          <w:szCs w:val="21"/>
        </w:rPr>
        <w:t>Abstract：</w:t>
      </w:r>
      <w:r>
        <w:rPr>
          <w:szCs w:val="21"/>
        </w:rPr>
        <w:t>In aquaculture, animal protein sources are one of the main nutrients for the growth and development of fish. Fish meal, as an important component of traditional animal feed, is a high-quality source of animal protein, rich in essential amino acids and growth factors, playing a crucial role in the growth and feed utilization efficiency of aquatic animals. In recent years, with the rapid development of aquaculture, the demand for fish meal has been increasing, and it has become unsatisfactory to meet the market demand. Due to the similarity in nutritional components between animal protein sources and fish meal, as well as their wide range of sources and low prices, they have the potential to become substitutes for fish meal in aquatic feed. this article summarizes the mechanism of action on the nutritional components, processing technology, and the proportion of substitution for fish meal in meat and bone meal, blood meal, feather meal, silkworm pupa meal, and black water fly larvae meal, providing a reference for further studying of animal protein sources on fish meal substitution.</w:t>
      </w:r>
    </w:p>
    <w:p w14:paraId="3CA19446">
      <w:pPr>
        <w:rPr>
          <w:szCs w:val="21"/>
        </w:rPr>
      </w:pPr>
      <w:r>
        <w:rPr>
          <w:b/>
          <w:bCs/>
          <w:szCs w:val="21"/>
        </w:rPr>
        <w:t>Key words：</w:t>
      </w:r>
      <w:r>
        <w:rPr>
          <w:szCs w:val="21"/>
        </w:rPr>
        <w:t>fish meal; animal protein sources; aquaculture; alternative proteins; research progress</w:t>
      </w:r>
    </w:p>
    <w:p w14:paraId="1B0E9961"/>
    <w:p w14:paraId="0C9C67D4">
      <w:pPr>
        <w:spacing w:line="360" w:lineRule="auto"/>
        <w:ind w:firstLine="480" w:firstLineChars="200"/>
        <w:rPr>
          <w:sz w:val="24"/>
        </w:rPr>
      </w:pPr>
      <w:r>
        <w:rPr>
          <w:sz w:val="24"/>
        </w:rPr>
        <w:t>鱼粉是一种高蛋白饲料原料，来源于一种或多种鱼类的加工产品。在生产中，鱼类通过脱脂、去水并破碎等过程，得到鱼粉</w:t>
      </w:r>
      <w:r>
        <w:rPr>
          <w:sz w:val="24"/>
          <w:vertAlign w:val="superscript"/>
        </w:rPr>
        <w:t>[1]</w:t>
      </w:r>
      <w:r>
        <w:rPr>
          <w:sz w:val="24"/>
        </w:rPr>
        <w:t>。鱼粉含有高质量的蛋白质、丰富的必需氨基酸和生长因子。鱼粉是优质动物蛋白质来源，对水产动物生长发育起着至关重要的作用。随着渔业资源的逐渐枯竭、捕捞成本的上升以及环保要求的日益严格，鱼粉的使用受到越来越多的限制，鱼粉产量已经无法满足市场的需求，探求可持续且高效的替代动物蛋白源已经成为水产养殖领域研究的重点</w:t>
      </w:r>
      <w:r>
        <w:rPr>
          <w:sz w:val="24"/>
          <w:vertAlign w:val="superscript"/>
        </w:rPr>
        <w:t>[2-3]</w:t>
      </w:r>
      <w:r>
        <w:rPr>
          <w:sz w:val="24"/>
        </w:rPr>
        <w:t>。近年来，众多国内外专家对动物蛋白的替代品进行了深入研究，并取得了重要进展。</w:t>
      </w:r>
    </w:p>
    <w:p w14:paraId="6F4FC76C">
      <w:pPr>
        <w:spacing w:line="360" w:lineRule="auto"/>
        <w:ind w:firstLine="480" w:firstLineChars="200"/>
        <w:rPr>
          <w:sz w:val="24"/>
        </w:rPr>
      </w:pPr>
      <w:r>
        <w:rPr>
          <w:sz w:val="24"/>
        </w:rPr>
        <w:t>本研究将详细介绍目前应用较多的几种动物蛋白饲料的营养成分、加工工艺及替代鱼粉比例对水产动物的免疫性能和生长性能的影响，并与鱼粉进行对比分析，以评估在水产饲料中的适用性。</w:t>
      </w:r>
    </w:p>
    <w:p w14:paraId="07BC8B69">
      <w:pPr>
        <w:spacing w:line="360" w:lineRule="auto"/>
        <w:rPr>
          <w:sz w:val="24"/>
        </w:rPr>
      </w:pPr>
      <w:r>
        <w:rPr>
          <w:sz w:val="24"/>
        </w:rPr>
        <w:t>1 主要动物蛋白源的种类、特点和加工工艺</w:t>
      </w:r>
    </w:p>
    <w:p w14:paraId="5EF70A2D">
      <w:pPr>
        <w:spacing w:line="360" w:lineRule="auto"/>
        <w:ind w:firstLine="480" w:firstLineChars="200"/>
        <w:rPr>
          <w:sz w:val="24"/>
        </w:rPr>
      </w:pPr>
      <w:r>
        <w:rPr>
          <w:sz w:val="24"/>
        </w:rPr>
        <w:t>肉骨粉、血粉、羽毛粉、蚕蛹粉、黑水虻虫粉等作为潜在的鱼粉替代品，来源广泛，价格低廉，受到了广泛关注。这些替代蛋白源在营养成分、生产成本和可持续性方面各具优势。不同动物蛋白源具有各自独特的营养特性，在替代鱼粉方面具备不同的优势和缺点。</w:t>
      </w:r>
    </w:p>
    <w:p w14:paraId="34140B83">
      <w:pPr>
        <w:spacing w:line="360" w:lineRule="auto"/>
        <w:rPr>
          <w:sz w:val="24"/>
        </w:rPr>
      </w:pPr>
      <w:r>
        <w:rPr>
          <w:sz w:val="24"/>
        </w:rPr>
        <w:t>1.1 肉骨粉</w:t>
      </w:r>
    </w:p>
    <w:p w14:paraId="2C59C66D">
      <w:pPr>
        <w:spacing w:line="360" w:lineRule="auto"/>
        <w:jc w:val="center"/>
        <w:rPr>
          <w:sz w:val="24"/>
        </w:rPr>
      </w:pPr>
      <w:r>
        <w:rPr>
          <w:sz w:val="24"/>
        </w:rPr>
        <w:t>肉骨粉是屠宰厂副产品，以家畜躯体、残余碎肉、骨、内脏等作为原料，经高温处理、蒸煮、灭菌、脱脂、干燥、粉碎等工艺流程制作成的粉末状产品</w:t>
      </w:r>
      <w:r>
        <w:rPr>
          <w:sz w:val="24"/>
          <w:vertAlign w:val="superscript"/>
        </w:rPr>
        <w:t>[4-5]</w:t>
      </w:r>
      <w:r>
        <w:rPr>
          <w:sz w:val="24"/>
        </w:rPr>
        <w:t>，其生产过程如图1。</w:t>
      </w:r>
      <w:r>
        <w:rPr>
          <w:sz w:val="24"/>
        </w:rPr>
        <w:drawing>
          <wp:inline distT="0" distB="0" distL="114300" distR="114300">
            <wp:extent cx="6032500" cy="3213735"/>
            <wp:effectExtent l="0" t="0" r="635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6053195" cy="3224613"/>
                    </a:xfrm>
                    <a:prstGeom prst="rect">
                      <a:avLst/>
                    </a:prstGeom>
                    <a:noFill/>
                    <a:ln w="9525">
                      <a:noFill/>
                    </a:ln>
                  </pic:spPr>
                </pic:pic>
              </a:graphicData>
            </a:graphic>
          </wp:inline>
        </w:drawing>
      </w:r>
    </w:p>
    <w:p w14:paraId="4782FFD4">
      <w:pPr>
        <w:spacing w:line="360" w:lineRule="auto"/>
        <w:ind w:firstLine="480" w:firstLineChars="200"/>
        <w:rPr>
          <w:sz w:val="24"/>
        </w:rPr>
      </w:pPr>
      <w:r>
        <w:rPr>
          <w:sz w:val="24"/>
        </w:rPr>
        <w:t>肉骨粉外观呈黄色至黄褐色，有特殊气味，无腐败迹象。从营养成分来看，含粗蛋白50%～60%，干物质90%，粗灰分26%～40%，粗脂肪8%～12%，粗纤维&lt;3%，无氮浸出物3%，钙7%～10%，磷3.8%～5.0%；氨基酸组成相对平衡，含量适中，赖氨酸1.0%～2.6%</w:t>
      </w:r>
      <w:r>
        <w:rPr>
          <w:sz w:val="24"/>
          <w:vertAlign w:val="superscript"/>
        </w:rPr>
        <w:t>[6-7]</w:t>
      </w:r>
      <w:r>
        <w:rPr>
          <w:sz w:val="24"/>
        </w:rPr>
        <w:t>。作为动物原料，肉骨粉是优质钙磷来源，含量高且比例适当，磷均为可利用磷。虽然肉骨粉可以作为饲料使用，在使用中需特别注意其质量和安全性。与鱼粉相比，肉骨粉存在氨基酸平衡性差及消化率低等问题，需要和其他蛋白源配合使用，才能使鱼类的营养成分得到补充</w:t>
      </w:r>
      <w:r>
        <w:rPr>
          <w:sz w:val="24"/>
          <w:vertAlign w:val="superscript"/>
        </w:rPr>
        <w:t>[8]</w:t>
      </w:r>
      <w:r>
        <w:rPr>
          <w:sz w:val="24"/>
        </w:rPr>
        <w:t>。</w:t>
      </w:r>
    </w:p>
    <w:p w14:paraId="06B8D2D0">
      <w:pPr>
        <w:spacing w:line="360" w:lineRule="auto"/>
        <w:ind w:firstLine="480" w:firstLineChars="200"/>
        <w:rPr>
          <w:sz w:val="24"/>
        </w:rPr>
      </w:pPr>
    </w:p>
    <w:p w14:paraId="22797EB4">
      <w:pPr>
        <w:spacing w:line="360" w:lineRule="auto"/>
        <w:rPr>
          <w:sz w:val="24"/>
        </w:rPr>
      </w:pPr>
      <w:r>
        <w:rPr>
          <w:sz w:val="24"/>
        </w:rPr>
        <w:t>1.2 蚕蛹粉</w:t>
      </w:r>
    </w:p>
    <w:p w14:paraId="34CC1954">
      <w:pPr>
        <w:spacing w:line="360" w:lineRule="auto"/>
        <w:ind w:firstLine="480" w:firstLineChars="200"/>
        <w:jc w:val="center"/>
        <w:rPr>
          <w:sz w:val="24"/>
        </w:rPr>
      </w:pPr>
      <w:r>
        <w:rPr>
          <w:sz w:val="24"/>
        </w:rPr>
        <w:t>蚕蛹粉是通过蚕蛹干燥和粉碎处理后得到的，含较高的粗脂肪。饲料用蚕蛹粉颜色呈淡褐色，应无霉变、异味或异嗅，其生产流程如图2。蚕蛹粉富含多种营养成分，含粗蛋白54%、粗脂肪25%、粗纤维&lt;6%、粗灰分&lt;5%；氨基酸组成丰富，大部分氨基酸含量与鱼粉相似</w:t>
      </w:r>
      <w:r>
        <w:rPr>
          <w:sz w:val="24"/>
          <w:vertAlign w:val="superscript"/>
        </w:rPr>
        <w:t>[9]</w:t>
      </w:r>
      <w:r>
        <w:rPr>
          <w:sz w:val="24"/>
        </w:rPr>
        <w:t>。据刘军等</w:t>
      </w:r>
      <w:r>
        <w:rPr>
          <w:sz w:val="24"/>
          <w:vertAlign w:val="superscript"/>
        </w:rPr>
        <w:t>[10]</w:t>
      </w:r>
      <w:r>
        <w:rPr>
          <w:sz w:val="24"/>
        </w:rPr>
        <w:t>报道，蚕蛹中氨基酸总量占蛋白质90％以上，必需氨基酸总量占氨基酸总量的38%。需注意的是，蚕蛹加工过程中必须经过特定的处理，与其他蛋白质饲料进行配合才可作为全价饲料。蚕蛹粉的脂肪&lt;10%，对动物健康无不良影响。使用过程中需限制用量、不易保存且价格相对较高。与鱼粉相比，蚕蛹粉的原料获取和生产工艺更加复杂、成本高昂，价格偏高，可能对养殖成本造成影响，在使用时需进行经济考量</w:t>
      </w:r>
      <w:r>
        <w:rPr>
          <w:sz w:val="24"/>
          <w:vertAlign w:val="superscript"/>
        </w:rPr>
        <w:t>[11]</w:t>
      </w:r>
      <w:r>
        <w:rPr>
          <w:sz w:val="24"/>
        </w:rPr>
        <w:t>。</w:t>
      </w:r>
    </w:p>
    <w:p w14:paraId="074FA81D">
      <w:pPr>
        <w:spacing w:line="360" w:lineRule="auto"/>
        <w:jc w:val="center"/>
        <w:rPr>
          <w:sz w:val="24"/>
        </w:rPr>
      </w:pPr>
      <w:r>
        <w:rPr>
          <w:sz w:val="24"/>
        </w:rPr>
        <w:drawing>
          <wp:inline distT="0" distB="0" distL="114300" distR="114300">
            <wp:extent cx="5897880" cy="2691130"/>
            <wp:effectExtent l="0" t="0" r="7620" b="0"/>
            <wp:docPr id="1403302158" name="图片 14033021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02158" name="图片 1403302158" descr="IMG_256"/>
                    <pic:cNvPicPr>
                      <a:picLocks noChangeAspect="1"/>
                    </pic:cNvPicPr>
                  </pic:nvPicPr>
                  <pic:blipFill>
                    <a:blip r:embed="rId9"/>
                    <a:stretch>
                      <a:fillRect/>
                    </a:stretch>
                  </pic:blipFill>
                  <pic:spPr>
                    <a:xfrm>
                      <a:off x="0" y="0"/>
                      <a:ext cx="5914410" cy="2699006"/>
                    </a:xfrm>
                    <a:prstGeom prst="rect">
                      <a:avLst/>
                    </a:prstGeom>
                    <a:noFill/>
                    <a:ln w="9525">
                      <a:noFill/>
                    </a:ln>
                  </pic:spPr>
                </pic:pic>
              </a:graphicData>
            </a:graphic>
          </wp:inline>
        </w:drawing>
      </w:r>
    </w:p>
    <w:p w14:paraId="3CCAB3AC">
      <w:pPr>
        <w:spacing w:line="360" w:lineRule="auto"/>
        <w:rPr>
          <w:sz w:val="24"/>
        </w:rPr>
      </w:pPr>
      <w:r>
        <w:rPr>
          <w:sz w:val="24"/>
        </w:rPr>
        <w:t>1.3 血粉</w:t>
      </w:r>
    </w:p>
    <w:p w14:paraId="6167525F">
      <w:pPr>
        <w:spacing w:line="360" w:lineRule="auto"/>
        <w:ind w:firstLine="480" w:firstLineChars="200"/>
        <w:rPr>
          <w:sz w:val="24"/>
        </w:rPr>
      </w:pPr>
      <w:r>
        <w:rPr>
          <w:sz w:val="24"/>
        </w:rPr>
        <w:t>血粉是将家禽血液收集后经凝固、高温处理、去液、晾晒和烘干，最后打成粉，细菌含量较高，在使用前需要经过杀菌处理</w:t>
      </w:r>
      <w:r>
        <w:rPr>
          <w:sz w:val="24"/>
          <w:vertAlign w:val="superscript"/>
        </w:rPr>
        <w:t>[12]</w:t>
      </w:r>
      <w:r>
        <w:rPr>
          <w:sz w:val="24"/>
        </w:rPr>
        <w:t>，其生产流程如图3。</w:t>
      </w:r>
    </w:p>
    <w:p w14:paraId="027AE776">
      <w:pPr>
        <w:spacing w:line="360" w:lineRule="auto"/>
        <w:ind w:firstLine="480" w:firstLineChars="200"/>
        <w:rPr>
          <w:sz w:val="24"/>
        </w:rPr>
      </w:pPr>
      <w:r>
        <w:rPr>
          <w:sz w:val="24"/>
        </w:rPr>
        <w:t>血粉富含多种营养成分，含粗蛋白80%～90%，粗脂肪、粗纤维和粗灰分分别为0.6%、1.3%和3.3%。还含1.8%无氮浸出物和多种常量和微量元素，比如钠、钴、锰、铜、磷、铁、钙、锌、硒等，其中铁含量极高，每千克含30mg左右，远超过肉类</w:t>
      </w:r>
      <w:r>
        <w:rPr>
          <w:sz w:val="24"/>
          <w:vertAlign w:val="superscript"/>
        </w:rPr>
        <w:t>[13]</w:t>
      </w:r>
      <w:r>
        <w:rPr>
          <w:sz w:val="24"/>
        </w:rPr>
        <w:t>。然而，血粉中的钙和磷含量相对较低，分别为0.20%和0.24%。鱼粉中粗蛋白含量高于其他动物性蛋白质饲料，但利用效率不高。氨基酸方面，血粉中赖氨酸和蛋氨酸含量较低，为7%～8%。血液主要由血浆和血细胞构成，在饲料行业，基于成分的不同，通常会将血液制品分为血液、血浆蛋白粉和血球蛋白粉三类。血粉的适口性相对较差，不易被动物消化吸收，可能会降低营养价值，相比之下，鱼粉的适口性更好，更容易被动物消化吸</w:t>
      </w:r>
      <w:r>
        <w:rPr>
          <w:sz w:val="24"/>
          <w:vertAlign w:val="superscript"/>
        </w:rPr>
        <w:t>[14]</w:t>
      </w:r>
      <w:r>
        <w:rPr>
          <w:sz w:val="24"/>
        </w:rPr>
        <w:t>。</w:t>
      </w:r>
    </w:p>
    <w:p w14:paraId="69384950">
      <w:pPr>
        <w:spacing w:line="360" w:lineRule="auto"/>
        <w:jc w:val="center"/>
        <w:rPr>
          <w:sz w:val="24"/>
        </w:rPr>
      </w:pPr>
      <w:r>
        <w:rPr>
          <w:sz w:val="24"/>
        </w:rPr>
        <w:drawing>
          <wp:inline distT="0" distB="0" distL="114300" distR="114300">
            <wp:extent cx="5958205" cy="3770630"/>
            <wp:effectExtent l="0" t="0" r="4445" b="1270"/>
            <wp:docPr id="321647962" name="图片 3216479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7962" name="图片 321647962" descr="IMG_256"/>
                    <pic:cNvPicPr>
                      <a:picLocks noChangeAspect="1"/>
                    </pic:cNvPicPr>
                  </pic:nvPicPr>
                  <pic:blipFill>
                    <a:blip r:embed="rId10"/>
                    <a:stretch>
                      <a:fillRect/>
                    </a:stretch>
                  </pic:blipFill>
                  <pic:spPr>
                    <a:xfrm>
                      <a:off x="0" y="0"/>
                      <a:ext cx="5991847" cy="3792049"/>
                    </a:xfrm>
                    <a:prstGeom prst="rect">
                      <a:avLst/>
                    </a:prstGeom>
                    <a:noFill/>
                    <a:ln w="9525">
                      <a:noFill/>
                    </a:ln>
                  </pic:spPr>
                </pic:pic>
              </a:graphicData>
            </a:graphic>
          </wp:inline>
        </w:drawing>
      </w:r>
    </w:p>
    <w:p w14:paraId="6B5FB207">
      <w:pPr>
        <w:spacing w:line="360" w:lineRule="auto"/>
        <w:rPr>
          <w:sz w:val="24"/>
        </w:rPr>
      </w:pPr>
      <w:r>
        <w:rPr>
          <w:sz w:val="24"/>
        </w:rPr>
        <w:t>1.4 羽毛粉</w:t>
      </w:r>
    </w:p>
    <w:p w14:paraId="16BDC19D">
      <w:pPr>
        <w:spacing w:line="360" w:lineRule="auto"/>
        <w:ind w:firstLine="480" w:firstLineChars="200"/>
        <w:rPr>
          <w:sz w:val="24"/>
        </w:rPr>
      </w:pPr>
      <w:r>
        <w:rPr>
          <w:sz w:val="24"/>
        </w:rPr>
        <w:t>羽毛经高温高压处理后，被水解、烘干、粉碎，随后进行化验并以成品形式包装，其生产流程如图4。羽毛粉含蛋白质77.9%，粗纤维0.7%，粗灰分5.8%，粗脂肪2.2%；氨基酸含量丰富</w:t>
      </w:r>
      <w:r>
        <w:rPr>
          <w:sz w:val="24"/>
          <w:vertAlign w:val="superscript"/>
        </w:rPr>
        <w:t>[15]</w:t>
      </w:r>
      <w:r>
        <w:rPr>
          <w:sz w:val="24"/>
        </w:rPr>
        <w:t>，甚至超过鱼粉，但是蛋氨酸、赖氨酸、组氨酸和色氨酸含量相对较低</w:t>
      </w:r>
      <w:r>
        <w:rPr>
          <w:sz w:val="24"/>
          <w:vertAlign w:val="superscript"/>
        </w:rPr>
        <w:t>[16]</w:t>
      </w:r>
      <w:r>
        <w:rPr>
          <w:sz w:val="24"/>
        </w:rPr>
        <w:t>。羽毛粉中的胱氨酸在所有原料中含量最高。羽毛粉还含大量的VB</w:t>
      </w:r>
      <w:r>
        <w:rPr>
          <w:sz w:val="24"/>
          <w:vertAlign w:val="subscript"/>
        </w:rPr>
        <w:t>12</w:t>
      </w:r>
      <w:r>
        <w:rPr>
          <w:sz w:val="24"/>
        </w:rPr>
        <w:t>和部分矿物质元素。与鱼粉相比，羽毛粉蛋白质含量低，不易被消化吸收，存在一些潜在的安全隐患。在选择饲料时，应根据动物的种类、生长阶段和营养需求等因素综合考虑，合理搭配不同饲料，以确保动物获得充足、均衡、安全的营养</w:t>
      </w:r>
      <w:r>
        <w:rPr>
          <w:sz w:val="24"/>
          <w:vertAlign w:val="superscript"/>
        </w:rPr>
        <w:t>[17]</w:t>
      </w:r>
      <w:r>
        <w:rPr>
          <w:sz w:val="24"/>
        </w:rPr>
        <w:t>。</w:t>
      </w:r>
    </w:p>
    <w:p w14:paraId="59C42957">
      <w:pPr>
        <w:spacing w:line="360" w:lineRule="auto"/>
        <w:rPr>
          <w:sz w:val="24"/>
        </w:rPr>
      </w:pPr>
      <w:r>
        <w:rPr>
          <w:sz w:val="24"/>
        </w:rPr>
        <w:t>1.5 黑水虻虫粉</w:t>
      </w:r>
    </w:p>
    <w:p w14:paraId="1C2A52C3">
      <w:pPr>
        <w:spacing w:line="360" w:lineRule="auto"/>
        <w:ind w:firstLine="480" w:firstLineChars="200"/>
        <w:rPr>
          <w:sz w:val="24"/>
        </w:rPr>
      </w:pPr>
      <w:r>
        <w:rPr>
          <w:sz w:val="24"/>
        </w:rPr>
        <w:t>黑水虻虫粉也称黑水虻幼虫粉（BSFLM），是由黑水虻（</w:t>
      </w:r>
      <w:r>
        <w:rPr>
          <w:i/>
          <w:iCs/>
          <w:sz w:val="24"/>
        </w:rPr>
        <w:t>Hermitia</w:t>
      </w:r>
      <w:r>
        <w:rPr>
          <w:rFonts w:hint="eastAsia"/>
          <w:i/>
          <w:iCs/>
          <w:sz w:val="24"/>
        </w:rPr>
        <w:t xml:space="preserve"> </w:t>
      </w:r>
      <w:r>
        <w:rPr>
          <w:i/>
          <w:iCs/>
          <w:sz w:val="24"/>
        </w:rPr>
        <w:t>illucens</w:t>
      </w:r>
      <w:r>
        <w:rPr>
          <w:sz w:val="24"/>
        </w:rPr>
        <w:t>）幼虫经过筛分、烘干、粉碎处理后得到的干虫粉，其生产流程见图5。黑水虻属于双翅目水虻科，以其高效转化能力和丰富的营养价值而闻名。黑水虻幼虫能够将畜禽粪便、生活餐厨垃圾等有机质转化为自身营养成分，具有繁殖力强、适应性广、生物量大、易于加工和营养全面的特点。虫粉含粗蛋白45.2%，粗脂肪31.4%，粗纤维6.4%，粗灰分8.3%和无氮浸出物4.9%</w:t>
      </w:r>
      <w:r>
        <w:rPr>
          <w:sz w:val="24"/>
          <w:vertAlign w:val="superscript"/>
        </w:rPr>
        <w:t>[19]</w:t>
      </w:r>
      <w:r>
        <w:rPr>
          <w:sz w:val="24"/>
        </w:rPr>
        <w:t>，必需氨基酸模式与鱼粉相似，在动物饲料行业具有广阔的应用前景。黑水虻虫粉在鱼类饲料中的最适添加量还不明确，目前主要关注点在于如何完善黑水虻的生产加工、提高产品价值、降低生产成本</w:t>
      </w:r>
      <w:r>
        <w:rPr>
          <w:sz w:val="24"/>
          <w:vertAlign w:val="superscript"/>
        </w:rPr>
        <w:t>[20]</w:t>
      </w:r>
      <w:r>
        <w:rPr>
          <w:sz w:val="24"/>
        </w:rPr>
        <w:t>。</w:t>
      </w:r>
    </w:p>
    <w:p w14:paraId="5E15A2C3">
      <w:pPr>
        <w:spacing w:line="360" w:lineRule="auto"/>
        <w:jc w:val="center"/>
        <w:rPr>
          <w:sz w:val="24"/>
        </w:rPr>
      </w:pPr>
      <w:r>
        <w:rPr>
          <w:sz w:val="24"/>
        </w:rPr>
        <w:drawing>
          <wp:inline distT="0" distB="0" distL="114300" distR="114300">
            <wp:extent cx="5977255" cy="2985135"/>
            <wp:effectExtent l="0" t="0" r="4445" b="5715"/>
            <wp:docPr id="435935872" name="图片 4359358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35872" name="图片 435935872" descr="IMG_256"/>
                    <pic:cNvPicPr>
                      <a:picLocks noChangeAspect="1"/>
                    </pic:cNvPicPr>
                  </pic:nvPicPr>
                  <pic:blipFill>
                    <a:blip r:embed="rId11"/>
                    <a:stretch>
                      <a:fillRect/>
                    </a:stretch>
                  </pic:blipFill>
                  <pic:spPr>
                    <a:xfrm>
                      <a:off x="0" y="0"/>
                      <a:ext cx="6000696" cy="2996657"/>
                    </a:xfrm>
                    <a:prstGeom prst="rect">
                      <a:avLst/>
                    </a:prstGeom>
                    <a:noFill/>
                    <a:ln w="9525">
                      <a:noFill/>
                    </a:ln>
                  </pic:spPr>
                </pic:pic>
              </a:graphicData>
            </a:graphic>
          </wp:inline>
        </w:drawing>
      </w:r>
      <w:r>
        <w:rPr>
          <w:sz w:val="24"/>
        </w:rPr>
        <w:drawing>
          <wp:inline distT="0" distB="0" distL="114300" distR="114300">
            <wp:extent cx="5928360" cy="2110740"/>
            <wp:effectExtent l="0" t="0" r="0" b="381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2"/>
                    <a:stretch>
                      <a:fillRect/>
                    </a:stretch>
                  </pic:blipFill>
                  <pic:spPr>
                    <a:xfrm>
                      <a:off x="0" y="0"/>
                      <a:ext cx="5948921" cy="2118286"/>
                    </a:xfrm>
                    <a:prstGeom prst="rect">
                      <a:avLst/>
                    </a:prstGeom>
                    <a:noFill/>
                    <a:ln w="9525">
                      <a:noFill/>
                    </a:ln>
                  </pic:spPr>
                </pic:pic>
              </a:graphicData>
            </a:graphic>
          </wp:inline>
        </w:drawing>
      </w:r>
    </w:p>
    <w:p w14:paraId="6E98F932">
      <w:pPr>
        <w:spacing w:line="360" w:lineRule="auto"/>
        <w:ind w:firstLine="480" w:firstLineChars="200"/>
        <w:rPr>
          <w:sz w:val="24"/>
        </w:rPr>
      </w:pPr>
      <w:r>
        <w:rPr>
          <w:sz w:val="24"/>
        </w:rPr>
        <w:t>综上可知，每种动物蛋白源都以其独特的营养成分和特点在鱼类饲养中发挥了重要作用。肉骨粉、血粉、蚕蛹粉、羽毛粉和黑水虻虫粉等动物蛋白源，不仅可提供高质量的蛋白质，还富含各种必需氨基酸、粗脂肪、维生素和矿物质。不同动物蛋白源与鱼粉营养成分比较如表1。在选择和搭配动物蛋白源时，应根据实际需求和营养价值进行权衡，以确保鱼类全面均衡的营养摄入。</w:t>
      </w:r>
    </w:p>
    <w:p w14:paraId="2C3FBFD7">
      <w:pPr>
        <w:spacing w:line="360" w:lineRule="auto"/>
        <w:ind w:firstLine="480" w:firstLineChars="200"/>
        <w:rPr>
          <w:sz w:val="24"/>
        </w:rPr>
      </w:pPr>
      <w:r>
        <w:rPr>
          <w:sz w:val="24"/>
        </w:rPr>
        <w:t>肉骨粉、血粉、羽毛粉、蚕蛹粉和黑水虻虫粉作为潜在鱼粉替代品，营养成分上各具特色，与鱼粉相比存在一定的差异。在实际应用中，可根据养殖动物的需求、饲料配方及成本效益等因素综合考虑和选择。为确保饲料的安全性和有效性，还需要对这些替代品的品质进行严格控制和评估。</w:t>
      </w:r>
    </w:p>
    <w:p w14:paraId="411DAAEB">
      <w:pPr>
        <w:spacing w:line="360" w:lineRule="auto"/>
        <w:rPr>
          <w:sz w:val="24"/>
        </w:rPr>
      </w:pPr>
      <w:r>
        <w:rPr>
          <w:sz w:val="24"/>
        </w:rPr>
        <w:drawing>
          <wp:inline distT="0" distB="0" distL="114300" distR="114300">
            <wp:extent cx="5956935" cy="3729990"/>
            <wp:effectExtent l="0" t="0" r="5715" b="381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3"/>
                    <a:stretch>
                      <a:fillRect/>
                    </a:stretch>
                  </pic:blipFill>
                  <pic:spPr>
                    <a:xfrm>
                      <a:off x="0" y="0"/>
                      <a:ext cx="5959854" cy="3732145"/>
                    </a:xfrm>
                    <a:prstGeom prst="rect">
                      <a:avLst/>
                    </a:prstGeom>
                    <a:noFill/>
                    <a:ln w="9525">
                      <a:noFill/>
                    </a:ln>
                  </pic:spPr>
                </pic:pic>
              </a:graphicData>
            </a:graphic>
          </wp:inline>
        </w:drawing>
      </w:r>
    </w:p>
    <w:p w14:paraId="1CE719C7">
      <w:pPr>
        <w:spacing w:line="360" w:lineRule="auto"/>
        <w:rPr>
          <w:sz w:val="24"/>
        </w:rPr>
      </w:pPr>
      <w:r>
        <w:rPr>
          <w:sz w:val="24"/>
        </w:rPr>
        <w:t>2 动物蛋白源对水产动物的影响</w:t>
      </w:r>
    </w:p>
    <w:p w14:paraId="376156BC">
      <w:pPr>
        <w:spacing w:line="360" w:lineRule="auto"/>
        <w:ind w:firstLine="480" w:firstLineChars="200"/>
        <w:rPr>
          <w:sz w:val="24"/>
        </w:rPr>
      </w:pPr>
      <w:r>
        <w:rPr>
          <w:sz w:val="24"/>
        </w:rPr>
        <w:t>动物蛋白源已成为水产养殖业一个重要的研究方向。动物蛋白源对水产动物的影响主要体现在促进生长、维持机体健康和提高饲料利用率等方面。动物日粮中合理搭配动物蛋白，可确保水产动物获得全面、均衡的氨基酸营养，维持其机体健康。</w:t>
      </w:r>
    </w:p>
    <w:p w14:paraId="5D434BC5">
      <w:pPr>
        <w:spacing w:line="360" w:lineRule="auto"/>
        <w:rPr>
          <w:sz w:val="24"/>
        </w:rPr>
      </w:pPr>
      <w:r>
        <w:rPr>
          <w:sz w:val="24"/>
        </w:rPr>
        <w:t>2.1 肉骨粉蛋白源</w:t>
      </w:r>
    </w:p>
    <w:p w14:paraId="42876D67">
      <w:pPr>
        <w:spacing w:line="360" w:lineRule="auto"/>
        <w:ind w:firstLine="480" w:firstLineChars="200"/>
        <w:rPr>
          <w:sz w:val="24"/>
        </w:rPr>
      </w:pPr>
      <w:r>
        <w:rPr>
          <w:sz w:val="24"/>
        </w:rPr>
        <w:t>在鱼类养殖过程中，日粮中适量添加肉骨粉替代鱼粉对水产动物的生长性能、免疫机能等无明显影响。各类肉骨粉替代比例对水产动物的影响见表2。骆宏婕</w:t>
      </w:r>
      <w:r>
        <w:rPr>
          <w:sz w:val="24"/>
          <w:vertAlign w:val="superscript"/>
        </w:rPr>
        <w:t>[21]</w:t>
      </w:r>
      <w:r>
        <w:rPr>
          <w:sz w:val="24"/>
        </w:rPr>
        <w:t>报道，饲料中肉骨粉替代鱼粉≤50%，对大黄鱼幼鱼生长、免疫和抗氧化等都有促进作用；一旦超过50%，会对大黄鱼幼鱼生长健康产生不利影响。据程小飞等</w:t>
      </w:r>
      <w:r>
        <w:rPr>
          <w:sz w:val="24"/>
          <w:vertAlign w:val="superscript"/>
        </w:rPr>
        <w:t>[22]</w:t>
      </w:r>
      <w:r>
        <w:rPr>
          <w:sz w:val="24"/>
        </w:rPr>
        <w:t>报道，饲料中含10%鱼粉，用猪肉骨粉完全替代鱼粉，优化了芙蓉鲤幼鱼肌肉质构特性，还增强了鱼肉品质。潘世会等</w:t>
      </w:r>
      <w:r>
        <w:rPr>
          <w:sz w:val="24"/>
          <w:vertAlign w:val="superscript"/>
        </w:rPr>
        <w:t>[23]</w:t>
      </w:r>
      <w:r>
        <w:rPr>
          <w:sz w:val="24"/>
        </w:rPr>
        <w:t>报道，饲料中禽肉骨粉替代鱼粉25.0%，对大菱鲆幼鱼生长没有明显影响；替代比例提高到37.5%和50.0%，会对鱼体生长和抗氧化能力产生不利影响。然而，贾倩</w:t>
      </w:r>
      <w:r>
        <w:rPr>
          <w:sz w:val="24"/>
          <w:vertAlign w:val="superscript"/>
        </w:rPr>
        <w:t>[24]</w:t>
      </w:r>
      <w:r>
        <w:rPr>
          <w:sz w:val="24"/>
        </w:rPr>
        <w:t>报道，饲料中禽肉骨粉替代鱼粉25%，对大菱鲆鱼生长、生物学参数和肠道健康无显著影响；随着替代比例的提高，会对鱼体生长、生物学参数和肠道健康造成负面影响。因此，在鱼类养殖过程中，合理使用肉骨粉能为水产动物提供丰富的营养，促进其生长发育，应控制好替代比例，以确保水产动物的健康生长。</w:t>
      </w:r>
    </w:p>
    <w:p w14:paraId="2FE891B1">
      <w:pPr>
        <w:spacing w:line="360" w:lineRule="auto"/>
        <w:jc w:val="center"/>
        <w:rPr>
          <w:sz w:val="24"/>
        </w:rPr>
      </w:pPr>
      <w:r>
        <w:rPr>
          <w:sz w:val="24"/>
        </w:rPr>
        <w:drawing>
          <wp:inline distT="0" distB="0" distL="114300" distR="114300">
            <wp:extent cx="5981065" cy="2527935"/>
            <wp:effectExtent l="0" t="0" r="635" b="571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4"/>
                    <a:stretch>
                      <a:fillRect/>
                    </a:stretch>
                  </pic:blipFill>
                  <pic:spPr>
                    <a:xfrm>
                      <a:off x="0" y="0"/>
                      <a:ext cx="5982972" cy="2528645"/>
                    </a:xfrm>
                    <a:prstGeom prst="rect">
                      <a:avLst/>
                    </a:prstGeom>
                    <a:noFill/>
                    <a:ln w="9525">
                      <a:noFill/>
                    </a:ln>
                  </pic:spPr>
                </pic:pic>
              </a:graphicData>
            </a:graphic>
          </wp:inline>
        </w:drawing>
      </w:r>
    </w:p>
    <w:p w14:paraId="188DD01F">
      <w:pPr>
        <w:spacing w:line="360" w:lineRule="auto"/>
        <w:rPr>
          <w:sz w:val="24"/>
        </w:rPr>
      </w:pPr>
      <w:r>
        <w:rPr>
          <w:sz w:val="24"/>
        </w:rPr>
        <w:t>2.2 蚕蛹粉</w:t>
      </w:r>
    </w:p>
    <w:p w14:paraId="4FD23F6A">
      <w:pPr>
        <w:spacing w:line="360" w:lineRule="auto"/>
        <w:ind w:firstLine="480" w:firstLineChars="200"/>
        <w:rPr>
          <w:sz w:val="24"/>
        </w:rPr>
      </w:pPr>
      <w:r>
        <w:rPr>
          <w:sz w:val="24"/>
        </w:rPr>
        <w:t>蚕蛹粉作为一种饲料添加剂，能够促进鱼类生长发育，增强免疫力和抗病力。各类蚕蛹粉替代鱼粉比例对水产动物的影响见表3。徐歆歆</w:t>
      </w:r>
      <w:r>
        <w:rPr>
          <w:sz w:val="24"/>
          <w:vertAlign w:val="superscript"/>
        </w:rPr>
        <w:t>[25]</w:t>
      </w:r>
      <w:r>
        <w:rPr>
          <w:sz w:val="24"/>
        </w:rPr>
        <w:t>报道，饲料中酶解蚕蛹粉替代鱼粉50%，对框鱗镜鲤幼鱼生长性能、饲料利用率没有显著影响，但能使血清中血脂水平降低，抗氧化能力增强，调节了肠道健康。饶远等</w:t>
      </w:r>
      <w:r>
        <w:rPr>
          <w:sz w:val="24"/>
          <w:vertAlign w:val="superscript"/>
        </w:rPr>
        <w:t>[26]</w:t>
      </w:r>
      <w:r>
        <w:rPr>
          <w:sz w:val="24"/>
        </w:rPr>
        <w:t>报道，饲料中蚕蛹粉替代鱼粉17.9%～22%，能提高加州鲈饲料利用率，对其生长性能有促进作用。卞宇嵘等</w:t>
      </w:r>
      <w:r>
        <w:rPr>
          <w:sz w:val="24"/>
          <w:vertAlign w:val="superscript"/>
        </w:rPr>
        <w:t>[27]</w:t>
      </w:r>
      <w:r>
        <w:rPr>
          <w:sz w:val="24"/>
        </w:rPr>
        <w:t>报道，饲料中发酵蚕蛹粉替代鱼粉30%，可显著提高大口黑鲈生长性能和饲料利用率。然而，胡水城</w:t>
      </w:r>
      <w:r>
        <w:rPr>
          <w:sz w:val="24"/>
          <w:vertAlign w:val="superscript"/>
        </w:rPr>
        <w:t>[28]</w:t>
      </w:r>
      <w:r>
        <w:rPr>
          <w:sz w:val="24"/>
        </w:rPr>
        <w:t>报道，饲料中脱脂蚕蛹粉替代鱼粉25%～100%，凡纳滨对虾饲料利用率提高，但对生长和体组成没有显著影响。因此，饲料中添加蚕蛹粉对水产动物的影响是多方面的，可以促进生长发育和提高免疫力，但也有一些负面影响。</w:t>
      </w:r>
    </w:p>
    <w:p w14:paraId="6CA2DC22">
      <w:pPr>
        <w:spacing w:line="360" w:lineRule="auto"/>
        <w:jc w:val="center"/>
        <w:rPr>
          <w:sz w:val="24"/>
        </w:rPr>
      </w:pPr>
      <w:r>
        <w:rPr>
          <w:sz w:val="24"/>
        </w:rPr>
        <w:drawing>
          <wp:inline distT="0" distB="0" distL="114300" distR="114300">
            <wp:extent cx="5988685" cy="246507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5"/>
                    <a:srcRect l="1764"/>
                    <a:stretch>
                      <a:fillRect/>
                    </a:stretch>
                  </pic:blipFill>
                  <pic:spPr>
                    <a:xfrm>
                      <a:off x="0" y="0"/>
                      <a:ext cx="5989058" cy="2465070"/>
                    </a:xfrm>
                    <a:prstGeom prst="rect">
                      <a:avLst/>
                    </a:prstGeom>
                    <a:noFill/>
                    <a:ln>
                      <a:noFill/>
                    </a:ln>
                  </pic:spPr>
                </pic:pic>
              </a:graphicData>
            </a:graphic>
          </wp:inline>
        </w:drawing>
      </w:r>
    </w:p>
    <w:p w14:paraId="4FD78879">
      <w:pPr>
        <w:spacing w:line="360" w:lineRule="auto"/>
        <w:rPr>
          <w:sz w:val="24"/>
        </w:rPr>
      </w:pPr>
      <w:r>
        <w:rPr>
          <w:sz w:val="24"/>
        </w:rPr>
        <w:t>2.3 血粉</w:t>
      </w:r>
    </w:p>
    <w:p w14:paraId="341704EF">
      <w:pPr>
        <w:spacing w:line="360" w:lineRule="auto"/>
        <w:ind w:firstLine="480" w:firstLineChars="200"/>
        <w:rPr>
          <w:sz w:val="24"/>
        </w:rPr>
      </w:pPr>
      <w:r>
        <w:rPr>
          <w:sz w:val="24"/>
        </w:rPr>
        <w:t>血粉是一种富含多种必需氨基酸的饲料原料，对生长和饲料利用率有重要作用。各类血粉替代鱼粉比例对水产动物的影响见表4。Gao等</w:t>
      </w:r>
      <w:r>
        <w:rPr>
          <w:sz w:val="24"/>
          <w:vertAlign w:val="superscript"/>
        </w:rPr>
        <w:t>[29]</w:t>
      </w:r>
      <w:r>
        <w:rPr>
          <w:sz w:val="24"/>
        </w:rPr>
        <w:t>报道，饲料中血粉替代鱼粉25%，对草鱼生长性能和肌肉营养成分无明显影响。Twahirwa等</w:t>
      </w:r>
      <w:r>
        <w:rPr>
          <w:sz w:val="24"/>
          <w:vertAlign w:val="superscript"/>
        </w:rPr>
        <w:t>[30]</w:t>
      </w:r>
      <w:r>
        <w:rPr>
          <w:sz w:val="24"/>
        </w:rPr>
        <w:t>报道，饲料中血粉替代鱼粉40%，对青鱼生长性能和免疫性能没有显著影响。苑灵灵等</w:t>
      </w:r>
      <w:r>
        <w:rPr>
          <w:sz w:val="24"/>
          <w:vertAlign w:val="superscript"/>
        </w:rPr>
        <w:t>[31]</w:t>
      </w:r>
      <w:r>
        <w:rPr>
          <w:sz w:val="24"/>
        </w:rPr>
        <w:t>报道，饲料中膨化血粉替代鱼粉17%，对黄河鲤鱼存活率无明显影响，但降低了生产性能。然而，杜雪地等</w:t>
      </w:r>
      <w:r>
        <w:rPr>
          <w:sz w:val="24"/>
          <w:vertAlign w:val="superscript"/>
        </w:rPr>
        <w:t>[32]</w:t>
      </w:r>
      <w:r>
        <w:rPr>
          <w:sz w:val="24"/>
        </w:rPr>
        <w:t>报道，饲料中含鱼粉10%，酶解鸡血粉替代鱼粉66.7%，对异育银鲫生长、饲料利用率和肉质均无不良影响。因此，血粉对水产动物的影响均是积极的，可促进生长发育和提高免疫力。在使用血粉的过程中，需与其他饲料原料进行合理搭配，以确保水产动物获得均衡的营养，从而达到最佳的生长效果。</w:t>
      </w:r>
    </w:p>
    <w:p w14:paraId="7F3CB1B7">
      <w:pPr>
        <w:spacing w:line="360" w:lineRule="auto"/>
        <w:jc w:val="center"/>
        <w:rPr>
          <w:sz w:val="24"/>
        </w:rPr>
      </w:pPr>
      <w:r>
        <w:rPr>
          <w:sz w:val="24"/>
        </w:rPr>
        <w:drawing>
          <wp:inline distT="0" distB="0" distL="114300" distR="114300">
            <wp:extent cx="5840095" cy="2084070"/>
            <wp:effectExtent l="0" t="0" r="8255"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6"/>
                    <a:srcRect l="1586"/>
                    <a:stretch>
                      <a:fillRect/>
                    </a:stretch>
                  </pic:blipFill>
                  <pic:spPr>
                    <a:xfrm>
                      <a:off x="0" y="0"/>
                      <a:ext cx="5876388" cy="2096984"/>
                    </a:xfrm>
                    <a:prstGeom prst="rect">
                      <a:avLst/>
                    </a:prstGeom>
                    <a:noFill/>
                    <a:ln>
                      <a:noFill/>
                    </a:ln>
                  </pic:spPr>
                </pic:pic>
              </a:graphicData>
            </a:graphic>
          </wp:inline>
        </w:drawing>
      </w:r>
    </w:p>
    <w:p w14:paraId="684DB338">
      <w:pPr>
        <w:spacing w:line="360" w:lineRule="auto"/>
        <w:rPr>
          <w:sz w:val="24"/>
        </w:rPr>
      </w:pPr>
      <w:r>
        <w:rPr>
          <w:sz w:val="24"/>
        </w:rPr>
        <w:t>2.4 羽毛粉</w:t>
      </w:r>
    </w:p>
    <w:p w14:paraId="10D30820">
      <w:pPr>
        <w:spacing w:line="360" w:lineRule="auto"/>
        <w:ind w:firstLine="480" w:firstLineChars="200"/>
        <w:rPr>
          <w:sz w:val="24"/>
        </w:rPr>
      </w:pPr>
      <w:r>
        <w:rPr>
          <w:sz w:val="24"/>
        </w:rPr>
        <w:t>羽毛粉营养丰富，能有效改善水产动物的品质和口感，提升水产品质量。各类羽毛粉替代比例对水产动物的影响见表5。曹宏忠</w:t>
      </w:r>
      <w:r>
        <w:rPr>
          <w:sz w:val="24"/>
          <w:vertAlign w:val="superscript"/>
        </w:rPr>
        <w:t>[33]</w:t>
      </w:r>
      <w:r>
        <w:rPr>
          <w:sz w:val="24"/>
        </w:rPr>
        <w:t>报道，饲料中水解羽毛粉替代鱼粉45%，对彭泽鲫生长性能无明显影响，但对肝脏、免疫和抗氧化指标等造成了负面影响；替代60%，对鱼体生长性能有负面影响；替代&lt;45%均对鱼体有促进作用。对于黄颡鱼，饲料中水解羽毛粉替代鱼粉2.5%、5.0%和7.5%，不会对鱼体生长产生不利影响；替代5.0%，鱼的消化酶活性、营养物质代谢和免疫性能都得到提高</w:t>
      </w:r>
      <w:r>
        <w:rPr>
          <w:sz w:val="24"/>
          <w:vertAlign w:val="superscript"/>
        </w:rPr>
        <w:t>[34]</w:t>
      </w:r>
      <w:r>
        <w:rPr>
          <w:sz w:val="24"/>
        </w:rPr>
        <w:t>。饲料中水解羽毛粉替代鱼粉4%，对凡纳滨对虾生长、消化率不会造成显著影响，但饲料成本降低了；替代比例超过6%，凡纳滨对虾存活率和饲料利用率均降低[</w:t>
      </w:r>
      <w:r>
        <w:rPr>
          <w:sz w:val="24"/>
          <w:vertAlign w:val="superscript"/>
        </w:rPr>
        <w:t>35]</w:t>
      </w:r>
      <w:r>
        <w:rPr>
          <w:sz w:val="24"/>
        </w:rPr>
        <w:t>。另外，陈秀梅等</w:t>
      </w:r>
      <w:r>
        <w:rPr>
          <w:sz w:val="24"/>
          <w:vertAlign w:val="superscript"/>
        </w:rPr>
        <w:t>[36]</w:t>
      </w:r>
      <w:r>
        <w:rPr>
          <w:sz w:val="24"/>
        </w:rPr>
        <w:t>报道，饲料中羽毛粉替代鱼粉10%，添加200～400mg/kg角蛋白酶，对异育银鲫生长没有显著影响。然而，王彦懿等</w:t>
      </w:r>
      <w:r>
        <w:rPr>
          <w:sz w:val="24"/>
          <w:vertAlign w:val="superscript"/>
        </w:rPr>
        <w:t>[37]</w:t>
      </w:r>
      <w:r>
        <w:rPr>
          <w:sz w:val="24"/>
        </w:rPr>
        <w:t>报道，饲料中酶解羽毛粉替代鱼粉6%，对中华蟹的摄食、生长和饲料利用率有促进作用。因此，羽毛粉对水产动物的影响受到多种因素制约，主要包括羽毛粉的品质、加工方式及鱼的种类、大小，还包括饲养环境等多种因素。</w:t>
      </w:r>
    </w:p>
    <w:p w14:paraId="1B7C849D">
      <w:pPr>
        <w:spacing w:line="360" w:lineRule="auto"/>
        <w:jc w:val="center"/>
        <w:rPr>
          <w:sz w:val="24"/>
        </w:rPr>
      </w:pPr>
      <w:r>
        <w:rPr>
          <w:sz w:val="24"/>
        </w:rPr>
        <w:drawing>
          <wp:inline distT="0" distB="0" distL="114300" distR="114300">
            <wp:extent cx="5929630" cy="3923030"/>
            <wp:effectExtent l="0" t="0" r="0"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7"/>
                    <a:srcRect l="2975"/>
                    <a:stretch>
                      <a:fillRect/>
                    </a:stretch>
                  </pic:blipFill>
                  <pic:spPr>
                    <a:xfrm>
                      <a:off x="0" y="0"/>
                      <a:ext cx="5935995" cy="3927709"/>
                    </a:xfrm>
                    <a:prstGeom prst="rect">
                      <a:avLst/>
                    </a:prstGeom>
                    <a:noFill/>
                    <a:ln>
                      <a:noFill/>
                    </a:ln>
                  </pic:spPr>
                </pic:pic>
              </a:graphicData>
            </a:graphic>
          </wp:inline>
        </w:drawing>
      </w:r>
    </w:p>
    <w:p w14:paraId="17BD7538">
      <w:pPr>
        <w:spacing w:line="360" w:lineRule="auto"/>
        <w:rPr>
          <w:sz w:val="24"/>
        </w:rPr>
      </w:pPr>
      <w:r>
        <w:rPr>
          <w:sz w:val="24"/>
        </w:rPr>
        <w:t>2.5 黑水虻虫粉</w:t>
      </w:r>
    </w:p>
    <w:p w14:paraId="30CB9C5A">
      <w:pPr>
        <w:spacing w:line="360" w:lineRule="auto"/>
        <w:ind w:firstLine="480" w:firstLineChars="200"/>
        <w:rPr>
          <w:sz w:val="24"/>
        </w:rPr>
      </w:pPr>
      <w:r>
        <w:rPr>
          <w:sz w:val="24"/>
        </w:rPr>
        <w:t>黑水虻虫粉的营养丰富，能提供高质量的蛋白质，用于动物饲料的补充。各类黑水虻虫粉替代鱼粉比例对水产动物的影响见表6。游翠红等</w:t>
      </w:r>
      <w:r>
        <w:rPr>
          <w:sz w:val="24"/>
          <w:vertAlign w:val="superscript"/>
        </w:rPr>
        <w:t>[38]</w:t>
      </w:r>
      <w:r>
        <w:rPr>
          <w:sz w:val="24"/>
        </w:rPr>
        <w:t>报道，加州鲈幼鱼饲料中含30%鱼粉，用黑水虻幼虫粉替代鱼粉16.67%、33.33%和50%，对加州鲈幼鱼生长性能没有显著影响，但能降低肝脏脂肪含量。饲料中黑水虻幼虫粉替代鱼粉不超过22.5%时，可以改善杂交鳢抗氧化能力，提高肠道功能，增强抗舒氏气单胞菌感染能力</w:t>
      </w:r>
      <w:r>
        <w:rPr>
          <w:sz w:val="24"/>
          <w:vertAlign w:val="superscript"/>
        </w:rPr>
        <w:t>[39]</w:t>
      </w:r>
      <w:r>
        <w:rPr>
          <w:sz w:val="24"/>
        </w:rPr>
        <w:t>。饲料中黑水虻幼虫粉替代鱼粉34.25%，可以提高克氏原鳌虾生长性能和成虾个体规格</w:t>
      </w:r>
      <w:r>
        <w:rPr>
          <w:sz w:val="24"/>
          <w:vertAlign w:val="superscript"/>
        </w:rPr>
        <w:t>[40]</w:t>
      </w:r>
      <w:r>
        <w:rPr>
          <w:sz w:val="24"/>
        </w:rPr>
        <w:t>。饲料中黑水虻幼虫粉替代鱼粉30%，提高了加州鲈饲料利用率，降低了蛋白质效率和肝体比；替代15.0%和22.5%，降低了鱼体粗灰分和钙含量，抑制体内钙沉积</w:t>
      </w:r>
      <w:r>
        <w:rPr>
          <w:sz w:val="24"/>
          <w:vertAlign w:val="superscript"/>
        </w:rPr>
        <w:t>[41]</w:t>
      </w:r>
      <w:r>
        <w:rPr>
          <w:sz w:val="24"/>
        </w:rPr>
        <w:t>。然而，牛秋雪等</w:t>
      </w:r>
      <w:r>
        <w:rPr>
          <w:sz w:val="24"/>
          <w:vertAlign w:val="superscript"/>
        </w:rPr>
        <w:t>[42]</w:t>
      </w:r>
      <w:r>
        <w:rPr>
          <w:sz w:val="24"/>
        </w:rPr>
        <w:t>报道，饲料中脱脂黑水虻幼虫粉替代鱼粉30%～45%，对中华蟹稚蟹生长无明显影响，但可以改善肝脏抗氧化能力和肠道菌群结构。因此，黑水虻幼虫粉替代鱼粉应用效果显著，可以提高鱼类的生长性能和饲料的利用率。</w:t>
      </w:r>
    </w:p>
    <w:p w14:paraId="71837F5A">
      <w:pPr>
        <w:spacing w:line="360" w:lineRule="auto"/>
        <w:rPr>
          <w:sz w:val="24"/>
        </w:rPr>
      </w:pPr>
      <w:r>
        <w:rPr>
          <w:sz w:val="24"/>
        </w:rPr>
        <w:t>3 不同动物蛋白源替代鱼粉对水产动物的作用机制</w:t>
      </w:r>
    </w:p>
    <w:p w14:paraId="52BA6B0A">
      <w:pPr>
        <w:spacing w:line="360" w:lineRule="auto"/>
        <w:ind w:firstLine="480" w:firstLineChars="200"/>
        <w:rPr>
          <w:sz w:val="24"/>
        </w:rPr>
      </w:pPr>
      <w:r>
        <w:rPr>
          <w:sz w:val="24"/>
        </w:rPr>
        <w:t>在水产动物的饲养过程中，蛋白质是维持正常生长和免疫功能的必需营养素。动物蛋白源作为蛋白质的主要来源之一，水产动物种类不同、质量高低对动物生长性能和免疫性能有着直接的影响。深入探究不同动物蛋白源对水产动物的影响机制，对于优化饲料配方、提高养殖效益和保障水产品质量安全具有重要的理论和实践价值。</w:t>
      </w:r>
    </w:p>
    <w:p w14:paraId="7967F39C">
      <w:pPr>
        <w:spacing w:line="360" w:lineRule="auto"/>
        <w:rPr>
          <w:sz w:val="24"/>
        </w:rPr>
      </w:pPr>
      <w:r>
        <w:rPr>
          <w:sz w:val="24"/>
        </w:rPr>
        <w:drawing>
          <wp:inline distT="0" distB="0" distL="114300" distR="114300">
            <wp:extent cx="5976620" cy="3185795"/>
            <wp:effectExtent l="0" t="0" r="508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8"/>
                    <a:stretch>
                      <a:fillRect/>
                    </a:stretch>
                  </pic:blipFill>
                  <pic:spPr>
                    <a:xfrm>
                      <a:off x="0" y="0"/>
                      <a:ext cx="5976620" cy="3186091"/>
                    </a:xfrm>
                    <a:prstGeom prst="rect">
                      <a:avLst/>
                    </a:prstGeom>
                    <a:noFill/>
                    <a:ln w="9525">
                      <a:noFill/>
                    </a:ln>
                  </pic:spPr>
                </pic:pic>
              </a:graphicData>
            </a:graphic>
          </wp:inline>
        </w:drawing>
      </w:r>
    </w:p>
    <w:p w14:paraId="570B7BAB">
      <w:pPr>
        <w:spacing w:line="360" w:lineRule="auto"/>
        <w:rPr>
          <w:sz w:val="24"/>
        </w:rPr>
      </w:pPr>
      <w:r>
        <w:rPr>
          <w:sz w:val="24"/>
        </w:rPr>
        <w:t>3.1 对生长性能的作用</w:t>
      </w:r>
    </w:p>
    <w:p w14:paraId="4F522493">
      <w:pPr>
        <w:spacing w:line="360" w:lineRule="auto"/>
        <w:ind w:firstLine="480" w:firstLineChars="200"/>
        <w:rPr>
          <w:sz w:val="24"/>
        </w:rPr>
      </w:pPr>
      <w:r>
        <w:rPr>
          <w:sz w:val="24"/>
        </w:rPr>
        <w:t>生长性能是指生物在一定时间内展现出的生长能力和表现，描述了一个生物体迅速发育和适应环境变化的能力。通过高等动物上的研究发现，m-TOR信号通路对高等动物的营养物质代谢能够产生明显影响，并且可能会进一步的影响动物的生长发育</w:t>
      </w:r>
      <w:r>
        <w:rPr>
          <w:sz w:val="24"/>
          <w:vertAlign w:val="superscript"/>
        </w:rPr>
        <w:t>[43]</w:t>
      </w:r>
      <w:r>
        <w:rPr>
          <w:sz w:val="24"/>
        </w:rPr>
        <w:t>。</w:t>
      </w:r>
    </w:p>
    <w:p w14:paraId="69695308">
      <w:pPr>
        <w:spacing w:line="360" w:lineRule="auto"/>
        <w:ind w:firstLine="480" w:firstLineChars="200"/>
        <w:rPr>
          <w:sz w:val="24"/>
        </w:rPr>
      </w:pPr>
      <w:r>
        <w:rPr>
          <w:sz w:val="24"/>
        </w:rPr>
        <w:t>TOR信号通路是指雷帕霉素靶蛋白（TOR）信号传导通路，其中m-TOR是一种不同寻常的丝氨酸或苏氨酸蛋白激酶，为磷脂酰肌醇激酶相关激酶（PIKK）蛋白质家族成员</w:t>
      </w:r>
      <w:r>
        <w:rPr>
          <w:sz w:val="24"/>
          <w:vertAlign w:val="superscript"/>
        </w:rPr>
        <w:t>[44]</w:t>
      </w:r>
      <w:r>
        <w:rPr>
          <w:sz w:val="24"/>
        </w:rPr>
        <w:t>，由两个不同的复合体组成。第一个为mTORC1</w:t>
      </w:r>
      <w:r>
        <w:rPr>
          <w:sz w:val="24"/>
          <w:vertAlign w:val="superscript"/>
        </w:rPr>
        <w:t>[45-46]</w:t>
      </w:r>
      <w:r>
        <w:rPr>
          <w:sz w:val="24"/>
        </w:rPr>
        <w:t>，主要由mTOR、Raptor（mTOR的调节相关蛋白）、GβL和DEPTOR（含DEP结构域的mTOR相互作用蛋白）构成，受雷帕霉素（rapamycin）抑制，是一种调节生长的主要分子，可感受并结合不同的营养因素和环境因素。其第2种复合体是mTORC2，由mTOR、Rictor、GβL、Sin1、PRR5/Protor-1（Rictor-1观察到的蛋白质）和DEPTOR构成。mTORC2可以通过激活蛋白激酶（Akt）促进细胞存活，通过激活蛋白酶C（PKCa）调节细胞骨架动力学，以及通过磷酸化激素调节酶1（SGK1）控制离子转运和生长</w:t>
      </w:r>
      <w:r>
        <w:rPr>
          <w:sz w:val="24"/>
          <w:vertAlign w:val="superscript"/>
        </w:rPr>
        <w:t>[47-50]</w:t>
      </w:r>
      <w:r>
        <w:rPr>
          <w:sz w:val="24"/>
        </w:rPr>
        <w:t>。</w:t>
      </w:r>
    </w:p>
    <w:p w14:paraId="4A869AA4">
      <w:pPr>
        <w:spacing w:line="360" w:lineRule="auto"/>
        <w:ind w:firstLine="480" w:firstLineChars="200"/>
        <w:rPr>
          <w:sz w:val="24"/>
        </w:rPr>
      </w:pPr>
      <w:r>
        <w:rPr>
          <w:sz w:val="24"/>
        </w:rPr>
        <w:t>骆宏婕</w:t>
      </w:r>
      <w:r>
        <w:rPr>
          <w:sz w:val="24"/>
          <w:vertAlign w:val="superscript"/>
        </w:rPr>
        <w:t>[21]</w:t>
      </w:r>
      <w:r>
        <w:rPr>
          <w:sz w:val="24"/>
        </w:rPr>
        <w:t>报道，大黄鱼饲料中肉骨粉替代鱼粉50%，随着肉骨粉替代鱼粉比例增加，抑制了mTOR信号通道，进而抑制生长性能。许丹丹等</w:t>
      </w:r>
      <w:r>
        <w:rPr>
          <w:sz w:val="24"/>
          <w:vertAlign w:val="superscript"/>
        </w:rPr>
        <w:t>[51]</w:t>
      </w:r>
      <w:r>
        <w:rPr>
          <w:sz w:val="24"/>
        </w:rPr>
        <w:t>报道，饲料中非鱼粉蛋白源替代鱼粉45%，大菱鲆通过氨基酸应答（AAR）和雷帕霉素靶蛋白（TOR）信号途径。摄入日粮后，AAR信号途径活性受到抑制，TOR信号途径得到激活，两者相互作用，从而促进鱼体的生长。邵建春</w:t>
      </w:r>
      <w:r>
        <w:rPr>
          <w:sz w:val="24"/>
          <w:vertAlign w:val="superscript"/>
        </w:rPr>
        <w:t>[52]</w:t>
      </w:r>
      <w:r>
        <w:rPr>
          <w:sz w:val="24"/>
        </w:rPr>
        <w:t>报道，凡纳滨对虾饲料中以不同水平的青贮饲料替代鱼粉可通过mTOR信号通路调节对虾的生长。</w:t>
      </w:r>
    </w:p>
    <w:p w14:paraId="6445BDD0">
      <w:pPr>
        <w:spacing w:line="360" w:lineRule="auto"/>
        <w:ind w:firstLine="480" w:firstLineChars="200"/>
        <w:rPr>
          <w:sz w:val="24"/>
        </w:rPr>
      </w:pPr>
      <w:r>
        <w:rPr>
          <w:sz w:val="24"/>
        </w:rPr>
        <w:t>总的来说，mTOR通过调节细胞生长和增殖的过程，对生长性能产生关键的作用，但作用机制可能因鱼种、养殖条件等因素而有所不同，可以通过调节其活性改变鱼类的生长速度和健康状况。</w:t>
      </w:r>
    </w:p>
    <w:p w14:paraId="0C195AAD">
      <w:pPr>
        <w:spacing w:line="360" w:lineRule="auto"/>
        <w:rPr>
          <w:sz w:val="24"/>
        </w:rPr>
      </w:pPr>
      <w:r>
        <w:rPr>
          <w:sz w:val="24"/>
        </w:rPr>
        <w:t>3.2 对免疫性能的作用</w:t>
      </w:r>
    </w:p>
    <w:p w14:paraId="0CD29AD6">
      <w:pPr>
        <w:spacing w:line="360" w:lineRule="auto"/>
        <w:ind w:firstLine="480" w:firstLineChars="200"/>
        <w:rPr>
          <w:sz w:val="24"/>
        </w:rPr>
      </w:pPr>
      <w:r>
        <w:rPr>
          <w:sz w:val="24"/>
        </w:rPr>
        <w:t>免疫是指生物机体识别自身和异己物质，对自身物质形成天然免疫耐受，对异己物质产生消除作用的一种生理反应。简单说，免疫是机体对病原产生抵抗力，是其抗御感染的过程。其中TLR信号通路对高等动物的营养物质能够产生明显影响，并且可能会进一步影响动物的免疫性能</w:t>
      </w:r>
      <w:r>
        <w:rPr>
          <w:sz w:val="24"/>
          <w:vertAlign w:val="superscript"/>
        </w:rPr>
        <w:t>[53]</w:t>
      </w:r>
      <w:r>
        <w:rPr>
          <w:sz w:val="24"/>
        </w:rPr>
        <w:t>。</w:t>
      </w:r>
    </w:p>
    <w:p w14:paraId="20E0E55F">
      <w:pPr>
        <w:spacing w:line="360" w:lineRule="auto"/>
        <w:ind w:firstLine="480" w:firstLineChars="200"/>
        <w:rPr>
          <w:sz w:val="24"/>
        </w:rPr>
      </w:pPr>
      <w:r>
        <w:rPr>
          <w:sz w:val="24"/>
        </w:rPr>
        <w:t>TLR是一种重要的免疫信号传导途径，主要涉及Toll样受体（toll-like</w:t>
      </w:r>
      <w:r>
        <w:rPr>
          <w:rFonts w:hint="eastAsia"/>
          <w:sz w:val="24"/>
        </w:rPr>
        <w:t xml:space="preserve"> </w:t>
      </w:r>
      <w:r>
        <w:rPr>
          <w:sz w:val="24"/>
        </w:rPr>
        <w:t>receptors，TLRS）的激活和下游信号分子的传导，是一类参与非特异性的蛋白质分子</w:t>
      </w:r>
      <w:r>
        <w:rPr>
          <w:sz w:val="24"/>
          <w:vertAlign w:val="superscript"/>
        </w:rPr>
        <w:t>[54]</w:t>
      </w:r>
      <w:r>
        <w:rPr>
          <w:sz w:val="24"/>
        </w:rPr>
        <w:t>。到目前为止，已发现11个TLR家族成员，其中TLR1、TLR2、TLR4、TLR5、TLR6和TLR11位于细胞表面，而TLR3、TLR7、TLR8和TLR9位于内体/溶酶体部分</w:t>
      </w:r>
      <w:r>
        <w:rPr>
          <w:sz w:val="24"/>
          <w:vertAlign w:val="superscript"/>
        </w:rPr>
        <w:t>[53,55]</w:t>
      </w:r>
      <w:r>
        <w:rPr>
          <w:sz w:val="24"/>
        </w:rPr>
        <w:t>。TLR信号转导通路的激活是由细胞浆Toll样/白细胞介素-1（Toll/IL-1）受体的结构域引发的，这两个结构域及包含的接头蛋白MyD88相互作用</w:t>
      </w:r>
      <w:r>
        <w:rPr>
          <w:sz w:val="24"/>
          <w:vertAlign w:val="superscript"/>
        </w:rPr>
        <w:t>[56-59]</w:t>
      </w:r>
      <w:r>
        <w:rPr>
          <w:sz w:val="24"/>
        </w:rPr>
        <w:t>。</w:t>
      </w:r>
    </w:p>
    <w:p w14:paraId="1741945A">
      <w:pPr>
        <w:spacing w:line="360" w:lineRule="auto"/>
        <w:ind w:firstLine="480" w:firstLineChars="200"/>
        <w:rPr>
          <w:sz w:val="24"/>
        </w:rPr>
      </w:pPr>
      <w:r>
        <w:rPr>
          <w:sz w:val="24"/>
        </w:rPr>
        <w:t>Stenberg等</w:t>
      </w:r>
      <w:r>
        <w:rPr>
          <w:sz w:val="24"/>
          <w:vertAlign w:val="superscript"/>
        </w:rPr>
        <w:t>[60]</w:t>
      </w:r>
      <w:r>
        <w:rPr>
          <w:sz w:val="24"/>
        </w:rPr>
        <w:t>报道，饲料中昆虫粉替代鱼粉可能会影响LPS诱导的TLR22通路，从而影响大西洋鲑鱼免疫性能。同时在一种合成的dsRNA，通过TLR3的识别引发抗病毒免疫反应。Gu等</w:t>
      </w:r>
      <w:r>
        <w:rPr>
          <w:sz w:val="24"/>
          <w:vertAlign w:val="superscript"/>
        </w:rPr>
        <w:t>[61]</w:t>
      </w:r>
      <w:r>
        <w:rPr>
          <w:sz w:val="24"/>
        </w:rPr>
        <w:t>报道，大口黑鲈饲料中黄粉虫替代鱼粉11.1%，发现TLR2mRNA的表达水平显著上升，而</w:t>
      </w:r>
      <w:r>
        <w:rPr>
          <w:i/>
          <w:iCs/>
          <w:sz w:val="24"/>
        </w:rPr>
        <w:t>Rel</w:t>
      </w:r>
      <w:r>
        <w:rPr>
          <w:sz w:val="24"/>
        </w:rPr>
        <w:t>A基因的表达则保持相对稳定。这提示，TLR2信号传导在鱼类免疫反应中扮演着重要角色，能够有效激活抗体产生，增强其免疫性能。炎症细胞因子的合成作为免疫反应的一个组成部分，从而提高了鱼体的免疫性能。然后，He等</w:t>
      </w:r>
      <w:r>
        <w:rPr>
          <w:sz w:val="24"/>
          <w:vertAlign w:val="superscript"/>
        </w:rPr>
        <w:t>[62]</w:t>
      </w:r>
      <w:r>
        <w:rPr>
          <w:sz w:val="24"/>
        </w:rPr>
        <w:t>报道，饲料中猪血肽替代鱼粉50%，对杂交石斑鱼的炎症反应和营养状态未造成显著影响；然而，TLR22受体能通过MyD88依赖性途径触发炎症反应，从而提高了免疫性能。</w:t>
      </w:r>
    </w:p>
    <w:p w14:paraId="135E6C22">
      <w:pPr>
        <w:spacing w:line="360" w:lineRule="auto"/>
        <w:ind w:firstLine="480" w:firstLineChars="200"/>
        <w:rPr>
          <w:sz w:val="24"/>
        </w:rPr>
      </w:pPr>
      <w:r>
        <w:rPr>
          <w:sz w:val="24"/>
        </w:rPr>
        <w:t>总之，TLR信号通路在免疫性能调控中发挥着重要的作用，它不仅能够识别病原体并启动免疫反应，还能调控免疫反应的程度和持续时间，以保护机体免受外界病原体的伤害。另外，它们构成了抵抗病原体侵袭的第二道屏障，同时在炎症免疫细胞调节、生产和增殖等方面发挥着关键作用。</w:t>
      </w:r>
    </w:p>
    <w:p w14:paraId="4688FA87">
      <w:pPr>
        <w:spacing w:line="360" w:lineRule="auto"/>
        <w:ind w:firstLine="480" w:firstLineChars="200"/>
        <w:rPr>
          <w:sz w:val="24"/>
        </w:rPr>
      </w:pPr>
    </w:p>
    <w:p w14:paraId="36009F22">
      <w:pPr>
        <w:spacing w:line="360" w:lineRule="auto"/>
        <w:rPr>
          <w:sz w:val="24"/>
        </w:rPr>
      </w:pPr>
      <w:r>
        <w:rPr>
          <w:sz w:val="24"/>
        </w:rPr>
        <w:t>4 小结</w:t>
      </w:r>
    </w:p>
    <w:p w14:paraId="7CB46650">
      <w:pPr>
        <w:spacing w:line="360" w:lineRule="auto"/>
        <w:ind w:firstLine="480" w:firstLineChars="200"/>
        <w:rPr>
          <w:sz w:val="24"/>
        </w:rPr>
      </w:pPr>
      <w:r>
        <w:rPr>
          <w:sz w:val="24"/>
        </w:rPr>
        <w:t>本文综述了不同动物蛋白源替代鱼粉的研究进展。动物蛋白源主要包括肉骨粉、蚕蛹粉、血粉、羽毛粉和黑水虻虫粉。由于水产养殖业的迅速发展，鱼粉供不应求，以价廉质优的适量动物蛋白源替代鱼粉，可以节约饲料成本，提高鱼类的生长速度，保护鱼类资源，从而缓解鱼粉供应不足的情况。然而在实际应用过程中，仍然需要根据不同养殖鱼类的营养需求，合理选择动物蛋白源，并克服生产和加工过程中的难题。</w:t>
      </w:r>
    </w:p>
    <w:p w14:paraId="1129D713">
      <w:pPr>
        <w:spacing w:line="360" w:lineRule="auto"/>
        <w:rPr>
          <w:sz w:val="24"/>
        </w:rPr>
      </w:pPr>
      <w:r>
        <w:rPr>
          <w:rFonts w:hint="eastAsia"/>
          <w:sz w:val="24"/>
        </w:rPr>
        <w:t>参考文献：略</w:t>
      </w:r>
    </w:p>
    <w:p w14:paraId="374F7EF8">
      <w:pPr>
        <w:widowControl/>
        <w:jc w:val="right"/>
        <w:rPr>
          <w:rFonts w:ascii="Calibri" w:hAnsi="Calibri"/>
        </w:rPr>
      </w:pPr>
      <w:r>
        <w:rPr>
          <w:szCs w:val="21"/>
        </w:rPr>
        <w:t>原文刊登在《</w:t>
      </w:r>
      <w:r>
        <w:rPr>
          <w:rFonts w:hint="eastAsia"/>
          <w:szCs w:val="21"/>
        </w:rPr>
        <w:t>饲料工业</w:t>
      </w:r>
      <w:r>
        <w:rPr>
          <w:szCs w:val="21"/>
        </w:rPr>
        <w:t>》，</w:t>
      </w:r>
      <w:r>
        <w:rPr>
          <w:rFonts w:hint="eastAsia"/>
          <w:color w:val="333333"/>
          <w:szCs w:val="21"/>
          <w:shd w:val="clear" w:color="auto" w:fill="FFFFFF"/>
        </w:rPr>
        <w:t>网络首发时间：2025-03-06 13:23:53</w:t>
      </w:r>
    </w:p>
    <w:p w14:paraId="0A529254">
      <w:pPr>
        <w:spacing w:line="276" w:lineRule="auto"/>
        <w:jc w:val="left"/>
        <w:outlineLvl w:val="0"/>
        <w:rPr>
          <w:rStyle w:val="101"/>
          <w:rFonts w:eastAsia="黑体"/>
          <w:b/>
          <w:bCs/>
          <w:sz w:val="32"/>
          <w:szCs w:val="32"/>
          <w:bdr w:val="single" w:color="auto" w:sz="4" w:space="0"/>
        </w:rPr>
      </w:pPr>
      <w:bookmarkStart w:id="19" w:name="_Toc198113462"/>
      <w:r>
        <w:rPr>
          <w:rStyle w:val="101"/>
          <w:rFonts w:hint="eastAsia" w:eastAsia="黑体"/>
          <w:b/>
          <w:bCs/>
          <w:sz w:val="32"/>
          <w:szCs w:val="32"/>
          <w:bdr w:val="single" w:color="auto" w:sz="4" w:space="0"/>
        </w:rPr>
        <w:t>科学研究</w:t>
      </w:r>
      <w:bookmarkEnd w:id="19"/>
    </w:p>
    <w:p w14:paraId="60DC9A4C">
      <w:pPr>
        <w:jc w:val="center"/>
        <w:outlineLvl w:val="1"/>
        <w:rPr>
          <w:rFonts w:ascii="黑体" w:hAnsi="黑体" w:eastAsia="黑体"/>
          <w:b/>
          <w:bCs/>
          <w:sz w:val="32"/>
          <w:szCs w:val="32"/>
        </w:rPr>
      </w:pPr>
      <w:bookmarkStart w:id="20" w:name="_Toc198113463"/>
      <w:r>
        <w:rPr>
          <w:rFonts w:hint="eastAsia" w:ascii="黑体" w:hAnsi="黑体" w:eastAsia="黑体"/>
          <w:b/>
          <w:bCs/>
          <w:sz w:val="32"/>
          <w:szCs w:val="32"/>
        </w:rPr>
        <w:t>发酵棉籽粕对黄颡鱼生长性能、表观消化率和肠道健康的影</w:t>
      </w:r>
      <w:r>
        <w:rPr>
          <w:rFonts w:ascii="黑体" w:hAnsi="黑体" w:eastAsia="黑体"/>
          <w:b/>
          <w:bCs/>
          <w:sz w:val="32"/>
          <w:szCs w:val="32"/>
        </w:rPr>
        <w:t>响</w:t>
      </w:r>
      <w:bookmarkEnd w:id="20"/>
    </w:p>
    <w:p w14:paraId="144C5386">
      <w:pPr>
        <w:jc w:val="center"/>
        <w:rPr>
          <w:szCs w:val="21"/>
          <w:vertAlign w:val="superscript"/>
        </w:rPr>
      </w:pPr>
      <w:r>
        <w:rPr>
          <w:rFonts w:hint="eastAsia"/>
          <w:szCs w:val="21"/>
        </w:rPr>
        <w:t>邹峰余，贾冰玉，罗</w:t>
      </w:r>
      <w:r>
        <w:rPr>
          <w:szCs w:val="21"/>
        </w:rPr>
        <w:t>智，刘志博，柯江，柳声赞，谭肖英</w:t>
      </w:r>
    </w:p>
    <w:p w14:paraId="560F3480">
      <w:pPr>
        <w:jc w:val="center"/>
        <w:rPr>
          <w:szCs w:val="21"/>
        </w:rPr>
      </w:pPr>
      <w:r>
        <w:rPr>
          <w:szCs w:val="21"/>
        </w:rPr>
        <w:t xml:space="preserve"> (</w:t>
      </w:r>
      <w:r>
        <w:rPr>
          <w:rFonts w:hint="eastAsia"/>
          <w:szCs w:val="21"/>
        </w:rPr>
        <w:t>华中农业大学水产学院，湖北</w:t>
      </w:r>
      <w:r>
        <w:rPr>
          <w:szCs w:val="21"/>
        </w:rPr>
        <w:t xml:space="preserve"> 武汉</w:t>
      </w:r>
      <w:r>
        <w:rPr>
          <w:rFonts w:hint="eastAsia"/>
          <w:szCs w:val="21"/>
        </w:rPr>
        <w:t xml:space="preserve"> </w:t>
      </w:r>
      <w:r>
        <w:rPr>
          <w:szCs w:val="21"/>
        </w:rPr>
        <w:t>430070)</w:t>
      </w:r>
    </w:p>
    <w:p w14:paraId="4F50C912">
      <w:pPr>
        <w:rPr>
          <w:szCs w:val="21"/>
        </w:rPr>
      </w:pPr>
      <w:r>
        <w:rPr>
          <w:b/>
          <w:bCs/>
          <w:szCs w:val="21"/>
        </w:rPr>
        <w:t>摘要：</w:t>
      </w:r>
      <w:r>
        <w:rPr>
          <w:rFonts w:hint="eastAsia"/>
          <w:szCs w:val="21"/>
        </w:rPr>
        <w:t>探究发酵棉籽粕对黄颡鱼生长性能、饲料表观消化率、肝脏及肠道健康的影响。实验设计了三组饲料：第一组饲料为基础饲料，以鱼粉、豆粕等为主要蛋白源，第二、三组饲料以</w:t>
      </w:r>
      <w:r>
        <w:rPr>
          <w:szCs w:val="21"/>
        </w:rPr>
        <w:t>70%的基础饲料+30%未发酵棉籽粕/发酵棉籽粕</w:t>
      </w:r>
      <w:r>
        <w:rPr>
          <w:rFonts w:hint="eastAsia"/>
          <w:szCs w:val="21"/>
        </w:rPr>
        <w:t>组成，实验持续</w:t>
      </w:r>
      <w:r>
        <w:rPr>
          <w:szCs w:val="21"/>
        </w:rPr>
        <w:t>7 周。结果表明，发酵棉籽粕组的黄颡鱼WGR、SGR相比于未发酵棉籽粕组显著上升。此外，固态</w:t>
      </w:r>
      <w:r>
        <w:rPr>
          <w:rFonts w:hint="eastAsia"/>
          <w:szCs w:val="21"/>
        </w:rPr>
        <w:t>发酵后，黄颡鱼对棉籽粕干物质消化率由</w:t>
      </w:r>
      <w:r>
        <w:rPr>
          <w:szCs w:val="21"/>
        </w:rPr>
        <w:t>35.64%提升至82.10%，粗蛋白消化率由77.31%提升至90.04%，粗脂肪消</w:t>
      </w:r>
      <w:r>
        <w:rPr>
          <w:rFonts w:hint="eastAsia"/>
          <w:szCs w:val="21"/>
        </w:rPr>
        <w:t>化率由</w:t>
      </w:r>
      <w:r>
        <w:rPr>
          <w:szCs w:val="21"/>
        </w:rPr>
        <w:t>68.53%提升至88.03%，能量消化率由48.43%提升至86.24%。相较于未发酵棉籽粕，发酵棉籽粕显著提升肠</w:t>
      </w:r>
      <w:r>
        <w:rPr>
          <w:rFonts w:hint="eastAsia"/>
          <w:szCs w:val="21"/>
        </w:rPr>
        <w:t>道组织的肠绒毛高度以及宽度，显著降低促炎因子（</w:t>
      </w:r>
      <w:r>
        <w:rPr>
          <w:i/>
          <w:szCs w:val="21"/>
        </w:rPr>
        <w:t>il</w:t>
      </w:r>
      <w:r>
        <w:rPr>
          <w:szCs w:val="21"/>
        </w:rPr>
        <w:t>6</w:t>
      </w:r>
      <w:r>
        <w:rPr>
          <w:i/>
          <w:szCs w:val="21"/>
        </w:rPr>
        <w:t>、il</w:t>
      </w:r>
      <w:r>
        <w:rPr>
          <w:szCs w:val="21"/>
        </w:rPr>
        <w:t>8）的mRNA表达，显著升高抗炎因子（</w:t>
      </w:r>
      <w:r>
        <w:rPr>
          <w:i/>
          <w:szCs w:val="21"/>
        </w:rPr>
        <w:t>tgf-β</w:t>
      </w:r>
      <w:r>
        <w:rPr>
          <w:szCs w:val="21"/>
        </w:rPr>
        <w:t>）的mRNA</w:t>
      </w:r>
      <w:r>
        <w:rPr>
          <w:rFonts w:hint="eastAsia"/>
          <w:szCs w:val="21"/>
        </w:rPr>
        <w:t>表达水平，显著升高抗氧化相关基因（</w:t>
      </w:r>
      <w:r>
        <w:rPr>
          <w:i/>
          <w:szCs w:val="21"/>
        </w:rPr>
        <w:t>cat、sod</w:t>
      </w:r>
      <w:r>
        <w:rPr>
          <w:szCs w:val="21"/>
        </w:rPr>
        <w:t>1</w:t>
      </w:r>
      <w:r>
        <w:rPr>
          <w:i/>
          <w:szCs w:val="21"/>
        </w:rPr>
        <w:t>、sod</w:t>
      </w:r>
      <w:r>
        <w:rPr>
          <w:szCs w:val="21"/>
        </w:rPr>
        <w:t>2</w:t>
      </w:r>
      <w:r>
        <w:rPr>
          <w:i/>
          <w:szCs w:val="21"/>
        </w:rPr>
        <w:t>、gpx</w:t>
      </w:r>
      <w:r>
        <w:rPr>
          <w:szCs w:val="21"/>
        </w:rPr>
        <w:t>1</w:t>
      </w:r>
      <w:r>
        <w:rPr>
          <w:i/>
          <w:szCs w:val="21"/>
        </w:rPr>
        <w:t>、keap</w:t>
      </w:r>
      <w:r>
        <w:rPr>
          <w:szCs w:val="21"/>
        </w:rPr>
        <w:t>1）的mRNA表达，降低</w:t>
      </w:r>
      <w:r>
        <w:rPr>
          <w:i/>
          <w:szCs w:val="21"/>
        </w:rPr>
        <w:t>nrf</w:t>
      </w:r>
      <w:r>
        <w:rPr>
          <w:szCs w:val="21"/>
        </w:rPr>
        <w:t>2的mRNA表达，显</w:t>
      </w:r>
      <w:r>
        <w:rPr>
          <w:rFonts w:hint="eastAsia"/>
          <w:szCs w:val="21"/>
        </w:rPr>
        <w:t>著提升总抗氧化能力（</w:t>
      </w:r>
      <w:r>
        <w:rPr>
          <w:szCs w:val="21"/>
        </w:rPr>
        <w:t>T-AOC）、CAT以及T-SOD酶活，降低MDA含量（</w:t>
      </w:r>
      <w:r>
        <w:rPr>
          <w:i/>
          <w:szCs w:val="21"/>
        </w:rPr>
        <w:t>P</w:t>
      </w:r>
      <w:r>
        <w:rPr>
          <w:szCs w:val="21"/>
        </w:rPr>
        <w:t>&lt;0.05），显著升高紧密连接相关基因</w:t>
      </w:r>
      <w:r>
        <w:rPr>
          <w:rFonts w:hint="eastAsia"/>
          <w:szCs w:val="21"/>
        </w:rPr>
        <w:t>（</w:t>
      </w:r>
      <w:r>
        <w:rPr>
          <w:i/>
          <w:szCs w:val="21"/>
        </w:rPr>
        <w:t>zo</w:t>
      </w:r>
      <w:r>
        <w:rPr>
          <w:szCs w:val="21"/>
        </w:rPr>
        <w:t>1</w:t>
      </w:r>
      <w:r>
        <w:rPr>
          <w:i/>
          <w:szCs w:val="21"/>
        </w:rPr>
        <w:t>、zo</w:t>
      </w:r>
      <w:r>
        <w:rPr>
          <w:szCs w:val="21"/>
        </w:rPr>
        <w:t>2</w:t>
      </w:r>
      <w:r>
        <w:rPr>
          <w:i/>
          <w:szCs w:val="21"/>
        </w:rPr>
        <w:t>、claudin</w:t>
      </w:r>
      <w:r>
        <w:rPr>
          <w:szCs w:val="21"/>
        </w:rPr>
        <w:t>1</w:t>
      </w:r>
      <w:r>
        <w:rPr>
          <w:i/>
          <w:szCs w:val="21"/>
        </w:rPr>
        <w:t>、claudin</w:t>
      </w:r>
      <w:r>
        <w:rPr>
          <w:szCs w:val="21"/>
        </w:rPr>
        <w:t>3</w:t>
      </w:r>
      <w:r>
        <w:rPr>
          <w:i/>
          <w:szCs w:val="21"/>
        </w:rPr>
        <w:t>、claudin</w:t>
      </w:r>
      <w:r>
        <w:rPr>
          <w:szCs w:val="21"/>
        </w:rPr>
        <w:t>4</w:t>
      </w:r>
      <w:r>
        <w:rPr>
          <w:i/>
          <w:szCs w:val="21"/>
        </w:rPr>
        <w:t>、occludin</w:t>
      </w:r>
      <w:r>
        <w:rPr>
          <w:szCs w:val="21"/>
        </w:rPr>
        <w:t>）的 mRNA 表达水平。此外，显著降低凋亡诱导相关基因</w:t>
      </w:r>
      <w:r>
        <w:rPr>
          <w:rFonts w:hint="eastAsia"/>
          <w:szCs w:val="21"/>
        </w:rPr>
        <w:t>（</w:t>
      </w:r>
      <w:r>
        <w:rPr>
          <w:i/>
          <w:szCs w:val="21"/>
        </w:rPr>
        <w:t>caspase</w:t>
      </w:r>
      <w:r>
        <w:rPr>
          <w:szCs w:val="21"/>
        </w:rPr>
        <w:t>3</w:t>
      </w:r>
      <w:r>
        <w:rPr>
          <w:i/>
          <w:szCs w:val="21"/>
        </w:rPr>
        <w:t>、caspase</w:t>
      </w:r>
      <w:r>
        <w:rPr>
          <w:szCs w:val="21"/>
        </w:rPr>
        <w:t>9</w:t>
      </w:r>
      <w:r>
        <w:rPr>
          <w:i/>
          <w:szCs w:val="21"/>
        </w:rPr>
        <w:t>、p</w:t>
      </w:r>
      <w:r>
        <w:rPr>
          <w:szCs w:val="21"/>
        </w:rPr>
        <w:t>53）的mRNA表达，显著升高抗凋亡蛋白</w:t>
      </w:r>
      <w:r>
        <w:rPr>
          <w:i/>
          <w:szCs w:val="21"/>
        </w:rPr>
        <w:t>bcl</w:t>
      </w:r>
      <w:r>
        <w:rPr>
          <w:szCs w:val="21"/>
        </w:rPr>
        <w:t>2的mRNA表达，显著降低Caspase3、Caspase9的酶活性。由此可见，固态发酵棉籽粕能显著提高黄颡鱼的生长性能以及对棉籽粕的营养物质消化率，显著</w:t>
      </w:r>
      <w:r>
        <w:rPr>
          <w:rFonts w:hint="eastAsia"/>
          <w:szCs w:val="21"/>
        </w:rPr>
        <w:t>缓解棉籽粕对黄颡鱼肠道健康的负面影响。</w:t>
      </w:r>
    </w:p>
    <w:p w14:paraId="70AF5850">
      <w:pPr>
        <w:rPr>
          <w:szCs w:val="21"/>
        </w:rPr>
      </w:pPr>
      <w:r>
        <w:rPr>
          <w:b/>
          <w:bCs/>
          <w:szCs w:val="21"/>
        </w:rPr>
        <w:t>关键词：</w:t>
      </w:r>
      <w:r>
        <w:rPr>
          <w:szCs w:val="21"/>
        </w:rPr>
        <w:t>黄颡鱼；棉籽粕；生长性能；营养物质消化率；肠道健康</w:t>
      </w:r>
    </w:p>
    <w:p w14:paraId="5E4575A3">
      <w:pPr>
        <w:jc w:val="center"/>
        <w:rPr>
          <w:b/>
          <w:bCs/>
          <w:sz w:val="24"/>
        </w:rPr>
      </w:pPr>
      <w:r>
        <w:rPr>
          <w:b/>
          <w:bCs/>
          <w:sz w:val="24"/>
        </w:rPr>
        <w:t>Effects of fermented cottonseed meal on growth performance, apparent digestibility and intestinal health of yellow catfish (Pelteobagrus fulvidraco)</w:t>
      </w:r>
    </w:p>
    <w:p w14:paraId="05076F5C">
      <w:pPr>
        <w:jc w:val="center"/>
        <w:rPr>
          <w:szCs w:val="22"/>
        </w:rPr>
      </w:pPr>
      <w:r>
        <w:rPr>
          <w:szCs w:val="22"/>
        </w:rPr>
        <w:t xml:space="preserve">ZOU Fengyu, JIA Bingyu, LUO Zhi, LIU Zhibo, KE Jiang, LIU Shengzan, TAN Xiaoying </w:t>
      </w:r>
    </w:p>
    <w:p w14:paraId="4FD2257A">
      <w:pPr>
        <w:jc w:val="center"/>
        <w:rPr>
          <w:szCs w:val="22"/>
        </w:rPr>
      </w:pPr>
      <w:r>
        <w:rPr>
          <w:szCs w:val="22"/>
        </w:rPr>
        <w:t>(</w:t>
      </w:r>
      <w:r>
        <w:rPr>
          <w:i/>
          <w:iCs/>
          <w:szCs w:val="22"/>
        </w:rPr>
        <w:t xml:space="preserve">College of Fisheries, Huazhong Agricultural University, Wuhan </w:t>
      </w:r>
      <w:r>
        <w:rPr>
          <w:iCs/>
          <w:szCs w:val="22"/>
        </w:rPr>
        <w:t>430070</w:t>
      </w:r>
      <w:r>
        <w:rPr>
          <w:i/>
          <w:iCs/>
          <w:szCs w:val="22"/>
        </w:rPr>
        <w:t>, China</w:t>
      </w:r>
      <w:r>
        <w:rPr>
          <w:szCs w:val="22"/>
        </w:rPr>
        <w:t>)</w:t>
      </w:r>
    </w:p>
    <w:p w14:paraId="70AFDBA8">
      <w:pPr>
        <w:rPr>
          <w:szCs w:val="22"/>
        </w:rPr>
      </w:pPr>
      <w:r>
        <w:rPr>
          <w:b/>
          <w:bCs/>
          <w:szCs w:val="22"/>
        </w:rPr>
        <w:t xml:space="preserve">Abstract: </w:t>
      </w:r>
      <w:r>
        <w:rPr>
          <w:szCs w:val="22"/>
        </w:rPr>
        <w:t>In order to explore the effects of fermented cottonseed meal on diets apparent digestibility and intestinal health of yellow catfish (</w:t>
      </w:r>
      <w:r>
        <w:rPr>
          <w:i/>
          <w:szCs w:val="22"/>
        </w:rPr>
        <w:t>Pelteobagrus fulvidraco</w:t>
      </w:r>
      <w:r>
        <w:rPr>
          <w:szCs w:val="22"/>
        </w:rPr>
        <w:t>), three groups of diets were designed. The first group was basic diet, with fish meal and soybean meal as the main protein sources. The second and third groups of diet were 70% basic diet plus 30% unfermented cottonseed meal or fermented cottonseed meal. WGR and SGR of yellow catfish in fermented cottonseed meal group were significantly higher than those in unfermented cottonseed meal group. In addition, after solid-state fermentation, the dry matter digestibility of cottonseed meal of yellow catfish increased from 35.64% to 82.10%, crude protein digestibility increased from 77.31% to 90.04%, crude fat digestibility increased from 68.53% to 88.03%, and energy digestibility increased from 48.43% to 86.24%. Compared with unfermented cottonseed meal, fermented cottonseed meal significantly increased the height and width of intestinal villi, significantly decreased the mRNA expression of pro-inflammatory factors (</w:t>
      </w:r>
      <w:r>
        <w:rPr>
          <w:i/>
          <w:szCs w:val="22"/>
        </w:rPr>
        <w:t>il</w:t>
      </w:r>
      <w:r>
        <w:rPr>
          <w:szCs w:val="22"/>
        </w:rPr>
        <w:t xml:space="preserve">6 and </w:t>
      </w:r>
      <w:r>
        <w:rPr>
          <w:i/>
          <w:szCs w:val="22"/>
        </w:rPr>
        <w:t>il</w:t>
      </w:r>
      <w:r>
        <w:rPr>
          <w:szCs w:val="22"/>
        </w:rPr>
        <w:t xml:space="preserve">8), increased the mRNA expression of anti-inflammatory factor </w:t>
      </w:r>
      <w:r>
        <w:rPr>
          <w:i/>
          <w:szCs w:val="22"/>
        </w:rPr>
        <w:t>tgf-β</w:t>
      </w:r>
      <w:r>
        <w:rPr>
          <w:szCs w:val="22"/>
        </w:rPr>
        <w:t>, significantly increased the mRNA expression of antioxidant related genes (</w:t>
      </w:r>
      <w:r>
        <w:rPr>
          <w:i/>
          <w:szCs w:val="22"/>
        </w:rPr>
        <w:t>cat, sod</w:t>
      </w:r>
      <w:r>
        <w:rPr>
          <w:szCs w:val="22"/>
        </w:rPr>
        <w:t>1</w:t>
      </w:r>
      <w:r>
        <w:rPr>
          <w:i/>
          <w:szCs w:val="22"/>
        </w:rPr>
        <w:t>, sod</w:t>
      </w:r>
      <w:r>
        <w:rPr>
          <w:szCs w:val="22"/>
        </w:rPr>
        <w:t>2</w:t>
      </w:r>
      <w:r>
        <w:rPr>
          <w:i/>
          <w:szCs w:val="22"/>
        </w:rPr>
        <w:t>, gpx</w:t>
      </w:r>
      <w:r>
        <w:rPr>
          <w:szCs w:val="22"/>
        </w:rPr>
        <w:t>1, and</w:t>
      </w:r>
      <w:r>
        <w:rPr>
          <w:i/>
          <w:szCs w:val="22"/>
        </w:rPr>
        <w:t xml:space="preserve"> keap</w:t>
      </w:r>
      <w:r>
        <w:rPr>
          <w:szCs w:val="22"/>
        </w:rPr>
        <w:t>1), and decreased the mRNA expression of nrf2. The total antioxidant capacity (T-AOC), CAT and T-SOD activity were significantly increased, MDA content was decreased, and the mRNA expression levels of tight junction related genes (</w:t>
      </w:r>
      <w:r>
        <w:rPr>
          <w:i/>
          <w:szCs w:val="22"/>
        </w:rPr>
        <w:t>zo</w:t>
      </w:r>
      <w:r>
        <w:rPr>
          <w:szCs w:val="22"/>
        </w:rPr>
        <w:t>1</w:t>
      </w:r>
      <w:r>
        <w:rPr>
          <w:i/>
          <w:szCs w:val="22"/>
        </w:rPr>
        <w:t>, zo</w:t>
      </w:r>
      <w:r>
        <w:rPr>
          <w:szCs w:val="22"/>
        </w:rPr>
        <w:t>2</w:t>
      </w:r>
      <w:r>
        <w:rPr>
          <w:i/>
          <w:szCs w:val="22"/>
        </w:rPr>
        <w:t>, claudin</w:t>
      </w:r>
      <w:r>
        <w:rPr>
          <w:szCs w:val="22"/>
        </w:rPr>
        <w:t>1</w:t>
      </w:r>
      <w:r>
        <w:rPr>
          <w:i/>
          <w:szCs w:val="22"/>
        </w:rPr>
        <w:t>, claudin</w:t>
      </w:r>
      <w:r>
        <w:rPr>
          <w:szCs w:val="22"/>
        </w:rPr>
        <w:t>3</w:t>
      </w:r>
      <w:r>
        <w:rPr>
          <w:i/>
          <w:szCs w:val="22"/>
        </w:rPr>
        <w:t>, claudin</w:t>
      </w:r>
      <w:r>
        <w:rPr>
          <w:szCs w:val="22"/>
        </w:rPr>
        <w:t xml:space="preserve">4, and </w:t>
      </w:r>
      <w:r>
        <w:rPr>
          <w:i/>
          <w:szCs w:val="22"/>
        </w:rPr>
        <w:t>occludin</w:t>
      </w:r>
      <w:r>
        <w:rPr>
          <w:szCs w:val="22"/>
        </w:rPr>
        <w:t>) were significantly increased. In addition, the mRNA expression of apoptosis-related genes (</w:t>
      </w:r>
      <w:r>
        <w:rPr>
          <w:i/>
          <w:szCs w:val="22"/>
        </w:rPr>
        <w:t>caspase</w:t>
      </w:r>
      <w:r>
        <w:rPr>
          <w:szCs w:val="22"/>
        </w:rPr>
        <w:t>3</w:t>
      </w:r>
      <w:r>
        <w:rPr>
          <w:i/>
          <w:szCs w:val="22"/>
        </w:rPr>
        <w:t>, caspase</w:t>
      </w:r>
      <w:r>
        <w:rPr>
          <w:szCs w:val="22"/>
        </w:rPr>
        <w:t xml:space="preserve">9, and </w:t>
      </w:r>
      <w:r>
        <w:rPr>
          <w:i/>
          <w:szCs w:val="22"/>
        </w:rPr>
        <w:t>p</w:t>
      </w:r>
      <w:r>
        <w:rPr>
          <w:szCs w:val="22"/>
        </w:rPr>
        <w:t>53) was significantly decreased, the</w:t>
      </w:r>
      <w:r>
        <w:rPr>
          <w:rFonts w:hint="eastAsia"/>
          <w:szCs w:val="22"/>
        </w:rPr>
        <w:t xml:space="preserve"> </w:t>
      </w:r>
      <w:r>
        <w:rPr>
          <w:szCs w:val="22"/>
        </w:rPr>
        <w:t>mRNA expression of anti-apoptosis protein bcl2 was significantly increased, and the enzyme activities of Caspase3 and Caspase9 were significantly decreased. Thus, solid-state fermentation of cottonseed meal can significantly improve the growth performance of yellow catfish and the nutrient digestibility of cottonseed meal, and significantly alleviate the negative effects of cottonseed meal on intestinal health.</w:t>
      </w:r>
    </w:p>
    <w:p w14:paraId="6CDB9095">
      <w:pPr>
        <w:rPr>
          <w:szCs w:val="22"/>
        </w:rPr>
      </w:pPr>
      <w:r>
        <w:rPr>
          <w:b/>
          <w:bCs/>
          <w:szCs w:val="22"/>
        </w:rPr>
        <w:t>Key words:</w:t>
      </w:r>
      <w:r>
        <w:rPr>
          <w:szCs w:val="22"/>
        </w:rPr>
        <w:t xml:space="preserve"> </w:t>
      </w:r>
      <w:r>
        <w:rPr>
          <w:i/>
          <w:szCs w:val="22"/>
        </w:rPr>
        <w:t>Pelteobagrus fulvidraco</w:t>
      </w:r>
      <w:r>
        <w:rPr>
          <w:szCs w:val="22"/>
        </w:rPr>
        <w:t>; cottonseed meal; growth performance; apparent digestibility; intestinal health</w:t>
      </w:r>
    </w:p>
    <w:p w14:paraId="67AF4318">
      <w:pPr>
        <w:rPr>
          <w:szCs w:val="22"/>
        </w:rPr>
      </w:pPr>
    </w:p>
    <w:p w14:paraId="11A5E147">
      <w:pPr>
        <w:spacing w:line="360" w:lineRule="auto"/>
        <w:ind w:firstLine="480" w:firstLineChars="200"/>
        <w:rPr>
          <w:sz w:val="24"/>
          <w:szCs w:val="22"/>
        </w:rPr>
      </w:pPr>
      <w:r>
        <w:rPr>
          <w:rFonts w:hint="eastAsia"/>
          <w:sz w:val="24"/>
          <w:szCs w:val="22"/>
        </w:rPr>
        <w:t>鱼粉（</w:t>
      </w:r>
      <w:r>
        <w:rPr>
          <w:sz w:val="24"/>
          <w:szCs w:val="22"/>
        </w:rPr>
        <w:t>Fish meal，FM）一直以来都是水产养殖饲料的最佳蛋白质来源，具有比例平衡的必需氨</w:t>
      </w:r>
      <w:r>
        <w:rPr>
          <w:rFonts w:hint="eastAsia"/>
          <w:sz w:val="24"/>
          <w:szCs w:val="22"/>
        </w:rPr>
        <w:t>基酸、脂肪酸和矿物质等营养物质，碳水化合物含量低，不含可导致低适口性和低消化率的抗营养因子</w:t>
      </w:r>
      <w:r>
        <w:rPr>
          <w:sz w:val="24"/>
          <w:szCs w:val="22"/>
          <w:vertAlign w:val="superscript"/>
        </w:rPr>
        <w:t>[1]</w:t>
      </w:r>
      <w:r>
        <w:rPr>
          <w:sz w:val="24"/>
          <w:szCs w:val="22"/>
        </w:rPr>
        <w:t>。然而，全球鱼粉产量目前不能满足快速增长的水产养殖饲料需求，鱼粉价格正在稳步上涨</w:t>
      </w:r>
      <w:r>
        <w:rPr>
          <w:sz w:val="24"/>
          <w:szCs w:val="22"/>
          <w:vertAlign w:val="superscript"/>
        </w:rPr>
        <w:t>[2-3]</w:t>
      </w:r>
      <w:r>
        <w:rPr>
          <w:sz w:val="24"/>
          <w:szCs w:val="22"/>
        </w:rPr>
        <w:t>。</w:t>
      </w:r>
      <w:r>
        <w:rPr>
          <w:rFonts w:hint="eastAsia"/>
          <w:sz w:val="24"/>
          <w:szCs w:val="22"/>
        </w:rPr>
        <w:t>因此，寻找合适的替代蛋白源是当务之急。在水产养殖饲料中，人们研究多种蛋白源替代鱼粉。其中，植物蛋白因其价格低廉、蛋白质含量高以及氨基酸组成较为平衡而备受关注</w:t>
      </w:r>
      <w:r>
        <w:rPr>
          <w:sz w:val="24"/>
          <w:szCs w:val="22"/>
          <w:vertAlign w:val="superscript"/>
        </w:rPr>
        <w:t>[4]</w:t>
      </w:r>
      <w:r>
        <w:rPr>
          <w:sz w:val="24"/>
          <w:szCs w:val="22"/>
        </w:rPr>
        <w:t>。</w:t>
      </w:r>
    </w:p>
    <w:p w14:paraId="06469174">
      <w:pPr>
        <w:spacing w:line="360" w:lineRule="auto"/>
        <w:ind w:firstLine="480" w:firstLineChars="200"/>
        <w:rPr>
          <w:sz w:val="24"/>
          <w:szCs w:val="22"/>
        </w:rPr>
      </w:pPr>
      <w:r>
        <w:rPr>
          <w:rFonts w:hint="eastAsia"/>
          <w:sz w:val="24"/>
          <w:szCs w:val="22"/>
        </w:rPr>
        <w:t>棉籽粕（</w:t>
      </w:r>
      <w:r>
        <w:rPr>
          <w:sz w:val="24"/>
          <w:szCs w:val="22"/>
        </w:rPr>
        <w:t>Cottonseed meal，CSM）是一种传统的重要植物蛋白来源</w:t>
      </w:r>
      <w:r>
        <w:rPr>
          <w:sz w:val="24"/>
          <w:szCs w:val="22"/>
          <w:vertAlign w:val="superscript"/>
        </w:rPr>
        <w:t>[5]</w:t>
      </w:r>
      <w:r>
        <w:rPr>
          <w:sz w:val="24"/>
          <w:szCs w:val="22"/>
        </w:rPr>
        <w:t>。与其他植物蛋白源相比，</w:t>
      </w:r>
      <w:r>
        <w:rPr>
          <w:rFonts w:hint="eastAsia"/>
          <w:sz w:val="24"/>
          <w:szCs w:val="22"/>
        </w:rPr>
        <w:t>具有产量高、蛋白质含量高</w:t>
      </w:r>
      <w:r>
        <w:rPr>
          <w:rFonts w:hint="eastAsia"/>
          <w:sz w:val="24"/>
          <w:szCs w:val="22"/>
          <w:lang w:eastAsia="zh-CN"/>
        </w:rPr>
        <w:t>、</w:t>
      </w:r>
      <w:r>
        <w:rPr>
          <w:rFonts w:hint="eastAsia"/>
          <w:sz w:val="24"/>
          <w:szCs w:val="22"/>
        </w:rPr>
        <w:t>价格较低等明显优势。目前，已作为一种植物蛋白源广泛用于水生动物的饲料配方中，如鲫（</w:t>
      </w:r>
      <w:r>
        <w:rPr>
          <w:i/>
          <w:sz w:val="24"/>
          <w:szCs w:val="22"/>
        </w:rPr>
        <w:t>Carassius auratus</w:t>
      </w:r>
      <w:r>
        <w:rPr>
          <w:sz w:val="24"/>
          <w:szCs w:val="22"/>
        </w:rPr>
        <w:t>）</w:t>
      </w:r>
      <w:r>
        <w:rPr>
          <w:sz w:val="24"/>
          <w:szCs w:val="22"/>
          <w:vertAlign w:val="superscript"/>
        </w:rPr>
        <w:t>[6]</w:t>
      </w:r>
      <w:r>
        <w:rPr>
          <w:sz w:val="24"/>
          <w:szCs w:val="22"/>
        </w:rPr>
        <w:t>和尼罗罗非鱼（</w:t>
      </w:r>
      <w:r>
        <w:rPr>
          <w:i/>
          <w:sz w:val="24"/>
          <w:szCs w:val="22"/>
        </w:rPr>
        <w:t>Oreochromis niloticus</w:t>
      </w:r>
      <w:r>
        <w:rPr>
          <w:sz w:val="24"/>
          <w:szCs w:val="22"/>
        </w:rPr>
        <w:t>）</w:t>
      </w:r>
      <w:r>
        <w:rPr>
          <w:sz w:val="24"/>
          <w:szCs w:val="22"/>
          <w:vertAlign w:val="superscript"/>
        </w:rPr>
        <w:t>[7]</w:t>
      </w:r>
      <w:r>
        <w:rPr>
          <w:sz w:val="24"/>
          <w:szCs w:val="22"/>
        </w:rPr>
        <w:t>。然而，对棉</w:t>
      </w:r>
      <w:r>
        <w:rPr>
          <w:rFonts w:hint="eastAsia"/>
          <w:sz w:val="24"/>
          <w:szCs w:val="22"/>
        </w:rPr>
        <w:t>籽粕、棉籽浓缩蛋白（</w:t>
      </w:r>
      <w:r>
        <w:rPr>
          <w:sz w:val="24"/>
          <w:szCs w:val="22"/>
        </w:rPr>
        <w:t>CPC）和游离棉酚在水产养殖中的一些研究已获得类似的结果，即当替代比例</w:t>
      </w:r>
      <w:r>
        <w:rPr>
          <w:rFonts w:hint="eastAsia"/>
          <w:sz w:val="24"/>
          <w:szCs w:val="22"/>
        </w:rPr>
        <w:t>过高时，往往会损害鱼类的生长性能，推测主要原因是抗营养因子影响营养物质的消化和吸收，同时产生毒性作用，最终损害鱼类的生长性能和健康状态</w:t>
      </w:r>
      <w:r>
        <w:rPr>
          <w:sz w:val="24"/>
          <w:szCs w:val="22"/>
          <w:vertAlign w:val="superscript"/>
        </w:rPr>
        <w:t>[8-11]</w:t>
      </w:r>
      <w:r>
        <w:rPr>
          <w:sz w:val="24"/>
          <w:szCs w:val="22"/>
        </w:rPr>
        <w:t xml:space="preserve">。 </w:t>
      </w:r>
    </w:p>
    <w:p w14:paraId="51F7570F">
      <w:pPr>
        <w:spacing w:line="360" w:lineRule="auto"/>
        <w:ind w:firstLine="480" w:firstLineChars="200"/>
        <w:rPr>
          <w:sz w:val="24"/>
          <w:szCs w:val="22"/>
        </w:rPr>
      </w:pPr>
      <w:r>
        <w:rPr>
          <w:rFonts w:hint="eastAsia"/>
          <w:sz w:val="24"/>
          <w:szCs w:val="22"/>
        </w:rPr>
        <w:t>发酵棉籽粕是通过将棉籽粕与芽孢杆菌或真菌等有益微生物混合进行发酵而得到的</w:t>
      </w:r>
      <w:r>
        <w:rPr>
          <w:sz w:val="24"/>
          <w:szCs w:val="22"/>
          <w:vertAlign w:val="superscript"/>
        </w:rPr>
        <w:t>[12-13]</w:t>
      </w:r>
      <w:r>
        <w:rPr>
          <w:sz w:val="24"/>
          <w:szCs w:val="22"/>
        </w:rPr>
        <w:t>。在发酵</w:t>
      </w:r>
      <w:r>
        <w:rPr>
          <w:rFonts w:hint="eastAsia"/>
          <w:sz w:val="24"/>
          <w:szCs w:val="22"/>
        </w:rPr>
        <w:t>过程中，抗营养因子含量下降，而蛋白质大分子被微生物分泌的酶快速水解成小分子多肽</w:t>
      </w:r>
      <w:r>
        <w:rPr>
          <w:sz w:val="24"/>
          <w:szCs w:val="22"/>
          <w:vertAlign w:val="superscript"/>
        </w:rPr>
        <w:t>[12-14]</w:t>
      </w:r>
      <w:r>
        <w:rPr>
          <w:sz w:val="24"/>
          <w:szCs w:val="22"/>
        </w:rPr>
        <w:t>。然</w:t>
      </w:r>
      <w:r>
        <w:rPr>
          <w:rFonts w:hint="eastAsia"/>
          <w:sz w:val="24"/>
          <w:szCs w:val="22"/>
        </w:rPr>
        <w:t>而，目前在水产养殖业中，对棉籽粕和发酵棉籽粕的比较研究还很少。</w:t>
      </w:r>
    </w:p>
    <w:p w14:paraId="6CFE723A">
      <w:pPr>
        <w:spacing w:line="360" w:lineRule="auto"/>
        <w:ind w:firstLine="480" w:firstLineChars="200"/>
        <w:rPr>
          <w:sz w:val="24"/>
          <w:szCs w:val="22"/>
        </w:rPr>
      </w:pPr>
      <w:r>
        <w:rPr>
          <w:rFonts w:hint="eastAsia"/>
          <w:sz w:val="24"/>
          <w:szCs w:val="22"/>
        </w:rPr>
        <w:t>黄颡鱼是中国重要的淡水养殖鱼类</w:t>
      </w:r>
      <w:r>
        <w:rPr>
          <w:sz w:val="24"/>
          <w:szCs w:val="22"/>
          <w:vertAlign w:val="superscript"/>
        </w:rPr>
        <w:t>[15]</w:t>
      </w:r>
      <w:r>
        <w:rPr>
          <w:sz w:val="24"/>
          <w:szCs w:val="22"/>
        </w:rPr>
        <w:t>。由于其肉质鲜嫩以及高存活率，具有广阔的市场前景。然</w:t>
      </w:r>
      <w:r>
        <w:rPr>
          <w:rFonts w:hint="eastAsia"/>
          <w:sz w:val="24"/>
          <w:szCs w:val="22"/>
        </w:rPr>
        <w:t>而，目前，鱼粉价格的上涨和资源的短缺成为限制其在水产饲料中广泛应用的主要因素。因此，寻找合适的植物蛋白源来替代饲料中的鱼粉，以此降低成本，提高经济效益，对促进黄颡鱼养殖业的发展具有重要意义。本试验旨在评价发酵棉籽粕对黄颡鱼生长性能、消化率及肠道健康状况的影响。</w:t>
      </w:r>
    </w:p>
    <w:p w14:paraId="61864661">
      <w:pPr>
        <w:tabs>
          <w:tab w:val="left" w:pos="6490"/>
        </w:tabs>
        <w:spacing w:line="360" w:lineRule="auto"/>
        <w:rPr>
          <w:sz w:val="24"/>
          <w:szCs w:val="22"/>
        </w:rPr>
      </w:pPr>
      <w:r>
        <w:rPr>
          <w:sz w:val="24"/>
          <w:szCs w:val="22"/>
        </w:rPr>
        <w:t>1材料与方法</w:t>
      </w:r>
    </w:p>
    <w:p w14:paraId="0BC70529">
      <w:pPr>
        <w:spacing w:line="360" w:lineRule="auto"/>
        <w:rPr>
          <w:sz w:val="24"/>
          <w:szCs w:val="22"/>
        </w:rPr>
      </w:pPr>
      <w:r>
        <w:rPr>
          <w:sz w:val="24"/>
          <w:szCs w:val="22"/>
        </w:rPr>
        <w:t>1.1</w:t>
      </w:r>
      <w:r>
        <w:rPr>
          <w:rFonts w:hint="eastAsia"/>
          <w:sz w:val="24"/>
          <w:szCs w:val="22"/>
        </w:rPr>
        <w:t>固态发酵棉籽粕的制备</w:t>
      </w:r>
    </w:p>
    <w:p w14:paraId="2A6FB7DF">
      <w:pPr>
        <w:spacing w:line="360" w:lineRule="auto"/>
        <w:ind w:firstLine="480" w:firstLineChars="200"/>
        <w:rPr>
          <w:sz w:val="24"/>
          <w:szCs w:val="22"/>
        </w:rPr>
      </w:pPr>
      <w:r>
        <w:rPr>
          <w:rFonts w:hint="eastAsia"/>
          <w:sz w:val="24"/>
          <w:szCs w:val="22"/>
        </w:rPr>
        <w:t>棉籽粕发酵所接种菌液体积为枯草芽孢杆菌（</w:t>
      </w:r>
      <w:r>
        <w:rPr>
          <w:sz w:val="24"/>
          <w:szCs w:val="22"/>
        </w:rPr>
        <w:t>3%）</w:t>
      </w:r>
      <w:r>
        <w:rPr>
          <w:rFonts w:hint="eastAsia" w:ascii="宋体" w:hAnsi="宋体" w:cs="宋体"/>
          <w:sz w:val="24"/>
          <w:szCs w:val="22"/>
        </w:rPr>
        <w:t>∶</w:t>
      </w:r>
      <w:r>
        <w:rPr>
          <w:sz w:val="24"/>
          <w:szCs w:val="22"/>
        </w:rPr>
        <w:t>酿酒酵母（3%）</w:t>
      </w:r>
      <w:r>
        <w:rPr>
          <w:rFonts w:hint="eastAsia" w:ascii="宋体" w:hAnsi="宋体" w:cs="宋体"/>
          <w:sz w:val="24"/>
          <w:szCs w:val="22"/>
        </w:rPr>
        <w:t>∶</w:t>
      </w:r>
      <w:r>
        <w:rPr>
          <w:sz w:val="24"/>
          <w:szCs w:val="22"/>
        </w:rPr>
        <w:t>植物乳杆菌（6%）=1</w:t>
      </w:r>
      <w:r>
        <w:rPr>
          <w:rFonts w:hint="eastAsia" w:ascii="宋体" w:hAnsi="宋体" w:cs="宋体"/>
          <w:sz w:val="24"/>
          <w:szCs w:val="22"/>
        </w:rPr>
        <w:t>∶</w:t>
      </w:r>
      <w:r>
        <w:rPr>
          <w:sz w:val="24"/>
          <w:szCs w:val="22"/>
        </w:rPr>
        <w:t>1</w:t>
      </w:r>
      <w:r>
        <w:rPr>
          <w:rFonts w:hint="eastAsia" w:ascii="宋体" w:hAnsi="宋体" w:cs="宋体"/>
          <w:sz w:val="24"/>
          <w:szCs w:val="22"/>
        </w:rPr>
        <w:t>∶</w:t>
      </w:r>
      <w:r>
        <w:rPr>
          <w:sz w:val="24"/>
          <w:szCs w:val="22"/>
        </w:rPr>
        <w:t>2，其中各菌种的活菌数为枯草芽孢杆菌（2.08×10</w:t>
      </w:r>
      <w:r>
        <w:rPr>
          <w:sz w:val="24"/>
          <w:szCs w:val="22"/>
          <w:vertAlign w:val="superscript"/>
        </w:rPr>
        <w:t>8</w:t>
      </w:r>
      <w:r>
        <w:rPr>
          <w:sz w:val="24"/>
          <w:szCs w:val="22"/>
        </w:rPr>
        <w:t xml:space="preserve"> CFU/mL）、酿酒酵母（1.25×10</w:t>
      </w:r>
      <w:r>
        <w:rPr>
          <w:sz w:val="24"/>
          <w:szCs w:val="22"/>
          <w:vertAlign w:val="superscript"/>
        </w:rPr>
        <w:t>7</w:t>
      </w:r>
      <w:r>
        <w:rPr>
          <w:sz w:val="24"/>
          <w:szCs w:val="22"/>
        </w:rPr>
        <w:t xml:space="preserve"> CFU/mL）、植物乳杆菌（1.36×10</w:t>
      </w:r>
      <w:r>
        <w:rPr>
          <w:sz w:val="24"/>
          <w:szCs w:val="22"/>
          <w:vertAlign w:val="superscript"/>
        </w:rPr>
        <w:t>8</w:t>
      </w:r>
      <w:r>
        <w:rPr>
          <w:sz w:val="24"/>
          <w:szCs w:val="22"/>
        </w:rPr>
        <w:t xml:space="preserve"> CFU/mL），添加灭菌水使得初始水分含量为60%，植酸酶添加量</w:t>
      </w:r>
      <w:r>
        <w:rPr>
          <w:rFonts w:hint="eastAsia"/>
          <w:sz w:val="24"/>
          <w:szCs w:val="22"/>
        </w:rPr>
        <w:t>为</w:t>
      </w:r>
      <w:r>
        <w:rPr>
          <w:sz w:val="24"/>
          <w:szCs w:val="22"/>
        </w:rPr>
        <w:t>0.1%，纤维素酶添加量为1.25%，放入恒温振荡培养箱中，发酵温度37℃，先好氧发酵48 h（采</w:t>
      </w:r>
      <w:r>
        <w:rPr>
          <w:rFonts w:hint="eastAsia"/>
          <w:sz w:val="24"/>
          <w:szCs w:val="22"/>
        </w:rPr>
        <w:t>用</w:t>
      </w:r>
      <w:r>
        <w:rPr>
          <w:sz w:val="24"/>
          <w:szCs w:val="22"/>
        </w:rPr>
        <w:t>3层透气膜封口，保持物料蓬松，每12 h搅拌1次），再厌氧发酵（三层透气膜加一层保鲜膜封</w:t>
      </w:r>
      <w:r>
        <w:rPr>
          <w:rFonts w:hint="eastAsia"/>
          <w:sz w:val="24"/>
          <w:szCs w:val="22"/>
        </w:rPr>
        <w:t>口，将物料压实，且不搅拌）</w:t>
      </w:r>
      <w:r>
        <w:rPr>
          <w:sz w:val="24"/>
          <w:szCs w:val="22"/>
        </w:rPr>
        <w:t>48 h，发酵完成后，收集发酵原料，55℃烘干24 h，粉碎机粉碎至过40</w:t>
      </w:r>
      <w:r>
        <w:rPr>
          <w:rFonts w:hint="eastAsia"/>
          <w:sz w:val="24"/>
          <w:szCs w:val="22"/>
        </w:rPr>
        <w:t>目筛，放至</w:t>
      </w:r>
      <w:r>
        <w:rPr>
          <w:sz w:val="24"/>
          <w:szCs w:val="22"/>
        </w:rPr>
        <w:t>-20℃保存。其中枯草芽孢杆菌购自中国典型培养物保藏中心；酿酒酵母和植物乳杆菌均</w:t>
      </w:r>
      <w:r>
        <w:rPr>
          <w:rFonts w:hint="eastAsia"/>
          <w:sz w:val="24"/>
          <w:szCs w:val="22"/>
        </w:rPr>
        <w:t>由华中农业大学生命科学技术学院发酵与酶工程教研室惠赠。</w:t>
      </w:r>
    </w:p>
    <w:p w14:paraId="4218E608">
      <w:pPr>
        <w:spacing w:line="360" w:lineRule="auto"/>
        <w:rPr>
          <w:sz w:val="24"/>
          <w:szCs w:val="22"/>
        </w:rPr>
      </w:pPr>
      <w:r>
        <w:rPr>
          <w:sz w:val="24"/>
          <w:szCs w:val="22"/>
        </w:rPr>
        <w:t>1.2</w:t>
      </w:r>
      <w:r>
        <w:rPr>
          <w:rFonts w:hint="eastAsia"/>
          <w:sz w:val="24"/>
          <w:szCs w:val="22"/>
        </w:rPr>
        <w:t>饲料配制</w:t>
      </w:r>
    </w:p>
    <w:p w14:paraId="7777FF33">
      <w:pPr>
        <w:spacing w:line="360" w:lineRule="auto"/>
        <w:ind w:firstLine="480" w:firstLineChars="200"/>
        <w:rPr>
          <w:sz w:val="24"/>
          <w:szCs w:val="22"/>
        </w:rPr>
      </w:pPr>
      <w:r>
        <w:rPr>
          <w:rFonts w:hint="eastAsia"/>
          <w:sz w:val="24"/>
          <w:szCs w:val="22"/>
        </w:rPr>
        <w:t>本实验共设计三组饲料，分别是一组基础饲料以及两组实验饲料，基础饲料配制参考本实验室之前所设计的饲料配方</w:t>
      </w:r>
      <w:r>
        <w:rPr>
          <w:sz w:val="24"/>
          <w:szCs w:val="22"/>
          <w:vertAlign w:val="superscript"/>
        </w:rPr>
        <w:t>[16]</w:t>
      </w:r>
      <w:r>
        <w:rPr>
          <w:sz w:val="24"/>
          <w:szCs w:val="22"/>
        </w:rPr>
        <w:t>，以鱼粉、鸡架粉、豆粕为主要蛋白质来</w:t>
      </w:r>
      <w:r>
        <w:rPr>
          <w:rFonts w:hint="eastAsia"/>
          <w:sz w:val="24"/>
          <w:szCs w:val="22"/>
        </w:rPr>
        <w:t>源,</w:t>
      </w:r>
      <w:r>
        <w:rPr>
          <w:sz w:val="24"/>
          <w:szCs w:val="22"/>
        </w:rPr>
        <w:t>添加0.5‰</w:t>
      </w:r>
      <w:r>
        <w:rPr>
          <w:rFonts w:hint="eastAsia"/>
          <w:sz w:val="24"/>
          <w:szCs w:val="22"/>
        </w:rPr>
        <w:t xml:space="preserve"> </w:t>
      </w:r>
      <w:r>
        <w:rPr>
          <w:sz w:val="24"/>
          <w:szCs w:val="22"/>
        </w:rPr>
        <w:t>Y</w:t>
      </w:r>
      <w:r>
        <w:rPr>
          <w:sz w:val="24"/>
          <w:szCs w:val="22"/>
          <w:vertAlign w:val="subscript"/>
        </w:rPr>
        <w:t>2</w:t>
      </w:r>
      <w:r>
        <w:rPr>
          <w:sz w:val="24"/>
          <w:szCs w:val="22"/>
        </w:rPr>
        <w:t>O</w:t>
      </w:r>
      <w:r>
        <w:rPr>
          <w:sz w:val="24"/>
          <w:szCs w:val="22"/>
          <w:vertAlign w:val="subscript"/>
        </w:rPr>
        <w:t>3</w:t>
      </w:r>
      <w:r>
        <w:rPr>
          <w:sz w:val="24"/>
          <w:szCs w:val="22"/>
        </w:rPr>
        <w:t>作为外源指</w:t>
      </w:r>
      <w:r>
        <w:rPr>
          <w:rFonts w:hint="eastAsia"/>
          <w:sz w:val="24"/>
          <w:szCs w:val="22"/>
        </w:rPr>
        <w:t>示剂,实验饲料由</w:t>
      </w:r>
      <w:r>
        <w:rPr>
          <w:sz w:val="24"/>
          <w:szCs w:val="22"/>
        </w:rPr>
        <w:t>70%基础饲料和30%待测原料组</w:t>
      </w:r>
      <w:r>
        <w:rPr>
          <w:rFonts w:hint="eastAsia"/>
          <w:sz w:val="24"/>
          <w:szCs w:val="22"/>
        </w:rPr>
        <w:t>成,两</w:t>
      </w:r>
      <w:r>
        <w:rPr>
          <w:sz w:val="24"/>
          <w:szCs w:val="22"/>
        </w:rPr>
        <w:t>种待测原料分别为棉籽粕和发酵</w:t>
      </w:r>
      <w:r>
        <w:rPr>
          <w:rFonts w:hint="eastAsia"/>
          <w:sz w:val="24"/>
          <w:szCs w:val="22"/>
        </w:rPr>
        <w:t>棉籽粕｡将原料研磨并通过</w:t>
      </w:r>
      <w:r>
        <w:rPr>
          <w:sz w:val="24"/>
          <w:szCs w:val="22"/>
        </w:rPr>
        <w:t>60目筛网</w:t>
      </w:r>
      <w:r>
        <w:rPr>
          <w:rFonts w:hint="eastAsia"/>
          <w:sz w:val="24"/>
          <w:szCs w:val="22"/>
        </w:rPr>
        <w:t>过筛,然后</w:t>
      </w:r>
      <w:r>
        <w:rPr>
          <w:sz w:val="24"/>
          <w:szCs w:val="22"/>
        </w:rPr>
        <w:t>彻底混合并用实验室压粒机制</w:t>
      </w:r>
      <w:r>
        <w:rPr>
          <w:rFonts w:hint="eastAsia"/>
          <w:sz w:val="24"/>
          <w:szCs w:val="22"/>
        </w:rPr>
        <w:t>成颗粒｡所</w:t>
      </w:r>
      <w:r>
        <w:rPr>
          <w:sz w:val="24"/>
          <w:szCs w:val="22"/>
        </w:rPr>
        <w:t>有饲料均在60</w:t>
      </w:r>
      <w:r>
        <w:rPr>
          <w:rFonts w:hint="eastAsia"/>
          <w:sz w:val="24"/>
          <w:szCs w:val="22"/>
        </w:rPr>
        <w:t>℃</w:t>
      </w:r>
      <w:r>
        <w:rPr>
          <w:sz w:val="24"/>
          <w:szCs w:val="22"/>
        </w:rPr>
        <w:t>下烘干</w:t>
      </w:r>
      <w:r>
        <w:rPr>
          <w:rFonts w:hint="eastAsia"/>
          <w:sz w:val="24"/>
          <w:szCs w:val="22"/>
        </w:rPr>
        <w:t>并在</w:t>
      </w:r>
      <w:r>
        <w:rPr>
          <w:sz w:val="24"/>
          <w:szCs w:val="22"/>
        </w:rPr>
        <w:t>-20</w:t>
      </w:r>
      <w:r>
        <w:rPr>
          <w:rFonts w:hint="eastAsia"/>
          <w:sz w:val="24"/>
          <w:szCs w:val="22"/>
        </w:rPr>
        <w:t>℃</w:t>
      </w:r>
      <w:r>
        <w:rPr>
          <w:sz w:val="24"/>
          <w:szCs w:val="22"/>
        </w:rPr>
        <w:t>下</w:t>
      </w:r>
      <w:r>
        <w:rPr>
          <w:rFonts w:hint="eastAsia"/>
          <w:sz w:val="24"/>
          <w:szCs w:val="22"/>
        </w:rPr>
        <w:t>储存｡实验</w:t>
      </w:r>
      <w:r>
        <w:rPr>
          <w:sz w:val="24"/>
          <w:szCs w:val="22"/>
        </w:rPr>
        <w:t>饲料的配方及营养组分见表1</w:t>
      </w:r>
      <w:r>
        <w:rPr>
          <w:rFonts w:hint="eastAsia"/>
          <w:sz w:val="24"/>
          <w:szCs w:val="22"/>
        </w:rPr>
        <w:t>｡</w:t>
      </w:r>
    </w:p>
    <w:p w14:paraId="6677EF15">
      <w:pPr>
        <w:spacing w:line="360" w:lineRule="auto"/>
        <w:rPr>
          <w:sz w:val="24"/>
          <w:szCs w:val="22"/>
        </w:rPr>
      </w:pPr>
      <w:r>
        <w:rPr>
          <w:sz w:val="24"/>
          <w:szCs w:val="22"/>
        </w:rPr>
        <w:t>1.3</w:t>
      </w:r>
      <w:r>
        <w:rPr>
          <w:rFonts w:hint="eastAsia"/>
          <w:sz w:val="24"/>
          <w:szCs w:val="22"/>
        </w:rPr>
        <w:t>饲养管理以及粪便收集</w:t>
      </w:r>
    </w:p>
    <w:p w14:paraId="2801982B">
      <w:pPr>
        <w:spacing w:line="360" w:lineRule="auto"/>
        <w:ind w:firstLine="480" w:firstLineChars="200"/>
        <w:rPr>
          <w:sz w:val="24"/>
          <w:szCs w:val="22"/>
        </w:rPr>
      </w:pPr>
      <w:r>
        <w:rPr>
          <w:rFonts w:hint="eastAsia"/>
          <w:sz w:val="24"/>
          <w:szCs w:val="22"/>
        </w:rPr>
        <w:t>实验用的黄颡鱼购于武汉市当地渔场，初始体重为（</w:t>
      </w:r>
      <w:r>
        <w:rPr>
          <w:sz w:val="24"/>
          <w:szCs w:val="22"/>
        </w:rPr>
        <w:t>6.20 ± 0.2）g。本研究所有实验程序均遵循</w:t>
      </w:r>
      <w:r>
        <w:rPr>
          <w:rFonts w:hint="eastAsia"/>
          <w:sz w:val="24"/>
          <w:szCs w:val="22"/>
        </w:rPr>
        <w:t>华中农业大学关于实验动物使用的伦理规范，并经华中农业大学伦理委员会批准。正式实验前先暂养于华中农业大学水产养殖基地养殖系统（</w:t>
      </w:r>
      <w:r>
        <w:rPr>
          <w:sz w:val="24"/>
          <w:szCs w:val="22"/>
        </w:rPr>
        <w:t>300 L养殖桶，直径75 cm，高75 cm）中，药浴消毒，并用</w:t>
      </w:r>
      <w:r>
        <w:rPr>
          <w:rFonts w:hint="eastAsia"/>
          <w:sz w:val="24"/>
          <w:szCs w:val="22"/>
        </w:rPr>
        <w:t>基础组饲料驯养</w:t>
      </w:r>
      <w:r>
        <w:rPr>
          <w:sz w:val="24"/>
          <w:szCs w:val="22"/>
        </w:rPr>
        <w:t>2周，让其适应实验条件与实验饲料。本实验在室内静水养殖系统中进行。将所有实</w:t>
      </w:r>
      <w:r>
        <w:rPr>
          <w:rFonts w:hint="eastAsia"/>
          <w:sz w:val="24"/>
          <w:szCs w:val="22"/>
        </w:rPr>
        <w:t>验鱼分别放养于</w:t>
      </w:r>
      <w:r>
        <w:rPr>
          <w:sz w:val="24"/>
          <w:szCs w:val="22"/>
        </w:rPr>
        <w:t>9个养殖桶（容积300 L）中，每个养殖桶中放养20尾无畸形、标准体型的鱼，水源</w:t>
      </w:r>
      <w:r>
        <w:rPr>
          <w:rFonts w:hint="eastAsia"/>
          <w:sz w:val="24"/>
          <w:szCs w:val="22"/>
        </w:rPr>
        <w:t>为曝气自来水。每种饲料设</w:t>
      </w:r>
      <w:r>
        <w:rPr>
          <w:sz w:val="24"/>
          <w:szCs w:val="22"/>
        </w:rPr>
        <w:t>3个重复，将饲料完全随机地分配到3个养殖桶中。每天按照体重的3%~5%作为投喂量，并根据鱼体质量变化调整投喂量，每天投喂2次（8:30、16:30）。每天记录摄</w:t>
      </w:r>
      <w:r>
        <w:rPr>
          <w:rFonts w:hint="eastAsia"/>
          <w:sz w:val="24"/>
          <w:szCs w:val="22"/>
        </w:rPr>
        <w:t>食量和死亡数量。喂食期间，每天喂食前吸出粪便及残饵，然后换水</w:t>
      </w:r>
      <w:r>
        <w:rPr>
          <w:sz w:val="24"/>
          <w:szCs w:val="22"/>
        </w:rPr>
        <w:t>1/3，并及时监测水质变化。整</w:t>
      </w:r>
      <w:r>
        <w:rPr>
          <w:rFonts w:hint="eastAsia"/>
          <w:sz w:val="24"/>
          <w:szCs w:val="22"/>
        </w:rPr>
        <w:t>个实验期间，水温为</w:t>
      </w:r>
      <w:r>
        <w:rPr>
          <w:sz w:val="24"/>
          <w:szCs w:val="22"/>
        </w:rPr>
        <w:t>28.3~29.4℃，pH为8.50 ± 0.30，其间不断充气增氧，保持溶解氧含量不低于5 mg/L，氨氮浓度不高于0.1 mg/L，亚硝酸盐浓度不高于0.005 mg/L。每2周和实验末对实验鱼进行称</w:t>
      </w:r>
      <w:r>
        <w:rPr>
          <w:rFonts w:hint="eastAsia"/>
          <w:sz w:val="24"/>
          <w:szCs w:val="22"/>
        </w:rPr>
        <w:t>重。实验持续</w:t>
      </w:r>
      <w:r>
        <w:rPr>
          <w:sz w:val="24"/>
          <w:szCs w:val="22"/>
        </w:rPr>
        <w:t>7周。在正式实验开始1周后，开始收集粪便，粪便收集采用虹吸法，每次投饵后六小</w:t>
      </w:r>
      <w:r>
        <w:rPr>
          <w:rFonts w:hint="eastAsia"/>
          <w:sz w:val="24"/>
          <w:szCs w:val="22"/>
        </w:rPr>
        <w:t>时内，每隔</w:t>
      </w:r>
      <w:r>
        <w:rPr>
          <w:sz w:val="24"/>
          <w:szCs w:val="22"/>
        </w:rPr>
        <w:t>2 h收集1次粪便。通过虹吸管将粪便吸至装有筛绢网的盆中过滤，用5 mL胶头滴管吸</w:t>
      </w:r>
      <w:r>
        <w:rPr>
          <w:rFonts w:hint="eastAsia"/>
          <w:sz w:val="24"/>
          <w:szCs w:val="22"/>
        </w:rPr>
        <w:t>取新鲜、成型、饱满及包膜完好的粪便颗粒，吸水纸吸干表面水分后放入离心管内。收集的粪便，置于</w:t>
      </w:r>
      <w:r>
        <w:rPr>
          <w:sz w:val="24"/>
          <w:szCs w:val="22"/>
        </w:rPr>
        <w:t>60℃烘箱中烘干，研磨粉碎后，密封于自封袋中并于-20℃冰箱保存，直到粪便样品够分析用。</w:t>
      </w:r>
    </w:p>
    <w:p w14:paraId="2C8474CE">
      <w:pPr>
        <w:spacing w:line="360" w:lineRule="auto"/>
        <w:rPr>
          <w:sz w:val="24"/>
          <w:szCs w:val="22"/>
        </w:rPr>
      </w:pPr>
      <w:r>
        <w:rPr>
          <w:rFonts w:ascii="等线" w:hAnsi="等线" w:eastAsia="等线"/>
          <w:szCs w:val="22"/>
        </w:rPr>
        <w:drawing>
          <wp:inline distT="0" distB="0" distL="0" distR="0">
            <wp:extent cx="5905500" cy="4630420"/>
            <wp:effectExtent l="0" t="0" r="0" b="0"/>
            <wp:docPr id="347158167" name="图片 34715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58167" name="图片 347158167"/>
                    <pic:cNvPicPr>
                      <a:picLocks noChangeAspect="1"/>
                    </pic:cNvPicPr>
                  </pic:nvPicPr>
                  <pic:blipFill>
                    <a:blip r:embed="rId19"/>
                    <a:srcRect l="1852" r="2084"/>
                    <a:stretch>
                      <a:fillRect/>
                    </a:stretch>
                  </pic:blipFill>
                  <pic:spPr>
                    <a:xfrm>
                      <a:off x="0" y="0"/>
                      <a:ext cx="5910021" cy="4634026"/>
                    </a:xfrm>
                    <a:prstGeom prst="rect">
                      <a:avLst/>
                    </a:prstGeom>
                    <a:ln>
                      <a:noFill/>
                    </a:ln>
                  </pic:spPr>
                </pic:pic>
              </a:graphicData>
            </a:graphic>
          </wp:inline>
        </w:drawing>
      </w:r>
    </w:p>
    <w:p w14:paraId="7A14CD1F">
      <w:pPr>
        <w:spacing w:line="360" w:lineRule="auto"/>
        <w:rPr>
          <w:sz w:val="24"/>
          <w:szCs w:val="22"/>
        </w:rPr>
      </w:pPr>
      <w:r>
        <w:rPr>
          <w:sz w:val="24"/>
          <w:szCs w:val="22"/>
        </w:rPr>
        <w:t>1.4样品采集</w:t>
      </w:r>
    </w:p>
    <w:p w14:paraId="681B7018">
      <w:pPr>
        <w:spacing w:line="360" w:lineRule="auto"/>
        <w:ind w:firstLine="480" w:firstLineChars="200"/>
        <w:rPr>
          <w:sz w:val="24"/>
          <w:szCs w:val="22"/>
        </w:rPr>
      </w:pPr>
      <w:r>
        <w:rPr>
          <w:rFonts w:hint="eastAsia"/>
          <w:sz w:val="24"/>
          <w:szCs w:val="22"/>
        </w:rPr>
        <w:t>在为期</w:t>
      </w:r>
      <w:r>
        <w:rPr>
          <w:sz w:val="24"/>
          <w:szCs w:val="22"/>
        </w:rPr>
        <w:t>7周的饲喂实验结束时，所有鱼在取样前禁食24 h。鱼用MS-222（100 mg/L水）麻醉，</w:t>
      </w:r>
      <w:r>
        <w:rPr>
          <w:rFonts w:hint="eastAsia"/>
          <w:sz w:val="24"/>
          <w:szCs w:val="22"/>
        </w:rPr>
        <w:t>然后计数和称重以确定存活率、增重率（</w:t>
      </w:r>
      <w:r>
        <w:rPr>
          <w:sz w:val="24"/>
          <w:szCs w:val="22"/>
        </w:rPr>
        <w:t>WGR）和特定生长率（SGR）。在得到每缸鱼的最终总重</w:t>
      </w:r>
      <w:r>
        <w:rPr>
          <w:rFonts w:hint="eastAsia"/>
          <w:sz w:val="24"/>
          <w:szCs w:val="22"/>
        </w:rPr>
        <w:t>量后，每缸随机抽取</w:t>
      </w:r>
      <w:r>
        <w:rPr>
          <w:sz w:val="24"/>
          <w:szCs w:val="22"/>
        </w:rPr>
        <w:t>9尾鱼，称重、测量并在冰上解剖，得到肝脏、肠道和内脏样本，用于计算脏体</w:t>
      </w:r>
      <w:r>
        <w:rPr>
          <w:rFonts w:hint="eastAsia"/>
          <w:sz w:val="24"/>
          <w:szCs w:val="22"/>
        </w:rPr>
        <w:t>比（</w:t>
      </w:r>
      <w:r>
        <w:rPr>
          <w:sz w:val="24"/>
          <w:szCs w:val="22"/>
        </w:rPr>
        <w:t>VSI）、肝体比（HSI）以及肠体比（ISI）。其中6尾鱼的肠道组织在液氮中迅速冷冻并储存在</w:t>
      </w:r>
      <w:r>
        <w:rPr>
          <w:rFonts w:hint="eastAsia"/>
          <w:sz w:val="24"/>
          <w:szCs w:val="22"/>
        </w:rPr>
        <w:t>-</w:t>
      </w:r>
      <w:r>
        <w:rPr>
          <w:sz w:val="24"/>
          <w:szCs w:val="22"/>
        </w:rPr>
        <w:t>80℃以进行RNA提取，另外3尾鱼的肠道组织用4%多聚甲醛固定，用于组织学观察。为分析肠道</w:t>
      </w:r>
      <w:r>
        <w:rPr>
          <w:rFonts w:hint="eastAsia"/>
          <w:sz w:val="24"/>
          <w:szCs w:val="22"/>
        </w:rPr>
        <w:t>相关酶活性，每缸再随机抽取</w:t>
      </w:r>
      <w:r>
        <w:rPr>
          <w:sz w:val="24"/>
          <w:szCs w:val="22"/>
        </w:rPr>
        <w:t>6条鱼，收集肠道组织，立即液氮冷冻，-80℃保存备用。</w:t>
      </w:r>
    </w:p>
    <w:p w14:paraId="687F9275">
      <w:pPr>
        <w:spacing w:line="360" w:lineRule="auto"/>
        <w:rPr>
          <w:sz w:val="24"/>
          <w:szCs w:val="22"/>
        </w:rPr>
      </w:pPr>
      <w:r>
        <w:rPr>
          <w:sz w:val="24"/>
          <w:szCs w:val="22"/>
        </w:rPr>
        <w:t xml:space="preserve">1.5计算公式 </w:t>
      </w:r>
    </w:p>
    <w:p w14:paraId="3CB51931">
      <w:pPr>
        <w:spacing w:line="360" w:lineRule="auto"/>
        <w:ind w:firstLine="480" w:firstLineChars="200"/>
        <w:rPr>
          <w:sz w:val="24"/>
          <w:szCs w:val="22"/>
        </w:rPr>
      </w:pPr>
      <w:r>
        <w:rPr>
          <w:rFonts w:hint="eastAsia"/>
          <w:sz w:val="24"/>
          <w:szCs w:val="22"/>
        </w:rPr>
        <w:t>各类生长指标计算公式如下：</w:t>
      </w:r>
    </w:p>
    <w:p w14:paraId="53915185">
      <w:pPr>
        <w:spacing w:line="360" w:lineRule="auto"/>
        <w:rPr>
          <w:sz w:val="24"/>
          <w:szCs w:val="22"/>
        </w:rPr>
      </w:pPr>
      <w:r>
        <w:rPr>
          <w:rFonts w:hint="eastAsia"/>
          <w:sz w:val="24"/>
          <w:szCs w:val="22"/>
        </w:rPr>
        <w:t>增重率（</w:t>
      </w:r>
      <w:r>
        <w:rPr>
          <w:sz w:val="24"/>
          <w:szCs w:val="22"/>
        </w:rPr>
        <w:t>WGR，%）=（末体重-初体重）/初体重×100%</w:t>
      </w:r>
    </w:p>
    <w:p w14:paraId="18DB1A9F">
      <w:pPr>
        <w:spacing w:line="360" w:lineRule="auto"/>
        <w:rPr>
          <w:sz w:val="24"/>
          <w:szCs w:val="22"/>
        </w:rPr>
      </w:pPr>
      <w:r>
        <w:rPr>
          <w:rFonts w:hint="eastAsia"/>
          <w:sz w:val="24"/>
          <w:szCs w:val="22"/>
        </w:rPr>
        <w:t>特定生长率（</w:t>
      </w:r>
      <w:r>
        <w:rPr>
          <w:sz w:val="24"/>
          <w:szCs w:val="22"/>
        </w:rPr>
        <w:t>SGR，%/d）=（ln（末体重）-ln（初体重））/天数t×100%</w:t>
      </w:r>
    </w:p>
    <w:p w14:paraId="19E816EC">
      <w:pPr>
        <w:spacing w:line="360" w:lineRule="auto"/>
        <w:rPr>
          <w:sz w:val="24"/>
          <w:szCs w:val="22"/>
        </w:rPr>
      </w:pPr>
      <w:r>
        <w:rPr>
          <w:rFonts w:hint="eastAsia"/>
          <w:sz w:val="24"/>
          <w:szCs w:val="22"/>
        </w:rPr>
        <w:t>饲料系数（</w:t>
      </w:r>
      <w:r>
        <w:rPr>
          <w:sz w:val="24"/>
          <w:szCs w:val="22"/>
        </w:rPr>
        <w:t>FCR）=饲料摄入量/鱼体增重</w:t>
      </w:r>
    </w:p>
    <w:p w14:paraId="77E1C5CE">
      <w:pPr>
        <w:spacing w:line="360" w:lineRule="auto"/>
        <w:rPr>
          <w:sz w:val="24"/>
          <w:szCs w:val="22"/>
        </w:rPr>
      </w:pPr>
      <w:r>
        <w:rPr>
          <w:rFonts w:hint="eastAsia"/>
          <w:sz w:val="24"/>
          <w:szCs w:val="22"/>
        </w:rPr>
        <w:t>摄食率（</w:t>
      </w:r>
      <w:r>
        <w:rPr>
          <w:sz w:val="24"/>
          <w:szCs w:val="22"/>
        </w:rPr>
        <w:t>FI）=饲料摄入量/[（末体重+初体重）/2×天数t]×100%</w:t>
      </w:r>
    </w:p>
    <w:p w14:paraId="0C816F55">
      <w:pPr>
        <w:spacing w:line="360" w:lineRule="auto"/>
        <w:rPr>
          <w:sz w:val="24"/>
          <w:szCs w:val="22"/>
        </w:rPr>
      </w:pPr>
      <w:r>
        <w:rPr>
          <w:rFonts w:hint="eastAsia"/>
          <w:sz w:val="24"/>
          <w:szCs w:val="22"/>
        </w:rPr>
        <w:t>成活率（</w:t>
      </w:r>
      <w:r>
        <w:rPr>
          <w:sz w:val="24"/>
          <w:szCs w:val="22"/>
        </w:rPr>
        <w:t>%）=末鱼数量/初鱼数量×100%</w:t>
      </w:r>
    </w:p>
    <w:p w14:paraId="4D4BD406">
      <w:pPr>
        <w:spacing w:line="360" w:lineRule="auto"/>
        <w:rPr>
          <w:sz w:val="24"/>
          <w:szCs w:val="22"/>
        </w:rPr>
      </w:pPr>
      <w:r>
        <w:rPr>
          <w:rFonts w:hint="eastAsia"/>
          <w:sz w:val="24"/>
          <w:szCs w:val="22"/>
        </w:rPr>
        <w:t>肥满度（</w:t>
      </w:r>
      <w:r>
        <w:rPr>
          <w:sz w:val="24"/>
          <w:szCs w:val="22"/>
        </w:rPr>
        <w:t>CF，g/cm</w:t>
      </w:r>
      <w:r>
        <w:rPr>
          <w:sz w:val="24"/>
          <w:szCs w:val="22"/>
          <w:vertAlign w:val="superscript"/>
        </w:rPr>
        <w:t>3</w:t>
      </w:r>
      <w:r>
        <w:rPr>
          <w:sz w:val="24"/>
          <w:szCs w:val="22"/>
        </w:rPr>
        <w:t>）=鱼体重/（体长）</w:t>
      </w:r>
      <w:r>
        <w:rPr>
          <w:sz w:val="24"/>
          <w:szCs w:val="22"/>
          <w:vertAlign w:val="superscript"/>
        </w:rPr>
        <w:t>3</w:t>
      </w:r>
      <w:r>
        <w:rPr>
          <w:sz w:val="24"/>
          <w:szCs w:val="22"/>
        </w:rPr>
        <w:t>×100%</w:t>
      </w:r>
    </w:p>
    <w:p w14:paraId="275F558B">
      <w:pPr>
        <w:spacing w:line="360" w:lineRule="auto"/>
        <w:rPr>
          <w:sz w:val="24"/>
          <w:szCs w:val="22"/>
        </w:rPr>
      </w:pPr>
      <w:r>
        <w:rPr>
          <w:rFonts w:hint="eastAsia"/>
          <w:sz w:val="24"/>
          <w:szCs w:val="22"/>
        </w:rPr>
        <w:t>肝体比（</w:t>
      </w:r>
      <w:r>
        <w:rPr>
          <w:sz w:val="24"/>
          <w:szCs w:val="22"/>
        </w:rPr>
        <w:t>HSI，%）=肝脏重/鱼体重×100%</w:t>
      </w:r>
    </w:p>
    <w:p w14:paraId="0A8B6F55">
      <w:pPr>
        <w:spacing w:line="360" w:lineRule="auto"/>
        <w:rPr>
          <w:sz w:val="24"/>
          <w:szCs w:val="22"/>
        </w:rPr>
      </w:pPr>
      <w:r>
        <w:rPr>
          <w:rFonts w:hint="eastAsia"/>
          <w:sz w:val="24"/>
          <w:szCs w:val="22"/>
        </w:rPr>
        <w:t>脏体比（</w:t>
      </w:r>
      <w:r>
        <w:rPr>
          <w:sz w:val="24"/>
          <w:szCs w:val="22"/>
        </w:rPr>
        <w:t>VSI）=内脏重/鱼体重×100%</w:t>
      </w:r>
    </w:p>
    <w:p w14:paraId="7D637D6A">
      <w:pPr>
        <w:spacing w:line="360" w:lineRule="auto"/>
        <w:rPr>
          <w:sz w:val="24"/>
          <w:szCs w:val="22"/>
        </w:rPr>
      </w:pPr>
      <w:r>
        <w:rPr>
          <w:rFonts w:hint="eastAsia"/>
          <w:sz w:val="24"/>
          <w:szCs w:val="22"/>
        </w:rPr>
        <w:t>肠体比（</w:t>
      </w:r>
      <w:r>
        <w:rPr>
          <w:sz w:val="24"/>
          <w:szCs w:val="22"/>
        </w:rPr>
        <w:t>ISI）=肠道重/鱼体重×100%</w:t>
      </w:r>
    </w:p>
    <w:p w14:paraId="11EA5FB0">
      <w:pPr>
        <w:spacing w:line="360" w:lineRule="auto"/>
        <w:rPr>
          <w:sz w:val="24"/>
          <w:szCs w:val="22"/>
        </w:rPr>
      </w:pPr>
      <w:r>
        <w:rPr>
          <w:sz w:val="24"/>
          <w:szCs w:val="22"/>
        </w:rPr>
        <w:t>1.6</w:t>
      </w:r>
      <w:r>
        <w:rPr>
          <w:rFonts w:hint="eastAsia"/>
          <w:sz w:val="24"/>
          <w:szCs w:val="22"/>
        </w:rPr>
        <w:t>消化率测定</w:t>
      </w:r>
      <w:r>
        <w:rPr>
          <w:sz w:val="24"/>
          <w:szCs w:val="22"/>
        </w:rPr>
        <w:t xml:space="preserve"> </w:t>
      </w:r>
    </w:p>
    <w:p w14:paraId="3D0FBE24">
      <w:pPr>
        <w:spacing w:line="360" w:lineRule="auto"/>
        <w:ind w:firstLine="480" w:firstLineChars="200"/>
        <w:rPr>
          <w:sz w:val="24"/>
          <w:szCs w:val="22"/>
        </w:rPr>
      </w:pPr>
      <w:r>
        <w:rPr>
          <w:rFonts w:hint="eastAsia"/>
          <w:sz w:val="24"/>
          <w:szCs w:val="22"/>
        </w:rPr>
        <w:t>水分的测定采用</w:t>
      </w:r>
      <w:r>
        <w:rPr>
          <w:sz w:val="24"/>
          <w:szCs w:val="22"/>
        </w:rPr>
        <w:t>105℃烘箱干燥恒重法。采用凯氏定氮法（K9860 全自动凯氏定氮仪）测定样品</w:t>
      </w:r>
      <w:r>
        <w:rPr>
          <w:rFonts w:hint="eastAsia"/>
          <w:sz w:val="24"/>
          <w:szCs w:val="22"/>
        </w:rPr>
        <w:t>总氮含量，将测定结果乘以</w:t>
      </w:r>
      <w:r>
        <w:rPr>
          <w:sz w:val="24"/>
          <w:szCs w:val="22"/>
        </w:rPr>
        <w:t>6.25即得粗蛋白含量；粗脂肪含量采用索氏抽提法，提取有机试剂为乙</w:t>
      </w:r>
      <w:r>
        <w:rPr>
          <w:rFonts w:hint="eastAsia"/>
          <w:sz w:val="24"/>
          <w:szCs w:val="22"/>
        </w:rPr>
        <w:t>醚；总能的测定采用热量氧弹仪（</w:t>
      </w:r>
      <w:r>
        <w:rPr>
          <w:sz w:val="24"/>
          <w:szCs w:val="22"/>
        </w:rPr>
        <w:t>6200 Isoperibol Calorimeter）进行；采用电感耦合等离子发射光谱</w:t>
      </w:r>
      <w:r>
        <w:rPr>
          <w:rFonts w:hint="eastAsia"/>
          <w:sz w:val="24"/>
          <w:szCs w:val="22"/>
        </w:rPr>
        <w:t>仪测定饲料及粪便中的钇含量。消化率计算方法参照</w:t>
      </w:r>
      <w:r>
        <w:rPr>
          <w:sz w:val="24"/>
          <w:szCs w:val="22"/>
        </w:rPr>
        <w:t>Lee等的研究[18]。以上每项测定3个平行。</w:t>
      </w:r>
    </w:p>
    <w:p w14:paraId="650D3B22">
      <w:pPr>
        <w:spacing w:line="360" w:lineRule="auto"/>
        <w:rPr>
          <w:sz w:val="24"/>
          <w:szCs w:val="22"/>
        </w:rPr>
      </w:pPr>
      <w:r>
        <w:rPr>
          <w:sz w:val="24"/>
          <w:szCs w:val="22"/>
        </w:rPr>
        <w:t>1.7肠道组织切片制作、染色及分析</w:t>
      </w:r>
    </w:p>
    <w:p w14:paraId="184F13E9">
      <w:pPr>
        <w:spacing w:line="360" w:lineRule="auto"/>
        <w:ind w:firstLine="480" w:firstLineChars="200"/>
        <w:rPr>
          <w:sz w:val="24"/>
          <w:szCs w:val="22"/>
        </w:rPr>
      </w:pPr>
      <w:r>
        <w:rPr>
          <w:rFonts w:hint="eastAsia"/>
          <w:sz w:val="24"/>
          <w:szCs w:val="22"/>
        </w:rPr>
        <w:t>石蜡切片及</w:t>
      </w:r>
      <w:r>
        <w:rPr>
          <w:sz w:val="24"/>
          <w:szCs w:val="22"/>
        </w:rPr>
        <w:t>H.E染色参照Wei等的方法</w:t>
      </w:r>
      <w:r>
        <w:rPr>
          <w:sz w:val="24"/>
          <w:szCs w:val="22"/>
          <w:vertAlign w:val="superscript"/>
        </w:rPr>
        <w:t>[19]</w:t>
      </w:r>
      <w:r>
        <w:rPr>
          <w:sz w:val="24"/>
          <w:szCs w:val="22"/>
        </w:rPr>
        <w:t>。大致流程：酒精梯度脱水、二甲苯透明、石蜡包</w:t>
      </w:r>
      <w:r>
        <w:rPr>
          <w:rFonts w:hint="eastAsia"/>
          <w:sz w:val="24"/>
          <w:szCs w:val="22"/>
        </w:rPr>
        <w:t>埋、切片（厚度为</w:t>
      </w:r>
      <w:r>
        <w:rPr>
          <w:sz w:val="24"/>
          <w:szCs w:val="22"/>
        </w:rPr>
        <w:t>5~7μm）和染色。染色的过程为：二甲苯脱蜡-100%-50%酒精逐级复水-苏木精染</w:t>
      </w:r>
      <w:r>
        <w:rPr>
          <w:rFonts w:hint="eastAsia"/>
          <w:sz w:val="24"/>
          <w:szCs w:val="22"/>
        </w:rPr>
        <w:t>色</w:t>
      </w:r>
      <w:r>
        <w:rPr>
          <w:sz w:val="24"/>
          <w:szCs w:val="22"/>
        </w:rPr>
        <w:t>-流水冲洗返蓝-50%-95%酒精逐级脱水-伊红染色-二甲苯透明-中性树胶封片-镜检拍照。通过光学显</w:t>
      </w:r>
      <w:r>
        <w:rPr>
          <w:rFonts w:hint="eastAsia"/>
          <w:sz w:val="24"/>
          <w:szCs w:val="22"/>
        </w:rPr>
        <w:t>微镜（</w:t>
      </w:r>
      <w:r>
        <w:rPr>
          <w:sz w:val="24"/>
          <w:szCs w:val="22"/>
        </w:rPr>
        <w:t>Olympus BX53, Tokyo, Japan）对处理过的组织切片进行成像，并通过 Image J（version1.51, National Institute of Health，美国）进行形态学测量。</w:t>
      </w:r>
    </w:p>
    <w:p w14:paraId="6D3C41F7">
      <w:pPr>
        <w:spacing w:line="360" w:lineRule="auto"/>
        <w:rPr>
          <w:sz w:val="24"/>
          <w:szCs w:val="22"/>
        </w:rPr>
      </w:pPr>
      <w:r>
        <w:rPr>
          <w:sz w:val="24"/>
          <w:szCs w:val="22"/>
        </w:rPr>
        <w:t>1.8肠道酶活性测定</w:t>
      </w:r>
    </w:p>
    <w:p w14:paraId="320FE2A7">
      <w:pPr>
        <w:spacing w:line="360" w:lineRule="auto"/>
        <w:ind w:firstLine="480" w:firstLineChars="200"/>
        <w:rPr>
          <w:sz w:val="24"/>
          <w:szCs w:val="22"/>
        </w:rPr>
      </w:pPr>
      <w:r>
        <w:rPr>
          <w:rFonts w:hint="eastAsia"/>
          <w:sz w:val="24"/>
          <w:szCs w:val="22"/>
        </w:rPr>
        <w:t>总超氧化物歧化酶(</w:t>
      </w:r>
      <w:r>
        <w:rPr>
          <w:sz w:val="24"/>
          <w:szCs w:val="22"/>
        </w:rPr>
        <w:t>T-SOD</w:t>
      </w:r>
      <w:r>
        <w:rPr>
          <w:rFonts w:hint="eastAsia"/>
          <w:sz w:val="24"/>
          <w:szCs w:val="22"/>
        </w:rPr>
        <w:t>)活性､过</w:t>
      </w:r>
      <w:r>
        <w:rPr>
          <w:sz w:val="24"/>
          <w:szCs w:val="22"/>
        </w:rPr>
        <w:t>氧化氢</w:t>
      </w:r>
      <w:r>
        <w:rPr>
          <w:rFonts w:hint="eastAsia"/>
          <w:sz w:val="24"/>
          <w:szCs w:val="22"/>
        </w:rPr>
        <w:t>酶(</w:t>
      </w:r>
      <w:r>
        <w:rPr>
          <w:sz w:val="24"/>
          <w:szCs w:val="22"/>
        </w:rPr>
        <w:t>CAT</w:t>
      </w:r>
      <w:r>
        <w:rPr>
          <w:rFonts w:hint="eastAsia"/>
          <w:sz w:val="24"/>
          <w:szCs w:val="22"/>
        </w:rPr>
        <w:t>)活</w:t>
      </w:r>
      <w:r>
        <w:rPr>
          <w:sz w:val="24"/>
          <w:szCs w:val="22"/>
        </w:rPr>
        <w:t>性和总抗氧化</w:t>
      </w:r>
      <w:r>
        <w:rPr>
          <w:rFonts w:hint="eastAsia"/>
          <w:sz w:val="24"/>
          <w:szCs w:val="22"/>
        </w:rPr>
        <w:t>能力(</w:t>
      </w:r>
      <w:r>
        <w:rPr>
          <w:sz w:val="24"/>
          <w:szCs w:val="22"/>
        </w:rPr>
        <w:t>T-AOC)采用南</w:t>
      </w:r>
      <w:r>
        <w:rPr>
          <w:rFonts w:hint="eastAsia"/>
          <w:sz w:val="24"/>
          <w:szCs w:val="22"/>
        </w:rPr>
        <w:t>京建成生物工程研究所的试剂盒进行测定,丙二醛(</w:t>
      </w:r>
      <w:r>
        <w:rPr>
          <w:sz w:val="24"/>
          <w:szCs w:val="22"/>
        </w:rPr>
        <w:t>MDA)含</w:t>
      </w:r>
      <w:r>
        <w:rPr>
          <w:rFonts w:hint="eastAsia"/>
          <w:sz w:val="24"/>
          <w:szCs w:val="22"/>
        </w:rPr>
        <w:t>量､</w:t>
      </w:r>
      <w:r>
        <w:rPr>
          <w:sz w:val="24"/>
          <w:szCs w:val="22"/>
        </w:rPr>
        <w:t>Caspase3和 Caspase9酶活性均采</w:t>
      </w:r>
      <w:r>
        <w:rPr>
          <w:rFonts w:hint="eastAsia"/>
          <w:sz w:val="24"/>
          <w:szCs w:val="22"/>
        </w:rPr>
        <w:t>用碧云天生物技术的商业化试剂盒进行测定,操作过程参照试剂盒说明书｡</w:t>
      </w:r>
    </w:p>
    <w:p w14:paraId="4F21EBDA">
      <w:pPr>
        <w:spacing w:line="360" w:lineRule="auto"/>
        <w:rPr>
          <w:sz w:val="24"/>
          <w:szCs w:val="22"/>
        </w:rPr>
      </w:pPr>
      <w:r>
        <w:rPr>
          <w:sz w:val="24"/>
          <w:szCs w:val="22"/>
        </w:rPr>
        <w:t>1.9基因表达分析</w:t>
      </w:r>
    </w:p>
    <w:p w14:paraId="3043C89C">
      <w:pPr>
        <w:spacing w:line="360" w:lineRule="auto"/>
        <w:ind w:firstLine="480" w:firstLineChars="200"/>
        <w:rPr>
          <w:sz w:val="24"/>
          <w:szCs w:val="22"/>
        </w:rPr>
      </w:pPr>
      <w:r>
        <w:rPr>
          <w:rFonts w:hint="eastAsia"/>
          <w:sz w:val="24"/>
          <w:szCs w:val="22"/>
        </w:rPr>
        <w:t>根据以往方法</w:t>
      </w:r>
      <w:r>
        <w:rPr>
          <w:sz w:val="24"/>
          <w:szCs w:val="22"/>
          <w:vertAlign w:val="superscript"/>
        </w:rPr>
        <w:t>[19]</w:t>
      </w:r>
      <w:r>
        <w:rPr>
          <w:sz w:val="24"/>
          <w:szCs w:val="22"/>
        </w:rPr>
        <w:t>，总 RNA 的提取方法参照Invitrogen的TRIzol说明书进行。通过琼脂糖凝胶电</w:t>
      </w:r>
      <w:r>
        <w:rPr>
          <w:rFonts w:hint="eastAsia"/>
          <w:sz w:val="24"/>
          <w:szCs w:val="22"/>
        </w:rPr>
        <w:t>泳和</w:t>
      </w:r>
      <w:r>
        <w:rPr>
          <w:sz w:val="24"/>
          <w:szCs w:val="22"/>
        </w:rPr>
        <w:t>Nanodrop ND-2000分光光度计（Thermo Fisher Scientific, USA）测定总RNA的浓度和纯度。以</w:t>
      </w:r>
      <w:r>
        <w:rPr>
          <w:rFonts w:hint="eastAsia"/>
          <w:sz w:val="24"/>
          <w:szCs w:val="22"/>
        </w:rPr>
        <w:t>提取的总</w:t>
      </w:r>
      <w:r>
        <w:rPr>
          <w:sz w:val="24"/>
          <w:szCs w:val="22"/>
        </w:rPr>
        <w:t>RNA为模板，采用TaKaRa反转录试剂盒合成第一链cDNA，然后在巢式PCR仪上进行反</w:t>
      </w:r>
      <w:r>
        <w:rPr>
          <w:rFonts w:hint="eastAsia"/>
          <w:sz w:val="24"/>
          <w:szCs w:val="22"/>
        </w:rPr>
        <w:t>转录反应。反应结束后，将产物保存于</w:t>
      </w:r>
      <w:r>
        <w:rPr>
          <w:sz w:val="24"/>
          <w:szCs w:val="22"/>
        </w:rPr>
        <w:t>-20°C备用。采用SYBR® Premix Ex TaqTM II 试剂盒</w:t>
      </w:r>
      <w:r>
        <w:rPr>
          <w:rFonts w:hint="eastAsia"/>
          <w:sz w:val="24"/>
          <w:szCs w:val="22"/>
        </w:rPr>
        <w:t>（</w:t>
      </w:r>
      <w:r>
        <w:rPr>
          <w:sz w:val="24"/>
          <w:szCs w:val="22"/>
        </w:rPr>
        <w:t>TaKaRa）在MyiQ™ 2 Two-Color Real-Time PCR Detection System 分析检测仪（Bio-Rad）上进行实</w:t>
      </w:r>
      <w:r>
        <w:rPr>
          <w:rFonts w:hint="eastAsia"/>
          <w:sz w:val="24"/>
          <w:szCs w:val="22"/>
        </w:rPr>
        <w:t>时荧光定量</w:t>
      </w:r>
      <w:r>
        <w:rPr>
          <w:sz w:val="24"/>
          <w:szCs w:val="22"/>
        </w:rPr>
        <w:t xml:space="preserve"> PCR（qPCR），检测黄颡鱼组织的基因表达，荧光定量引物见表 2。本实验选用双内</w:t>
      </w:r>
      <w:r>
        <w:rPr>
          <w:rFonts w:hint="eastAsia"/>
          <w:sz w:val="24"/>
          <w:szCs w:val="22"/>
        </w:rPr>
        <w:t>参，用</w:t>
      </w:r>
      <w:r>
        <w:rPr>
          <w:sz w:val="24"/>
          <w:szCs w:val="22"/>
        </w:rPr>
        <w:t>GeNorm进行标准化，选择8种管家基因（18s</w:t>
      </w:r>
      <w:r>
        <w:rPr>
          <w:i/>
          <w:sz w:val="24"/>
          <w:szCs w:val="22"/>
        </w:rPr>
        <w:t xml:space="preserve"> rRNA</w:t>
      </w:r>
      <w:r>
        <w:rPr>
          <w:sz w:val="24"/>
          <w:szCs w:val="22"/>
        </w:rPr>
        <w:t>、</w:t>
      </w:r>
      <w:r>
        <w:rPr>
          <w:i/>
          <w:sz w:val="24"/>
          <w:szCs w:val="22"/>
        </w:rPr>
        <w:t>b2m</w:t>
      </w:r>
      <w:r>
        <w:rPr>
          <w:sz w:val="24"/>
          <w:szCs w:val="22"/>
        </w:rPr>
        <w:t>、</w:t>
      </w:r>
      <w:r>
        <w:rPr>
          <w:i/>
          <w:sz w:val="24"/>
          <w:szCs w:val="22"/>
        </w:rPr>
        <w:t>ubce</w:t>
      </w:r>
      <w:r>
        <w:rPr>
          <w:sz w:val="24"/>
          <w:szCs w:val="22"/>
        </w:rPr>
        <w:t>、</w:t>
      </w:r>
      <w:r>
        <w:rPr>
          <w:i/>
          <w:sz w:val="24"/>
          <w:szCs w:val="22"/>
        </w:rPr>
        <w:t>tuba</w:t>
      </w:r>
      <w:r>
        <w:rPr>
          <w:sz w:val="24"/>
          <w:szCs w:val="22"/>
        </w:rPr>
        <w:t>、</w:t>
      </w:r>
      <w:r>
        <w:rPr>
          <w:i/>
          <w:sz w:val="24"/>
          <w:szCs w:val="22"/>
        </w:rPr>
        <w:t>gapdh</w:t>
      </w:r>
      <w:r>
        <w:rPr>
          <w:sz w:val="24"/>
          <w:szCs w:val="22"/>
        </w:rPr>
        <w:t>、</w:t>
      </w:r>
      <w:r>
        <w:rPr>
          <w:i/>
          <w:sz w:val="24"/>
          <w:szCs w:val="22"/>
        </w:rPr>
        <w:t>rpl</w:t>
      </w:r>
      <w:r>
        <w:rPr>
          <w:sz w:val="24"/>
          <w:szCs w:val="22"/>
        </w:rPr>
        <w:t>7、</w:t>
      </w:r>
      <w:r>
        <w:rPr>
          <w:i/>
          <w:sz w:val="24"/>
          <w:szCs w:val="22"/>
        </w:rPr>
        <w:t>tbp</w:t>
      </w:r>
      <w:r>
        <w:rPr>
          <w:sz w:val="24"/>
          <w:szCs w:val="22"/>
        </w:rPr>
        <w:t>、</w:t>
      </w:r>
      <w:r>
        <w:rPr>
          <w:i/>
          <w:sz w:val="24"/>
          <w:szCs w:val="22"/>
        </w:rPr>
        <w:t>elfa</w:t>
      </w:r>
      <w:r>
        <w:rPr>
          <w:sz w:val="24"/>
          <w:szCs w:val="22"/>
        </w:rPr>
        <w:t>）对它们进行转录水平稳定性检测。采用2</w:t>
      </w:r>
      <w:r>
        <w:rPr>
          <w:sz w:val="24"/>
          <w:szCs w:val="22"/>
          <w:vertAlign w:val="superscript"/>
        </w:rPr>
        <w:t>-ΔΔCt</w:t>
      </w:r>
      <w:r>
        <w:rPr>
          <w:sz w:val="24"/>
          <w:szCs w:val="22"/>
        </w:rPr>
        <w:t>方法计算相对表达水平。</w:t>
      </w:r>
    </w:p>
    <w:p w14:paraId="06C2C281">
      <w:pPr>
        <w:spacing w:line="360" w:lineRule="auto"/>
        <w:rPr>
          <w:sz w:val="24"/>
          <w:szCs w:val="22"/>
        </w:rPr>
      </w:pPr>
      <w:r>
        <w:rPr>
          <w:sz w:val="24"/>
          <w:szCs w:val="22"/>
        </w:rPr>
        <w:t>1.10统计分析</w:t>
      </w:r>
    </w:p>
    <w:p w14:paraId="0D3E79DF">
      <w:pPr>
        <w:spacing w:line="360" w:lineRule="auto"/>
        <w:ind w:firstLine="480" w:firstLineChars="200"/>
        <w:rPr>
          <w:sz w:val="24"/>
          <w:szCs w:val="22"/>
        </w:rPr>
      </w:pPr>
      <w:r>
        <w:rPr>
          <w:rFonts w:hint="eastAsia"/>
          <w:sz w:val="24"/>
          <w:szCs w:val="22"/>
        </w:rPr>
        <w:t>采用</w:t>
      </w:r>
      <w:r>
        <w:rPr>
          <w:sz w:val="24"/>
          <w:szCs w:val="22"/>
        </w:rPr>
        <w:t>SPSS 17.0软件对实验数据进行统计分析，所有数据结果均用平均值±标准误（means ± S.E.M., n=3）表示。使用单因素方差分析（One-Way ANOVA）进行不同组间指标差异性统计检验，</w:t>
      </w:r>
      <w:r>
        <w:rPr>
          <w:rFonts w:hint="eastAsia"/>
          <w:sz w:val="24"/>
          <w:szCs w:val="22"/>
        </w:rPr>
        <w:t>若不同组间的差异显著，则采用</w:t>
      </w:r>
      <w:r>
        <w:rPr>
          <w:sz w:val="24"/>
          <w:szCs w:val="22"/>
        </w:rPr>
        <w:t>Duncan多重比较来检验不同处理组间的差异显著性，以</w:t>
      </w:r>
      <w:r>
        <w:rPr>
          <w:i/>
          <w:sz w:val="24"/>
          <w:szCs w:val="22"/>
        </w:rPr>
        <w:t>P</w:t>
      </w:r>
      <w:r>
        <w:rPr>
          <w:sz w:val="24"/>
          <w:szCs w:val="22"/>
        </w:rPr>
        <w:t>&lt;0.05为</w:t>
      </w:r>
      <w:r>
        <w:rPr>
          <w:rFonts w:hint="eastAsia"/>
          <w:sz w:val="24"/>
          <w:szCs w:val="22"/>
        </w:rPr>
        <w:t>差异有统计学意义。</w:t>
      </w:r>
    </w:p>
    <w:p w14:paraId="08802AD7">
      <w:pPr>
        <w:spacing w:line="360" w:lineRule="auto"/>
        <w:rPr>
          <w:sz w:val="24"/>
          <w:szCs w:val="22"/>
        </w:rPr>
      </w:pPr>
      <w:r>
        <w:rPr>
          <w:sz w:val="24"/>
          <w:szCs w:val="22"/>
        </w:rPr>
        <w:t>2结果</w:t>
      </w:r>
    </w:p>
    <w:p w14:paraId="5A3200CD">
      <w:pPr>
        <w:spacing w:line="360" w:lineRule="auto"/>
        <w:rPr>
          <w:sz w:val="24"/>
          <w:szCs w:val="22"/>
        </w:rPr>
      </w:pPr>
      <w:r>
        <w:rPr>
          <w:sz w:val="24"/>
          <w:szCs w:val="22"/>
        </w:rPr>
        <w:t>2.1</w:t>
      </w:r>
      <w:r>
        <w:rPr>
          <w:rFonts w:hint="eastAsia"/>
          <w:sz w:val="24"/>
          <w:szCs w:val="22"/>
        </w:rPr>
        <w:t>生长性能、饲料利用及形体指标</w:t>
      </w:r>
    </w:p>
    <w:p w14:paraId="20FDB1E7">
      <w:pPr>
        <w:spacing w:line="360" w:lineRule="auto"/>
        <w:ind w:firstLine="480" w:firstLineChars="200"/>
        <w:rPr>
          <w:sz w:val="24"/>
          <w:szCs w:val="22"/>
        </w:rPr>
      </w:pPr>
      <w:r>
        <w:rPr>
          <w:rFonts w:hint="eastAsia"/>
          <w:sz w:val="24"/>
          <w:szCs w:val="22"/>
        </w:rPr>
        <w:t>三组饲料饲喂黄颡鱼</w:t>
      </w:r>
      <w:r>
        <w:rPr>
          <w:sz w:val="24"/>
          <w:szCs w:val="22"/>
        </w:rPr>
        <w:t>7周后，其生长性能、形态参数及饲料利用性能如表3所示。三组饲料喂养</w:t>
      </w:r>
      <w:r>
        <w:rPr>
          <w:rFonts w:hint="eastAsia"/>
          <w:sz w:val="24"/>
          <w:szCs w:val="22"/>
        </w:rPr>
        <w:t>的黄颡鱼存活率无差异，而未发酵棉籽组黄颡鱼的</w:t>
      </w:r>
      <w:r>
        <w:rPr>
          <w:sz w:val="24"/>
          <w:szCs w:val="22"/>
        </w:rPr>
        <w:t>WGR、SGR等指标在三组中都是最低的，基础组</w:t>
      </w:r>
      <w:r>
        <w:rPr>
          <w:rFonts w:hint="eastAsia"/>
          <w:sz w:val="24"/>
          <w:szCs w:val="22"/>
        </w:rPr>
        <w:t>最高，发酵棉籽粕组次之；而饲料系数在未发酵棉籽粕组最高，发酵棉籽粕组次之，基础组最低；未发酵棉籽粕组的肝体比最高，基础组的肠体比最低，其他两组间无显著性差异；脏体比以及肥满度在三组间都无显著性差异。由以上结果可知，未发酵棉籽粕降低黄颡鱼的生长性能，而将棉籽粕进行发酵后再添加进饲料中，显著提升黄颡鱼的生长性能</w:t>
      </w:r>
      <w:r>
        <w:rPr>
          <w:sz w:val="24"/>
          <w:szCs w:val="22"/>
        </w:rPr>
        <w:t>。</w:t>
      </w:r>
    </w:p>
    <w:p w14:paraId="57D85884">
      <w:pPr>
        <w:spacing w:line="360" w:lineRule="auto"/>
        <w:rPr>
          <w:sz w:val="24"/>
          <w:szCs w:val="22"/>
        </w:rPr>
      </w:pPr>
      <w:r>
        <w:rPr>
          <w:rFonts w:ascii="等线" w:hAnsi="等线" w:eastAsia="等线"/>
          <w:szCs w:val="22"/>
        </w:rPr>
        <w:drawing>
          <wp:inline distT="0" distB="0" distL="0" distR="0">
            <wp:extent cx="5981700" cy="3921760"/>
            <wp:effectExtent l="0" t="0" r="0" b="2540"/>
            <wp:docPr id="1393240349" name="图片 139324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40349" name="图片 1393240349"/>
                    <pic:cNvPicPr>
                      <a:picLocks noChangeAspect="1"/>
                    </pic:cNvPicPr>
                  </pic:nvPicPr>
                  <pic:blipFill>
                    <a:blip r:embed="rId20"/>
                    <a:stretch>
                      <a:fillRect/>
                    </a:stretch>
                  </pic:blipFill>
                  <pic:spPr>
                    <a:xfrm>
                      <a:off x="0" y="0"/>
                      <a:ext cx="5987562" cy="3925872"/>
                    </a:xfrm>
                    <a:prstGeom prst="rect">
                      <a:avLst/>
                    </a:prstGeom>
                  </pic:spPr>
                </pic:pic>
              </a:graphicData>
            </a:graphic>
          </wp:inline>
        </w:drawing>
      </w:r>
      <w:r>
        <w:rPr>
          <w:rFonts w:ascii="等线" w:hAnsi="等线" w:eastAsia="等线"/>
          <w:szCs w:val="22"/>
        </w:rPr>
        <w:drawing>
          <wp:inline distT="0" distB="0" distL="0" distR="0">
            <wp:extent cx="6007100" cy="30435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6015950" cy="3048359"/>
                    </a:xfrm>
                    <a:prstGeom prst="rect">
                      <a:avLst/>
                    </a:prstGeom>
                  </pic:spPr>
                </pic:pic>
              </a:graphicData>
            </a:graphic>
          </wp:inline>
        </w:drawing>
      </w:r>
    </w:p>
    <w:p w14:paraId="3629CB7E">
      <w:pPr>
        <w:spacing w:line="360" w:lineRule="auto"/>
        <w:rPr>
          <w:sz w:val="24"/>
          <w:szCs w:val="22"/>
        </w:rPr>
      </w:pPr>
      <w:r>
        <w:rPr>
          <w:sz w:val="24"/>
          <w:szCs w:val="22"/>
        </w:rPr>
        <w:t>2.2</w:t>
      </w:r>
      <w:r>
        <w:rPr>
          <w:rFonts w:hint="eastAsia"/>
          <w:sz w:val="24"/>
          <w:szCs w:val="22"/>
        </w:rPr>
        <w:t>黄颡鱼对棉籽粕及发酵棉籽粕营养物质表观消化率</w:t>
      </w:r>
      <w:r>
        <w:rPr>
          <w:sz w:val="24"/>
          <w:szCs w:val="22"/>
        </w:rPr>
        <w:t xml:space="preserve"> </w:t>
      </w:r>
    </w:p>
    <w:p w14:paraId="1388A258">
      <w:pPr>
        <w:spacing w:line="360" w:lineRule="auto"/>
        <w:ind w:firstLine="480" w:firstLineChars="200"/>
        <w:rPr>
          <w:sz w:val="24"/>
          <w:szCs w:val="22"/>
        </w:rPr>
      </w:pPr>
      <w:r>
        <w:rPr>
          <w:rFonts w:hint="eastAsia"/>
          <w:sz w:val="24"/>
          <w:szCs w:val="22"/>
        </w:rPr>
        <w:t>由表</w:t>
      </w:r>
      <w:r>
        <w:rPr>
          <w:sz w:val="24"/>
          <w:szCs w:val="22"/>
        </w:rPr>
        <w:t>4可得，黄颡鱼对发酵棉籽粕的干物质、粗蛋白、粗脂肪、能量的消化率均显著高于未发酵</w:t>
      </w:r>
      <w:r>
        <w:rPr>
          <w:rFonts w:hint="eastAsia"/>
          <w:sz w:val="24"/>
          <w:szCs w:val="22"/>
        </w:rPr>
        <w:t>棉籽粕</w:t>
      </w:r>
      <w:r>
        <w:rPr>
          <w:sz w:val="24"/>
          <w:szCs w:val="22"/>
        </w:rPr>
        <w:t>。</w:t>
      </w:r>
    </w:p>
    <w:p w14:paraId="085974A5">
      <w:pPr>
        <w:spacing w:line="360" w:lineRule="auto"/>
        <w:rPr>
          <w:sz w:val="24"/>
          <w:szCs w:val="22"/>
        </w:rPr>
      </w:pPr>
      <w:r>
        <w:rPr>
          <w:rFonts w:ascii="等线" w:hAnsi="等线" w:eastAsia="等线"/>
          <w:szCs w:val="22"/>
        </w:rPr>
        <w:drawing>
          <wp:inline distT="0" distB="0" distL="0" distR="0">
            <wp:extent cx="5967730" cy="2578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974688" cy="2581106"/>
                    </a:xfrm>
                    <a:prstGeom prst="rect">
                      <a:avLst/>
                    </a:prstGeom>
                  </pic:spPr>
                </pic:pic>
              </a:graphicData>
            </a:graphic>
          </wp:inline>
        </w:drawing>
      </w:r>
    </w:p>
    <w:p w14:paraId="1E2A06AF">
      <w:pPr>
        <w:spacing w:line="360" w:lineRule="auto"/>
        <w:jc w:val="center"/>
        <w:rPr>
          <w:sz w:val="24"/>
          <w:szCs w:val="22"/>
        </w:rPr>
      </w:pPr>
      <w:r>
        <w:rPr>
          <w:rFonts w:ascii="等线" w:hAnsi="等线" w:eastAsia="等线"/>
          <w:szCs w:val="22"/>
        </w:rPr>
        <w:drawing>
          <wp:inline distT="0" distB="0" distL="0" distR="0">
            <wp:extent cx="5924550" cy="13843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928667" cy="1385262"/>
                    </a:xfrm>
                    <a:prstGeom prst="rect">
                      <a:avLst/>
                    </a:prstGeom>
                  </pic:spPr>
                </pic:pic>
              </a:graphicData>
            </a:graphic>
          </wp:inline>
        </w:drawing>
      </w:r>
    </w:p>
    <w:p w14:paraId="2EA5EB80">
      <w:pPr>
        <w:spacing w:line="360" w:lineRule="auto"/>
        <w:rPr>
          <w:sz w:val="24"/>
          <w:szCs w:val="22"/>
        </w:rPr>
      </w:pPr>
      <w:r>
        <w:rPr>
          <w:sz w:val="24"/>
          <w:szCs w:val="22"/>
        </w:rPr>
        <w:t>2.3</w:t>
      </w:r>
      <w:r>
        <w:rPr>
          <w:rFonts w:hint="eastAsia"/>
          <w:sz w:val="24"/>
          <w:szCs w:val="22"/>
        </w:rPr>
        <w:t>肠道</w:t>
      </w:r>
      <w:r>
        <w:rPr>
          <w:sz w:val="24"/>
          <w:szCs w:val="22"/>
        </w:rPr>
        <w:t>H.E染色</w:t>
      </w:r>
    </w:p>
    <w:p w14:paraId="2711FD39">
      <w:pPr>
        <w:spacing w:line="360" w:lineRule="auto"/>
        <w:ind w:firstLine="480" w:firstLineChars="200"/>
        <w:rPr>
          <w:sz w:val="24"/>
          <w:szCs w:val="22"/>
        </w:rPr>
      </w:pPr>
      <w:r>
        <w:rPr>
          <w:rFonts w:hint="eastAsia"/>
          <w:sz w:val="24"/>
          <w:szCs w:val="22"/>
        </w:rPr>
        <w:t>未发酵棉籽粕组相较于对照组，肠道绒毛的长度和宽度都显著性下降，说明肠道出现组织损伤。而在发酵棉籽粕组，肠道绒毛的高度及宽度相较于未发酵组都出现显著上升，说明肠道损伤得到缓解</w:t>
      </w:r>
      <w:r>
        <w:rPr>
          <w:sz w:val="24"/>
          <w:szCs w:val="22"/>
        </w:rPr>
        <w:t>(图1和图2)。</w:t>
      </w:r>
    </w:p>
    <w:p w14:paraId="04E6177A">
      <w:pPr>
        <w:spacing w:line="360" w:lineRule="auto"/>
        <w:jc w:val="center"/>
        <w:rPr>
          <w:sz w:val="24"/>
          <w:szCs w:val="22"/>
        </w:rPr>
      </w:pPr>
      <w:r>
        <w:rPr>
          <w:rFonts w:ascii="等线" w:hAnsi="等线" w:eastAsia="等线"/>
          <w:szCs w:val="22"/>
        </w:rPr>
        <w:drawing>
          <wp:inline distT="0" distB="0" distL="0" distR="0">
            <wp:extent cx="6005195" cy="2501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rcRect b="53042"/>
                    <a:stretch>
                      <a:fillRect/>
                    </a:stretch>
                  </pic:blipFill>
                  <pic:spPr>
                    <a:xfrm>
                      <a:off x="0" y="0"/>
                      <a:ext cx="6009029" cy="2503497"/>
                    </a:xfrm>
                    <a:prstGeom prst="rect">
                      <a:avLst/>
                    </a:prstGeom>
                    <a:ln>
                      <a:noFill/>
                    </a:ln>
                  </pic:spPr>
                </pic:pic>
              </a:graphicData>
            </a:graphic>
          </wp:inline>
        </w:drawing>
      </w:r>
      <w:r>
        <w:rPr>
          <w:rFonts w:ascii="等线" w:hAnsi="等线" w:eastAsia="等线"/>
          <w:szCs w:val="22"/>
        </w:rPr>
        <w:drawing>
          <wp:inline distT="0" distB="0" distL="0" distR="0">
            <wp:extent cx="6038215" cy="2844800"/>
            <wp:effectExtent l="0" t="0" r="635" b="0"/>
            <wp:docPr id="2105188941" name="图片 210518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8941" name="图片 2105188941"/>
                    <pic:cNvPicPr>
                      <a:picLocks noChangeAspect="1"/>
                    </pic:cNvPicPr>
                  </pic:nvPicPr>
                  <pic:blipFill>
                    <a:blip r:embed="rId24"/>
                    <a:srcRect t="47235"/>
                    <a:stretch>
                      <a:fillRect/>
                    </a:stretch>
                  </pic:blipFill>
                  <pic:spPr>
                    <a:xfrm>
                      <a:off x="0" y="0"/>
                      <a:ext cx="6040663" cy="2845953"/>
                    </a:xfrm>
                    <a:prstGeom prst="rect">
                      <a:avLst/>
                    </a:prstGeom>
                    <a:ln>
                      <a:noFill/>
                    </a:ln>
                  </pic:spPr>
                </pic:pic>
              </a:graphicData>
            </a:graphic>
          </wp:inline>
        </w:drawing>
      </w:r>
    </w:p>
    <w:p w14:paraId="56EC131A">
      <w:pPr>
        <w:spacing w:line="360" w:lineRule="auto"/>
        <w:rPr>
          <w:sz w:val="24"/>
          <w:szCs w:val="22"/>
        </w:rPr>
      </w:pPr>
      <w:r>
        <w:rPr>
          <w:sz w:val="24"/>
          <w:szCs w:val="22"/>
        </w:rPr>
        <w:t>2.</w:t>
      </w:r>
      <w:r>
        <w:rPr>
          <w:rFonts w:hint="eastAsia"/>
          <w:sz w:val="24"/>
          <w:szCs w:val="22"/>
        </w:rPr>
        <w:t>4</w:t>
      </w:r>
      <w:r>
        <w:rPr>
          <w:sz w:val="24"/>
          <w:szCs w:val="22"/>
        </w:rPr>
        <w:t xml:space="preserve">肠道炎症因子相关基因表达 </w:t>
      </w:r>
    </w:p>
    <w:p w14:paraId="4B6F3A74">
      <w:pPr>
        <w:spacing w:line="360" w:lineRule="auto"/>
        <w:ind w:firstLine="480" w:firstLineChars="200"/>
        <w:rPr>
          <w:sz w:val="24"/>
          <w:szCs w:val="22"/>
        </w:rPr>
      </w:pPr>
      <w:r>
        <w:rPr>
          <w:rFonts w:hint="eastAsia"/>
          <w:sz w:val="24"/>
          <w:szCs w:val="22"/>
        </w:rPr>
        <w:t>由图</w:t>
      </w:r>
      <w:r>
        <w:rPr>
          <w:sz w:val="24"/>
          <w:szCs w:val="22"/>
        </w:rPr>
        <w:t>3可知，在黄颡鱼肠道组织中，发酵棉籽粕组</w:t>
      </w:r>
      <w:r>
        <w:rPr>
          <w:i/>
          <w:sz w:val="24"/>
          <w:szCs w:val="22"/>
        </w:rPr>
        <w:t>il</w:t>
      </w:r>
      <w:r>
        <w:rPr>
          <w:sz w:val="24"/>
          <w:szCs w:val="22"/>
        </w:rPr>
        <w:t>6、</w:t>
      </w:r>
      <w:r>
        <w:rPr>
          <w:i/>
          <w:sz w:val="24"/>
          <w:szCs w:val="22"/>
        </w:rPr>
        <w:t>il</w:t>
      </w:r>
      <w:r>
        <w:rPr>
          <w:sz w:val="24"/>
          <w:szCs w:val="22"/>
        </w:rPr>
        <w:t>8的mRNA表达水平显著低于未发酵棉</w:t>
      </w:r>
      <w:r>
        <w:rPr>
          <w:rFonts w:hint="eastAsia"/>
          <w:sz w:val="24"/>
          <w:szCs w:val="22"/>
        </w:rPr>
        <w:t>籽粕组，</w:t>
      </w:r>
      <w:r>
        <w:rPr>
          <w:i/>
          <w:sz w:val="24"/>
          <w:szCs w:val="22"/>
        </w:rPr>
        <w:t>tgf-β</w:t>
      </w:r>
      <w:r>
        <w:rPr>
          <w:sz w:val="24"/>
          <w:szCs w:val="22"/>
        </w:rPr>
        <w:t>的表达水平显著高于未发酵组。</w:t>
      </w:r>
    </w:p>
    <w:p w14:paraId="039DB5C6">
      <w:pPr>
        <w:spacing w:line="360" w:lineRule="auto"/>
        <w:jc w:val="center"/>
        <w:rPr>
          <w:sz w:val="24"/>
          <w:szCs w:val="22"/>
        </w:rPr>
      </w:pPr>
      <w:r>
        <w:rPr>
          <w:rFonts w:ascii="等线" w:hAnsi="等线" w:eastAsia="等线"/>
          <w:szCs w:val="22"/>
        </w:rPr>
        <w:drawing>
          <wp:inline distT="0" distB="0" distL="0" distR="0">
            <wp:extent cx="5826760" cy="26035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829055" cy="2604525"/>
                    </a:xfrm>
                    <a:prstGeom prst="rect">
                      <a:avLst/>
                    </a:prstGeom>
                  </pic:spPr>
                </pic:pic>
              </a:graphicData>
            </a:graphic>
          </wp:inline>
        </w:drawing>
      </w:r>
    </w:p>
    <w:p w14:paraId="6E5D0020">
      <w:pPr>
        <w:spacing w:line="360" w:lineRule="auto"/>
        <w:rPr>
          <w:sz w:val="24"/>
          <w:szCs w:val="22"/>
        </w:rPr>
      </w:pPr>
      <w:r>
        <w:rPr>
          <w:sz w:val="24"/>
          <w:szCs w:val="22"/>
        </w:rPr>
        <w:t>2.5肠道氧化应激相关基因表达及酶活性</w:t>
      </w:r>
    </w:p>
    <w:p w14:paraId="783D9E91">
      <w:pPr>
        <w:spacing w:line="360" w:lineRule="auto"/>
        <w:ind w:firstLine="480" w:firstLineChars="200"/>
        <w:rPr>
          <w:sz w:val="24"/>
          <w:szCs w:val="22"/>
        </w:rPr>
      </w:pPr>
      <w:r>
        <w:rPr>
          <w:rFonts w:hint="eastAsia"/>
          <w:sz w:val="24"/>
          <w:szCs w:val="22"/>
        </w:rPr>
        <w:t>由图</w:t>
      </w:r>
      <w:r>
        <w:rPr>
          <w:sz w:val="24"/>
          <w:szCs w:val="22"/>
        </w:rPr>
        <w:t>4可知，在黄颡鱼肠道组织中，发酵棉籽粕组</w:t>
      </w:r>
      <w:r>
        <w:rPr>
          <w:i/>
          <w:sz w:val="24"/>
          <w:szCs w:val="22"/>
        </w:rPr>
        <w:t>cat</w:t>
      </w:r>
      <w:r>
        <w:rPr>
          <w:sz w:val="24"/>
          <w:szCs w:val="22"/>
        </w:rPr>
        <w:t>、</w:t>
      </w:r>
      <w:r>
        <w:rPr>
          <w:i/>
          <w:sz w:val="24"/>
          <w:szCs w:val="22"/>
        </w:rPr>
        <w:t>sod</w:t>
      </w:r>
      <w:r>
        <w:rPr>
          <w:sz w:val="24"/>
          <w:szCs w:val="22"/>
        </w:rPr>
        <w:t>1、</w:t>
      </w:r>
      <w:r>
        <w:rPr>
          <w:i/>
          <w:sz w:val="24"/>
          <w:szCs w:val="22"/>
        </w:rPr>
        <w:t>sod</w:t>
      </w:r>
      <w:r>
        <w:rPr>
          <w:sz w:val="24"/>
          <w:szCs w:val="22"/>
        </w:rPr>
        <w:t>2、</w:t>
      </w:r>
      <w:r>
        <w:rPr>
          <w:i/>
          <w:sz w:val="24"/>
          <w:szCs w:val="22"/>
        </w:rPr>
        <w:t>gpx</w:t>
      </w:r>
      <w:r>
        <w:rPr>
          <w:sz w:val="24"/>
          <w:szCs w:val="22"/>
        </w:rPr>
        <w:t>1、</w:t>
      </w:r>
      <w:r>
        <w:rPr>
          <w:i/>
          <w:sz w:val="24"/>
          <w:szCs w:val="22"/>
        </w:rPr>
        <w:t>keap</w:t>
      </w:r>
      <w:r>
        <w:rPr>
          <w:sz w:val="24"/>
          <w:szCs w:val="22"/>
        </w:rPr>
        <w:t>1等抗氧化相关</w:t>
      </w:r>
      <w:r>
        <w:rPr>
          <w:rFonts w:hint="eastAsia"/>
          <w:sz w:val="24"/>
          <w:szCs w:val="22"/>
        </w:rPr>
        <w:t>基因的</w:t>
      </w:r>
      <w:r>
        <w:rPr>
          <w:sz w:val="24"/>
          <w:szCs w:val="22"/>
        </w:rPr>
        <w:t>mRNA表达均显著高于未发酵棉籽粕组，</w:t>
      </w:r>
      <w:r>
        <w:rPr>
          <w:i/>
          <w:sz w:val="24"/>
          <w:szCs w:val="22"/>
        </w:rPr>
        <w:t>nrf</w:t>
      </w:r>
      <w:r>
        <w:rPr>
          <w:sz w:val="24"/>
          <w:szCs w:val="22"/>
        </w:rPr>
        <w:t>2的mRNA表达水平显著低于未发酵棉籽粕组。</w:t>
      </w:r>
      <w:r>
        <w:rPr>
          <w:rFonts w:hint="eastAsia"/>
          <w:sz w:val="24"/>
          <w:szCs w:val="22"/>
        </w:rPr>
        <w:t>由图</w:t>
      </w:r>
      <w:r>
        <w:rPr>
          <w:sz w:val="24"/>
          <w:szCs w:val="22"/>
        </w:rPr>
        <w:t>5-a~d可知发酵棉籽粕组CAT酶活性，T-SOD的活性以及总抗氧化能力均显著高于未发酵棉籽</w:t>
      </w:r>
      <w:r>
        <w:rPr>
          <w:rFonts w:hint="eastAsia"/>
          <w:sz w:val="24"/>
          <w:szCs w:val="22"/>
        </w:rPr>
        <w:t>粕组，</w:t>
      </w:r>
      <w:r>
        <w:rPr>
          <w:sz w:val="24"/>
          <w:szCs w:val="22"/>
        </w:rPr>
        <w:t>MDA 含量显著低于未发酵棉籽粕组。这些表明，固态发酵同样能显著缓解棉籽粕对黄颡鱼肠</w:t>
      </w:r>
      <w:r>
        <w:rPr>
          <w:rFonts w:hint="eastAsia"/>
          <w:sz w:val="24"/>
          <w:szCs w:val="22"/>
        </w:rPr>
        <w:t>道组织造成的氧化损伤。</w:t>
      </w:r>
    </w:p>
    <w:p w14:paraId="69925275">
      <w:pPr>
        <w:spacing w:line="360" w:lineRule="auto"/>
        <w:jc w:val="center"/>
        <w:rPr>
          <w:sz w:val="24"/>
          <w:szCs w:val="22"/>
        </w:rPr>
      </w:pPr>
      <w:r>
        <w:rPr>
          <w:rFonts w:ascii="等线" w:hAnsi="等线" w:eastAsia="等线"/>
          <w:szCs w:val="22"/>
        </w:rPr>
        <w:drawing>
          <wp:inline distT="0" distB="0" distL="0" distR="0">
            <wp:extent cx="5988050" cy="3225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5533" r="2971"/>
                    <a:stretch>
                      <a:fillRect/>
                    </a:stretch>
                  </pic:blipFill>
                  <pic:spPr>
                    <a:xfrm>
                      <a:off x="0" y="0"/>
                      <a:ext cx="6006537" cy="3235759"/>
                    </a:xfrm>
                    <a:prstGeom prst="rect">
                      <a:avLst/>
                    </a:prstGeom>
                    <a:ln>
                      <a:noFill/>
                    </a:ln>
                  </pic:spPr>
                </pic:pic>
              </a:graphicData>
            </a:graphic>
          </wp:inline>
        </w:drawing>
      </w:r>
    </w:p>
    <w:p w14:paraId="04874403">
      <w:pPr>
        <w:spacing w:line="360" w:lineRule="auto"/>
        <w:jc w:val="center"/>
        <w:rPr>
          <w:sz w:val="24"/>
          <w:szCs w:val="22"/>
        </w:rPr>
      </w:pPr>
      <w:r>
        <w:rPr>
          <w:rFonts w:ascii="等线" w:hAnsi="等线" w:eastAsia="等线"/>
          <w:szCs w:val="22"/>
        </w:rPr>
        <w:drawing>
          <wp:inline distT="0" distB="0" distL="0" distR="0">
            <wp:extent cx="5941060" cy="420370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rcRect l="4724" r="5753"/>
                    <a:stretch>
                      <a:fillRect/>
                    </a:stretch>
                  </pic:blipFill>
                  <pic:spPr>
                    <a:xfrm>
                      <a:off x="0" y="0"/>
                      <a:ext cx="5955529" cy="4213938"/>
                    </a:xfrm>
                    <a:prstGeom prst="rect">
                      <a:avLst/>
                    </a:prstGeom>
                    <a:ln>
                      <a:noFill/>
                    </a:ln>
                  </pic:spPr>
                </pic:pic>
              </a:graphicData>
            </a:graphic>
          </wp:inline>
        </w:drawing>
      </w:r>
    </w:p>
    <w:p w14:paraId="7E757607">
      <w:pPr>
        <w:spacing w:line="360" w:lineRule="auto"/>
        <w:rPr>
          <w:sz w:val="24"/>
          <w:szCs w:val="22"/>
        </w:rPr>
      </w:pPr>
      <w:r>
        <w:rPr>
          <w:sz w:val="24"/>
          <w:szCs w:val="22"/>
        </w:rPr>
        <w:t>2.6肠道紧密连接相关基因表达</w:t>
      </w:r>
    </w:p>
    <w:p w14:paraId="6290E37B">
      <w:pPr>
        <w:spacing w:line="360" w:lineRule="auto"/>
        <w:ind w:firstLine="480" w:firstLineChars="200"/>
        <w:rPr>
          <w:sz w:val="24"/>
          <w:szCs w:val="22"/>
        </w:rPr>
      </w:pPr>
      <w:r>
        <w:rPr>
          <w:rFonts w:hint="eastAsia"/>
          <w:sz w:val="24"/>
          <w:szCs w:val="22"/>
        </w:rPr>
        <w:t>由图</w:t>
      </w:r>
      <w:r>
        <w:rPr>
          <w:sz w:val="24"/>
          <w:szCs w:val="22"/>
        </w:rPr>
        <w:t>6可知，在黄颡鱼肠道组织中，发酵棉籽粕组</w:t>
      </w:r>
      <w:r>
        <w:rPr>
          <w:i/>
          <w:sz w:val="24"/>
          <w:szCs w:val="22"/>
        </w:rPr>
        <w:t>claudin</w:t>
      </w:r>
      <w:r>
        <w:rPr>
          <w:sz w:val="24"/>
          <w:szCs w:val="22"/>
        </w:rPr>
        <w:t>1、</w:t>
      </w:r>
      <w:r>
        <w:rPr>
          <w:i/>
          <w:sz w:val="24"/>
          <w:szCs w:val="22"/>
        </w:rPr>
        <w:t>claudin</w:t>
      </w:r>
      <w:r>
        <w:rPr>
          <w:sz w:val="24"/>
          <w:szCs w:val="22"/>
        </w:rPr>
        <w:t>3、</w:t>
      </w:r>
      <w:r>
        <w:rPr>
          <w:i/>
          <w:sz w:val="24"/>
          <w:szCs w:val="22"/>
        </w:rPr>
        <w:t>claudin</w:t>
      </w:r>
      <w:r>
        <w:rPr>
          <w:sz w:val="24"/>
          <w:szCs w:val="22"/>
        </w:rPr>
        <w:t>4、</w:t>
      </w:r>
      <w:r>
        <w:rPr>
          <w:i/>
          <w:sz w:val="24"/>
          <w:szCs w:val="22"/>
        </w:rPr>
        <w:t>occludin</w:t>
      </w:r>
      <w:r>
        <w:rPr>
          <w:sz w:val="24"/>
          <w:szCs w:val="22"/>
        </w:rPr>
        <w:t>、</w:t>
      </w:r>
      <w:r>
        <w:rPr>
          <w:i/>
          <w:sz w:val="24"/>
          <w:szCs w:val="22"/>
        </w:rPr>
        <w:t>zo</w:t>
      </w:r>
      <w:r>
        <w:rPr>
          <w:sz w:val="24"/>
          <w:szCs w:val="22"/>
        </w:rPr>
        <w:t>1、</w:t>
      </w:r>
      <w:r>
        <w:rPr>
          <w:i/>
          <w:sz w:val="24"/>
          <w:szCs w:val="22"/>
        </w:rPr>
        <w:t>zo</w:t>
      </w:r>
      <w:r>
        <w:rPr>
          <w:sz w:val="24"/>
          <w:szCs w:val="22"/>
        </w:rPr>
        <w:t>2等紧密连接相关基因的mRNA表达水平均显著高于未发酵棉籽粕组。</w:t>
      </w:r>
    </w:p>
    <w:p w14:paraId="5AFA5FFF">
      <w:pPr>
        <w:spacing w:line="360" w:lineRule="auto"/>
        <w:jc w:val="center"/>
        <w:rPr>
          <w:sz w:val="24"/>
          <w:szCs w:val="22"/>
        </w:rPr>
      </w:pPr>
      <w:r>
        <w:rPr>
          <w:rFonts w:ascii="等线" w:hAnsi="等线" w:eastAsia="等线"/>
          <w:szCs w:val="22"/>
        </w:rPr>
        <w:drawing>
          <wp:inline distT="0" distB="0" distL="0" distR="0">
            <wp:extent cx="4940300" cy="212852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rcRect l="5090" r="4348"/>
                    <a:stretch>
                      <a:fillRect/>
                    </a:stretch>
                  </pic:blipFill>
                  <pic:spPr>
                    <a:xfrm>
                      <a:off x="0" y="0"/>
                      <a:ext cx="4950747" cy="2133343"/>
                    </a:xfrm>
                    <a:prstGeom prst="rect">
                      <a:avLst/>
                    </a:prstGeom>
                    <a:ln>
                      <a:noFill/>
                    </a:ln>
                  </pic:spPr>
                </pic:pic>
              </a:graphicData>
            </a:graphic>
          </wp:inline>
        </w:drawing>
      </w:r>
    </w:p>
    <w:p w14:paraId="3D078919">
      <w:pPr>
        <w:spacing w:line="360" w:lineRule="auto"/>
        <w:rPr>
          <w:sz w:val="24"/>
          <w:szCs w:val="22"/>
        </w:rPr>
      </w:pPr>
      <w:r>
        <w:rPr>
          <w:sz w:val="24"/>
          <w:szCs w:val="22"/>
        </w:rPr>
        <w:t>2.7肠道凋亡相关基因表达及酶活性影响</w:t>
      </w:r>
    </w:p>
    <w:p w14:paraId="62582C75">
      <w:pPr>
        <w:spacing w:line="360" w:lineRule="auto"/>
        <w:ind w:firstLine="480" w:firstLineChars="200"/>
        <w:rPr>
          <w:sz w:val="24"/>
          <w:szCs w:val="22"/>
        </w:rPr>
      </w:pPr>
      <w:r>
        <w:rPr>
          <w:rFonts w:hint="eastAsia"/>
          <w:sz w:val="24"/>
          <w:szCs w:val="22"/>
        </w:rPr>
        <w:t>由图</w:t>
      </w:r>
      <w:r>
        <w:rPr>
          <w:sz w:val="24"/>
          <w:szCs w:val="22"/>
        </w:rPr>
        <w:t>7可以看出，在黄颡鱼肠道组织中，发酵棉籽粕组</w:t>
      </w:r>
      <w:r>
        <w:rPr>
          <w:i/>
          <w:sz w:val="24"/>
          <w:szCs w:val="22"/>
        </w:rPr>
        <w:t>caspase</w:t>
      </w:r>
      <w:r>
        <w:rPr>
          <w:sz w:val="24"/>
          <w:szCs w:val="22"/>
        </w:rPr>
        <w:t>3、</w:t>
      </w:r>
      <w:r>
        <w:rPr>
          <w:i/>
          <w:sz w:val="24"/>
          <w:szCs w:val="22"/>
        </w:rPr>
        <w:t>caspase</w:t>
      </w:r>
      <w:r>
        <w:rPr>
          <w:sz w:val="24"/>
          <w:szCs w:val="22"/>
        </w:rPr>
        <w:t>9以及</w:t>
      </w:r>
      <w:r>
        <w:rPr>
          <w:i/>
          <w:sz w:val="24"/>
          <w:szCs w:val="22"/>
        </w:rPr>
        <w:t>p</w:t>
      </w:r>
      <w:r>
        <w:rPr>
          <w:sz w:val="24"/>
          <w:szCs w:val="22"/>
        </w:rPr>
        <w:t>53的mRNA</w:t>
      </w:r>
      <w:r>
        <w:rPr>
          <w:rFonts w:hint="eastAsia"/>
          <w:sz w:val="24"/>
          <w:szCs w:val="22"/>
        </w:rPr>
        <w:t>表达水平均显著低于未发酵组，而</w:t>
      </w:r>
      <w:r>
        <w:rPr>
          <w:i/>
          <w:sz w:val="24"/>
          <w:szCs w:val="22"/>
        </w:rPr>
        <w:t>bcl2</w:t>
      </w:r>
      <w:r>
        <w:rPr>
          <w:sz w:val="24"/>
          <w:szCs w:val="22"/>
        </w:rPr>
        <w:t>的表达水平则是显著高于未发酵组。同时，图8a~b表明Caspase3、Caspase9的酶活性也与</w:t>
      </w:r>
      <w:r>
        <w:rPr>
          <w:i/>
          <w:sz w:val="24"/>
          <w:szCs w:val="22"/>
        </w:rPr>
        <w:t>caspase</w:t>
      </w:r>
      <w:r>
        <w:rPr>
          <w:sz w:val="24"/>
          <w:szCs w:val="22"/>
        </w:rPr>
        <w:t>3等凋亡诱导基因的表达水平的趋势一致。这些结果表明，</w:t>
      </w:r>
      <w:r>
        <w:rPr>
          <w:rFonts w:hint="eastAsia"/>
          <w:sz w:val="24"/>
          <w:szCs w:val="22"/>
        </w:rPr>
        <w:t>将棉籽粕进行发酵后可以缓解肠道凋亡的产生。</w:t>
      </w:r>
    </w:p>
    <w:p w14:paraId="69339032">
      <w:pPr>
        <w:spacing w:line="360" w:lineRule="auto"/>
        <w:jc w:val="center"/>
        <w:rPr>
          <w:sz w:val="24"/>
          <w:szCs w:val="22"/>
        </w:rPr>
      </w:pPr>
      <w:r>
        <w:rPr>
          <w:rFonts w:ascii="等线" w:hAnsi="等线" w:eastAsia="等线"/>
          <w:szCs w:val="22"/>
        </w:rPr>
        <w:drawing>
          <wp:inline distT="0" distB="0" distL="0" distR="0">
            <wp:extent cx="5880100" cy="5139690"/>
            <wp:effectExtent l="0" t="0" r="635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5883054" cy="5142906"/>
                    </a:xfrm>
                    <a:prstGeom prst="rect">
                      <a:avLst/>
                    </a:prstGeom>
                  </pic:spPr>
                </pic:pic>
              </a:graphicData>
            </a:graphic>
          </wp:inline>
        </w:drawing>
      </w:r>
    </w:p>
    <w:p w14:paraId="5500B149">
      <w:pPr>
        <w:spacing w:line="360" w:lineRule="auto"/>
        <w:rPr>
          <w:sz w:val="24"/>
          <w:szCs w:val="22"/>
        </w:rPr>
      </w:pPr>
      <w:r>
        <w:rPr>
          <w:sz w:val="24"/>
          <w:szCs w:val="22"/>
        </w:rPr>
        <w:t>3讨论</w:t>
      </w:r>
    </w:p>
    <w:p w14:paraId="33210B39">
      <w:pPr>
        <w:spacing w:line="360" w:lineRule="auto"/>
        <w:ind w:firstLine="480" w:firstLineChars="200"/>
        <w:rPr>
          <w:sz w:val="24"/>
          <w:szCs w:val="22"/>
        </w:rPr>
      </w:pPr>
      <w:r>
        <w:rPr>
          <w:rFonts w:hint="eastAsia"/>
          <w:sz w:val="24"/>
          <w:szCs w:val="22"/>
        </w:rPr>
        <w:t>以往的研究表明，当在饲料中使用高比例的棉籽粕和菜籽粕混合替代鱼粉时，会导致黄颡鱼生长性能显著下降，饲料系数增加</w:t>
      </w:r>
      <w:r>
        <w:rPr>
          <w:sz w:val="24"/>
          <w:szCs w:val="22"/>
          <w:vertAlign w:val="superscript"/>
        </w:rPr>
        <w:t>[16]</w:t>
      </w:r>
      <w:r>
        <w:rPr>
          <w:sz w:val="24"/>
          <w:szCs w:val="22"/>
        </w:rPr>
        <w:t>，这与本研究得到的结果一致。此外，也有类似的研究表明，高水平</w:t>
      </w:r>
      <w:r>
        <w:rPr>
          <w:rFonts w:hint="eastAsia"/>
          <w:sz w:val="24"/>
          <w:szCs w:val="22"/>
        </w:rPr>
        <w:t>的植物蛋白源替代会对鱼类的生长性能造成损害，这可能是由于抗营养因子和氨基酸失衡所导致</w:t>
      </w:r>
      <w:r>
        <w:rPr>
          <w:sz w:val="24"/>
          <w:szCs w:val="22"/>
          <w:vertAlign w:val="superscript"/>
        </w:rPr>
        <w:t>[10]</w:t>
      </w:r>
      <w:r>
        <w:rPr>
          <w:sz w:val="24"/>
          <w:szCs w:val="22"/>
        </w:rPr>
        <w:t>。</w:t>
      </w:r>
      <w:r>
        <w:rPr>
          <w:rFonts w:hint="eastAsia"/>
          <w:sz w:val="24"/>
          <w:szCs w:val="22"/>
        </w:rPr>
        <w:t>同时，本研究发现固态发酵可以显著缓解棉籽粕对黄颡鱼生长性能的损害，降低饲料系数，其原因可能是游离棉酚含量的降低。在此基础上，进一步分析了固态发酵棉籽粕对营养物质表观消化率及肠道健康状况的影响。</w:t>
      </w:r>
    </w:p>
    <w:p w14:paraId="51BE6525">
      <w:pPr>
        <w:spacing w:line="360" w:lineRule="auto"/>
        <w:ind w:firstLine="480" w:firstLineChars="200"/>
        <w:rPr>
          <w:sz w:val="24"/>
          <w:szCs w:val="22"/>
        </w:rPr>
      </w:pPr>
      <w:r>
        <w:rPr>
          <w:rFonts w:hint="eastAsia"/>
          <w:sz w:val="24"/>
          <w:szCs w:val="22"/>
        </w:rPr>
        <w:t>作为本研究的一个重要发现，与棉籽粕组相比，发酵棉籽粕组显著提高了黄颡鱼对干物质、粗蛋白、粗脂肪和能量的表观消化率。</w:t>
      </w:r>
      <w:r>
        <w:rPr>
          <w:sz w:val="24"/>
          <w:szCs w:val="22"/>
        </w:rPr>
        <w:t>Lee等</w:t>
      </w:r>
      <w:r>
        <w:rPr>
          <w:sz w:val="24"/>
          <w:szCs w:val="22"/>
          <w:vertAlign w:val="superscript"/>
        </w:rPr>
        <w:t>[18]</w:t>
      </w:r>
      <w:r>
        <w:rPr>
          <w:sz w:val="24"/>
          <w:szCs w:val="22"/>
        </w:rPr>
        <w:t>测定虹鳟（</w:t>
      </w:r>
      <w:r>
        <w:rPr>
          <w:i/>
          <w:sz w:val="24"/>
          <w:szCs w:val="22"/>
        </w:rPr>
        <w:t>Oncorhynchus mykiss</w:t>
      </w:r>
      <w:r>
        <w:rPr>
          <w:sz w:val="24"/>
          <w:szCs w:val="22"/>
        </w:rPr>
        <w:t>）对棉籽粕干物质、粗蛋</w:t>
      </w:r>
      <w:r>
        <w:rPr>
          <w:rFonts w:hint="eastAsia"/>
          <w:sz w:val="24"/>
          <w:szCs w:val="22"/>
        </w:rPr>
        <w:t>白和能量的表观消化率分别为</w:t>
      </w:r>
      <w:r>
        <w:rPr>
          <w:sz w:val="24"/>
          <w:szCs w:val="22"/>
        </w:rPr>
        <w:t xml:space="preserve"> 38.2%、78.9%和52.9%。时于惠等</w:t>
      </w:r>
      <w:r>
        <w:rPr>
          <w:sz w:val="24"/>
          <w:szCs w:val="22"/>
          <w:vertAlign w:val="superscript"/>
        </w:rPr>
        <w:t>[20]</w:t>
      </w:r>
      <w:r>
        <w:rPr>
          <w:sz w:val="24"/>
          <w:szCs w:val="22"/>
        </w:rPr>
        <w:t>测定大口黑鲈（</w:t>
      </w:r>
      <w:r>
        <w:rPr>
          <w:i/>
          <w:sz w:val="24"/>
          <w:szCs w:val="22"/>
        </w:rPr>
        <w:t>Micropterus salmoides</w:t>
      </w:r>
      <w:r>
        <w:rPr>
          <w:sz w:val="24"/>
          <w:szCs w:val="22"/>
        </w:rPr>
        <w:t>）对棉籽浓缩蛋白干物质、粗蛋白和能量消化率分别为37.27%、79.97%和43.25%，与本研</w:t>
      </w:r>
      <w:r>
        <w:rPr>
          <w:rFonts w:hint="eastAsia"/>
          <w:sz w:val="24"/>
          <w:szCs w:val="22"/>
        </w:rPr>
        <w:t>究中黄颡鱼对棉籽粕的营养物质表观消化率相近。干物质表观消化率低通常表明饲料中不可消化物质含量较高</w:t>
      </w:r>
      <w:r>
        <w:rPr>
          <w:sz w:val="24"/>
          <w:szCs w:val="22"/>
          <w:vertAlign w:val="superscript"/>
        </w:rPr>
        <w:t>[21]</w:t>
      </w:r>
      <w:r>
        <w:rPr>
          <w:sz w:val="24"/>
          <w:szCs w:val="22"/>
        </w:rPr>
        <w:t>。之前的几项研究报告了植物蛋白的低消化率，并且干物质表观消化率与高纤维或抗营养</w:t>
      </w:r>
      <w:r>
        <w:rPr>
          <w:rFonts w:hint="eastAsia"/>
          <w:sz w:val="24"/>
          <w:szCs w:val="22"/>
        </w:rPr>
        <w:t>因子呈负相关</w:t>
      </w:r>
      <w:r>
        <w:rPr>
          <w:sz w:val="24"/>
          <w:szCs w:val="22"/>
          <w:vertAlign w:val="superscript"/>
        </w:rPr>
        <w:t>[22-23]</w:t>
      </w:r>
      <w:r>
        <w:rPr>
          <w:sz w:val="24"/>
          <w:szCs w:val="22"/>
        </w:rPr>
        <w:t>。发酵棉籽粕干物质消化率的显著提高可能是由于发酵降低了大分子碳水化合物的</w:t>
      </w:r>
      <w:r>
        <w:rPr>
          <w:rFonts w:hint="eastAsia"/>
          <w:sz w:val="24"/>
          <w:szCs w:val="22"/>
        </w:rPr>
        <w:t>含量所致。粗蛋白消化率的提高可能与植酸含量降低有关</w:t>
      </w:r>
      <w:r>
        <w:rPr>
          <w:sz w:val="24"/>
          <w:szCs w:val="22"/>
          <w:vertAlign w:val="superscript"/>
        </w:rPr>
        <w:t>[24]</w:t>
      </w:r>
      <w:r>
        <w:rPr>
          <w:sz w:val="24"/>
          <w:szCs w:val="22"/>
        </w:rPr>
        <w:t>。目前，关于鱼体对发酵棉籽粕消化率的</w:t>
      </w:r>
      <w:r>
        <w:rPr>
          <w:rFonts w:hint="eastAsia"/>
          <w:sz w:val="24"/>
          <w:szCs w:val="22"/>
        </w:rPr>
        <w:t>研究较少。但据报道，固态发酵提高了棉籽粕营养物质的体外消化率</w:t>
      </w:r>
      <w:r>
        <w:rPr>
          <w:sz w:val="24"/>
          <w:szCs w:val="22"/>
          <w:vertAlign w:val="superscript"/>
        </w:rPr>
        <w:t>[25]</w:t>
      </w:r>
      <w:r>
        <w:rPr>
          <w:sz w:val="24"/>
          <w:szCs w:val="22"/>
        </w:rPr>
        <w:t>，在底物发酵过程中，微生物</w:t>
      </w:r>
      <w:r>
        <w:rPr>
          <w:rFonts w:hint="eastAsia"/>
          <w:sz w:val="24"/>
          <w:szCs w:val="22"/>
        </w:rPr>
        <w:t>产生大量的代谢物，如小肽、有机酸</w:t>
      </w:r>
      <w:r>
        <w:rPr>
          <w:sz w:val="24"/>
          <w:szCs w:val="22"/>
          <w:vertAlign w:val="superscript"/>
        </w:rPr>
        <w:t>[12]</w:t>
      </w:r>
      <w:r>
        <w:rPr>
          <w:sz w:val="24"/>
          <w:szCs w:val="22"/>
        </w:rPr>
        <w:t>以及消化酶，如蛋白酶、淀粉酶和脂肪酶</w:t>
      </w:r>
      <w:r>
        <w:rPr>
          <w:sz w:val="24"/>
          <w:szCs w:val="22"/>
          <w:vertAlign w:val="superscript"/>
        </w:rPr>
        <w:t>[26]</w:t>
      </w:r>
      <w:r>
        <w:rPr>
          <w:sz w:val="24"/>
          <w:szCs w:val="22"/>
        </w:rPr>
        <w:t>，这些酶对养殖</w:t>
      </w:r>
      <w:r>
        <w:rPr>
          <w:rFonts w:hint="eastAsia"/>
          <w:sz w:val="24"/>
          <w:szCs w:val="22"/>
        </w:rPr>
        <w:t>动物的饲料消化率产生有利影响。综上所述，发酵棉籽粕营养物质消化率的提高可能主要与抗营养因子的减少和营养物质分子量的降低有关</w:t>
      </w:r>
      <w:r>
        <w:rPr>
          <w:sz w:val="24"/>
          <w:szCs w:val="22"/>
        </w:rPr>
        <w:t>。</w:t>
      </w:r>
    </w:p>
    <w:p w14:paraId="6449D38E">
      <w:pPr>
        <w:spacing w:line="360" w:lineRule="auto"/>
        <w:ind w:firstLine="480" w:firstLineChars="200"/>
        <w:rPr>
          <w:sz w:val="24"/>
          <w:szCs w:val="22"/>
        </w:rPr>
      </w:pPr>
      <w:r>
        <w:rPr>
          <w:rFonts w:hint="eastAsia"/>
          <w:sz w:val="24"/>
          <w:szCs w:val="22"/>
        </w:rPr>
        <w:t>炎症通常可以通过促炎因子的上调和炎症抑制因子的下调来反映</w:t>
      </w:r>
      <w:r>
        <w:rPr>
          <w:sz w:val="24"/>
          <w:szCs w:val="22"/>
          <w:vertAlign w:val="superscript"/>
        </w:rPr>
        <w:t>[27-28]</w:t>
      </w:r>
      <w:r>
        <w:rPr>
          <w:sz w:val="24"/>
          <w:szCs w:val="22"/>
        </w:rPr>
        <w:t>。在本研究中，棉籽粕组的</w:t>
      </w:r>
      <w:r>
        <w:rPr>
          <w:rFonts w:hint="eastAsia"/>
          <w:sz w:val="24"/>
          <w:szCs w:val="22"/>
        </w:rPr>
        <w:t>肠道促炎因子的基因表达上调，炎症抑制因子基因表达下调。此外，肠绒毛高度和宽度减小。肠绒毛的形态通常可以反映炎症引起的肠组织损伤的严重程度</w:t>
      </w:r>
      <w:r>
        <w:rPr>
          <w:sz w:val="24"/>
          <w:szCs w:val="22"/>
          <w:vertAlign w:val="superscript"/>
        </w:rPr>
        <w:t>[3,29]</w:t>
      </w:r>
      <w:r>
        <w:rPr>
          <w:sz w:val="24"/>
          <w:szCs w:val="22"/>
        </w:rPr>
        <w:t>。因此，推测棉籽粕组黄颡鱼肠道组织产</w:t>
      </w:r>
      <w:r>
        <w:rPr>
          <w:rFonts w:hint="eastAsia"/>
          <w:sz w:val="24"/>
          <w:szCs w:val="22"/>
        </w:rPr>
        <w:t>生炎症反应，这与我们之前的研究结果相似</w:t>
      </w:r>
      <w:r>
        <w:rPr>
          <w:sz w:val="24"/>
          <w:szCs w:val="22"/>
          <w:vertAlign w:val="superscript"/>
        </w:rPr>
        <w:t>[16]</w:t>
      </w:r>
      <w:r>
        <w:rPr>
          <w:sz w:val="24"/>
          <w:szCs w:val="22"/>
        </w:rPr>
        <w:t>。同样，Xie等</w:t>
      </w:r>
      <w:r>
        <w:rPr>
          <w:sz w:val="24"/>
          <w:szCs w:val="22"/>
          <w:vertAlign w:val="superscript"/>
        </w:rPr>
        <w:t>[30]</w:t>
      </w:r>
      <w:r>
        <w:rPr>
          <w:sz w:val="24"/>
          <w:szCs w:val="22"/>
        </w:rPr>
        <w:t>也发现，植物蛋白源可导致鱼类的肠</w:t>
      </w:r>
      <w:r>
        <w:rPr>
          <w:rFonts w:hint="eastAsia"/>
          <w:sz w:val="24"/>
          <w:szCs w:val="22"/>
        </w:rPr>
        <w:t>道炎症以及组织学损伤。</w:t>
      </w:r>
      <w:r>
        <w:rPr>
          <w:sz w:val="24"/>
          <w:szCs w:val="22"/>
        </w:rPr>
        <w:t>Li等</w:t>
      </w:r>
      <w:r>
        <w:rPr>
          <w:sz w:val="24"/>
          <w:szCs w:val="22"/>
          <w:vertAlign w:val="superscript"/>
        </w:rPr>
        <w:t>[11]</w:t>
      </w:r>
      <w:r>
        <w:rPr>
          <w:sz w:val="24"/>
          <w:szCs w:val="22"/>
        </w:rPr>
        <w:t>发现，用棉籽浓缩蛋白和外源性棉酚替代豆粕降低了尼罗罗非鱼肠</w:t>
      </w:r>
      <w:r>
        <w:rPr>
          <w:rFonts w:hint="eastAsia"/>
          <w:sz w:val="24"/>
          <w:szCs w:val="22"/>
        </w:rPr>
        <w:t>绒毛的高度和宽度，上调促炎因子的基因表达，反映炎症的产生。发酵棉籽粕组肠道组织炎症反应有所缓解，表现为肠绒毛高度和宽度增加，促炎因子基因表达下调，炎性抑制因子基因表达上调。金红春</w:t>
      </w:r>
      <w:r>
        <w:rPr>
          <w:sz w:val="24"/>
          <w:szCs w:val="22"/>
          <w:vertAlign w:val="superscript"/>
        </w:rPr>
        <w:t>[31]</w:t>
      </w:r>
      <w:r>
        <w:rPr>
          <w:sz w:val="24"/>
          <w:szCs w:val="22"/>
        </w:rPr>
        <w:t>发现，与棉籽粕相比，发酵棉籽粕显著降低了青鱼（</w:t>
      </w:r>
      <w:r>
        <w:rPr>
          <w:i/>
          <w:sz w:val="24"/>
          <w:szCs w:val="22"/>
        </w:rPr>
        <w:t>Mylopharyngodon piceus</w:t>
      </w:r>
      <w:r>
        <w:rPr>
          <w:sz w:val="24"/>
          <w:szCs w:val="22"/>
        </w:rPr>
        <w:t>）血清和肝脏中谷</w:t>
      </w:r>
      <w:r>
        <w:rPr>
          <w:rFonts w:hint="eastAsia"/>
          <w:sz w:val="24"/>
          <w:szCs w:val="22"/>
        </w:rPr>
        <w:t>草转氨酶的活性。此外，类似发酵豆粕等发酵植物蛋白表现出在鱼类肠道炎症缓解作用</w:t>
      </w:r>
      <w:r>
        <w:rPr>
          <w:sz w:val="24"/>
          <w:szCs w:val="22"/>
          <w:vertAlign w:val="superscript"/>
        </w:rPr>
        <w:t>[32]</w:t>
      </w:r>
      <w:r>
        <w:rPr>
          <w:sz w:val="24"/>
          <w:szCs w:val="22"/>
        </w:rPr>
        <w:t>。推测固态</w:t>
      </w:r>
      <w:r>
        <w:rPr>
          <w:rFonts w:hint="eastAsia"/>
          <w:sz w:val="24"/>
          <w:szCs w:val="22"/>
        </w:rPr>
        <w:t>发酵可通过降低棉籽粕中抗营养因子的含量，从而有效缓解黄颡鱼肠道组织的炎症反应和组织损伤。</w:t>
      </w:r>
    </w:p>
    <w:p w14:paraId="48E26EF5">
      <w:pPr>
        <w:spacing w:line="360" w:lineRule="auto"/>
        <w:ind w:firstLine="480" w:firstLineChars="200"/>
        <w:rPr>
          <w:sz w:val="24"/>
          <w:szCs w:val="22"/>
        </w:rPr>
      </w:pPr>
      <w:r>
        <w:rPr>
          <w:sz w:val="24"/>
          <w:szCs w:val="22"/>
        </w:rPr>
        <w:t>T-AOC、SOD、CAT和GPX是酶促抗氧化防御系统的重要组成部分，它们的活性直接关系到生</w:t>
      </w:r>
      <w:r>
        <w:rPr>
          <w:rFonts w:hint="eastAsia"/>
          <w:sz w:val="24"/>
          <w:szCs w:val="22"/>
        </w:rPr>
        <w:t>物体的抗氧化能力</w:t>
      </w:r>
      <w:r>
        <w:rPr>
          <w:sz w:val="24"/>
          <w:szCs w:val="22"/>
          <w:vertAlign w:val="superscript"/>
        </w:rPr>
        <w:t>[33]</w:t>
      </w:r>
      <w:r>
        <w:rPr>
          <w:sz w:val="24"/>
          <w:szCs w:val="22"/>
        </w:rPr>
        <w:t>。丙二醛（MDA）是生物体内脂质过氧化的最终产物，其含量通常可以反映机</w:t>
      </w:r>
      <w:r>
        <w:rPr>
          <w:rFonts w:hint="eastAsia"/>
          <w:sz w:val="24"/>
          <w:szCs w:val="22"/>
        </w:rPr>
        <w:t>体氧化损伤的严重程度</w:t>
      </w:r>
      <w:r>
        <w:rPr>
          <w:sz w:val="24"/>
          <w:szCs w:val="22"/>
          <w:vertAlign w:val="superscript"/>
        </w:rPr>
        <w:t>[34]</w:t>
      </w:r>
      <w:r>
        <w:rPr>
          <w:sz w:val="24"/>
          <w:szCs w:val="22"/>
        </w:rPr>
        <w:t>。棉籽粕组肠组织抗氧化酶活性及基因表达水平显著降低，丙二醛含量显著</w:t>
      </w:r>
      <w:r>
        <w:rPr>
          <w:rFonts w:hint="eastAsia"/>
          <w:sz w:val="24"/>
          <w:szCs w:val="22"/>
        </w:rPr>
        <w:t>升高。其他类似的研究表明，棉籽粕和菜籽粕中的抗营养因子，如游离棉酚、植酸和单宁，会损害鱼类的抗氧化功能</w:t>
      </w:r>
      <w:r>
        <w:rPr>
          <w:sz w:val="24"/>
          <w:szCs w:val="22"/>
          <w:vertAlign w:val="superscript"/>
        </w:rPr>
        <w:t>[35-36]</w:t>
      </w:r>
      <w:r>
        <w:rPr>
          <w:sz w:val="24"/>
          <w:szCs w:val="22"/>
        </w:rPr>
        <w:t>。同时，有研究表明，外源棉酚可以对尼罗罗非鱼的肠道造成氧化损伤</w:t>
      </w:r>
      <w:r>
        <w:rPr>
          <w:sz w:val="24"/>
          <w:szCs w:val="22"/>
          <w:vertAlign w:val="superscript"/>
        </w:rPr>
        <w:t>[37]</w:t>
      </w:r>
      <w:r>
        <w:rPr>
          <w:sz w:val="24"/>
          <w:szCs w:val="22"/>
        </w:rPr>
        <w:t>。而在</w:t>
      </w:r>
      <w:r>
        <w:rPr>
          <w:rFonts w:hint="eastAsia"/>
          <w:sz w:val="24"/>
          <w:szCs w:val="22"/>
        </w:rPr>
        <w:t>发酵棉籽粕组，这种负面影响明显减轻，抗氧化相关基因表达和酶活性增加，</w:t>
      </w:r>
      <w:r>
        <w:rPr>
          <w:sz w:val="24"/>
          <w:szCs w:val="22"/>
        </w:rPr>
        <w:t>MDA含量降低。在凡</w:t>
      </w:r>
      <w:r>
        <w:rPr>
          <w:rFonts w:hint="eastAsia"/>
          <w:sz w:val="24"/>
          <w:szCs w:val="22"/>
        </w:rPr>
        <w:t>纳滨对虾（</w:t>
      </w:r>
      <w:r>
        <w:rPr>
          <w:i/>
          <w:sz w:val="24"/>
          <w:szCs w:val="22"/>
        </w:rPr>
        <w:t>Litopenaeus vannamei</w:t>
      </w:r>
      <w:r>
        <w:rPr>
          <w:sz w:val="24"/>
          <w:szCs w:val="22"/>
        </w:rPr>
        <w:t>）幼虾的饲料中使用发酵棉籽粕替代豆粕可以提高其抗氧化能力</w:t>
      </w:r>
      <w:r>
        <w:rPr>
          <w:sz w:val="24"/>
          <w:szCs w:val="22"/>
          <w:vertAlign w:val="superscript"/>
        </w:rPr>
        <w:t>[38]</w:t>
      </w:r>
      <w:r>
        <w:rPr>
          <w:sz w:val="24"/>
          <w:szCs w:val="22"/>
        </w:rPr>
        <w:t>。</w:t>
      </w:r>
      <w:r>
        <w:rPr>
          <w:rFonts w:hint="eastAsia"/>
          <w:sz w:val="24"/>
          <w:szCs w:val="22"/>
        </w:rPr>
        <w:t>同时，其他许多类似的研究表明，植物蛋白源的发酵可以减轻对机体造成的氧化损伤，例如与豆粕相比，发酵豆粕可以显著提高大菱鲆（</w:t>
      </w:r>
      <w:r>
        <w:rPr>
          <w:i/>
          <w:sz w:val="24"/>
          <w:szCs w:val="22"/>
        </w:rPr>
        <w:t>Scophthalmus maximus</w:t>
      </w:r>
      <w:r>
        <w:rPr>
          <w:sz w:val="24"/>
          <w:szCs w:val="22"/>
        </w:rPr>
        <w:t>）的总抗氧化能力和抗氧化相关酶活性，</w:t>
      </w:r>
      <w:r>
        <w:rPr>
          <w:rFonts w:hint="eastAsia"/>
          <w:sz w:val="24"/>
          <w:szCs w:val="22"/>
        </w:rPr>
        <w:t>降低血清中</w:t>
      </w:r>
      <w:r>
        <w:rPr>
          <w:sz w:val="24"/>
          <w:szCs w:val="22"/>
        </w:rPr>
        <w:t>MDA的含量</w:t>
      </w:r>
      <w:r>
        <w:rPr>
          <w:sz w:val="24"/>
          <w:szCs w:val="22"/>
          <w:vertAlign w:val="superscript"/>
        </w:rPr>
        <w:t>[32]</w:t>
      </w:r>
      <w:r>
        <w:rPr>
          <w:sz w:val="24"/>
          <w:szCs w:val="22"/>
        </w:rPr>
        <w:t>，同样，在花鲈（</w:t>
      </w:r>
      <w:r>
        <w:rPr>
          <w:i/>
          <w:sz w:val="24"/>
          <w:szCs w:val="22"/>
        </w:rPr>
        <w:t>Lateolabrax maculatus</w:t>
      </w:r>
      <w:r>
        <w:rPr>
          <w:sz w:val="24"/>
          <w:szCs w:val="22"/>
        </w:rPr>
        <w:t>）中，发酵豆粕显著增强了血清</w:t>
      </w:r>
      <w:r>
        <w:rPr>
          <w:rFonts w:hint="eastAsia"/>
          <w:sz w:val="24"/>
          <w:szCs w:val="22"/>
        </w:rPr>
        <w:t>的抗氧化活性和免疫力</w:t>
      </w:r>
      <w:r>
        <w:rPr>
          <w:sz w:val="24"/>
          <w:szCs w:val="22"/>
          <w:vertAlign w:val="superscript"/>
        </w:rPr>
        <w:t>[39]</w:t>
      </w:r>
      <w:r>
        <w:rPr>
          <w:sz w:val="24"/>
          <w:szCs w:val="22"/>
        </w:rPr>
        <w:t>。因此，推测固态发酵降低了棉籽粕中游离棉酚、单宁、植酸等抗营养因子</w:t>
      </w:r>
      <w:r>
        <w:rPr>
          <w:rFonts w:hint="eastAsia"/>
          <w:sz w:val="24"/>
          <w:szCs w:val="22"/>
        </w:rPr>
        <w:t>的含量，从而提高了机体抗氧化能力，有利于维持抗氧化系统的动态平衡。因此，固态发酵是对抗植物蛋白源引起的氧化损伤的有效方法。</w:t>
      </w:r>
    </w:p>
    <w:p w14:paraId="3D8460B4">
      <w:pPr>
        <w:spacing w:line="360" w:lineRule="auto"/>
        <w:ind w:firstLine="480" w:firstLineChars="200"/>
        <w:rPr>
          <w:sz w:val="24"/>
          <w:szCs w:val="22"/>
        </w:rPr>
      </w:pPr>
      <w:r>
        <w:rPr>
          <w:rFonts w:hint="eastAsia"/>
          <w:sz w:val="24"/>
          <w:szCs w:val="22"/>
        </w:rPr>
        <w:t>紧密连接蛋白是生物机体肠道物理保护中十分关键的组成成分，主要由三类蛋白组成—调节分子（</w:t>
      </w:r>
      <w:r>
        <w:rPr>
          <w:sz w:val="24"/>
          <w:szCs w:val="22"/>
        </w:rPr>
        <w:t>occludin）、跨膜蛋白（claudins）以及闭锁小带蛋白（ZOs）</w:t>
      </w:r>
      <w:r>
        <w:rPr>
          <w:sz w:val="24"/>
          <w:szCs w:val="22"/>
          <w:vertAlign w:val="superscript"/>
        </w:rPr>
        <w:t>[40]</w:t>
      </w:r>
      <w:r>
        <w:rPr>
          <w:sz w:val="24"/>
          <w:szCs w:val="22"/>
        </w:rPr>
        <w:t>，是将肠道上皮相邻细胞紧密联系的</w:t>
      </w:r>
      <w:r>
        <w:rPr>
          <w:rFonts w:hint="eastAsia"/>
          <w:sz w:val="24"/>
          <w:szCs w:val="22"/>
        </w:rPr>
        <w:t>重要部分，有助于细胞空隙的填充以及对外来物质的管控及阻挡作用，构成肠上皮细胞与外界物质交换的管控机制</w:t>
      </w:r>
      <w:r>
        <w:rPr>
          <w:sz w:val="24"/>
          <w:szCs w:val="22"/>
          <w:vertAlign w:val="superscript"/>
        </w:rPr>
        <w:t>[41]</w:t>
      </w:r>
      <w:r>
        <w:rPr>
          <w:sz w:val="24"/>
          <w:szCs w:val="22"/>
        </w:rPr>
        <w:t>。肠道的完整性以及受损程度，通常可以由紧密连接蛋白的基因表达来反映。在本研</w:t>
      </w:r>
      <w:r>
        <w:rPr>
          <w:rFonts w:hint="eastAsia"/>
          <w:sz w:val="24"/>
          <w:szCs w:val="22"/>
        </w:rPr>
        <w:t>究中，未发酵棉籽粕组的紧密连接蛋白的</w:t>
      </w:r>
      <w:r>
        <w:rPr>
          <w:sz w:val="24"/>
          <w:szCs w:val="22"/>
        </w:rPr>
        <w:t>mRNA表达均出现显著性下降。与实验室之前研究类似，</w:t>
      </w:r>
      <w:r>
        <w:rPr>
          <w:rFonts w:hint="eastAsia"/>
          <w:sz w:val="24"/>
          <w:szCs w:val="22"/>
        </w:rPr>
        <w:t>王开卓</w:t>
      </w:r>
      <w:r>
        <w:rPr>
          <w:sz w:val="24"/>
          <w:szCs w:val="22"/>
          <w:vertAlign w:val="superscript"/>
        </w:rPr>
        <w:t>[42]</w:t>
      </w:r>
      <w:r>
        <w:rPr>
          <w:sz w:val="24"/>
          <w:szCs w:val="22"/>
        </w:rPr>
        <w:t>在草鱼（</w:t>
      </w:r>
      <w:r>
        <w:rPr>
          <w:i/>
          <w:sz w:val="24"/>
          <w:szCs w:val="22"/>
        </w:rPr>
        <w:t>Ctenopharyngodon idella</w:t>
      </w:r>
      <w:r>
        <w:rPr>
          <w:sz w:val="24"/>
          <w:szCs w:val="22"/>
        </w:rPr>
        <w:t>）饲料中添加棉酚，发现草鱼肠道紧密连接被破坏，表现</w:t>
      </w:r>
      <w:r>
        <w:rPr>
          <w:rFonts w:hint="eastAsia"/>
          <w:sz w:val="24"/>
          <w:szCs w:val="22"/>
        </w:rPr>
        <w:t>在紧密连接蛋白基因表达随着棉酚添加量上升而下调，在草鱼肠细胞中进一步验证，发现了相同的结果，表明棉酚能通过影响紧密连接蛋白的基因表达从而破坏肠道细胞间结构的完整性。在本研究中，发酵棉籽粕组相较于未发酵组，紧密连接蛋白基因均出现显著性上调，同时结合炎症反应及抗氧化能力进行分析，说明微生物发酵能降低棉籽粕对黄颡鱼肝脏及肠道造成的损伤，改善其健康状况，并且目前推测原因主要是通过降低其中抗营养因子含量，然而是否存在其他机制还需今后进一步探究。</w:t>
      </w:r>
    </w:p>
    <w:p w14:paraId="0EA99807">
      <w:pPr>
        <w:spacing w:line="360" w:lineRule="auto"/>
        <w:ind w:firstLine="480" w:firstLineChars="200"/>
        <w:rPr>
          <w:sz w:val="24"/>
          <w:szCs w:val="22"/>
        </w:rPr>
      </w:pPr>
      <w:r>
        <w:rPr>
          <w:rFonts w:hint="eastAsia"/>
          <w:sz w:val="24"/>
          <w:szCs w:val="22"/>
        </w:rPr>
        <w:t>有研究显示，当生物机体产生严重的炎症反应及氧化损伤会诱导组织细胞产生凋亡</w:t>
      </w:r>
      <w:r>
        <w:rPr>
          <w:sz w:val="24"/>
          <w:szCs w:val="22"/>
          <w:vertAlign w:val="superscript"/>
        </w:rPr>
        <w:t>[43]</w:t>
      </w:r>
      <w:r>
        <w:rPr>
          <w:sz w:val="24"/>
          <w:szCs w:val="22"/>
        </w:rPr>
        <w:t>。在本研究</w:t>
      </w:r>
      <w:r>
        <w:rPr>
          <w:rFonts w:hint="eastAsia"/>
          <w:sz w:val="24"/>
          <w:szCs w:val="22"/>
        </w:rPr>
        <w:t>中，未发酵棉籽粕组的黄颡鱼肠道凋亡诱导基因（</w:t>
      </w:r>
      <w:r>
        <w:rPr>
          <w:i/>
          <w:sz w:val="24"/>
          <w:szCs w:val="22"/>
        </w:rPr>
        <w:t>caspase</w:t>
      </w:r>
      <w:r>
        <w:rPr>
          <w:sz w:val="24"/>
          <w:szCs w:val="22"/>
        </w:rPr>
        <w:t>3</w:t>
      </w:r>
      <w:r>
        <w:rPr>
          <w:i/>
          <w:sz w:val="24"/>
          <w:szCs w:val="22"/>
        </w:rPr>
        <w:t>、caspase</w:t>
      </w:r>
      <w:r>
        <w:rPr>
          <w:sz w:val="24"/>
          <w:szCs w:val="22"/>
        </w:rPr>
        <w:t>9</w:t>
      </w:r>
      <w:r>
        <w:rPr>
          <w:i/>
          <w:sz w:val="24"/>
          <w:szCs w:val="22"/>
        </w:rPr>
        <w:t>、p</w:t>
      </w:r>
      <w:r>
        <w:rPr>
          <w:sz w:val="24"/>
          <w:szCs w:val="22"/>
        </w:rPr>
        <w:t>53）呈现上调趋势，并且Caspase3、Caspase9的酶活也出现升高，因此我们推测未发酵棉籽粕组的黄颡鱼肠道细胞发生了凋</w:t>
      </w:r>
      <w:r>
        <w:rPr>
          <w:rFonts w:hint="eastAsia"/>
          <w:sz w:val="24"/>
          <w:szCs w:val="22"/>
        </w:rPr>
        <w:t>亡。张孟丹用醋酸棉酚对鲤（</w:t>
      </w:r>
      <w:r>
        <w:rPr>
          <w:i/>
          <w:sz w:val="24"/>
          <w:szCs w:val="22"/>
        </w:rPr>
        <w:t>Cyprinus carpio</w:t>
      </w:r>
      <w:r>
        <w:rPr>
          <w:sz w:val="24"/>
          <w:szCs w:val="22"/>
        </w:rPr>
        <w:t>）进行连续口灌，发现鲤肝脏中凋亡诱导相关基因表达</w:t>
      </w:r>
      <w:r>
        <w:rPr>
          <w:rFonts w:hint="eastAsia"/>
          <w:sz w:val="24"/>
          <w:szCs w:val="22"/>
        </w:rPr>
        <w:t>显著上调，抗凋亡蛋白</w:t>
      </w:r>
      <w:r>
        <w:rPr>
          <w:sz w:val="24"/>
          <w:szCs w:val="22"/>
        </w:rPr>
        <w:t>bcl-2显著下调</w:t>
      </w:r>
      <w:r>
        <w:rPr>
          <w:sz w:val="24"/>
          <w:szCs w:val="22"/>
          <w:vertAlign w:val="superscript"/>
        </w:rPr>
        <w:t>[44]</w:t>
      </w:r>
      <w:r>
        <w:rPr>
          <w:sz w:val="24"/>
          <w:szCs w:val="22"/>
        </w:rPr>
        <w:t>。Li等</w:t>
      </w:r>
      <w:r>
        <w:rPr>
          <w:sz w:val="24"/>
          <w:szCs w:val="22"/>
          <w:vertAlign w:val="superscript"/>
        </w:rPr>
        <w:t>[37]</w:t>
      </w:r>
      <w:r>
        <w:rPr>
          <w:sz w:val="24"/>
          <w:szCs w:val="22"/>
        </w:rPr>
        <w:t>以及王开卓</w:t>
      </w:r>
      <w:r>
        <w:rPr>
          <w:sz w:val="24"/>
          <w:szCs w:val="22"/>
          <w:vertAlign w:val="superscript"/>
        </w:rPr>
        <w:t>[42]</w:t>
      </w:r>
      <w:r>
        <w:rPr>
          <w:sz w:val="24"/>
          <w:szCs w:val="22"/>
        </w:rPr>
        <w:t>发现棉酚会诱导尼罗罗非鱼和草鱼肠</w:t>
      </w:r>
      <w:r>
        <w:rPr>
          <w:rFonts w:hint="eastAsia"/>
          <w:sz w:val="24"/>
          <w:szCs w:val="22"/>
        </w:rPr>
        <w:t>道组织细胞产生凋亡，与本研究结果相似。本研究首次发现，固态发酵能够显著缓解棉籽粕诱导的黄颡鱼肠道组织中的细胞凋亡，究其原因可能是降低了抗营养因子含量，缓解了组织炎症以及氧化损伤，从而缓解了细胞凋亡的产生。</w:t>
      </w:r>
    </w:p>
    <w:p w14:paraId="0263369C">
      <w:pPr>
        <w:spacing w:line="360" w:lineRule="auto"/>
        <w:rPr>
          <w:sz w:val="24"/>
          <w:szCs w:val="22"/>
        </w:rPr>
      </w:pPr>
      <w:r>
        <w:rPr>
          <w:sz w:val="24"/>
          <w:szCs w:val="22"/>
        </w:rPr>
        <w:t>4结论</w:t>
      </w:r>
    </w:p>
    <w:p w14:paraId="6C29297A">
      <w:pPr>
        <w:spacing w:line="360" w:lineRule="auto"/>
        <w:ind w:firstLine="480" w:firstLineChars="200"/>
        <w:rPr>
          <w:sz w:val="24"/>
          <w:szCs w:val="22"/>
        </w:rPr>
      </w:pPr>
      <w:r>
        <w:rPr>
          <w:rFonts w:hint="eastAsia"/>
          <w:sz w:val="24"/>
          <w:szCs w:val="22"/>
        </w:rPr>
        <w:t>综上所述，固态发酵显著提高了黄颡鱼对棉籽粕营养物质的表观消化率，减轻了棉籽粕对生长性能的损害，显著减轻了棉籽粕诱导的黄颡鱼肠道组织的炎症、氧化损伤以及细胞凋亡等不利影响，是改善棉籽粕饲用品质的一种十分有前景的方法。</w:t>
      </w:r>
    </w:p>
    <w:p w14:paraId="27CDE7F5">
      <w:pPr>
        <w:spacing w:line="360" w:lineRule="auto"/>
        <w:rPr>
          <w:sz w:val="24"/>
        </w:rPr>
      </w:pPr>
      <w:r>
        <w:rPr>
          <w:sz w:val="24"/>
        </w:rPr>
        <w:t>参考文献：略</w:t>
      </w:r>
    </w:p>
    <w:p w14:paraId="26AA7564">
      <w:pPr>
        <w:wordWrap w:val="0"/>
        <w:spacing w:line="360" w:lineRule="auto"/>
        <w:ind w:firstLine="420" w:firstLineChars="200"/>
        <w:jc w:val="right"/>
        <w:rPr>
          <w:sz w:val="24"/>
        </w:rPr>
      </w:pPr>
      <w:r>
        <w:rPr>
          <w:szCs w:val="21"/>
        </w:rPr>
        <w:t>原文刊登在《水产学报》</w:t>
      </w:r>
      <w:r>
        <w:rPr>
          <w:rFonts w:hint="eastAsia"/>
          <w:szCs w:val="21"/>
        </w:rPr>
        <w:t>2025年第3期</w:t>
      </w:r>
    </w:p>
    <w:p w14:paraId="58A089D7">
      <w:pPr>
        <w:jc w:val="center"/>
        <w:outlineLvl w:val="1"/>
        <w:rPr>
          <w:rFonts w:ascii="黑体" w:hAnsi="黑体" w:eastAsia="黑体" w:cs="黑体"/>
          <w:b/>
          <w:bCs/>
          <w:sz w:val="32"/>
          <w:szCs w:val="32"/>
        </w:rPr>
      </w:pPr>
      <w:bookmarkStart w:id="21" w:name="_Toc198113464"/>
      <w:r>
        <w:rPr>
          <w:rFonts w:hint="eastAsia" w:ascii="黑体" w:hAnsi="黑体" w:eastAsia="黑体" w:cs="黑体"/>
          <w:b/>
          <w:bCs/>
          <w:sz w:val="32"/>
          <w:szCs w:val="32"/>
        </w:rPr>
        <w:t>柑橘类植物精油的组成尧生物活性及其在水产饲料中的应用</w:t>
      </w:r>
      <w:bookmarkEnd w:id="21"/>
    </w:p>
    <w:p w14:paraId="3C706E87">
      <w:pPr>
        <w:jc w:val="center"/>
        <w:rPr>
          <w:rFonts w:ascii="宋体" w:hAnsi="宋体" w:cs="宋体"/>
          <w:szCs w:val="21"/>
        </w:rPr>
      </w:pPr>
      <w:r>
        <w:rPr>
          <w:rFonts w:ascii="宋体" w:hAnsi="宋体" w:cs="宋体"/>
          <w:szCs w:val="21"/>
        </w:rPr>
        <w:t>邱梦</w:t>
      </w:r>
      <w:r>
        <w:rPr>
          <w:rFonts w:ascii="宋体" w:hAnsi="宋体" w:cs="宋体"/>
          <w:szCs w:val="21"/>
          <w:vertAlign w:val="superscript"/>
        </w:rPr>
        <w:t>1</w:t>
      </w:r>
      <w:r>
        <w:rPr>
          <w:rFonts w:hint="eastAsia" w:ascii="宋体" w:hAnsi="宋体" w:cs="宋体"/>
          <w:szCs w:val="21"/>
        </w:rPr>
        <w:t>，</w:t>
      </w:r>
      <w:r>
        <w:rPr>
          <w:rFonts w:ascii="宋体" w:hAnsi="宋体" w:cs="宋体"/>
          <w:szCs w:val="21"/>
        </w:rPr>
        <w:t>梁萍</w:t>
      </w:r>
      <w:r>
        <w:rPr>
          <w:rFonts w:ascii="宋体" w:hAnsi="宋体" w:cs="宋体"/>
          <w:szCs w:val="21"/>
          <w:vertAlign w:val="superscript"/>
        </w:rPr>
        <w:t>2</w:t>
      </w:r>
      <w:r>
        <w:rPr>
          <w:rFonts w:hint="eastAsia" w:ascii="宋体" w:hAnsi="宋体" w:cs="宋体"/>
          <w:szCs w:val="21"/>
        </w:rPr>
        <w:t>，</w:t>
      </w:r>
      <w:r>
        <w:rPr>
          <w:rFonts w:ascii="宋体" w:hAnsi="宋体" w:cs="宋体"/>
          <w:szCs w:val="21"/>
        </w:rPr>
        <w:t>刘银华</w:t>
      </w:r>
      <w:r>
        <w:rPr>
          <w:rFonts w:ascii="宋体" w:hAnsi="宋体" w:cs="宋体"/>
          <w:szCs w:val="21"/>
          <w:vertAlign w:val="superscript"/>
        </w:rPr>
        <w:t>2</w:t>
      </w:r>
      <w:r>
        <w:rPr>
          <w:rFonts w:hint="eastAsia" w:ascii="宋体" w:hAnsi="宋体" w:cs="宋体"/>
          <w:szCs w:val="21"/>
        </w:rPr>
        <w:t>，</w:t>
      </w:r>
      <w:r>
        <w:rPr>
          <w:rFonts w:ascii="宋体" w:hAnsi="宋体" w:cs="宋体"/>
          <w:szCs w:val="21"/>
        </w:rPr>
        <w:t>林建斌</w:t>
      </w:r>
      <w:r>
        <w:rPr>
          <w:rFonts w:ascii="宋体" w:hAnsi="宋体" w:cs="宋体"/>
          <w:szCs w:val="21"/>
          <w:vertAlign w:val="superscript"/>
        </w:rPr>
        <w:t>2</w:t>
      </w:r>
      <w:r>
        <w:rPr>
          <w:rFonts w:hint="eastAsia" w:ascii="宋体" w:hAnsi="宋体" w:cs="宋体"/>
          <w:szCs w:val="21"/>
        </w:rPr>
        <w:t>，</w:t>
      </w:r>
      <w:r>
        <w:rPr>
          <w:rFonts w:ascii="宋体" w:hAnsi="宋体" w:cs="宋体"/>
          <w:szCs w:val="21"/>
        </w:rPr>
        <w:t>田田</w:t>
      </w:r>
      <w:r>
        <w:rPr>
          <w:rFonts w:ascii="宋体" w:hAnsi="宋体" w:cs="宋体"/>
          <w:szCs w:val="21"/>
          <w:vertAlign w:val="superscript"/>
        </w:rPr>
        <w:t>2</w:t>
      </w:r>
      <w:r>
        <w:rPr>
          <w:rFonts w:hint="eastAsia" w:ascii="宋体" w:hAnsi="宋体" w:cs="宋体"/>
          <w:szCs w:val="21"/>
        </w:rPr>
        <w:t>，</w:t>
      </w:r>
      <w:r>
        <w:rPr>
          <w:rFonts w:ascii="宋体" w:hAnsi="宋体" w:cs="宋体"/>
          <w:szCs w:val="21"/>
        </w:rPr>
        <w:t>秦志清</w:t>
      </w:r>
      <w:r>
        <w:rPr>
          <w:rFonts w:ascii="宋体" w:hAnsi="宋体" w:cs="宋体"/>
          <w:szCs w:val="21"/>
          <w:vertAlign w:val="superscript"/>
        </w:rPr>
        <w:t>1</w:t>
      </w:r>
      <w:r>
        <w:rPr>
          <w:rFonts w:hint="eastAsia" w:ascii="宋体" w:hAnsi="宋体" w:cs="宋体"/>
          <w:szCs w:val="21"/>
          <w:vertAlign w:val="superscript"/>
        </w:rPr>
        <w:t>，</w:t>
      </w:r>
      <w:r>
        <w:rPr>
          <w:rFonts w:ascii="宋体" w:hAnsi="宋体" w:cs="宋体"/>
          <w:szCs w:val="21"/>
          <w:vertAlign w:val="superscript"/>
        </w:rPr>
        <w:t>2*</w:t>
      </w:r>
      <w:r>
        <w:rPr>
          <w:rFonts w:hint="eastAsia" w:ascii="宋体" w:hAnsi="宋体" w:cs="宋体"/>
          <w:szCs w:val="21"/>
        </w:rPr>
        <w:t>，</w:t>
      </w:r>
      <w:r>
        <w:rPr>
          <w:rFonts w:ascii="宋体" w:hAnsi="宋体" w:cs="宋体"/>
          <w:szCs w:val="21"/>
        </w:rPr>
        <w:t>谢钦铭</w:t>
      </w:r>
      <w:r>
        <w:rPr>
          <w:rFonts w:ascii="宋体" w:hAnsi="宋体" w:cs="宋体"/>
          <w:szCs w:val="21"/>
          <w:vertAlign w:val="superscript"/>
        </w:rPr>
        <w:t>1</w:t>
      </w:r>
    </w:p>
    <w:p w14:paraId="7F1CFB4A">
      <w:pPr>
        <w:jc w:val="center"/>
        <w:rPr>
          <w:rFonts w:ascii="宋体" w:hAnsi="宋体" w:cs="宋体"/>
          <w:szCs w:val="21"/>
        </w:rPr>
      </w:pPr>
      <w:r>
        <w:rPr>
          <w:rFonts w:hint="eastAsia" w:ascii="宋体" w:hAnsi="宋体" w:cs="宋体"/>
          <w:szCs w:val="21"/>
        </w:rPr>
        <w:t>（</w:t>
      </w:r>
      <w:r>
        <w:rPr>
          <w:rFonts w:ascii="宋体" w:hAnsi="宋体" w:cs="宋体"/>
          <w:szCs w:val="21"/>
        </w:rPr>
        <w:t>1.集美大学水产学院</w:t>
      </w:r>
      <w:r>
        <w:rPr>
          <w:rFonts w:hint="eastAsia" w:ascii="宋体" w:hAnsi="宋体" w:cs="宋体"/>
          <w:szCs w:val="21"/>
        </w:rPr>
        <w:t>，</w:t>
      </w:r>
      <w:r>
        <w:rPr>
          <w:rFonts w:ascii="宋体" w:hAnsi="宋体" w:cs="宋体"/>
          <w:szCs w:val="21"/>
        </w:rPr>
        <w:t>福建厦门361000</w:t>
      </w:r>
      <w:r>
        <w:rPr>
          <w:rFonts w:hint="eastAsia" w:ascii="宋体" w:hAnsi="宋体" w:cs="宋体"/>
          <w:szCs w:val="21"/>
        </w:rPr>
        <w:t>；</w:t>
      </w:r>
      <w:r>
        <w:rPr>
          <w:rFonts w:ascii="宋体" w:hAnsi="宋体" w:cs="宋体"/>
          <w:szCs w:val="21"/>
        </w:rPr>
        <w:t>2.福建省淡水水产研究所</w:t>
      </w:r>
      <w:r>
        <w:rPr>
          <w:rFonts w:hint="eastAsia" w:ascii="宋体" w:hAnsi="宋体" w:cs="宋体"/>
          <w:szCs w:val="21"/>
        </w:rPr>
        <w:t>，</w:t>
      </w:r>
      <w:r>
        <w:rPr>
          <w:rFonts w:ascii="宋体" w:hAnsi="宋体" w:cs="宋体"/>
          <w:szCs w:val="21"/>
        </w:rPr>
        <w:t>福建福州350002</w:t>
      </w:r>
      <w:r>
        <w:rPr>
          <w:rFonts w:hint="eastAsia" w:ascii="宋体" w:hAnsi="宋体" w:cs="宋体"/>
          <w:szCs w:val="21"/>
        </w:rPr>
        <w:t>）</w:t>
      </w:r>
    </w:p>
    <w:p w14:paraId="161B85CB">
      <w:pPr>
        <w:rPr>
          <w:rFonts w:ascii="宋体" w:hAnsi="宋体" w:cs="宋体"/>
          <w:szCs w:val="21"/>
        </w:rPr>
      </w:pPr>
      <w:r>
        <w:rPr>
          <w:rFonts w:ascii="宋体" w:hAnsi="宋体" w:cs="宋体"/>
          <w:b/>
          <w:bCs/>
          <w:szCs w:val="21"/>
        </w:rPr>
        <w:t>摘要</w:t>
      </w:r>
      <w:r>
        <w:rPr>
          <w:rFonts w:hint="eastAsia" w:ascii="宋体" w:hAnsi="宋体" w:cs="宋体"/>
          <w:szCs w:val="21"/>
        </w:rPr>
        <w:t>：</w:t>
      </w:r>
      <w:r>
        <w:rPr>
          <w:rFonts w:ascii="宋体" w:hAnsi="宋体" w:cs="宋体"/>
          <w:szCs w:val="21"/>
        </w:rPr>
        <w:t>随着规模化和集约化水产养殖业的迅速发展</w:t>
      </w:r>
      <w:r>
        <w:rPr>
          <w:rFonts w:hint="eastAsia" w:ascii="宋体" w:hAnsi="宋体" w:cs="宋体"/>
          <w:szCs w:val="21"/>
        </w:rPr>
        <w:t>，</w:t>
      </w:r>
      <w:r>
        <w:rPr>
          <w:rFonts w:ascii="宋体" w:hAnsi="宋体" w:cs="宋体"/>
          <w:szCs w:val="21"/>
        </w:rPr>
        <w:t>水产养殖动物疾病频发</w:t>
      </w:r>
      <w:r>
        <w:rPr>
          <w:rFonts w:hint="eastAsia" w:ascii="宋体" w:hAnsi="宋体" w:cs="宋体"/>
          <w:szCs w:val="21"/>
        </w:rPr>
        <w:t>、</w:t>
      </w:r>
      <w:r>
        <w:rPr>
          <w:rFonts w:ascii="宋体" w:hAnsi="宋体" w:cs="宋体"/>
          <w:szCs w:val="21"/>
        </w:rPr>
        <w:t>滥用抗生素</w:t>
      </w:r>
      <w:r>
        <w:rPr>
          <w:rFonts w:hint="eastAsia" w:ascii="宋体" w:hAnsi="宋体" w:cs="宋体"/>
          <w:szCs w:val="21"/>
        </w:rPr>
        <w:t>、</w:t>
      </w:r>
      <w:r>
        <w:rPr>
          <w:rFonts w:ascii="宋体" w:hAnsi="宋体" w:cs="宋体"/>
          <w:szCs w:val="21"/>
        </w:rPr>
        <w:t>环境污染严重等问题愈加突显</w:t>
      </w:r>
      <w:r>
        <w:rPr>
          <w:rFonts w:hint="eastAsia" w:ascii="宋体" w:hAnsi="宋体" w:cs="宋体"/>
          <w:szCs w:val="21"/>
        </w:rPr>
        <w:t>。</w:t>
      </w:r>
      <w:r>
        <w:rPr>
          <w:rFonts w:ascii="宋体" w:hAnsi="宋体" w:cs="宋体"/>
          <w:szCs w:val="21"/>
        </w:rPr>
        <w:t>因此</w:t>
      </w:r>
      <w:r>
        <w:rPr>
          <w:rFonts w:hint="eastAsia" w:ascii="宋体" w:hAnsi="宋体" w:cs="宋体"/>
          <w:szCs w:val="21"/>
        </w:rPr>
        <w:t>，</w:t>
      </w:r>
      <w:r>
        <w:rPr>
          <w:rFonts w:ascii="宋体" w:hAnsi="宋体" w:cs="宋体"/>
          <w:szCs w:val="21"/>
        </w:rPr>
        <w:t>水产养殖领域亟需天然</w:t>
      </w:r>
      <w:r>
        <w:rPr>
          <w:rFonts w:hint="eastAsia" w:ascii="宋体" w:hAnsi="宋体" w:cs="宋体"/>
          <w:szCs w:val="21"/>
        </w:rPr>
        <w:t>、</w:t>
      </w:r>
      <w:r>
        <w:rPr>
          <w:rFonts w:ascii="宋体" w:hAnsi="宋体" w:cs="宋体"/>
          <w:szCs w:val="21"/>
        </w:rPr>
        <w:t>安全</w:t>
      </w:r>
      <w:r>
        <w:rPr>
          <w:rFonts w:hint="eastAsia" w:ascii="宋体" w:hAnsi="宋体" w:cs="宋体"/>
          <w:szCs w:val="21"/>
        </w:rPr>
        <w:t>、</w:t>
      </w:r>
      <w:r>
        <w:rPr>
          <w:rFonts w:ascii="宋体" w:hAnsi="宋体" w:cs="宋体"/>
          <w:szCs w:val="21"/>
        </w:rPr>
        <w:t>高效</w:t>
      </w:r>
      <w:r>
        <w:rPr>
          <w:rFonts w:hint="eastAsia" w:ascii="宋体" w:hAnsi="宋体" w:cs="宋体"/>
          <w:szCs w:val="21"/>
        </w:rPr>
        <w:t>、</w:t>
      </w:r>
      <w:r>
        <w:rPr>
          <w:rFonts w:ascii="宋体" w:hAnsi="宋体" w:cs="宋体"/>
          <w:szCs w:val="21"/>
        </w:rPr>
        <w:t>环保的饲料添加剂</w:t>
      </w:r>
      <w:r>
        <w:rPr>
          <w:rFonts w:hint="eastAsia" w:ascii="宋体" w:hAnsi="宋体" w:cs="宋体"/>
          <w:szCs w:val="21"/>
        </w:rPr>
        <w:t>。</w:t>
      </w:r>
      <w:r>
        <w:rPr>
          <w:rFonts w:ascii="宋体" w:hAnsi="宋体" w:cs="宋体"/>
          <w:szCs w:val="21"/>
        </w:rPr>
        <w:t>柑橘类植物精油具有多样性</w:t>
      </w:r>
      <w:r>
        <w:rPr>
          <w:rFonts w:hint="eastAsia" w:ascii="宋体" w:hAnsi="宋体" w:cs="宋体"/>
          <w:szCs w:val="21"/>
        </w:rPr>
        <w:t>、</w:t>
      </w:r>
      <w:r>
        <w:rPr>
          <w:rFonts w:ascii="宋体" w:hAnsi="宋体" w:cs="宋体"/>
          <w:szCs w:val="21"/>
        </w:rPr>
        <w:t>来源广泛</w:t>
      </w:r>
      <w:r>
        <w:rPr>
          <w:rFonts w:hint="eastAsia" w:ascii="宋体" w:hAnsi="宋体" w:cs="宋体"/>
          <w:szCs w:val="21"/>
        </w:rPr>
        <w:t>、</w:t>
      </w:r>
      <w:r>
        <w:rPr>
          <w:rFonts w:ascii="宋体" w:hAnsi="宋体" w:cs="宋体"/>
          <w:szCs w:val="21"/>
        </w:rPr>
        <w:t>成本低以及无毒副作用等特点</w:t>
      </w:r>
      <w:r>
        <w:rPr>
          <w:rFonts w:hint="eastAsia" w:ascii="宋体" w:hAnsi="宋体" w:cs="宋体"/>
          <w:szCs w:val="21"/>
        </w:rPr>
        <w:t>，</w:t>
      </w:r>
      <w:r>
        <w:rPr>
          <w:rFonts w:ascii="宋体" w:hAnsi="宋体" w:cs="宋体"/>
          <w:szCs w:val="21"/>
        </w:rPr>
        <w:t>并且可显著改善水产养殖动物健康和促进生长</w:t>
      </w:r>
      <w:r>
        <w:rPr>
          <w:rFonts w:hint="eastAsia" w:ascii="宋体" w:hAnsi="宋体" w:cs="宋体"/>
          <w:szCs w:val="21"/>
        </w:rPr>
        <w:t>，</w:t>
      </w:r>
      <w:r>
        <w:rPr>
          <w:rFonts w:ascii="宋体" w:hAnsi="宋体" w:cs="宋体"/>
          <w:szCs w:val="21"/>
        </w:rPr>
        <w:t>具有成为新型水产饲料添加剂的巨大潜力</w:t>
      </w:r>
      <w:r>
        <w:rPr>
          <w:rFonts w:hint="eastAsia" w:ascii="宋体" w:hAnsi="宋体" w:cs="宋体"/>
          <w:szCs w:val="21"/>
        </w:rPr>
        <w:t>。</w:t>
      </w:r>
      <w:r>
        <w:rPr>
          <w:rFonts w:ascii="宋体" w:hAnsi="宋体" w:cs="宋体"/>
          <w:szCs w:val="21"/>
        </w:rPr>
        <w:t>本文综述了柑橘类植物精油的组成</w:t>
      </w:r>
      <w:r>
        <w:rPr>
          <w:rFonts w:hint="eastAsia" w:ascii="宋体" w:hAnsi="宋体" w:cs="宋体"/>
          <w:szCs w:val="21"/>
        </w:rPr>
        <w:t>、</w:t>
      </w:r>
      <w:r>
        <w:rPr>
          <w:rFonts w:ascii="宋体" w:hAnsi="宋体" w:cs="宋体"/>
          <w:szCs w:val="21"/>
        </w:rPr>
        <w:t>理化性质</w:t>
      </w:r>
      <w:r>
        <w:rPr>
          <w:rFonts w:hint="eastAsia" w:ascii="宋体" w:hAnsi="宋体" w:cs="宋体"/>
          <w:szCs w:val="21"/>
        </w:rPr>
        <w:t>、</w:t>
      </w:r>
      <w:r>
        <w:rPr>
          <w:rFonts w:ascii="宋体" w:hAnsi="宋体" w:cs="宋体"/>
          <w:szCs w:val="21"/>
        </w:rPr>
        <w:t>生物活性及其在水产饲料中的应用</w:t>
      </w:r>
      <w:r>
        <w:rPr>
          <w:rFonts w:hint="eastAsia" w:ascii="宋体" w:hAnsi="宋体" w:cs="宋体"/>
          <w:szCs w:val="21"/>
        </w:rPr>
        <w:t>，</w:t>
      </w:r>
      <w:r>
        <w:rPr>
          <w:rFonts w:ascii="宋体" w:hAnsi="宋体" w:cs="宋体"/>
          <w:szCs w:val="21"/>
        </w:rPr>
        <w:t>并展望其发展前景与未来研发方向</w:t>
      </w:r>
      <w:r>
        <w:rPr>
          <w:rFonts w:hint="eastAsia" w:ascii="宋体" w:hAnsi="宋体" w:cs="宋体"/>
          <w:szCs w:val="21"/>
        </w:rPr>
        <w:t>，</w:t>
      </w:r>
      <w:r>
        <w:rPr>
          <w:rFonts w:ascii="宋体" w:hAnsi="宋体" w:cs="宋体"/>
          <w:szCs w:val="21"/>
        </w:rPr>
        <w:t>旨在为柑橘类精油在水产饲料中的应用研究和示范推广提供参考依据</w:t>
      </w:r>
      <w:r>
        <w:rPr>
          <w:rFonts w:hint="eastAsia" w:ascii="宋体" w:hAnsi="宋体" w:cs="宋体"/>
          <w:szCs w:val="21"/>
        </w:rPr>
        <w:t>。</w:t>
      </w:r>
    </w:p>
    <w:p w14:paraId="1901E541">
      <w:pPr>
        <w:rPr>
          <w:rFonts w:ascii="宋体" w:hAnsi="宋体" w:cs="宋体"/>
          <w:szCs w:val="21"/>
        </w:rPr>
      </w:pPr>
      <w:r>
        <w:rPr>
          <w:rFonts w:ascii="宋体" w:hAnsi="宋体" w:cs="宋体"/>
          <w:b/>
          <w:bCs/>
          <w:szCs w:val="21"/>
        </w:rPr>
        <w:t>关键词</w:t>
      </w:r>
      <w:r>
        <w:rPr>
          <w:rFonts w:hint="eastAsia" w:ascii="宋体" w:hAnsi="宋体" w:cs="宋体"/>
          <w:szCs w:val="21"/>
        </w:rPr>
        <w:t>：</w:t>
      </w:r>
      <w:r>
        <w:rPr>
          <w:rFonts w:ascii="宋体" w:hAnsi="宋体" w:cs="宋体"/>
          <w:szCs w:val="21"/>
        </w:rPr>
        <w:t>柑橘类植物精油</w:t>
      </w:r>
      <w:r>
        <w:rPr>
          <w:rFonts w:hint="eastAsia" w:ascii="宋体" w:hAnsi="宋体" w:cs="宋体"/>
          <w:szCs w:val="21"/>
        </w:rPr>
        <w:t>；</w:t>
      </w:r>
      <w:r>
        <w:rPr>
          <w:rFonts w:ascii="宋体" w:hAnsi="宋体" w:cs="宋体"/>
          <w:szCs w:val="21"/>
        </w:rPr>
        <w:t>生理功能</w:t>
      </w:r>
      <w:r>
        <w:rPr>
          <w:rFonts w:hint="eastAsia" w:ascii="宋体" w:hAnsi="宋体" w:cs="宋体"/>
          <w:szCs w:val="21"/>
        </w:rPr>
        <w:t>；</w:t>
      </w:r>
      <w:r>
        <w:rPr>
          <w:rFonts w:ascii="宋体" w:hAnsi="宋体" w:cs="宋体"/>
          <w:szCs w:val="21"/>
        </w:rPr>
        <w:t>水产饲料</w:t>
      </w:r>
    </w:p>
    <w:p w14:paraId="1D2E90F9">
      <w:pPr>
        <w:jc w:val="center"/>
        <w:rPr>
          <w:b/>
          <w:bCs/>
          <w:sz w:val="24"/>
        </w:rPr>
      </w:pPr>
      <w:r>
        <w:rPr>
          <w:b/>
          <w:bCs/>
          <w:sz w:val="24"/>
        </w:rPr>
        <w:t>Composition，biological activity and application of citrus essential oil in aquatic feed</w:t>
      </w:r>
    </w:p>
    <w:p w14:paraId="2B41A216">
      <w:pPr>
        <w:jc w:val="center"/>
        <w:rPr>
          <w:szCs w:val="21"/>
        </w:rPr>
      </w:pPr>
      <w:r>
        <w:rPr>
          <w:szCs w:val="21"/>
        </w:rPr>
        <w:t>QIU Meng</w:t>
      </w:r>
      <w:r>
        <w:rPr>
          <w:szCs w:val="21"/>
          <w:vertAlign w:val="superscript"/>
        </w:rPr>
        <w:t>1</w:t>
      </w:r>
      <w:r>
        <w:rPr>
          <w:szCs w:val="21"/>
        </w:rPr>
        <w:t>，LIANG Ping</w:t>
      </w:r>
      <w:r>
        <w:rPr>
          <w:szCs w:val="21"/>
          <w:vertAlign w:val="superscript"/>
        </w:rPr>
        <w:t>2</w:t>
      </w:r>
      <w:r>
        <w:rPr>
          <w:szCs w:val="21"/>
        </w:rPr>
        <w:t>，LIU Yinhua</w:t>
      </w:r>
      <w:r>
        <w:rPr>
          <w:szCs w:val="21"/>
          <w:vertAlign w:val="superscript"/>
        </w:rPr>
        <w:t>2</w:t>
      </w:r>
      <w:r>
        <w:rPr>
          <w:szCs w:val="21"/>
        </w:rPr>
        <w:t>，LIN Jianbin</w:t>
      </w:r>
      <w:r>
        <w:rPr>
          <w:szCs w:val="21"/>
          <w:vertAlign w:val="superscript"/>
        </w:rPr>
        <w:t>2</w:t>
      </w:r>
      <w:r>
        <w:rPr>
          <w:szCs w:val="21"/>
        </w:rPr>
        <w:t>，TIAN Tian</w:t>
      </w:r>
      <w:r>
        <w:rPr>
          <w:szCs w:val="21"/>
          <w:vertAlign w:val="superscript"/>
        </w:rPr>
        <w:t>2</w:t>
      </w:r>
      <w:r>
        <w:rPr>
          <w:szCs w:val="21"/>
        </w:rPr>
        <w:t>，QIN Zhiqing</w:t>
      </w:r>
      <w:r>
        <w:rPr>
          <w:szCs w:val="21"/>
          <w:vertAlign w:val="superscript"/>
        </w:rPr>
        <w:t>1,2 *</w:t>
      </w:r>
      <w:r>
        <w:rPr>
          <w:szCs w:val="21"/>
        </w:rPr>
        <w:t>，XIE Qinming</w:t>
      </w:r>
      <w:r>
        <w:rPr>
          <w:rFonts w:hint="eastAsia"/>
          <w:szCs w:val="21"/>
        </w:rPr>
        <w:t>（</w:t>
      </w:r>
      <w:r>
        <w:rPr>
          <w:szCs w:val="21"/>
        </w:rPr>
        <w:t>1.</w:t>
      </w:r>
      <w:r>
        <w:rPr>
          <w:i/>
          <w:iCs/>
          <w:szCs w:val="21"/>
        </w:rPr>
        <w:t>Fisheries College in Jimei University，Xiamen，Fujian Province 361000，China</w:t>
      </w:r>
      <w:r>
        <w:rPr>
          <w:szCs w:val="21"/>
        </w:rPr>
        <w:t>；</w:t>
      </w:r>
    </w:p>
    <w:p w14:paraId="73EAEC39">
      <w:pPr>
        <w:jc w:val="center"/>
        <w:rPr>
          <w:szCs w:val="21"/>
        </w:rPr>
      </w:pPr>
      <w:r>
        <w:rPr>
          <w:szCs w:val="21"/>
        </w:rPr>
        <w:t>2.</w:t>
      </w:r>
      <w:r>
        <w:rPr>
          <w:i/>
          <w:iCs/>
          <w:szCs w:val="21"/>
        </w:rPr>
        <w:t>Fujian Institute of Freshwater Fisheries，Fuzhou，Fujian Province 350002，China</w:t>
      </w:r>
      <w:r>
        <w:rPr>
          <w:rFonts w:hint="eastAsia"/>
          <w:szCs w:val="21"/>
        </w:rPr>
        <w:t>）</w:t>
      </w:r>
    </w:p>
    <w:p w14:paraId="6F82858C">
      <w:pPr>
        <w:rPr>
          <w:szCs w:val="21"/>
        </w:rPr>
      </w:pPr>
      <w:r>
        <w:rPr>
          <w:b/>
          <w:bCs/>
          <w:szCs w:val="21"/>
        </w:rPr>
        <w:t>Abstract</w:t>
      </w:r>
      <w:r>
        <w:rPr>
          <w:rFonts w:hint="eastAsia"/>
          <w:szCs w:val="21"/>
        </w:rPr>
        <w:t>：</w:t>
      </w:r>
      <w:r>
        <w:rPr>
          <w:szCs w:val="21"/>
        </w:rPr>
        <w:t>Large-scale and intensive aquaculture has developed rapidly recent years</w:t>
      </w:r>
      <w:r>
        <w:rPr>
          <w:rFonts w:hint="eastAsia"/>
          <w:szCs w:val="21"/>
        </w:rPr>
        <w:t>，</w:t>
      </w:r>
      <w:r>
        <w:rPr>
          <w:szCs w:val="21"/>
        </w:rPr>
        <w:t>however</w:t>
      </w:r>
      <w:r>
        <w:rPr>
          <w:rFonts w:hint="eastAsia"/>
          <w:szCs w:val="21"/>
        </w:rPr>
        <w:t>，</w:t>
      </w:r>
      <w:r>
        <w:rPr>
          <w:szCs w:val="21"/>
        </w:rPr>
        <w:t>frequent animal diseases</w:t>
      </w:r>
      <w:r>
        <w:rPr>
          <w:rFonts w:hint="eastAsia"/>
          <w:szCs w:val="21"/>
        </w:rPr>
        <w:t>，</w:t>
      </w:r>
      <w:r>
        <w:rPr>
          <w:szCs w:val="21"/>
        </w:rPr>
        <w:t>antibiotic abuse</w:t>
      </w:r>
      <w:r>
        <w:rPr>
          <w:rFonts w:hint="eastAsia"/>
          <w:szCs w:val="21"/>
        </w:rPr>
        <w:t>，</w:t>
      </w:r>
      <w:r>
        <w:rPr>
          <w:szCs w:val="21"/>
        </w:rPr>
        <w:t>and serious environmental pollution have become increasingly prominent in aquaculture. Therefore</w:t>
      </w:r>
      <w:r>
        <w:rPr>
          <w:rFonts w:hint="eastAsia"/>
          <w:szCs w:val="21"/>
        </w:rPr>
        <w:t>，</w:t>
      </w:r>
      <w:r>
        <w:rPr>
          <w:szCs w:val="21"/>
        </w:rPr>
        <w:t>the natural</w:t>
      </w:r>
      <w:r>
        <w:rPr>
          <w:rFonts w:hint="eastAsia"/>
          <w:szCs w:val="21"/>
        </w:rPr>
        <w:t>，</w:t>
      </w:r>
      <w:r>
        <w:rPr>
          <w:szCs w:val="21"/>
        </w:rPr>
        <w:t>safe</w:t>
      </w:r>
      <w:r>
        <w:rPr>
          <w:rFonts w:hint="eastAsia"/>
          <w:szCs w:val="21"/>
        </w:rPr>
        <w:t>，</w:t>
      </w:r>
      <w:r>
        <w:rPr>
          <w:szCs w:val="21"/>
        </w:rPr>
        <w:t>efficient</w:t>
      </w:r>
      <w:r>
        <w:rPr>
          <w:rFonts w:hint="eastAsia"/>
          <w:szCs w:val="21"/>
        </w:rPr>
        <w:t>，</w:t>
      </w:r>
      <w:r>
        <w:rPr>
          <w:szCs w:val="21"/>
        </w:rPr>
        <w:t>and environmentally friendly feed additives are urgently needed in aquaculture industry. Citrus plant essential oils have the characteristics</w:t>
      </w:r>
      <w:r>
        <w:rPr>
          <w:rFonts w:hint="eastAsia"/>
          <w:szCs w:val="21"/>
        </w:rPr>
        <w:t>，</w:t>
      </w:r>
      <w:r>
        <w:rPr>
          <w:szCs w:val="21"/>
        </w:rPr>
        <w:t>wide sources</w:t>
      </w:r>
      <w:r>
        <w:rPr>
          <w:rFonts w:hint="eastAsia"/>
          <w:szCs w:val="21"/>
        </w:rPr>
        <w:t>，</w:t>
      </w:r>
      <w:r>
        <w:rPr>
          <w:szCs w:val="21"/>
        </w:rPr>
        <w:t>low cost</w:t>
      </w:r>
      <w:r>
        <w:rPr>
          <w:rFonts w:hint="eastAsia"/>
          <w:szCs w:val="21"/>
        </w:rPr>
        <w:t>，</w:t>
      </w:r>
      <w:r>
        <w:rPr>
          <w:szCs w:val="21"/>
        </w:rPr>
        <w:t>and non-toxic side effects</w:t>
      </w:r>
      <w:r>
        <w:rPr>
          <w:rFonts w:hint="eastAsia"/>
          <w:szCs w:val="21"/>
        </w:rPr>
        <w:t>，</w:t>
      </w:r>
      <w:r>
        <w:rPr>
          <w:szCs w:val="21"/>
        </w:rPr>
        <w:t>and can significantly improve the health of aquaculture animals and promote growth. They have great potential as a new type of aquatic feed additive and have attracted much attention. This article reviewed the composition</w:t>
      </w:r>
      <w:r>
        <w:rPr>
          <w:rFonts w:hint="eastAsia"/>
          <w:szCs w:val="21"/>
        </w:rPr>
        <w:t>，</w:t>
      </w:r>
      <w:r>
        <w:rPr>
          <w:szCs w:val="21"/>
        </w:rPr>
        <w:t>physicochemical properties</w:t>
      </w:r>
      <w:r>
        <w:rPr>
          <w:rFonts w:hint="eastAsia"/>
          <w:szCs w:val="21"/>
        </w:rPr>
        <w:t>，</w:t>
      </w:r>
      <w:r>
        <w:rPr>
          <w:szCs w:val="21"/>
        </w:rPr>
        <w:t>biological activity</w:t>
      </w:r>
      <w:r>
        <w:rPr>
          <w:rFonts w:hint="eastAsia"/>
          <w:szCs w:val="21"/>
        </w:rPr>
        <w:t>，</w:t>
      </w:r>
      <w:r>
        <w:rPr>
          <w:szCs w:val="21"/>
        </w:rPr>
        <w:t>and application of essential oils from citrus plants in aquatic feed. It also looked forward to the prospects and future research directions</w:t>
      </w:r>
      <w:r>
        <w:rPr>
          <w:rFonts w:hint="eastAsia"/>
          <w:szCs w:val="21"/>
        </w:rPr>
        <w:t>，</w:t>
      </w:r>
      <w:r>
        <w:rPr>
          <w:szCs w:val="21"/>
        </w:rPr>
        <w:t>aimed to provide reference for the application research and promotion of essential oils from citrus plants in aquatic feed.</w:t>
      </w:r>
    </w:p>
    <w:p w14:paraId="40162822">
      <w:pPr>
        <w:rPr>
          <w:szCs w:val="21"/>
        </w:rPr>
      </w:pPr>
      <w:r>
        <w:rPr>
          <w:b/>
          <w:bCs/>
          <w:szCs w:val="21"/>
        </w:rPr>
        <w:t>Key words</w:t>
      </w:r>
      <w:r>
        <w:rPr>
          <w:rFonts w:hint="eastAsia"/>
          <w:szCs w:val="21"/>
        </w:rPr>
        <w:t>：</w:t>
      </w:r>
      <w:r>
        <w:rPr>
          <w:szCs w:val="21"/>
        </w:rPr>
        <w:t>citrus plant essential oil</w:t>
      </w:r>
      <w:r>
        <w:rPr>
          <w:rFonts w:hint="eastAsia"/>
          <w:szCs w:val="21"/>
        </w:rPr>
        <w:t>；</w:t>
      </w:r>
      <w:r>
        <w:rPr>
          <w:szCs w:val="21"/>
        </w:rPr>
        <w:t>physiological function</w:t>
      </w:r>
      <w:r>
        <w:rPr>
          <w:rFonts w:hint="eastAsia"/>
          <w:szCs w:val="21"/>
        </w:rPr>
        <w:t>；</w:t>
      </w:r>
      <w:r>
        <w:rPr>
          <w:szCs w:val="21"/>
        </w:rPr>
        <w:t>aquatic fee</w:t>
      </w:r>
      <w:r>
        <w:rPr>
          <w:rFonts w:hint="eastAsia"/>
          <w:szCs w:val="21"/>
        </w:rPr>
        <w:t>d</w:t>
      </w:r>
    </w:p>
    <w:p w14:paraId="34370BAC">
      <w:pPr>
        <w:rPr>
          <w:rFonts w:ascii="宋体" w:hAnsi="宋体" w:cs="宋体"/>
          <w:sz w:val="24"/>
        </w:rPr>
      </w:pPr>
    </w:p>
    <w:p w14:paraId="7416A3AB">
      <w:pPr>
        <w:spacing w:line="360" w:lineRule="auto"/>
        <w:ind w:firstLine="480" w:firstLineChars="200"/>
        <w:rPr>
          <w:sz w:val="24"/>
        </w:rPr>
      </w:pPr>
      <w:r>
        <w:rPr>
          <w:sz w:val="24"/>
        </w:rPr>
        <w:t>柑橘类植物精油</w:t>
      </w:r>
      <w:r>
        <w:rPr>
          <w:rFonts w:hint="eastAsia"/>
          <w:sz w:val="24"/>
        </w:rPr>
        <w:t>（</w:t>
      </w:r>
      <w:r>
        <w:rPr>
          <w:sz w:val="24"/>
        </w:rPr>
        <w:t>CEOs</w:t>
      </w:r>
      <w:r>
        <w:rPr>
          <w:rFonts w:hint="eastAsia"/>
          <w:sz w:val="24"/>
        </w:rPr>
        <w:t>）</w:t>
      </w:r>
      <w:r>
        <w:rPr>
          <w:sz w:val="24"/>
        </w:rPr>
        <w:t>具有天然</w:t>
      </w:r>
      <w:r>
        <w:rPr>
          <w:rFonts w:hint="eastAsia"/>
          <w:sz w:val="24"/>
        </w:rPr>
        <w:t>、</w:t>
      </w:r>
      <w:r>
        <w:rPr>
          <w:sz w:val="24"/>
        </w:rPr>
        <w:t>无毒</w:t>
      </w:r>
      <w:r>
        <w:rPr>
          <w:rFonts w:hint="eastAsia"/>
          <w:sz w:val="24"/>
        </w:rPr>
        <w:t>、</w:t>
      </w:r>
      <w:r>
        <w:rPr>
          <w:sz w:val="24"/>
        </w:rPr>
        <w:t>易挥发</w:t>
      </w:r>
      <w:r>
        <w:rPr>
          <w:rFonts w:hint="eastAsia"/>
          <w:sz w:val="24"/>
        </w:rPr>
        <w:t>、</w:t>
      </w:r>
      <w:r>
        <w:rPr>
          <w:sz w:val="24"/>
        </w:rPr>
        <w:t>无刺激等特性</w:t>
      </w:r>
      <w:r>
        <w:rPr>
          <w:rFonts w:hint="eastAsia"/>
          <w:sz w:val="24"/>
        </w:rPr>
        <w:t>（</w:t>
      </w:r>
      <w:r>
        <w:rPr>
          <w:sz w:val="24"/>
        </w:rPr>
        <w:t>刘晓艳等</w:t>
      </w:r>
      <w:r>
        <w:rPr>
          <w:rFonts w:hint="eastAsia"/>
          <w:sz w:val="24"/>
        </w:rPr>
        <w:t>，</w:t>
      </w:r>
      <w:r>
        <w:rPr>
          <w:sz w:val="24"/>
        </w:rPr>
        <w:t>2017</w:t>
      </w:r>
      <w:r>
        <w:rPr>
          <w:rFonts w:hint="eastAsia"/>
          <w:sz w:val="24"/>
        </w:rPr>
        <w:t>），</w:t>
      </w:r>
      <w:r>
        <w:rPr>
          <w:sz w:val="24"/>
        </w:rPr>
        <w:t>其是由多种化合物混合构成的复杂有机碳氢化合物</w:t>
      </w:r>
      <w:r>
        <w:rPr>
          <w:rFonts w:hint="eastAsia"/>
          <w:sz w:val="24"/>
        </w:rPr>
        <w:t>，</w:t>
      </w:r>
      <w:r>
        <w:rPr>
          <w:sz w:val="24"/>
        </w:rPr>
        <w:t>主要包括醛</w:t>
      </w:r>
      <w:r>
        <w:rPr>
          <w:rFonts w:hint="eastAsia"/>
          <w:sz w:val="24"/>
        </w:rPr>
        <w:t>、</w:t>
      </w:r>
      <w:r>
        <w:rPr>
          <w:sz w:val="24"/>
        </w:rPr>
        <w:t>醇</w:t>
      </w:r>
      <w:r>
        <w:rPr>
          <w:rFonts w:hint="eastAsia"/>
          <w:sz w:val="24"/>
        </w:rPr>
        <w:t>、</w:t>
      </w:r>
      <w:r>
        <w:rPr>
          <w:sz w:val="24"/>
        </w:rPr>
        <w:t>酮和酯等</w:t>
      </w:r>
      <w:r>
        <w:rPr>
          <w:rFonts w:hint="eastAsia"/>
          <w:sz w:val="24"/>
        </w:rPr>
        <w:t>。</w:t>
      </w:r>
      <w:r>
        <w:rPr>
          <w:sz w:val="24"/>
        </w:rPr>
        <w:t>CEOs从化学成分的角度可分为挥发性和非挥发性两类（González-Mas等，2019）</w:t>
      </w:r>
      <w:r>
        <w:rPr>
          <w:rFonts w:hint="eastAsia"/>
          <w:sz w:val="24"/>
        </w:rPr>
        <w:t>，</w:t>
      </w:r>
      <w:r>
        <w:rPr>
          <w:sz w:val="24"/>
        </w:rPr>
        <w:t>前者占主要成分</w:t>
      </w:r>
      <w:r>
        <w:rPr>
          <w:rFonts w:hint="eastAsia"/>
          <w:sz w:val="24"/>
        </w:rPr>
        <w:t>，</w:t>
      </w:r>
      <w:r>
        <w:rPr>
          <w:sz w:val="24"/>
        </w:rPr>
        <w:t>后者包括黄酮</w:t>
      </w:r>
      <w:r>
        <w:rPr>
          <w:rFonts w:hint="eastAsia"/>
          <w:sz w:val="24"/>
        </w:rPr>
        <w:t>、</w:t>
      </w:r>
      <w:r>
        <w:rPr>
          <w:sz w:val="24"/>
        </w:rPr>
        <w:t>甾醇和脂肪酸等</w:t>
      </w:r>
      <w:r>
        <w:rPr>
          <w:rFonts w:hint="eastAsia"/>
          <w:sz w:val="24"/>
        </w:rPr>
        <w:t>，</w:t>
      </w:r>
      <w:r>
        <w:rPr>
          <w:sz w:val="24"/>
        </w:rPr>
        <w:t>这些成分赋予了精油各自独特的香味和功效</w:t>
      </w:r>
      <w:r>
        <w:rPr>
          <w:rFonts w:hint="eastAsia"/>
          <w:sz w:val="24"/>
        </w:rPr>
        <w:t>（</w:t>
      </w:r>
      <w:r>
        <w:rPr>
          <w:sz w:val="24"/>
        </w:rPr>
        <w:t>钟炼军等</w:t>
      </w:r>
      <w:r>
        <w:rPr>
          <w:rFonts w:hint="eastAsia"/>
          <w:sz w:val="24"/>
        </w:rPr>
        <w:t>，</w:t>
      </w:r>
      <w:r>
        <w:rPr>
          <w:sz w:val="24"/>
        </w:rPr>
        <w:t>2018</w:t>
      </w:r>
      <w:r>
        <w:rPr>
          <w:rFonts w:hint="eastAsia"/>
          <w:sz w:val="24"/>
        </w:rPr>
        <w:t>）。</w:t>
      </w:r>
    </w:p>
    <w:p w14:paraId="31139277">
      <w:pPr>
        <w:spacing w:line="360" w:lineRule="auto"/>
        <w:ind w:firstLine="480" w:firstLineChars="200"/>
        <w:rPr>
          <w:sz w:val="24"/>
        </w:rPr>
      </w:pPr>
      <w:r>
        <w:rPr>
          <w:sz w:val="24"/>
        </w:rPr>
        <w:t>不同种类的柑橘类植物产生不同种类的精油</w:t>
      </w:r>
      <w:r>
        <w:rPr>
          <w:rFonts w:hint="eastAsia"/>
          <w:sz w:val="24"/>
        </w:rPr>
        <w:t>，</w:t>
      </w:r>
      <w:r>
        <w:rPr>
          <w:sz w:val="24"/>
        </w:rPr>
        <w:t>如甜橙精油</w:t>
      </w:r>
      <w:r>
        <w:rPr>
          <w:rFonts w:hint="eastAsia"/>
          <w:sz w:val="24"/>
        </w:rPr>
        <w:t>、</w:t>
      </w:r>
      <w:r>
        <w:rPr>
          <w:sz w:val="24"/>
        </w:rPr>
        <w:t>橘子精油</w:t>
      </w:r>
      <w:r>
        <w:rPr>
          <w:rFonts w:hint="eastAsia"/>
          <w:sz w:val="24"/>
        </w:rPr>
        <w:t>、</w:t>
      </w:r>
      <w:r>
        <w:rPr>
          <w:sz w:val="24"/>
        </w:rPr>
        <w:t>柠檬精油</w:t>
      </w:r>
      <w:r>
        <w:rPr>
          <w:rFonts w:hint="eastAsia"/>
          <w:sz w:val="24"/>
        </w:rPr>
        <w:t>、</w:t>
      </w:r>
      <w:r>
        <w:rPr>
          <w:sz w:val="24"/>
        </w:rPr>
        <w:t>葡萄柚精油</w:t>
      </w:r>
      <w:r>
        <w:rPr>
          <w:rFonts w:hint="eastAsia"/>
          <w:sz w:val="24"/>
        </w:rPr>
        <w:t>、</w:t>
      </w:r>
      <w:r>
        <w:rPr>
          <w:sz w:val="24"/>
        </w:rPr>
        <w:t>佛手柑精油等</w:t>
      </w:r>
      <w:r>
        <w:rPr>
          <w:rFonts w:hint="eastAsia"/>
          <w:sz w:val="24"/>
        </w:rPr>
        <w:t>（</w:t>
      </w:r>
      <w:r>
        <w:rPr>
          <w:sz w:val="24"/>
        </w:rPr>
        <w:t>Dosoky等</w:t>
      </w:r>
      <w:r>
        <w:rPr>
          <w:rFonts w:hint="eastAsia"/>
          <w:sz w:val="24"/>
        </w:rPr>
        <w:t>，</w:t>
      </w:r>
      <w:r>
        <w:rPr>
          <w:sz w:val="24"/>
        </w:rPr>
        <w:t>2018</w:t>
      </w:r>
      <w:r>
        <w:rPr>
          <w:rFonts w:hint="eastAsia"/>
          <w:sz w:val="24"/>
        </w:rPr>
        <w:t>）。</w:t>
      </w:r>
      <w:r>
        <w:rPr>
          <w:sz w:val="24"/>
        </w:rPr>
        <w:t>这些精油可以从柑橘类植物的不同部位</w:t>
      </w:r>
      <w:r>
        <w:rPr>
          <w:rFonts w:hint="eastAsia"/>
          <w:sz w:val="24"/>
        </w:rPr>
        <w:t>，</w:t>
      </w:r>
      <w:r>
        <w:rPr>
          <w:sz w:val="24"/>
        </w:rPr>
        <w:t>如叶</w:t>
      </w:r>
      <w:r>
        <w:rPr>
          <w:rFonts w:hint="eastAsia"/>
          <w:sz w:val="24"/>
        </w:rPr>
        <w:t>、</w:t>
      </w:r>
      <w:r>
        <w:rPr>
          <w:sz w:val="24"/>
        </w:rPr>
        <w:t>花</w:t>
      </w:r>
      <w:r>
        <w:rPr>
          <w:rFonts w:hint="eastAsia"/>
          <w:sz w:val="24"/>
        </w:rPr>
        <w:t>、</w:t>
      </w:r>
      <w:r>
        <w:rPr>
          <w:sz w:val="24"/>
        </w:rPr>
        <w:t>果实</w:t>
      </w:r>
      <w:r>
        <w:rPr>
          <w:rFonts w:hint="eastAsia"/>
          <w:sz w:val="24"/>
        </w:rPr>
        <w:t>、</w:t>
      </w:r>
      <w:r>
        <w:rPr>
          <w:sz w:val="24"/>
        </w:rPr>
        <w:t>果皮等提取出来</w:t>
      </w:r>
      <w:r>
        <w:rPr>
          <w:rFonts w:hint="eastAsia"/>
          <w:sz w:val="24"/>
        </w:rPr>
        <w:t>（</w:t>
      </w:r>
      <w:r>
        <w:rPr>
          <w:sz w:val="24"/>
        </w:rPr>
        <w:t>尤桂春等</w:t>
      </w:r>
      <w:r>
        <w:rPr>
          <w:rFonts w:hint="eastAsia"/>
          <w:sz w:val="24"/>
        </w:rPr>
        <w:t>，</w:t>
      </w:r>
      <w:r>
        <w:rPr>
          <w:sz w:val="24"/>
        </w:rPr>
        <w:t>2022</w:t>
      </w:r>
      <w:r>
        <w:rPr>
          <w:rFonts w:hint="eastAsia"/>
          <w:sz w:val="24"/>
        </w:rPr>
        <w:t>），</w:t>
      </w:r>
      <w:r>
        <w:rPr>
          <w:sz w:val="24"/>
        </w:rPr>
        <w:t>常用的提取方法包括水蒸气蒸馏</w:t>
      </w:r>
      <w:r>
        <w:rPr>
          <w:rFonts w:hint="eastAsia"/>
          <w:sz w:val="24"/>
        </w:rPr>
        <w:t>、</w:t>
      </w:r>
      <w:r>
        <w:rPr>
          <w:sz w:val="24"/>
        </w:rPr>
        <w:t>溶剂浸提</w:t>
      </w:r>
      <w:r>
        <w:rPr>
          <w:rFonts w:hint="eastAsia"/>
          <w:sz w:val="24"/>
        </w:rPr>
        <w:t>、</w:t>
      </w:r>
      <w:r>
        <w:rPr>
          <w:sz w:val="24"/>
        </w:rPr>
        <w:t>冷榨法等</w:t>
      </w:r>
      <w:r>
        <w:rPr>
          <w:rFonts w:hint="eastAsia"/>
          <w:sz w:val="24"/>
        </w:rPr>
        <w:t>（</w:t>
      </w:r>
      <w:r>
        <w:rPr>
          <w:sz w:val="24"/>
        </w:rPr>
        <w:t>Khruengsai等</w:t>
      </w:r>
      <w:r>
        <w:rPr>
          <w:rFonts w:hint="eastAsia"/>
          <w:sz w:val="24"/>
        </w:rPr>
        <w:t>，</w:t>
      </w:r>
      <w:r>
        <w:rPr>
          <w:sz w:val="24"/>
        </w:rPr>
        <w:t>2023</w:t>
      </w:r>
      <w:r>
        <w:rPr>
          <w:rFonts w:hint="eastAsia"/>
          <w:sz w:val="24"/>
        </w:rPr>
        <w:t>；</w:t>
      </w:r>
      <w:r>
        <w:rPr>
          <w:sz w:val="24"/>
        </w:rPr>
        <w:t>Aziz等</w:t>
      </w:r>
      <w:r>
        <w:rPr>
          <w:rFonts w:hint="eastAsia"/>
          <w:sz w:val="24"/>
        </w:rPr>
        <w:t>，</w:t>
      </w:r>
      <w:r>
        <w:rPr>
          <w:sz w:val="24"/>
        </w:rPr>
        <w:t>2018</w:t>
      </w:r>
      <w:r>
        <w:rPr>
          <w:rFonts w:hint="eastAsia"/>
          <w:sz w:val="24"/>
        </w:rPr>
        <w:t>；</w:t>
      </w:r>
      <w:r>
        <w:rPr>
          <w:sz w:val="24"/>
        </w:rPr>
        <w:t>Menichini等</w:t>
      </w:r>
      <w:r>
        <w:rPr>
          <w:rFonts w:hint="eastAsia"/>
          <w:sz w:val="24"/>
        </w:rPr>
        <w:t>，</w:t>
      </w:r>
      <w:r>
        <w:rPr>
          <w:sz w:val="24"/>
        </w:rPr>
        <w:t>2011</w:t>
      </w:r>
      <w:r>
        <w:rPr>
          <w:rFonts w:hint="eastAsia"/>
          <w:sz w:val="24"/>
        </w:rPr>
        <w:t>）。</w:t>
      </w:r>
      <w:r>
        <w:rPr>
          <w:sz w:val="24"/>
        </w:rPr>
        <w:t>其中</w:t>
      </w:r>
      <w:r>
        <w:rPr>
          <w:rFonts w:hint="eastAsia"/>
          <w:sz w:val="24"/>
        </w:rPr>
        <w:t>，</w:t>
      </w:r>
      <w:r>
        <w:rPr>
          <w:sz w:val="24"/>
        </w:rPr>
        <w:t>水蒸气蒸馏法因其操作简便且能生产出高品质的精油而被广泛采用</w:t>
      </w:r>
      <w:r>
        <w:rPr>
          <w:rFonts w:hint="eastAsia"/>
          <w:sz w:val="24"/>
        </w:rPr>
        <w:t>（</w:t>
      </w:r>
      <w:r>
        <w:rPr>
          <w:sz w:val="24"/>
        </w:rPr>
        <w:t>刘欢等</w:t>
      </w:r>
      <w:r>
        <w:rPr>
          <w:rFonts w:hint="eastAsia"/>
          <w:sz w:val="24"/>
        </w:rPr>
        <w:t>，</w:t>
      </w:r>
      <w:r>
        <w:rPr>
          <w:sz w:val="24"/>
        </w:rPr>
        <w:t>2021</w:t>
      </w:r>
      <w:r>
        <w:rPr>
          <w:rFonts w:hint="eastAsia"/>
          <w:sz w:val="24"/>
        </w:rPr>
        <w:t>）。</w:t>
      </w:r>
      <w:r>
        <w:rPr>
          <w:sz w:val="24"/>
        </w:rPr>
        <w:t>CEOs是一种多功能的天然产物</w:t>
      </w:r>
      <w:r>
        <w:rPr>
          <w:rFonts w:hint="eastAsia"/>
          <w:sz w:val="24"/>
        </w:rPr>
        <w:t>，</w:t>
      </w:r>
      <w:r>
        <w:rPr>
          <w:sz w:val="24"/>
        </w:rPr>
        <w:t>它的化学多样性使其应用较为广泛</w:t>
      </w:r>
      <w:r>
        <w:rPr>
          <w:rFonts w:hint="eastAsia"/>
          <w:sz w:val="24"/>
        </w:rPr>
        <w:t>。</w:t>
      </w:r>
    </w:p>
    <w:p w14:paraId="5CACE397">
      <w:pPr>
        <w:spacing w:line="360" w:lineRule="auto"/>
        <w:rPr>
          <w:sz w:val="24"/>
        </w:rPr>
      </w:pPr>
      <w:r>
        <w:rPr>
          <w:sz w:val="24"/>
        </w:rPr>
        <w:t>1柑橘类植物精油的生物活性</w:t>
      </w:r>
    </w:p>
    <w:p w14:paraId="65177B6A">
      <w:pPr>
        <w:spacing w:line="360" w:lineRule="auto"/>
        <w:ind w:firstLine="480" w:firstLineChars="200"/>
        <w:rPr>
          <w:sz w:val="24"/>
        </w:rPr>
      </w:pPr>
      <w:r>
        <w:rPr>
          <w:sz w:val="24"/>
        </w:rPr>
        <w:t>近些年来</w:t>
      </w:r>
      <w:r>
        <w:rPr>
          <w:rFonts w:hint="eastAsia"/>
          <w:sz w:val="24"/>
        </w:rPr>
        <w:t>，</w:t>
      </w:r>
      <w:r>
        <w:rPr>
          <w:sz w:val="24"/>
        </w:rPr>
        <w:t>CEOs作为一种天然提取物</w:t>
      </w:r>
      <w:r>
        <w:rPr>
          <w:rFonts w:hint="eastAsia"/>
          <w:sz w:val="24"/>
        </w:rPr>
        <w:t>，</w:t>
      </w:r>
      <w:r>
        <w:rPr>
          <w:sz w:val="24"/>
        </w:rPr>
        <w:t>因其独特的抗氧化活性</w:t>
      </w:r>
      <w:r>
        <w:rPr>
          <w:rFonts w:hint="eastAsia"/>
          <w:sz w:val="24"/>
        </w:rPr>
        <w:t>、</w:t>
      </w:r>
      <w:r>
        <w:rPr>
          <w:sz w:val="24"/>
        </w:rPr>
        <w:t>抗菌活性</w:t>
      </w:r>
      <w:r>
        <w:rPr>
          <w:rFonts w:hint="eastAsia"/>
          <w:sz w:val="24"/>
        </w:rPr>
        <w:t>、</w:t>
      </w:r>
      <w:r>
        <w:rPr>
          <w:sz w:val="24"/>
        </w:rPr>
        <w:t>抗炎活性</w:t>
      </w:r>
      <w:r>
        <w:rPr>
          <w:rFonts w:hint="eastAsia"/>
          <w:sz w:val="24"/>
        </w:rPr>
        <w:t>、</w:t>
      </w:r>
      <w:r>
        <w:rPr>
          <w:sz w:val="24"/>
        </w:rPr>
        <w:t>驱虫和杀虫活性等生物活性</w:t>
      </w:r>
      <w:r>
        <w:rPr>
          <w:rFonts w:hint="eastAsia"/>
          <w:sz w:val="24"/>
        </w:rPr>
        <w:t>，</w:t>
      </w:r>
      <w:r>
        <w:rPr>
          <w:sz w:val="24"/>
        </w:rPr>
        <w:t>成为许多研究的焦点</w:t>
      </w:r>
      <w:r>
        <w:rPr>
          <w:rFonts w:hint="eastAsia"/>
          <w:sz w:val="24"/>
        </w:rPr>
        <w:t>（</w:t>
      </w:r>
      <w:r>
        <w:rPr>
          <w:sz w:val="24"/>
        </w:rPr>
        <w:t>赵琛</w:t>
      </w:r>
      <w:r>
        <w:rPr>
          <w:rFonts w:hint="eastAsia"/>
          <w:sz w:val="24"/>
        </w:rPr>
        <w:t>，</w:t>
      </w:r>
      <w:r>
        <w:rPr>
          <w:sz w:val="24"/>
        </w:rPr>
        <w:t>2021</w:t>
      </w:r>
      <w:r>
        <w:rPr>
          <w:rFonts w:hint="eastAsia"/>
          <w:sz w:val="24"/>
        </w:rPr>
        <w:t>）。</w:t>
      </w:r>
    </w:p>
    <w:p w14:paraId="0B0CC0F7">
      <w:pPr>
        <w:spacing w:line="360" w:lineRule="auto"/>
        <w:rPr>
          <w:sz w:val="24"/>
        </w:rPr>
      </w:pPr>
      <w:r>
        <w:rPr>
          <w:rFonts w:hint="eastAsia"/>
          <w:sz w:val="24"/>
        </w:rPr>
        <w:t>1.1</w:t>
      </w:r>
      <w:r>
        <w:rPr>
          <w:sz w:val="24"/>
        </w:rPr>
        <w:t>抗氧化活性</w:t>
      </w:r>
    </w:p>
    <w:p w14:paraId="5AB01351">
      <w:pPr>
        <w:spacing w:line="360" w:lineRule="auto"/>
        <w:ind w:firstLine="480" w:firstLineChars="200"/>
        <w:rPr>
          <w:sz w:val="24"/>
        </w:rPr>
      </w:pPr>
      <w:r>
        <w:rPr>
          <w:sz w:val="24"/>
        </w:rPr>
        <w:t>CEOs及其化学成分具有抗氧化活性</w:t>
      </w:r>
      <w:r>
        <w:rPr>
          <w:rFonts w:hint="eastAsia"/>
          <w:sz w:val="24"/>
        </w:rPr>
        <w:t>。</w:t>
      </w:r>
      <w:r>
        <w:rPr>
          <w:sz w:val="24"/>
        </w:rPr>
        <w:t>有研究报道在1</w:t>
      </w:r>
      <w:r>
        <w:rPr>
          <w:rFonts w:hint="eastAsia"/>
          <w:sz w:val="24"/>
        </w:rPr>
        <w:t>，</w:t>
      </w:r>
      <w:r>
        <w:rPr>
          <w:sz w:val="24"/>
        </w:rPr>
        <w:t>1-二苯基-2-苦基肼自由基清除试验中</w:t>
      </w:r>
      <w:r>
        <w:rPr>
          <w:rFonts w:hint="eastAsia"/>
          <w:sz w:val="24"/>
        </w:rPr>
        <w:t>，</w:t>
      </w:r>
      <w:r>
        <w:rPr>
          <w:sz w:val="24"/>
        </w:rPr>
        <w:t>柠檬烯的抗氧化活性最强</w:t>
      </w:r>
      <w:r>
        <w:rPr>
          <w:rFonts w:hint="eastAsia"/>
          <w:sz w:val="24"/>
        </w:rPr>
        <w:t>，</w:t>
      </w:r>
      <w:r>
        <w:rPr>
          <w:sz w:val="24"/>
        </w:rPr>
        <w:t>其次是α-松油醇</w:t>
      </w:r>
      <w:r>
        <w:rPr>
          <w:rFonts w:hint="eastAsia"/>
          <w:sz w:val="24"/>
        </w:rPr>
        <w:t>，</w:t>
      </w:r>
      <w:r>
        <w:rPr>
          <w:sz w:val="24"/>
        </w:rPr>
        <w:t>γ-萜品烯最弱</w:t>
      </w:r>
      <w:r>
        <w:rPr>
          <w:rFonts w:hint="eastAsia"/>
          <w:sz w:val="24"/>
        </w:rPr>
        <w:t>（</w:t>
      </w:r>
      <w:r>
        <w:rPr>
          <w:sz w:val="24"/>
        </w:rPr>
        <w:t>章斌等</w:t>
      </w:r>
      <w:r>
        <w:rPr>
          <w:rFonts w:hint="eastAsia"/>
          <w:sz w:val="24"/>
        </w:rPr>
        <w:t>，</w:t>
      </w:r>
      <w:r>
        <w:rPr>
          <w:sz w:val="24"/>
        </w:rPr>
        <w:t>2017</w:t>
      </w:r>
      <w:r>
        <w:rPr>
          <w:rFonts w:hint="eastAsia"/>
          <w:sz w:val="24"/>
        </w:rPr>
        <w:t>）。</w:t>
      </w:r>
    </w:p>
    <w:p w14:paraId="2687512C">
      <w:pPr>
        <w:spacing w:line="360" w:lineRule="auto"/>
        <w:ind w:firstLine="480" w:firstLineChars="200"/>
        <w:rPr>
          <w:sz w:val="24"/>
        </w:rPr>
      </w:pPr>
      <w:r>
        <w:rPr>
          <w:sz w:val="24"/>
        </w:rPr>
        <w:t>不同品种的CEOs在抵抗氧化过程中表现出明显的差异</w:t>
      </w:r>
      <w:r>
        <w:rPr>
          <w:rFonts w:hint="eastAsia"/>
          <w:sz w:val="24"/>
        </w:rPr>
        <w:t>。</w:t>
      </w:r>
      <w:r>
        <w:rPr>
          <w:sz w:val="24"/>
        </w:rPr>
        <w:t>柠檬精油具有较强的抗氧化性能</w:t>
      </w:r>
      <w:r>
        <w:rPr>
          <w:rFonts w:hint="eastAsia"/>
          <w:sz w:val="24"/>
        </w:rPr>
        <w:t>，</w:t>
      </w:r>
      <w:r>
        <w:rPr>
          <w:sz w:val="24"/>
        </w:rPr>
        <w:t>可以清除70%的DPPH自由基</w:t>
      </w:r>
      <w:r>
        <w:rPr>
          <w:rFonts w:hint="eastAsia"/>
          <w:sz w:val="24"/>
        </w:rPr>
        <w:t>（</w:t>
      </w:r>
      <w:r>
        <w:rPr>
          <w:sz w:val="24"/>
        </w:rPr>
        <w:t>Choi等</w:t>
      </w:r>
      <w:r>
        <w:rPr>
          <w:rFonts w:hint="eastAsia"/>
          <w:sz w:val="24"/>
        </w:rPr>
        <w:t>，</w:t>
      </w:r>
      <w:r>
        <w:rPr>
          <w:sz w:val="24"/>
        </w:rPr>
        <w:t>2000</w:t>
      </w:r>
      <w:r>
        <w:rPr>
          <w:rFonts w:hint="eastAsia"/>
          <w:sz w:val="24"/>
        </w:rPr>
        <w:t>）。</w:t>
      </w:r>
      <w:r>
        <w:rPr>
          <w:sz w:val="24"/>
        </w:rPr>
        <w:t>橙子精油显示出显著的自由基清除活性</w:t>
      </w:r>
      <w:r>
        <w:rPr>
          <w:rFonts w:hint="eastAsia"/>
          <w:sz w:val="24"/>
        </w:rPr>
        <w:t>，</w:t>
      </w:r>
      <w:r>
        <w:rPr>
          <w:sz w:val="24"/>
        </w:rPr>
        <w:t>高于同一植物的花油</w:t>
      </w:r>
      <w:r>
        <w:rPr>
          <w:rFonts w:hint="eastAsia"/>
          <w:sz w:val="24"/>
        </w:rPr>
        <w:t>（</w:t>
      </w:r>
      <w:r>
        <w:rPr>
          <w:sz w:val="24"/>
        </w:rPr>
        <w:t>橙花</w:t>
      </w:r>
      <w:r>
        <w:rPr>
          <w:rFonts w:hint="eastAsia"/>
          <w:sz w:val="24"/>
        </w:rPr>
        <w:t>）</w:t>
      </w:r>
      <w:r>
        <w:rPr>
          <w:sz w:val="24"/>
        </w:rPr>
        <w:t>和果皮油</w:t>
      </w:r>
      <w:r>
        <w:rPr>
          <w:rFonts w:hint="eastAsia"/>
          <w:sz w:val="24"/>
        </w:rPr>
        <w:t>（</w:t>
      </w:r>
      <w:r>
        <w:rPr>
          <w:sz w:val="24"/>
        </w:rPr>
        <w:t>苦橙</w:t>
      </w:r>
      <w:r>
        <w:rPr>
          <w:rFonts w:hint="eastAsia"/>
          <w:sz w:val="24"/>
        </w:rPr>
        <w:t>）（</w:t>
      </w:r>
      <w:r>
        <w:rPr>
          <w:sz w:val="24"/>
        </w:rPr>
        <w:t>Sarrou等</w:t>
      </w:r>
      <w:r>
        <w:rPr>
          <w:rFonts w:hint="eastAsia"/>
          <w:sz w:val="24"/>
        </w:rPr>
        <w:t>，</w:t>
      </w:r>
      <w:r>
        <w:rPr>
          <w:sz w:val="24"/>
        </w:rPr>
        <w:t>2013</w:t>
      </w:r>
      <w:r>
        <w:rPr>
          <w:rFonts w:hint="eastAsia"/>
          <w:sz w:val="24"/>
        </w:rPr>
        <w:t>）。</w:t>
      </w:r>
      <w:r>
        <w:rPr>
          <w:sz w:val="24"/>
        </w:rPr>
        <w:t>甜橙油</w:t>
      </w:r>
      <w:r>
        <w:rPr>
          <w:rFonts w:hint="eastAsia"/>
          <w:sz w:val="24"/>
        </w:rPr>
        <w:t>、</w:t>
      </w:r>
      <w:r>
        <w:rPr>
          <w:sz w:val="24"/>
        </w:rPr>
        <w:t>红橘油和柠檬烯也具备一定的抗氧化潜力</w:t>
      </w:r>
      <w:r>
        <w:rPr>
          <w:rFonts w:hint="eastAsia"/>
          <w:sz w:val="24"/>
        </w:rPr>
        <w:t>，</w:t>
      </w:r>
      <w:r>
        <w:rPr>
          <w:sz w:val="24"/>
        </w:rPr>
        <w:t>其中红橘油在清除DPPH和ABTS</w:t>
      </w:r>
      <w:r>
        <w:rPr>
          <w:sz w:val="24"/>
          <w:vertAlign w:val="superscript"/>
        </w:rPr>
        <w:t>+</w:t>
      </w:r>
      <w:r>
        <w:rPr>
          <w:sz w:val="24"/>
        </w:rPr>
        <w:t>自由基方面的效果超过了柠檬烯</w:t>
      </w:r>
      <w:r>
        <w:rPr>
          <w:rFonts w:hint="eastAsia"/>
          <w:sz w:val="24"/>
        </w:rPr>
        <w:t>（</w:t>
      </w:r>
      <w:r>
        <w:rPr>
          <w:sz w:val="24"/>
        </w:rPr>
        <w:t>陈华铮等</w:t>
      </w:r>
      <w:r>
        <w:rPr>
          <w:rFonts w:hint="eastAsia"/>
          <w:sz w:val="24"/>
        </w:rPr>
        <w:t>，</w:t>
      </w:r>
      <w:r>
        <w:rPr>
          <w:sz w:val="24"/>
        </w:rPr>
        <w:t>2021</w:t>
      </w:r>
      <w:r>
        <w:rPr>
          <w:rFonts w:hint="eastAsia"/>
          <w:sz w:val="24"/>
        </w:rPr>
        <w:t>）。</w:t>
      </w:r>
      <w:r>
        <w:rPr>
          <w:sz w:val="24"/>
        </w:rPr>
        <w:t>研究表明</w:t>
      </w:r>
      <w:r>
        <w:rPr>
          <w:rFonts w:hint="eastAsia"/>
          <w:sz w:val="24"/>
        </w:rPr>
        <w:t>，</w:t>
      </w:r>
      <w:r>
        <w:rPr>
          <w:sz w:val="24"/>
        </w:rPr>
        <w:t>永兴和麻阳地区的甜橙皮具有较高的DPPH清除能力</w:t>
      </w:r>
      <w:r>
        <w:rPr>
          <w:rFonts w:hint="eastAsia"/>
          <w:sz w:val="24"/>
        </w:rPr>
        <w:t>，</w:t>
      </w:r>
      <w:r>
        <w:rPr>
          <w:sz w:val="24"/>
        </w:rPr>
        <w:t>而石门地区的甜橙皮则显示出较低的DPPH清除能力</w:t>
      </w:r>
      <w:r>
        <w:rPr>
          <w:rFonts w:hint="eastAsia"/>
          <w:sz w:val="24"/>
        </w:rPr>
        <w:t>（</w:t>
      </w:r>
      <w:r>
        <w:rPr>
          <w:sz w:val="24"/>
        </w:rPr>
        <w:t>李娟等</w:t>
      </w:r>
      <w:r>
        <w:rPr>
          <w:rFonts w:hint="eastAsia"/>
          <w:sz w:val="24"/>
        </w:rPr>
        <w:t>，</w:t>
      </w:r>
      <w:r>
        <w:rPr>
          <w:sz w:val="24"/>
        </w:rPr>
        <w:t>2019</w:t>
      </w:r>
      <w:r>
        <w:rPr>
          <w:rFonts w:hint="eastAsia"/>
          <w:sz w:val="24"/>
        </w:rPr>
        <w:t>）。</w:t>
      </w:r>
      <w:r>
        <w:rPr>
          <w:sz w:val="24"/>
        </w:rPr>
        <w:t>这表明地理因素可能对甜橙皮的抗氧化性质产生了显著影响</w:t>
      </w:r>
      <w:r>
        <w:rPr>
          <w:rFonts w:hint="eastAsia"/>
          <w:sz w:val="24"/>
        </w:rPr>
        <w:t>。</w:t>
      </w:r>
    </w:p>
    <w:p w14:paraId="7AAC23C9">
      <w:pPr>
        <w:spacing w:line="360" w:lineRule="auto"/>
        <w:ind w:firstLine="480" w:firstLineChars="200"/>
        <w:rPr>
          <w:sz w:val="24"/>
        </w:rPr>
      </w:pPr>
      <w:r>
        <w:rPr>
          <w:sz w:val="24"/>
        </w:rPr>
        <w:t>CEOs的抗氧化机制主要有两种方式</w:t>
      </w:r>
      <w:r>
        <w:rPr>
          <w:rFonts w:hint="eastAsia"/>
          <w:sz w:val="24"/>
        </w:rPr>
        <w:t>：</w:t>
      </w:r>
      <w:r>
        <w:rPr>
          <w:sz w:val="24"/>
        </w:rPr>
        <w:t>一是直接参与抗氧化反应</w:t>
      </w:r>
      <w:r>
        <w:rPr>
          <w:rFonts w:hint="eastAsia"/>
          <w:sz w:val="24"/>
        </w:rPr>
        <w:t>。</w:t>
      </w:r>
      <w:r>
        <w:rPr>
          <w:sz w:val="24"/>
        </w:rPr>
        <w:t>某些成分直接参与细胞内的氧化反应</w:t>
      </w:r>
      <w:r>
        <w:rPr>
          <w:rFonts w:hint="eastAsia"/>
          <w:sz w:val="24"/>
        </w:rPr>
        <w:t>，</w:t>
      </w:r>
      <w:r>
        <w:rPr>
          <w:sz w:val="24"/>
        </w:rPr>
        <w:t>它们在此过程中可能会发生化学变化或者被消耗</w:t>
      </w:r>
      <w:r>
        <w:rPr>
          <w:rFonts w:hint="eastAsia"/>
          <w:sz w:val="24"/>
        </w:rPr>
        <w:t>，</w:t>
      </w:r>
      <w:r>
        <w:rPr>
          <w:sz w:val="24"/>
        </w:rPr>
        <w:t>从而有效地抑制或中止有害氧化反应的进行</w:t>
      </w:r>
      <w:r>
        <w:rPr>
          <w:rFonts w:hint="eastAsia"/>
          <w:sz w:val="24"/>
        </w:rPr>
        <w:t>。</w:t>
      </w:r>
      <w:r>
        <w:rPr>
          <w:sz w:val="24"/>
        </w:rPr>
        <w:t>二是诱导细胞抗氧化防御</w:t>
      </w:r>
      <w:r>
        <w:rPr>
          <w:rFonts w:hint="eastAsia"/>
          <w:sz w:val="24"/>
        </w:rPr>
        <w:t>。</w:t>
      </w:r>
      <w:r>
        <w:rPr>
          <w:sz w:val="24"/>
        </w:rPr>
        <w:t>CEOs中的抗氧化活性物质可以刺激细胞产生一系列抗氧化蛋白质</w:t>
      </w:r>
      <w:r>
        <w:rPr>
          <w:rFonts w:hint="eastAsia"/>
          <w:sz w:val="24"/>
        </w:rPr>
        <w:t>，</w:t>
      </w:r>
      <w:r>
        <w:rPr>
          <w:sz w:val="24"/>
        </w:rPr>
        <w:t>如过氧化氢酶</w:t>
      </w:r>
      <w:r>
        <w:rPr>
          <w:rFonts w:hint="eastAsia"/>
          <w:sz w:val="24"/>
        </w:rPr>
        <w:t>、</w:t>
      </w:r>
      <w:r>
        <w:rPr>
          <w:sz w:val="24"/>
        </w:rPr>
        <w:t>硫氧还蛋白还原酶和超氧化物歧化酶等</w:t>
      </w:r>
      <w:r>
        <w:rPr>
          <w:rFonts w:hint="eastAsia"/>
          <w:sz w:val="24"/>
        </w:rPr>
        <w:t>，</w:t>
      </w:r>
      <w:r>
        <w:rPr>
          <w:sz w:val="24"/>
        </w:rPr>
        <w:t>提高细胞的自身抗氧化能力</w:t>
      </w:r>
      <w:r>
        <w:rPr>
          <w:rFonts w:hint="eastAsia"/>
          <w:sz w:val="24"/>
        </w:rPr>
        <w:t>，</w:t>
      </w:r>
      <w:r>
        <w:rPr>
          <w:sz w:val="24"/>
        </w:rPr>
        <w:t>以对抗氧化应激</w:t>
      </w:r>
      <w:r>
        <w:rPr>
          <w:rFonts w:hint="eastAsia"/>
          <w:sz w:val="24"/>
        </w:rPr>
        <w:t>。</w:t>
      </w:r>
      <w:r>
        <w:rPr>
          <w:sz w:val="24"/>
        </w:rPr>
        <w:t>作为抗氧化剂</w:t>
      </w:r>
      <w:r>
        <w:rPr>
          <w:rFonts w:hint="eastAsia"/>
          <w:sz w:val="24"/>
        </w:rPr>
        <w:t>，</w:t>
      </w:r>
      <w:r>
        <w:rPr>
          <w:sz w:val="24"/>
        </w:rPr>
        <w:t>CEOs也是防止油脂氧化变质的较好方法</w:t>
      </w:r>
      <w:r>
        <w:rPr>
          <w:rFonts w:hint="eastAsia"/>
          <w:sz w:val="24"/>
        </w:rPr>
        <w:t>，</w:t>
      </w:r>
      <w:r>
        <w:rPr>
          <w:sz w:val="24"/>
        </w:rPr>
        <w:t>可用于食品和医药行业</w:t>
      </w:r>
      <w:r>
        <w:rPr>
          <w:rFonts w:hint="eastAsia"/>
          <w:sz w:val="24"/>
        </w:rPr>
        <w:t>（</w:t>
      </w:r>
      <w:r>
        <w:rPr>
          <w:sz w:val="24"/>
        </w:rPr>
        <w:t>温朋飞等</w:t>
      </w:r>
      <w:r>
        <w:rPr>
          <w:rFonts w:hint="eastAsia"/>
          <w:sz w:val="24"/>
        </w:rPr>
        <w:t>，</w:t>
      </w:r>
      <w:r>
        <w:rPr>
          <w:sz w:val="24"/>
        </w:rPr>
        <w:t>2017</w:t>
      </w:r>
      <w:r>
        <w:rPr>
          <w:rFonts w:hint="eastAsia"/>
          <w:sz w:val="24"/>
        </w:rPr>
        <w:t>）。</w:t>
      </w:r>
    </w:p>
    <w:p w14:paraId="6799A3EC">
      <w:pPr>
        <w:spacing w:line="360" w:lineRule="auto"/>
        <w:rPr>
          <w:sz w:val="24"/>
        </w:rPr>
      </w:pPr>
      <w:r>
        <w:rPr>
          <w:rFonts w:hint="eastAsia"/>
          <w:sz w:val="24"/>
        </w:rPr>
        <w:t>1.2</w:t>
      </w:r>
      <w:r>
        <w:rPr>
          <w:sz w:val="24"/>
        </w:rPr>
        <w:t>抗菌活性</w:t>
      </w:r>
    </w:p>
    <w:p w14:paraId="3CE83F1D">
      <w:pPr>
        <w:spacing w:line="360" w:lineRule="auto"/>
        <w:ind w:firstLine="480" w:firstLineChars="200"/>
        <w:rPr>
          <w:sz w:val="24"/>
        </w:rPr>
      </w:pPr>
      <w:r>
        <w:rPr>
          <w:sz w:val="24"/>
        </w:rPr>
        <w:t>有研究表明</w:t>
      </w:r>
      <w:r>
        <w:rPr>
          <w:rFonts w:hint="eastAsia"/>
          <w:sz w:val="24"/>
        </w:rPr>
        <w:t>，</w:t>
      </w:r>
      <w:r>
        <w:rPr>
          <w:sz w:val="24"/>
        </w:rPr>
        <w:t>CEOs表现出显著的抗菌效果</w:t>
      </w:r>
      <w:r>
        <w:rPr>
          <w:rFonts w:hint="eastAsia"/>
          <w:sz w:val="24"/>
        </w:rPr>
        <w:t>，</w:t>
      </w:r>
      <w:r>
        <w:rPr>
          <w:sz w:val="24"/>
        </w:rPr>
        <w:t>而且不容易导致细菌对其产生耐药性</w:t>
      </w:r>
      <w:r>
        <w:rPr>
          <w:rFonts w:hint="eastAsia"/>
          <w:sz w:val="24"/>
        </w:rPr>
        <w:t>（</w:t>
      </w:r>
      <w:r>
        <w:rPr>
          <w:sz w:val="24"/>
        </w:rPr>
        <w:t>张卓等</w:t>
      </w:r>
      <w:r>
        <w:rPr>
          <w:rFonts w:hint="eastAsia"/>
          <w:sz w:val="24"/>
        </w:rPr>
        <w:t>，</w:t>
      </w:r>
      <w:r>
        <w:rPr>
          <w:sz w:val="24"/>
        </w:rPr>
        <w:t>2022</w:t>
      </w:r>
      <w:r>
        <w:rPr>
          <w:rFonts w:hint="eastAsia"/>
          <w:sz w:val="24"/>
        </w:rPr>
        <w:t>；</w:t>
      </w:r>
      <w:r>
        <w:rPr>
          <w:sz w:val="24"/>
        </w:rPr>
        <w:t>曹珊</w:t>
      </w:r>
      <w:r>
        <w:rPr>
          <w:rFonts w:hint="eastAsia"/>
          <w:sz w:val="24"/>
        </w:rPr>
        <w:t>，</w:t>
      </w:r>
      <w:r>
        <w:rPr>
          <w:sz w:val="24"/>
        </w:rPr>
        <w:t>2021</w:t>
      </w:r>
      <w:r>
        <w:rPr>
          <w:rFonts w:hint="eastAsia"/>
          <w:sz w:val="24"/>
        </w:rPr>
        <w:t>；</w:t>
      </w:r>
      <w:r>
        <w:rPr>
          <w:sz w:val="24"/>
        </w:rPr>
        <w:t>Tariq等</w:t>
      </w:r>
      <w:r>
        <w:rPr>
          <w:rFonts w:hint="eastAsia"/>
          <w:sz w:val="24"/>
        </w:rPr>
        <w:t>，</w:t>
      </w:r>
      <w:r>
        <w:rPr>
          <w:sz w:val="24"/>
        </w:rPr>
        <w:t>2019</w:t>
      </w:r>
      <w:r>
        <w:rPr>
          <w:rFonts w:hint="eastAsia"/>
          <w:sz w:val="24"/>
        </w:rPr>
        <w:t>）。</w:t>
      </w:r>
      <w:r>
        <w:rPr>
          <w:sz w:val="24"/>
        </w:rPr>
        <w:t>例如</w:t>
      </w:r>
      <w:r>
        <w:rPr>
          <w:rFonts w:hint="eastAsia"/>
          <w:sz w:val="24"/>
        </w:rPr>
        <w:t>，</w:t>
      </w:r>
      <w:r>
        <w:rPr>
          <w:sz w:val="24"/>
        </w:rPr>
        <w:t>酸橙精油对金黄色葡萄球菌及大肠埃希菌高度敏感</w:t>
      </w:r>
      <w:r>
        <w:rPr>
          <w:rFonts w:hint="eastAsia"/>
          <w:sz w:val="24"/>
        </w:rPr>
        <w:t>，</w:t>
      </w:r>
      <w:r>
        <w:rPr>
          <w:sz w:val="24"/>
        </w:rPr>
        <w:t>对白念珠菌具有中度的抑制作用</w:t>
      </w:r>
      <w:r>
        <w:rPr>
          <w:rFonts w:hint="eastAsia"/>
          <w:sz w:val="24"/>
        </w:rPr>
        <w:t>（</w:t>
      </w:r>
      <w:r>
        <w:rPr>
          <w:sz w:val="24"/>
        </w:rPr>
        <w:t>余万鑫等</w:t>
      </w:r>
      <w:r>
        <w:rPr>
          <w:rFonts w:hint="eastAsia"/>
          <w:sz w:val="24"/>
        </w:rPr>
        <w:t>，</w:t>
      </w:r>
      <w:r>
        <w:rPr>
          <w:sz w:val="24"/>
        </w:rPr>
        <w:t>2019</w:t>
      </w:r>
      <w:r>
        <w:rPr>
          <w:rFonts w:hint="eastAsia"/>
          <w:sz w:val="24"/>
        </w:rPr>
        <w:t>）。</w:t>
      </w:r>
    </w:p>
    <w:p w14:paraId="17A66D63">
      <w:pPr>
        <w:spacing w:line="360" w:lineRule="auto"/>
        <w:ind w:firstLine="480" w:firstLineChars="200"/>
        <w:rPr>
          <w:sz w:val="24"/>
        </w:rPr>
      </w:pPr>
      <w:r>
        <w:rPr>
          <w:sz w:val="24"/>
        </w:rPr>
        <w:t>不同品种的CEOs在对抗细菌方面表现出不同的抗菌能力</w:t>
      </w:r>
      <w:r>
        <w:rPr>
          <w:rFonts w:hint="eastAsia"/>
          <w:sz w:val="24"/>
        </w:rPr>
        <w:t>，</w:t>
      </w:r>
      <w:r>
        <w:rPr>
          <w:sz w:val="24"/>
        </w:rPr>
        <w:t>这种差异主要是因为它们的化学成分不同</w:t>
      </w:r>
      <w:r>
        <w:rPr>
          <w:rFonts w:hint="eastAsia"/>
          <w:sz w:val="24"/>
        </w:rPr>
        <w:t>。</w:t>
      </w:r>
      <w:r>
        <w:rPr>
          <w:sz w:val="24"/>
        </w:rPr>
        <w:t>精油中包含不同种类的活性成分</w:t>
      </w:r>
      <w:r>
        <w:rPr>
          <w:rFonts w:hint="eastAsia"/>
          <w:sz w:val="24"/>
        </w:rPr>
        <w:t>，</w:t>
      </w:r>
      <w:r>
        <w:rPr>
          <w:sz w:val="24"/>
        </w:rPr>
        <w:t>这些成分对抗细菌的效力各不相同</w:t>
      </w:r>
      <w:r>
        <w:rPr>
          <w:rFonts w:hint="eastAsia"/>
          <w:sz w:val="24"/>
        </w:rPr>
        <w:t>（</w:t>
      </w:r>
      <w:r>
        <w:rPr>
          <w:sz w:val="24"/>
        </w:rPr>
        <w:t>陈林林等</w:t>
      </w:r>
      <w:r>
        <w:rPr>
          <w:rFonts w:hint="eastAsia"/>
          <w:sz w:val="24"/>
        </w:rPr>
        <w:t>，</w:t>
      </w:r>
      <w:r>
        <w:rPr>
          <w:sz w:val="24"/>
        </w:rPr>
        <w:t>2010</w:t>
      </w:r>
      <w:r>
        <w:rPr>
          <w:rFonts w:hint="eastAsia"/>
          <w:sz w:val="24"/>
        </w:rPr>
        <w:t>）。</w:t>
      </w:r>
      <w:r>
        <w:rPr>
          <w:sz w:val="24"/>
        </w:rPr>
        <w:t>在评估精油的抗菌效果时</w:t>
      </w:r>
      <w:r>
        <w:rPr>
          <w:rFonts w:hint="eastAsia"/>
          <w:sz w:val="24"/>
        </w:rPr>
        <w:t>，</w:t>
      </w:r>
      <w:r>
        <w:rPr>
          <w:sz w:val="24"/>
        </w:rPr>
        <w:t>通常使用最低抑菌浓度</w:t>
      </w:r>
      <w:r>
        <w:rPr>
          <w:rFonts w:hint="eastAsia"/>
          <w:sz w:val="24"/>
        </w:rPr>
        <w:t>（</w:t>
      </w:r>
      <w:r>
        <w:rPr>
          <w:sz w:val="24"/>
        </w:rPr>
        <w:t>MIC</w:t>
      </w:r>
      <w:r>
        <w:rPr>
          <w:rFonts w:hint="eastAsia"/>
          <w:sz w:val="24"/>
        </w:rPr>
        <w:t>）</w:t>
      </w:r>
      <w:r>
        <w:rPr>
          <w:sz w:val="24"/>
        </w:rPr>
        <w:t>作为一个重要的指标</w:t>
      </w:r>
      <w:r>
        <w:rPr>
          <w:rFonts w:hint="eastAsia"/>
          <w:sz w:val="24"/>
        </w:rPr>
        <w:t>（</w:t>
      </w:r>
      <w:r>
        <w:rPr>
          <w:sz w:val="24"/>
        </w:rPr>
        <w:t>Ben等</w:t>
      </w:r>
      <w:r>
        <w:rPr>
          <w:rFonts w:hint="eastAsia"/>
          <w:sz w:val="24"/>
        </w:rPr>
        <w:t>，</w:t>
      </w:r>
      <w:r>
        <w:rPr>
          <w:sz w:val="24"/>
        </w:rPr>
        <w:t>2017</w:t>
      </w:r>
      <w:r>
        <w:rPr>
          <w:rFonts w:hint="eastAsia"/>
          <w:sz w:val="24"/>
        </w:rPr>
        <w:t>）。</w:t>
      </w:r>
      <w:r>
        <w:rPr>
          <w:sz w:val="24"/>
        </w:rPr>
        <w:t>MIC值越低</w:t>
      </w:r>
      <w:r>
        <w:rPr>
          <w:rFonts w:hint="eastAsia"/>
          <w:sz w:val="24"/>
        </w:rPr>
        <w:t>，</w:t>
      </w:r>
      <w:r>
        <w:rPr>
          <w:sz w:val="24"/>
        </w:rPr>
        <w:t>表明精油的抗菌效果越好</w:t>
      </w:r>
      <w:r>
        <w:rPr>
          <w:rFonts w:hint="eastAsia"/>
          <w:sz w:val="24"/>
        </w:rPr>
        <w:t>。</w:t>
      </w:r>
      <w:r>
        <w:rPr>
          <w:sz w:val="24"/>
        </w:rPr>
        <w:t>Guo等</w:t>
      </w:r>
      <w:r>
        <w:rPr>
          <w:rFonts w:hint="eastAsia"/>
          <w:sz w:val="24"/>
        </w:rPr>
        <w:t>（</w:t>
      </w:r>
      <w:r>
        <w:rPr>
          <w:sz w:val="24"/>
        </w:rPr>
        <w:t>2018</w:t>
      </w:r>
      <w:r>
        <w:rPr>
          <w:rFonts w:hint="eastAsia"/>
          <w:sz w:val="24"/>
        </w:rPr>
        <w:t>）</w:t>
      </w:r>
      <w:r>
        <w:rPr>
          <w:sz w:val="24"/>
        </w:rPr>
        <w:t>进行了关于14种柑橘精油对6种细菌和2种真菌抗菌能力的研究</w:t>
      </w:r>
      <w:r>
        <w:rPr>
          <w:rFonts w:hint="eastAsia"/>
          <w:sz w:val="24"/>
        </w:rPr>
        <w:t>。</w:t>
      </w:r>
      <w:r>
        <w:rPr>
          <w:sz w:val="24"/>
        </w:rPr>
        <w:t>结果表明</w:t>
      </w:r>
      <w:r>
        <w:rPr>
          <w:rFonts w:hint="eastAsia"/>
          <w:sz w:val="24"/>
        </w:rPr>
        <w:t>，</w:t>
      </w:r>
      <w:r>
        <w:rPr>
          <w:sz w:val="24"/>
        </w:rPr>
        <w:t>常山胡柚精油对大多数受试菌都显示出抑制作用</w:t>
      </w:r>
      <w:r>
        <w:rPr>
          <w:rFonts w:hint="eastAsia"/>
          <w:sz w:val="24"/>
        </w:rPr>
        <w:t>，</w:t>
      </w:r>
      <w:r>
        <w:rPr>
          <w:sz w:val="24"/>
        </w:rPr>
        <w:t>革兰氏阳性菌对其更为敏感</w:t>
      </w:r>
      <w:r>
        <w:rPr>
          <w:rFonts w:hint="eastAsia"/>
          <w:sz w:val="24"/>
        </w:rPr>
        <w:t>，</w:t>
      </w:r>
      <w:r>
        <w:rPr>
          <w:sz w:val="24"/>
        </w:rPr>
        <w:t>而对革兰氏阴性细菌的抑制效果较弱</w:t>
      </w:r>
      <w:r>
        <w:rPr>
          <w:rFonts w:hint="eastAsia"/>
          <w:sz w:val="24"/>
        </w:rPr>
        <w:t>。</w:t>
      </w:r>
      <w:r>
        <w:rPr>
          <w:sz w:val="24"/>
        </w:rPr>
        <w:t>此外</w:t>
      </w:r>
      <w:r>
        <w:rPr>
          <w:rFonts w:hint="eastAsia"/>
          <w:sz w:val="24"/>
        </w:rPr>
        <w:t>，</w:t>
      </w:r>
      <w:r>
        <w:rPr>
          <w:sz w:val="24"/>
        </w:rPr>
        <w:t>真菌对这些柑橘精油的敏感性高于细菌</w:t>
      </w:r>
      <w:r>
        <w:rPr>
          <w:rFonts w:hint="eastAsia"/>
          <w:sz w:val="24"/>
        </w:rPr>
        <w:t>。</w:t>
      </w:r>
      <w:r>
        <w:rPr>
          <w:sz w:val="24"/>
        </w:rPr>
        <w:t>王木岭等</w:t>
      </w:r>
      <w:r>
        <w:rPr>
          <w:rFonts w:hint="eastAsia"/>
          <w:sz w:val="24"/>
        </w:rPr>
        <w:t>（</w:t>
      </w:r>
      <w:r>
        <w:rPr>
          <w:sz w:val="24"/>
        </w:rPr>
        <w:t>2021</w:t>
      </w:r>
      <w:r>
        <w:rPr>
          <w:rFonts w:hint="eastAsia"/>
          <w:sz w:val="24"/>
        </w:rPr>
        <w:t>）</w:t>
      </w:r>
      <w:r>
        <w:rPr>
          <w:sz w:val="24"/>
        </w:rPr>
        <w:t>研究发现</w:t>
      </w:r>
      <w:r>
        <w:rPr>
          <w:rFonts w:hint="eastAsia"/>
          <w:sz w:val="24"/>
        </w:rPr>
        <w:t>，</w:t>
      </w:r>
      <w:r>
        <w:rPr>
          <w:sz w:val="24"/>
        </w:rPr>
        <w:t>黄柠檬</w:t>
      </w:r>
      <w:r>
        <w:rPr>
          <w:rFonts w:hint="eastAsia"/>
          <w:sz w:val="24"/>
        </w:rPr>
        <w:t>、</w:t>
      </w:r>
      <w:r>
        <w:rPr>
          <w:sz w:val="24"/>
        </w:rPr>
        <w:t>绿柠檬</w:t>
      </w:r>
      <w:r>
        <w:rPr>
          <w:rFonts w:hint="eastAsia"/>
          <w:sz w:val="24"/>
        </w:rPr>
        <w:t>、</w:t>
      </w:r>
      <w:r>
        <w:rPr>
          <w:sz w:val="24"/>
        </w:rPr>
        <w:t>甜柠檬这三个品种精油在其独特成分和共有成分的相对含量上存在差异</w:t>
      </w:r>
      <w:r>
        <w:rPr>
          <w:rFonts w:hint="eastAsia"/>
          <w:sz w:val="24"/>
        </w:rPr>
        <w:t>。</w:t>
      </w:r>
      <w:r>
        <w:rPr>
          <w:sz w:val="24"/>
        </w:rPr>
        <w:t>这三种精油都对受试菌产生一定的抑制作用</w:t>
      </w:r>
      <w:r>
        <w:rPr>
          <w:rFonts w:hint="eastAsia"/>
          <w:sz w:val="24"/>
        </w:rPr>
        <w:t>，</w:t>
      </w:r>
      <w:r>
        <w:rPr>
          <w:sz w:val="24"/>
        </w:rPr>
        <w:t>甜柠檬精油的抑菌效果相对较弱</w:t>
      </w:r>
      <w:r>
        <w:rPr>
          <w:rFonts w:hint="eastAsia"/>
          <w:sz w:val="24"/>
        </w:rPr>
        <w:t>，</w:t>
      </w:r>
      <w:r>
        <w:rPr>
          <w:sz w:val="24"/>
        </w:rPr>
        <w:t>而绿柠檬精油的抑菌效果表现良好</w:t>
      </w:r>
      <w:r>
        <w:rPr>
          <w:rFonts w:hint="eastAsia"/>
          <w:sz w:val="24"/>
        </w:rPr>
        <w:t>，</w:t>
      </w:r>
      <w:r>
        <w:rPr>
          <w:sz w:val="24"/>
        </w:rPr>
        <w:t>黄柠檬精油则显示出最为卓越的抑菌性能</w:t>
      </w:r>
      <w:r>
        <w:rPr>
          <w:rFonts w:hint="eastAsia"/>
          <w:sz w:val="24"/>
        </w:rPr>
        <w:t>。</w:t>
      </w:r>
      <w:r>
        <w:rPr>
          <w:sz w:val="24"/>
        </w:rPr>
        <w:t>陈红丽等</w:t>
      </w:r>
      <w:r>
        <w:rPr>
          <w:rFonts w:hint="eastAsia"/>
          <w:sz w:val="24"/>
        </w:rPr>
        <w:t>（2</w:t>
      </w:r>
      <w:r>
        <w:rPr>
          <w:sz w:val="24"/>
        </w:rPr>
        <w:t>017</w:t>
      </w:r>
      <w:r>
        <w:rPr>
          <w:rFonts w:hint="eastAsia"/>
          <w:sz w:val="24"/>
        </w:rPr>
        <w:t>）</w:t>
      </w:r>
      <w:r>
        <w:rPr>
          <w:sz w:val="24"/>
        </w:rPr>
        <w:t>研究表明</w:t>
      </w:r>
      <w:r>
        <w:rPr>
          <w:rFonts w:hint="eastAsia"/>
          <w:sz w:val="24"/>
        </w:rPr>
        <w:t>，</w:t>
      </w:r>
      <w:r>
        <w:rPr>
          <w:sz w:val="24"/>
        </w:rPr>
        <w:t>葡萄柚精油对大肠埃希菌</w:t>
      </w:r>
      <w:r>
        <w:rPr>
          <w:rFonts w:hint="eastAsia"/>
          <w:sz w:val="24"/>
        </w:rPr>
        <w:t>、</w:t>
      </w:r>
      <w:r>
        <w:rPr>
          <w:sz w:val="24"/>
        </w:rPr>
        <w:t>金黄色葡萄球菌</w:t>
      </w:r>
      <w:r>
        <w:rPr>
          <w:rFonts w:hint="eastAsia"/>
          <w:sz w:val="24"/>
        </w:rPr>
        <w:t>、</w:t>
      </w:r>
      <w:r>
        <w:rPr>
          <w:sz w:val="24"/>
        </w:rPr>
        <w:t>单增李斯特菌和肠炎沙门氏菌均具有较好的抑菌效果</w:t>
      </w:r>
      <w:r>
        <w:rPr>
          <w:rFonts w:hint="eastAsia"/>
          <w:sz w:val="24"/>
        </w:rPr>
        <w:t>。</w:t>
      </w:r>
    </w:p>
    <w:p w14:paraId="4E50C975">
      <w:pPr>
        <w:spacing w:line="360" w:lineRule="auto"/>
        <w:ind w:firstLine="480" w:firstLineChars="200"/>
        <w:rPr>
          <w:sz w:val="24"/>
        </w:rPr>
      </w:pPr>
      <w:r>
        <w:rPr>
          <w:sz w:val="24"/>
        </w:rPr>
        <w:t>不同的干燥条件可以显著影响CEOs的抗菌活性</w:t>
      </w:r>
      <w:r>
        <w:rPr>
          <w:rFonts w:hint="eastAsia"/>
          <w:sz w:val="24"/>
        </w:rPr>
        <w:t>。</w:t>
      </w:r>
      <w:r>
        <w:rPr>
          <w:sz w:val="24"/>
        </w:rPr>
        <w:t>Farahmandfar等</w:t>
      </w:r>
      <w:r>
        <w:rPr>
          <w:rFonts w:hint="eastAsia"/>
          <w:sz w:val="24"/>
        </w:rPr>
        <w:t>（</w:t>
      </w:r>
      <w:r>
        <w:rPr>
          <w:sz w:val="24"/>
        </w:rPr>
        <w:t>2019</w:t>
      </w:r>
      <w:r>
        <w:rPr>
          <w:rFonts w:hint="eastAsia"/>
          <w:sz w:val="24"/>
        </w:rPr>
        <w:t>）</w:t>
      </w:r>
      <w:r>
        <w:rPr>
          <w:sz w:val="24"/>
        </w:rPr>
        <w:t>研究了六种不同的干燥方法</w:t>
      </w:r>
      <w:r>
        <w:rPr>
          <w:rFonts w:hint="eastAsia"/>
          <w:sz w:val="24"/>
        </w:rPr>
        <w:t>，</w:t>
      </w:r>
      <w:r>
        <w:rPr>
          <w:sz w:val="24"/>
        </w:rPr>
        <w:t>包括阳光干燥</w:t>
      </w:r>
      <w:r>
        <w:rPr>
          <w:rFonts w:hint="eastAsia"/>
          <w:sz w:val="24"/>
        </w:rPr>
        <w:t>、</w:t>
      </w:r>
      <w:r>
        <w:rPr>
          <w:sz w:val="24"/>
        </w:rPr>
        <w:t>阴光干燥</w:t>
      </w:r>
      <w:r>
        <w:rPr>
          <w:rFonts w:hint="eastAsia"/>
          <w:sz w:val="24"/>
        </w:rPr>
        <w:t>、</w:t>
      </w:r>
      <w:r>
        <w:rPr>
          <w:sz w:val="24"/>
        </w:rPr>
        <w:t>烘箱干燥</w:t>
      </w:r>
      <w:r>
        <w:rPr>
          <w:rFonts w:hint="eastAsia"/>
          <w:sz w:val="24"/>
        </w:rPr>
        <w:t>、</w:t>
      </w:r>
      <w:r>
        <w:rPr>
          <w:sz w:val="24"/>
        </w:rPr>
        <w:t>真空烘箱</w:t>
      </w:r>
      <w:r>
        <w:rPr>
          <w:rFonts w:hint="eastAsia"/>
          <w:sz w:val="24"/>
        </w:rPr>
        <w:t>、</w:t>
      </w:r>
      <w:r>
        <w:rPr>
          <w:sz w:val="24"/>
        </w:rPr>
        <w:t>微波干燥和冷冻干燥</w:t>
      </w:r>
      <w:r>
        <w:rPr>
          <w:rFonts w:hint="eastAsia"/>
          <w:sz w:val="24"/>
        </w:rPr>
        <w:t>，</w:t>
      </w:r>
      <w:r>
        <w:rPr>
          <w:sz w:val="24"/>
        </w:rPr>
        <w:t>以评估其对脐橙皮精油抗菌活性的影响</w:t>
      </w:r>
      <w:r>
        <w:rPr>
          <w:rFonts w:hint="eastAsia"/>
          <w:sz w:val="24"/>
        </w:rPr>
        <w:t>。</w:t>
      </w:r>
      <w:r>
        <w:rPr>
          <w:sz w:val="24"/>
        </w:rPr>
        <w:t>结果显示</w:t>
      </w:r>
      <w:r>
        <w:rPr>
          <w:rFonts w:hint="eastAsia"/>
          <w:sz w:val="24"/>
        </w:rPr>
        <w:t>，</w:t>
      </w:r>
      <w:r>
        <w:rPr>
          <w:sz w:val="24"/>
        </w:rPr>
        <w:t>经过冷冻干燥处理的橙皮精油具有较好的抗菌效果</w:t>
      </w:r>
      <w:r>
        <w:rPr>
          <w:rFonts w:hint="eastAsia"/>
          <w:sz w:val="24"/>
        </w:rPr>
        <w:t>，</w:t>
      </w:r>
      <w:r>
        <w:rPr>
          <w:sz w:val="24"/>
        </w:rPr>
        <w:t>表现出更强的抑制致病菌生长的能力</w:t>
      </w:r>
      <w:r>
        <w:rPr>
          <w:rFonts w:hint="eastAsia"/>
          <w:sz w:val="24"/>
        </w:rPr>
        <w:t>。</w:t>
      </w:r>
      <w:r>
        <w:rPr>
          <w:sz w:val="24"/>
        </w:rPr>
        <w:t>Hidar等</w:t>
      </w:r>
      <w:r>
        <w:rPr>
          <w:rFonts w:hint="eastAsia"/>
          <w:sz w:val="24"/>
        </w:rPr>
        <w:t>（</w:t>
      </w:r>
      <w:r>
        <w:rPr>
          <w:sz w:val="24"/>
        </w:rPr>
        <w:t>2023</w:t>
      </w:r>
      <w:r>
        <w:rPr>
          <w:rFonts w:hint="eastAsia"/>
          <w:sz w:val="24"/>
        </w:rPr>
        <w:t>）</w:t>
      </w:r>
      <w:r>
        <w:rPr>
          <w:sz w:val="24"/>
        </w:rPr>
        <w:t>研究表明</w:t>
      </w:r>
      <w:r>
        <w:rPr>
          <w:rFonts w:hint="eastAsia"/>
          <w:sz w:val="24"/>
        </w:rPr>
        <w:t>，</w:t>
      </w:r>
      <w:r>
        <w:rPr>
          <w:sz w:val="24"/>
        </w:rPr>
        <w:t>经冷冻干燥法和伽马辐照法的甜菊精油均能强烈抑制金黄色葡萄球菌</w:t>
      </w:r>
      <w:r>
        <w:rPr>
          <w:rFonts w:hint="eastAsia"/>
          <w:sz w:val="24"/>
        </w:rPr>
        <w:t>、</w:t>
      </w:r>
      <w:r>
        <w:rPr>
          <w:sz w:val="24"/>
        </w:rPr>
        <w:t>大肠杆菌</w:t>
      </w:r>
      <w:r>
        <w:rPr>
          <w:rFonts w:hint="eastAsia"/>
          <w:sz w:val="24"/>
        </w:rPr>
        <w:t>、</w:t>
      </w:r>
      <w:r>
        <w:rPr>
          <w:sz w:val="24"/>
        </w:rPr>
        <w:t>铜绿假单胞菌菌株的生长</w:t>
      </w:r>
      <w:r>
        <w:rPr>
          <w:rFonts w:hint="eastAsia"/>
          <w:sz w:val="24"/>
        </w:rPr>
        <w:t>。</w:t>
      </w:r>
      <w:r>
        <w:rPr>
          <w:sz w:val="24"/>
        </w:rPr>
        <w:t>此外</w:t>
      </w:r>
      <w:r>
        <w:rPr>
          <w:rFonts w:hint="eastAsia"/>
          <w:sz w:val="24"/>
        </w:rPr>
        <w:t>，</w:t>
      </w:r>
      <w:r>
        <w:rPr>
          <w:sz w:val="24"/>
        </w:rPr>
        <w:t>还有一些研究探讨了CEOs在复配后的抗菌活性</w:t>
      </w:r>
      <w:r>
        <w:rPr>
          <w:rFonts w:hint="eastAsia"/>
          <w:sz w:val="24"/>
        </w:rPr>
        <w:t>。</w:t>
      </w:r>
      <w:r>
        <w:rPr>
          <w:sz w:val="24"/>
        </w:rPr>
        <w:t>复配后的精油可能会呈现不同的效果</w:t>
      </w:r>
      <w:r>
        <w:rPr>
          <w:rFonts w:hint="eastAsia"/>
          <w:sz w:val="24"/>
        </w:rPr>
        <w:t>，</w:t>
      </w:r>
      <w:r>
        <w:rPr>
          <w:sz w:val="24"/>
        </w:rPr>
        <w:t>其中一些可能表现出拮抗作用</w:t>
      </w:r>
      <w:r>
        <w:rPr>
          <w:rFonts w:hint="eastAsia"/>
          <w:sz w:val="24"/>
        </w:rPr>
        <w:t>，</w:t>
      </w:r>
      <w:r>
        <w:rPr>
          <w:sz w:val="24"/>
        </w:rPr>
        <w:t>即复合后的精油抗菌效果较弱</w:t>
      </w:r>
      <w:r>
        <w:rPr>
          <w:rFonts w:hint="eastAsia"/>
          <w:sz w:val="24"/>
        </w:rPr>
        <w:t>，</w:t>
      </w:r>
      <w:r>
        <w:rPr>
          <w:sz w:val="24"/>
        </w:rPr>
        <w:t>而另一些可能会相互促进</w:t>
      </w:r>
      <w:r>
        <w:rPr>
          <w:rFonts w:hint="eastAsia"/>
          <w:sz w:val="24"/>
        </w:rPr>
        <w:t>。</w:t>
      </w:r>
      <w:r>
        <w:rPr>
          <w:sz w:val="24"/>
        </w:rPr>
        <w:t>这些研究结果强调了CEOs的抗菌性能受到多种因素的影响</w:t>
      </w:r>
      <w:r>
        <w:rPr>
          <w:rFonts w:hint="eastAsia"/>
          <w:sz w:val="24"/>
        </w:rPr>
        <w:t>，</w:t>
      </w:r>
      <w:r>
        <w:rPr>
          <w:sz w:val="24"/>
        </w:rPr>
        <w:t>包括提取方法和干燥条件以及精油的复配</w:t>
      </w:r>
      <w:r>
        <w:rPr>
          <w:rFonts w:hint="eastAsia"/>
          <w:sz w:val="24"/>
        </w:rPr>
        <w:t>。</w:t>
      </w:r>
      <w:r>
        <w:rPr>
          <w:sz w:val="24"/>
        </w:rPr>
        <w:t>因此</w:t>
      </w:r>
      <w:r>
        <w:rPr>
          <w:rFonts w:hint="eastAsia"/>
          <w:sz w:val="24"/>
        </w:rPr>
        <w:t>，</w:t>
      </w:r>
      <w:r>
        <w:rPr>
          <w:sz w:val="24"/>
        </w:rPr>
        <w:t>在实际应用中</w:t>
      </w:r>
      <w:r>
        <w:rPr>
          <w:rFonts w:hint="eastAsia"/>
          <w:sz w:val="24"/>
        </w:rPr>
        <w:t>，</w:t>
      </w:r>
      <w:r>
        <w:rPr>
          <w:sz w:val="24"/>
        </w:rPr>
        <w:t>选择合适的提取和干燥方法以及适当的复配策略可以优化CEOs的抗菌性能</w:t>
      </w:r>
      <w:r>
        <w:rPr>
          <w:rFonts w:hint="eastAsia"/>
          <w:sz w:val="24"/>
        </w:rPr>
        <w:t>。</w:t>
      </w:r>
    </w:p>
    <w:p w14:paraId="0AD96703">
      <w:pPr>
        <w:spacing w:line="360" w:lineRule="auto"/>
        <w:ind w:firstLine="480" w:firstLineChars="200"/>
        <w:rPr>
          <w:sz w:val="24"/>
        </w:rPr>
      </w:pPr>
      <w:r>
        <w:rPr>
          <w:sz w:val="24"/>
        </w:rPr>
        <w:t>不同提取方法对CEOs的抗菌效果有显著影响</w:t>
      </w:r>
      <w:r>
        <w:rPr>
          <w:rFonts w:hint="eastAsia"/>
          <w:sz w:val="24"/>
        </w:rPr>
        <w:t>。</w:t>
      </w:r>
      <w:r>
        <w:rPr>
          <w:sz w:val="24"/>
        </w:rPr>
        <w:t>李欣等</w:t>
      </w:r>
      <w:r>
        <w:rPr>
          <w:rFonts w:hint="eastAsia"/>
          <w:sz w:val="24"/>
        </w:rPr>
        <w:t>（</w:t>
      </w:r>
      <w:r>
        <w:rPr>
          <w:sz w:val="24"/>
        </w:rPr>
        <w:t>2023</w:t>
      </w:r>
      <w:r>
        <w:rPr>
          <w:rFonts w:hint="eastAsia"/>
          <w:sz w:val="24"/>
        </w:rPr>
        <w:t>）</w:t>
      </w:r>
      <w:r>
        <w:rPr>
          <w:sz w:val="24"/>
        </w:rPr>
        <w:t>采用水蒸气蒸馏法和低温连续相变法提取井冈蜜柚皮精油</w:t>
      </w:r>
      <w:r>
        <w:rPr>
          <w:rFonts w:hint="eastAsia"/>
          <w:sz w:val="24"/>
        </w:rPr>
        <w:t>，</w:t>
      </w:r>
      <w:r>
        <w:rPr>
          <w:sz w:val="24"/>
        </w:rPr>
        <w:t>比较它们之间的性能差异</w:t>
      </w:r>
      <w:r>
        <w:rPr>
          <w:rFonts w:hint="eastAsia"/>
          <w:sz w:val="24"/>
        </w:rPr>
        <w:t>。</w:t>
      </w:r>
      <w:r>
        <w:rPr>
          <w:sz w:val="24"/>
        </w:rPr>
        <w:t>结果显示</w:t>
      </w:r>
      <w:r>
        <w:rPr>
          <w:rFonts w:hint="eastAsia"/>
          <w:sz w:val="24"/>
        </w:rPr>
        <w:t>，</w:t>
      </w:r>
      <w:r>
        <w:rPr>
          <w:sz w:val="24"/>
        </w:rPr>
        <w:t>低温连续相变法提取的精油得率比水蒸气蒸馏法提取的高出了3.88倍</w:t>
      </w:r>
      <w:r>
        <w:rPr>
          <w:rFonts w:hint="eastAsia"/>
          <w:sz w:val="24"/>
        </w:rPr>
        <w:t>，</w:t>
      </w:r>
      <w:r>
        <w:rPr>
          <w:sz w:val="24"/>
        </w:rPr>
        <w:t>这意味着连续相变法更有效地提取了井冈蜜柚皮中的精油成分</w:t>
      </w:r>
      <w:r>
        <w:rPr>
          <w:rFonts w:hint="eastAsia"/>
          <w:sz w:val="24"/>
        </w:rPr>
        <w:t>，</w:t>
      </w:r>
      <w:r>
        <w:rPr>
          <w:sz w:val="24"/>
        </w:rPr>
        <w:t>而这些酮类</w:t>
      </w:r>
      <w:r>
        <w:rPr>
          <w:rFonts w:hint="eastAsia"/>
          <w:sz w:val="24"/>
        </w:rPr>
        <w:t>、</w:t>
      </w:r>
      <w:r>
        <w:rPr>
          <w:sz w:val="24"/>
        </w:rPr>
        <w:t>酯类和酸类成分可能在抑菌方面更有效</w:t>
      </w:r>
      <w:r>
        <w:rPr>
          <w:rFonts w:hint="eastAsia"/>
          <w:sz w:val="24"/>
        </w:rPr>
        <w:t>。</w:t>
      </w:r>
      <w:r>
        <w:rPr>
          <w:sz w:val="24"/>
        </w:rPr>
        <w:t>邓红梅等</w:t>
      </w:r>
      <w:r>
        <w:rPr>
          <w:rFonts w:hint="eastAsia"/>
          <w:sz w:val="24"/>
        </w:rPr>
        <w:t>（</w:t>
      </w:r>
      <w:r>
        <w:rPr>
          <w:sz w:val="24"/>
        </w:rPr>
        <w:t>2018</w:t>
      </w:r>
      <w:r>
        <w:rPr>
          <w:rFonts w:hint="eastAsia"/>
          <w:sz w:val="24"/>
        </w:rPr>
        <w:t>）</w:t>
      </w:r>
      <w:r>
        <w:rPr>
          <w:sz w:val="24"/>
        </w:rPr>
        <w:t>研究了超声波辅助溶剂浸提法</w:t>
      </w:r>
      <w:r>
        <w:rPr>
          <w:rFonts w:hint="eastAsia"/>
          <w:sz w:val="24"/>
        </w:rPr>
        <w:t>、</w:t>
      </w:r>
      <w:r>
        <w:rPr>
          <w:sz w:val="24"/>
        </w:rPr>
        <w:t>索氏提取法以及同时萃取蒸馏法三种方法提取的柠檬精油的抗菌活性</w:t>
      </w:r>
      <w:r>
        <w:rPr>
          <w:rFonts w:hint="eastAsia"/>
          <w:sz w:val="24"/>
        </w:rPr>
        <w:t>。</w:t>
      </w:r>
      <w:r>
        <w:rPr>
          <w:sz w:val="24"/>
        </w:rPr>
        <w:t>结果表明</w:t>
      </w:r>
      <w:r>
        <w:rPr>
          <w:rFonts w:hint="eastAsia"/>
          <w:sz w:val="24"/>
        </w:rPr>
        <w:t>，</w:t>
      </w:r>
      <w:r>
        <w:rPr>
          <w:sz w:val="24"/>
        </w:rPr>
        <w:t>使用三种不同的提取方法获得的柠檬精油对大肠杆菌</w:t>
      </w:r>
      <w:r>
        <w:rPr>
          <w:rFonts w:hint="eastAsia"/>
          <w:sz w:val="24"/>
        </w:rPr>
        <w:t>（</w:t>
      </w:r>
      <w:r>
        <w:rPr>
          <w:i/>
          <w:iCs/>
          <w:sz w:val="24"/>
        </w:rPr>
        <w:t>Escherichia coli</w:t>
      </w:r>
      <w:r>
        <w:rPr>
          <w:rFonts w:hint="eastAsia"/>
          <w:sz w:val="24"/>
        </w:rPr>
        <w:t>）、</w:t>
      </w:r>
      <w:r>
        <w:rPr>
          <w:sz w:val="24"/>
        </w:rPr>
        <w:t>枯草芽孢杆菌</w:t>
      </w:r>
      <w:r>
        <w:rPr>
          <w:rFonts w:hint="eastAsia"/>
          <w:sz w:val="24"/>
        </w:rPr>
        <w:t>（</w:t>
      </w:r>
      <w:r>
        <w:rPr>
          <w:i/>
          <w:iCs/>
          <w:sz w:val="24"/>
        </w:rPr>
        <w:t>Bacillus sub</w:t>
      </w:r>
      <w:r>
        <w:rPr>
          <w:rFonts w:hint="eastAsia"/>
          <w:i/>
          <w:iCs/>
          <w:sz w:val="24"/>
        </w:rPr>
        <w:t>-</w:t>
      </w:r>
      <w:r>
        <w:rPr>
          <w:i/>
          <w:iCs/>
          <w:sz w:val="24"/>
        </w:rPr>
        <w:t>tilis</w:t>
      </w:r>
      <w:r>
        <w:rPr>
          <w:rFonts w:hint="eastAsia"/>
          <w:sz w:val="24"/>
        </w:rPr>
        <w:t>）</w:t>
      </w:r>
      <w:r>
        <w:rPr>
          <w:sz w:val="24"/>
        </w:rPr>
        <w:t>和金黄色葡萄球菌</w:t>
      </w:r>
      <w:r>
        <w:rPr>
          <w:rFonts w:hint="eastAsia"/>
          <w:sz w:val="24"/>
        </w:rPr>
        <w:t>（</w:t>
      </w:r>
      <w:r>
        <w:rPr>
          <w:i/>
          <w:iCs/>
          <w:sz w:val="24"/>
        </w:rPr>
        <w:t>Staphylococcus aureus</w:t>
      </w:r>
      <w:r>
        <w:rPr>
          <w:rFonts w:hint="eastAsia"/>
          <w:sz w:val="24"/>
        </w:rPr>
        <w:t>）</w:t>
      </w:r>
      <w:r>
        <w:rPr>
          <w:sz w:val="24"/>
        </w:rPr>
        <w:t>表现出了不同的抑菌效果</w:t>
      </w:r>
      <w:r>
        <w:rPr>
          <w:rFonts w:hint="eastAsia"/>
          <w:sz w:val="24"/>
        </w:rPr>
        <w:t>。</w:t>
      </w:r>
      <w:r>
        <w:rPr>
          <w:sz w:val="24"/>
        </w:rPr>
        <w:t>同时萃取蒸馏法对大肠杆菌显示了最强的抑菌效果</w:t>
      </w:r>
      <w:r>
        <w:rPr>
          <w:rFonts w:hint="eastAsia"/>
          <w:sz w:val="24"/>
        </w:rPr>
        <w:t>，</w:t>
      </w:r>
      <w:r>
        <w:rPr>
          <w:sz w:val="24"/>
        </w:rPr>
        <w:t>超声波辅助提取法对枯草芽孢杆菌和金黄色葡萄球菌的抑制效果最为显著</w:t>
      </w:r>
      <w:r>
        <w:rPr>
          <w:rFonts w:hint="eastAsia"/>
          <w:sz w:val="24"/>
        </w:rPr>
        <w:t>。</w:t>
      </w:r>
      <w:r>
        <w:rPr>
          <w:sz w:val="24"/>
        </w:rPr>
        <w:t>这些结果不仅表明不同的提取方法可以对柠檬精油的抑菌效果产生影响</w:t>
      </w:r>
      <w:r>
        <w:rPr>
          <w:rFonts w:hint="eastAsia"/>
          <w:sz w:val="24"/>
        </w:rPr>
        <w:t>，</w:t>
      </w:r>
      <w:r>
        <w:rPr>
          <w:sz w:val="24"/>
        </w:rPr>
        <w:t>同时</w:t>
      </w:r>
      <w:r>
        <w:rPr>
          <w:rFonts w:hint="eastAsia"/>
          <w:sz w:val="24"/>
        </w:rPr>
        <w:t>，</w:t>
      </w:r>
      <w:r>
        <w:rPr>
          <w:sz w:val="24"/>
        </w:rPr>
        <w:t>柠檬精油对不同的细菌表现出不同的抑制效果</w:t>
      </w:r>
      <w:r>
        <w:rPr>
          <w:rFonts w:hint="eastAsia"/>
          <w:sz w:val="24"/>
        </w:rPr>
        <w:t>。</w:t>
      </w:r>
      <w:r>
        <w:rPr>
          <w:sz w:val="24"/>
        </w:rPr>
        <w:t>因此</w:t>
      </w:r>
      <w:r>
        <w:rPr>
          <w:rFonts w:hint="eastAsia"/>
          <w:sz w:val="24"/>
        </w:rPr>
        <w:t>，</w:t>
      </w:r>
      <w:r>
        <w:rPr>
          <w:sz w:val="24"/>
        </w:rPr>
        <w:t>在选择CEOs提取方法时</w:t>
      </w:r>
      <w:r>
        <w:rPr>
          <w:rFonts w:hint="eastAsia"/>
          <w:sz w:val="24"/>
        </w:rPr>
        <w:t>，</w:t>
      </w:r>
      <w:r>
        <w:rPr>
          <w:sz w:val="24"/>
        </w:rPr>
        <w:t>需要根据具体的应用和目标细菌来综合考虑最适合的提取方法</w:t>
      </w:r>
      <w:r>
        <w:rPr>
          <w:rFonts w:hint="eastAsia"/>
          <w:sz w:val="24"/>
        </w:rPr>
        <w:t>。</w:t>
      </w:r>
    </w:p>
    <w:p w14:paraId="530B572D">
      <w:pPr>
        <w:spacing w:line="360" w:lineRule="auto"/>
        <w:rPr>
          <w:sz w:val="24"/>
        </w:rPr>
      </w:pPr>
      <w:r>
        <w:rPr>
          <w:rFonts w:hint="eastAsia"/>
          <w:sz w:val="24"/>
        </w:rPr>
        <w:t>1.3</w:t>
      </w:r>
      <w:r>
        <w:rPr>
          <w:sz w:val="24"/>
        </w:rPr>
        <w:t>抗炎活性</w:t>
      </w:r>
    </w:p>
    <w:p w14:paraId="6B45572F">
      <w:pPr>
        <w:spacing w:line="360" w:lineRule="auto"/>
        <w:ind w:firstLine="480" w:firstLineChars="200"/>
        <w:rPr>
          <w:sz w:val="24"/>
        </w:rPr>
      </w:pPr>
      <w:r>
        <w:rPr>
          <w:sz w:val="24"/>
        </w:rPr>
        <w:t>生物体对各种不良因素形成的免疫性自我保护机制被称为炎症反应</w:t>
      </w:r>
      <w:r>
        <w:rPr>
          <w:rFonts w:hint="eastAsia"/>
          <w:sz w:val="24"/>
        </w:rPr>
        <w:t>（</w:t>
      </w:r>
      <w:r>
        <w:rPr>
          <w:sz w:val="24"/>
        </w:rPr>
        <w:t>何柯微</w:t>
      </w:r>
      <w:r>
        <w:rPr>
          <w:rFonts w:hint="eastAsia"/>
          <w:sz w:val="24"/>
        </w:rPr>
        <w:t>，</w:t>
      </w:r>
      <w:r>
        <w:rPr>
          <w:sz w:val="24"/>
        </w:rPr>
        <w:t>2023</w:t>
      </w:r>
      <w:r>
        <w:rPr>
          <w:rFonts w:hint="eastAsia"/>
          <w:sz w:val="24"/>
        </w:rPr>
        <w:t>）。</w:t>
      </w:r>
      <w:r>
        <w:rPr>
          <w:sz w:val="24"/>
        </w:rPr>
        <w:t>炎症反应如果不能自行消退或刺激物持续存在</w:t>
      </w:r>
      <w:r>
        <w:rPr>
          <w:rFonts w:hint="eastAsia"/>
          <w:sz w:val="24"/>
        </w:rPr>
        <w:t>，</w:t>
      </w:r>
      <w:r>
        <w:rPr>
          <w:sz w:val="24"/>
        </w:rPr>
        <w:t>可能会导致免疫细胞持续激活</w:t>
      </w:r>
      <w:r>
        <w:rPr>
          <w:rFonts w:hint="eastAsia"/>
          <w:sz w:val="24"/>
        </w:rPr>
        <w:t>，</w:t>
      </w:r>
      <w:r>
        <w:rPr>
          <w:sz w:val="24"/>
        </w:rPr>
        <w:t>对机体健康产生不利影响</w:t>
      </w:r>
      <w:r>
        <w:rPr>
          <w:rFonts w:hint="eastAsia"/>
          <w:sz w:val="24"/>
        </w:rPr>
        <w:t>（</w:t>
      </w:r>
      <w:r>
        <w:rPr>
          <w:sz w:val="24"/>
        </w:rPr>
        <w:t>范媛媛</w:t>
      </w:r>
      <w:r>
        <w:rPr>
          <w:rFonts w:hint="eastAsia"/>
          <w:sz w:val="24"/>
        </w:rPr>
        <w:t>，</w:t>
      </w:r>
      <w:r>
        <w:rPr>
          <w:sz w:val="24"/>
        </w:rPr>
        <w:t>2018</w:t>
      </w:r>
      <w:r>
        <w:rPr>
          <w:rFonts w:hint="eastAsia"/>
          <w:sz w:val="24"/>
        </w:rPr>
        <w:t>）。</w:t>
      </w:r>
      <w:r>
        <w:rPr>
          <w:sz w:val="24"/>
        </w:rPr>
        <w:t>CEOs在处理炎症性疾病方面具有重要作用</w:t>
      </w:r>
      <w:r>
        <w:rPr>
          <w:rFonts w:hint="eastAsia"/>
          <w:sz w:val="24"/>
        </w:rPr>
        <w:t>。</w:t>
      </w:r>
      <w:r>
        <w:rPr>
          <w:sz w:val="24"/>
        </w:rPr>
        <w:t>叶一丹等</w:t>
      </w:r>
      <w:r>
        <w:rPr>
          <w:rFonts w:hint="eastAsia"/>
          <w:sz w:val="24"/>
        </w:rPr>
        <w:t>（</w:t>
      </w:r>
      <w:r>
        <w:rPr>
          <w:sz w:val="24"/>
        </w:rPr>
        <w:t>2019</w:t>
      </w:r>
      <w:r>
        <w:rPr>
          <w:rFonts w:hint="eastAsia"/>
          <w:sz w:val="24"/>
        </w:rPr>
        <w:t>）</w:t>
      </w:r>
      <w:r>
        <w:rPr>
          <w:sz w:val="24"/>
        </w:rPr>
        <w:t>证明</w:t>
      </w:r>
      <w:r>
        <w:rPr>
          <w:rFonts w:hint="eastAsia"/>
          <w:sz w:val="24"/>
        </w:rPr>
        <w:t>，</w:t>
      </w:r>
      <w:r>
        <w:rPr>
          <w:sz w:val="24"/>
        </w:rPr>
        <w:t>以酯类</w:t>
      </w:r>
      <w:r>
        <w:rPr>
          <w:rFonts w:hint="eastAsia"/>
          <w:sz w:val="24"/>
        </w:rPr>
        <w:t>、</w:t>
      </w:r>
      <w:r>
        <w:rPr>
          <w:sz w:val="24"/>
        </w:rPr>
        <w:t>醇类物质为主的苦橙叶精油在体外和体内具有一定抗炎作用</w:t>
      </w:r>
      <w:r>
        <w:rPr>
          <w:rFonts w:hint="eastAsia"/>
          <w:sz w:val="24"/>
        </w:rPr>
        <w:t>。</w:t>
      </w:r>
      <w:r>
        <w:rPr>
          <w:sz w:val="24"/>
        </w:rPr>
        <w:t>Boukhatem等</w:t>
      </w:r>
      <w:r>
        <w:rPr>
          <w:rFonts w:hint="eastAsia"/>
          <w:sz w:val="24"/>
        </w:rPr>
        <w:t>（</w:t>
      </w:r>
      <w:r>
        <w:rPr>
          <w:sz w:val="24"/>
        </w:rPr>
        <w:t>2014</w:t>
      </w:r>
      <w:r>
        <w:rPr>
          <w:rFonts w:hint="eastAsia"/>
          <w:sz w:val="24"/>
        </w:rPr>
        <w:t>）</w:t>
      </w:r>
      <w:r>
        <w:rPr>
          <w:sz w:val="24"/>
        </w:rPr>
        <w:t>发现</w:t>
      </w:r>
      <w:r>
        <w:rPr>
          <w:rFonts w:hint="eastAsia"/>
          <w:sz w:val="24"/>
        </w:rPr>
        <w:t>，</w:t>
      </w:r>
      <w:r>
        <w:rPr>
          <w:sz w:val="24"/>
        </w:rPr>
        <w:t>柠檬草精油有明显的抗炎效果</w:t>
      </w:r>
      <w:r>
        <w:rPr>
          <w:rFonts w:hint="eastAsia"/>
          <w:sz w:val="24"/>
        </w:rPr>
        <w:t>。</w:t>
      </w:r>
      <w:r>
        <w:rPr>
          <w:sz w:val="24"/>
        </w:rPr>
        <w:t>Cui等</w:t>
      </w:r>
      <w:r>
        <w:rPr>
          <w:rFonts w:hint="eastAsia"/>
          <w:sz w:val="24"/>
        </w:rPr>
        <w:t>（</w:t>
      </w:r>
      <w:r>
        <w:rPr>
          <w:sz w:val="24"/>
        </w:rPr>
        <w:t>2020</w:t>
      </w:r>
      <w:r>
        <w:rPr>
          <w:rFonts w:hint="eastAsia"/>
          <w:sz w:val="24"/>
        </w:rPr>
        <w:t>）</w:t>
      </w:r>
      <w:r>
        <w:rPr>
          <w:sz w:val="24"/>
        </w:rPr>
        <w:t>研究表明</w:t>
      </w:r>
      <w:r>
        <w:rPr>
          <w:rFonts w:hint="eastAsia"/>
          <w:sz w:val="24"/>
        </w:rPr>
        <w:t>，</w:t>
      </w:r>
      <w:r>
        <w:rPr>
          <w:sz w:val="24"/>
        </w:rPr>
        <w:t>佛手柑精油能够有效改善氧化应激</w:t>
      </w:r>
      <w:r>
        <w:rPr>
          <w:rFonts w:hint="eastAsia"/>
          <w:sz w:val="24"/>
        </w:rPr>
        <w:t>、</w:t>
      </w:r>
      <w:r>
        <w:rPr>
          <w:sz w:val="24"/>
        </w:rPr>
        <w:t>神经炎症等症状</w:t>
      </w:r>
      <w:r>
        <w:rPr>
          <w:rFonts w:hint="eastAsia"/>
          <w:sz w:val="24"/>
        </w:rPr>
        <w:t>。</w:t>
      </w:r>
      <w:r>
        <w:rPr>
          <w:sz w:val="24"/>
        </w:rPr>
        <w:t>总的来说</w:t>
      </w:r>
      <w:r>
        <w:rPr>
          <w:rFonts w:hint="eastAsia"/>
          <w:sz w:val="24"/>
        </w:rPr>
        <w:t>，</w:t>
      </w:r>
      <w:r>
        <w:rPr>
          <w:sz w:val="24"/>
        </w:rPr>
        <w:t>CEOs在调控炎症反应方面具有潜在的应用价值</w:t>
      </w:r>
      <w:r>
        <w:rPr>
          <w:rFonts w:hint="eastAsia"/>
          <w:sz w:val="24"/>
        </w:rPr>
        <w:t>，</w:t>
      </w:r>
      <w:r>
        <w:rPr>
          <w:sz w:val="24"/>
        </w:rPr>
        <w:t>可以在治疗炎症性疾病时发挥积极作用</w:t>
      </w:r>
      <w:r>
        <w:rPr>
          <w:rFonts w:hint="eastAsia"/>
          <w:sz w:val="24"/>
        </w:rPr>
        <w:t>。</w:t>
      </w:r>
      <w:r>
        <w:rPr>
          <w:sz w:val="24"/>
        </w:rPr>
        <w:t>但具体的疗效和用法需要更多的研究和临床</w:t>
      </w:r>
      <w:r>
        <w:rPr>
          <w:rFonts w:hint="eastAsia"/>
          <w:sz w:val="24"/>
          <w:lang w:eastAsia="zh-CN"/>
        </w:rPr>
        <w:t>试</w:t>
      </w:r>
      <w:r>
        <w:rPr>
          <w:sz w:val="24"/>
        </w:rPr>
        <w:t>验来确认</w:t>
      </w:r>
      <w:r>
        <w:rPr>
          <w:rFonts w:hint="eastAsia"/>
          <w:sz w:val="24"/>
        </w:rPr>
        <w:t>。</w:t>
      </w:r>
    </w:p>
    <w:p w14:paraId="28C4024A">
      <w:pPr>
        <w:spacing w:line="360" w:lineRule="auto"/>
        <w:rPr>
          <w:sz w:val="24"/>
        </w:rPr>
      </w:pPr>
      <w:r>
        <w:rPr>
          <w:rFonts w:hint="eastAsia"/>
          <w:sz w:val="24"/>
        </w:rPr>
        <w:t>1.4</w:t>
      </w:r>
      <w:r>
        <w:rPr>
          <w:sz w:val="24"/>
        </w:rPr>
        <w:t>驱虫</w:t>
      </w:r>
      <w:r>
        <w:rPr>
          <w:rFonts w:hint="eastAsia"/>
          <w:sz w:val="24"/>
        </w:rPr>
        <w:t>、</w:t>
      </w:r>
      <w:r>
        <w:rPr>
          <w:sz w:val="24"/>
        </w:rPr>
        <w:t>杀虫活性</w:t>
      </w:r>
    </w:p>
    <w:p w14:paraId="44656FD2">
      <w:pPr>
        <w:spacing w:line="360" w:lineRule="auto"/>
        <w:ind w:firstLine="480" w:firstLineChars="200"/>
        <w:rPr>
          <w:sz w:val="24"/>
        </w:rPr>
      </w:pPr>
      <w:r>
        <w:rPr>
          <w:sz w:val="24"/>
        </w:rPr>
        <w:t>CEOs是一种成本较低的有效防治害虫的资源</w:t>
      </w:r>
      <w:r>
        <w:rPr>
          <w:rFonts w:hint="eastAsia"/>
          <w:sz w:val="24"/>
        </w:rPr>
        <w:t>，</w:t>
      </w:r>
      <w:r>
        <w:rPr>
          <w:sz w:val="24"/>
        </w:rPr>
        <w:t>对害虫具有毒性</w:t>
      </w:r>
      <w:r>
        <w:rPr>
          <w:rFonts w:hint="eastAsia"/>
          <w:sz w:val="24"/>
        </w:rPr>
        <w:t>、</w:t>
      </w:r>
      <w:r>
        <w:rPr>
          <w:sz w:val="24"/>
        </w:rPr>
        <w:t>驱避性和拒食性</w:t>
      </w:r>
      <w:r>
        <w:rPr>
          <w:rFonts w:hint="eastAsia"/>
          <w:sz w:val="24"/>
        </w:rPr>
        <w:t>（</w:t>
      </w:r>
      <w:r>
        <w:rPr>
          <w:sz w:val="24"/>
        </w:rPr>
        <w:t>Regnault-Roger等</w:t>
      </w:r>
      <w:r>
        <w:rPr>
          <w:rFonts w:hint="eastAsia"/>
          <w:sz w:val="24"/>
        </w:rPr>
        <w:t>，</w:t>
      </w:r>
      <w:r>
        <w:rPr>
          <w:sz w:val="24"/>
        </w:rPr>
        <w:t>2012</w:t>
      </w:r>
      <w:r>
        <w:rPr>
          <w:rFonts w:hint="eastAsia"/>
          <w:sz w:val="24"/>
        </w:rPr>
        <w:t>）。</w:t>
      </w:r>
      <w:r>
        <w:rPr>
          <w:sz w:val="24"/>
        </w:rPr>
        <w:t>Ivoke等</w:t>
      </w:r>
      <w:r>
        <w:rPr>
          <w:rFonts w:hint="eastAsia"/>
          <w:sz w:val="24"/>
        </w:rPr>
        <w:t>（</w:t>
      </w:r>
      <w:r>
        <w:rPr>
          <w:sz w:val="24"/>
        </w:rPr>
        <w:t>2013</w:t>
      </w:r>
      <w:r>
        <w:rPr>
          <w:rFonts w:hint="eastAsia"/>
          <w:sz w:val="24"/>
        </w:rPr>
        <w:t>）</w:t>
      </w:r>
      <w:r>
        <w:rPr>
          <w:sz w:val="24"/>
        </w:rPr>
        <w:t>研究发现</w:t>
      </w:r>
      <w:r>
        <w:rPr>
          <w:rFonts w:hint="eastAsia"/>
          <w:sz w:val="24"/>
        </w:rPr>
        <w:t>，</w:t>
      </w:r>
      <w:r>
        <w:rPr>
          <w:sz w:val="24"/>
        </w:rPr>
        <w:t>葡萄柚精油是一种有效的杀幼虫剂</w:t>
      </w:r>
      <w:r>
        <w:rPr>
          <w:rFonts w:hint="eastAsia"/>
          <w:sz w:val="24"/>
        </w:rPr>
        <w:t>，</w:t>
      </w:r>
      <w:r>
        <w:rPr>
          <w:sz w:val="24"/>
        </w:rPr>
        <w:t>其能够完全抑制暴露在400ppm下的埃及伊蚊卵的活力</w:t>
      </w:r>
      <w:r>
        <w:rPr>
          <w:rFonts w:hint="eastAsia"/>
          <w:sz w:val="24"/>
        </w:rPr>
        <w:t>。</w:t>
      </w:r>
      <w:r>
        <w:rPr>
          <w:sz w:val="24"/>
        </w:rPr>
        <w:t>朴栖西</w:t>
      </w:r>
      <w:r>
        <w:rPr>
          <w:rFonts w:hint="eastAsia"/>
          <w:sz w:val="24"/>
        </w:rPr>
        <w:t>（</w:t>
      </w:r>
      <w:r>
        <w:rPr>
          <w:sz w:val="24"/>
        </w:rPr>
        <w:t>2021</w:t>
      </w:r>
      <w:r>
        <w:rPr>
          <w:rFonts w:hint="eastAsia"/>
          <w:sz w:val="24"/>
        </w:rPr>
        <w:t>）</w:t>
      </w:r>
      <w:r>
        <w:rPr>
          <w:sz w:val="24"/>
        </w:rPr>
        <w:t>进行了金佛手精油对秀丽隐杆线虫的研究</w:t>
      </w:r>
      <w:r>
        <w:rPr>
          <w:rFonts w:hint="eastAsia"/>
          <w:sz w:val="24"/>
        </w:rPr>
        <w:t>，</w:t>
      </w:r>
      <w:r>
        <w:rPr>
          <w:sz w:val="24"/>
        </w:rPr>
        <w:t>结果显示</w:t>
      </w:r>
      <w:r>
        <w:rPr>
          <w:rFonts w:hint="eastAsia"/>
          <w:sz w:val="24"/>
        </w:rPr>
        <w:t>，</w:t>
      </w:r>
      <w:r>
        <w:rPr>
          <w:sz w:val="24"/>
        </w:rPr>
        <w:t>金佛手精油对秀丽隐杆线虫具有良好的杀虫活性</w:t>
      </w:r>
      <w:r>
        <w:rPr>
          <w:rFonts w:hint="eastAsia"/>
          <w:sz w:val="24"/>
        </w:rPr>
        <w:t>，</w:t>
      </w:r>
      <w:r>
        <w:rPr>
          <w:sz w:val="24"/>
        </w:rPr>
        <w:t>LD50</w:t>
      </w:r>
      <w:r>
        <w:rPr>
          <w:rFonts w:hint="eastAsia"/>
          <w:sz w:val="24"/>
        </w:rPr>
        <w:t>（</w:t>
      </w:r>
      <w:r>
        <w:rPr>
          <w:sz w:val="24"/>
        </w:rPr>
        <w:t>半致死浓度</w:t>
      </w:r>
      <w:r>
        <w:rPr>
          <w:rFonts w:hint="eastAsia"/>
          <w:sz w:val="24"/>
        </w:rPr>
        <w:t>）</w:t>
      </w:r>
      <w:r>
        <w:rPr>
          <w:sz w:val="24"/>
        </w:rPr>
        <w:t>=1.48mg/mL</w:t>
      </w:r>
      <w:r>
        <w:rPr>
          <w:rFonts w:hint="eastAsia"/>
          <w:sz w:val="24"/>
        </w:rPr>
        <w:t>。</w:t>
      </w:r>
      <w:r>
        <w:rPr>
          <w:sz w:val="24"/>
        </w:rPr>
        <w:t>精油中的四种主要成分分别具有不同的作用致死线虫</w:t>
      </w:r>
      <w:r>
        <w:rPr>
          <w:rFonts w:hint="eastAsia"/>
          <w:sz w:val="24"/>
        </w:rPr>
        <w:t>，</w:t>
      </w:r>
      <w:r>
        <w:rPr>
          <w:sz w:val="24"/>
        </w:rPr>
        <w:t>d-柠檬烯通过触杀方式导致线虫的孵化率降低</w:t>
      </w:r>
      <w:r>
        <w:rPr>
          <w:rFonts w:hint="eastAsia"/>
          <w:sz w:val="24"/>
        </w:rPr>
        <w:t>；</w:t>
      </w:r>
      <w:r>
        <w:rPr>
          <w:sz w:val="24"/>
        </w:rPr>
        <w:t>α-松油烯具高毒性</w:t>
      </w:r>
      <w:r>
        <w:rPr>
          <w:rFonts w:hint="eastAsia"/>
          <w:sz w:val="24"/>
        </w:rPr>
        <w:t>，</w:t>
      </w:r>
      <w:r>
        <w:rPr>
          <w:sz w:val="24"/>
        </w:rPr>
        <w:t>γ-蒎烯具强驱避性</w:t>
      </w:r>
      <w:r>
        <w:rPr>
          <w:rFonts w:hint="eastAsia"/>
          <w:sz w:val="24"/>
        </w:rPr>
        <w:t>，</w:t>
      </w:r>
      <w:r>
        <w:rPr>
          <w:sz w:val="24"/>
        </w:rPr>
        <w:t>均能降低线虫的产卵能力</w:t>
      </w:r>
      <w:r>
        <w:rPr>
          <w:rFonts w:hint="eastAsia"/>
          <w:sz w:val="24"/>
        </w:rPr>
        <w:t>；</w:t>
      </w:r>
      <w:r>
        <w:rPr>
          <w:sz w:val="24"/>
        </w:rPr>
        <w:t>α-蒎烯因其剧毒性能够导致线虫的生命过程受到严重干扰</w:t>
      </w:r>
      <w:r>
        <w:rPr>
          <w:rFonts w:hint="eastAsia"/>
          <w:sz w:val="24"/>
        </w:rPr>
        <w:t>。</w:t>
      </w:r>
      <w:r>
        <w:rPr>
          <w:sz w:val="24"/>
        </w:rPr>
        <w:t>总之</w:t>
      </w:r>
      <w:r>
        <w:rPr>
          <w:rFonts w:hint="eastAsia"/>
          <w:sz w:val="24"/>
        </w:rPr>
        <w:t>，</w:t>
      </w:r>
      <w:r>
        <w:rPr>
          <w:sz w:val="24"/>
        </w:rPr>
        <w:t>CEOs及其主要成分在防治病虫害方面显示出良好潜力</w:t>
      </w:r>
      <w:r>
        <w:rPr>
          <w:rFonts w:hint="eastAsia"/>
          <w:sz w:val="24"/>
        </w:rPr>
        <w:t>，</w:t>
      </w:r>
      <w:r>
        <w:rPr>
          <w:sz w:val="24"/>
        </w:rPr>
        <w:t>可以作为环保的杀虫剂和驱虫剂的有效来源</w:t>
      </w:r>
      <w:r>
        <w:rPr>
          <w:rFonts w:hint="eastAsia"/>
          <w:sz w:val="24"/>
        </w:rPr>
        <w:t>，</w:t>
      </w:r>
      <w:r>
        <w:rPr>
          <w:sz w:val="24"/>
        </w:rPr>
        <w:t>对于推动农业绿色可持续发展和改善生活方式具有重要意义</w:t>
      </w:r>
      <w:r>
        <w:rPr>
          <w:rFonts w:hint="eastAsia"/>
          <w:sz w:val="24"/>
        </w:rPr>
        <w:t>。</w:t>
      </w:r>
      <w:r>
        <w:rPr>
          <w:sz w:val="24"/>
        </w:rPr>
        <w:t>其实际推广应用仍需要进一步的探讨和深入研究</w:t>
      </w:r>
      <w:r>
        <w:rPr>
          <w:rFonts w:hint="eastAsia"/>
          <w:sz w:val="24"/>
        </w:rPr>
        <w:t>。</w:t>
      </w:r>
    </w:p>
    <w:p w14:paraId="2DAED105">
      <w:pPr>
        <w:spacing w:line="360" w:lineRule="auto"/>
        <w:rPr>
          <w:sz w:val="24"/>
        </w:rPr>
      </w:pPr>
      <w:r>
        <w:rPr>
          <w:sz w:val="24"/>
        </w:rPr>
        <w:t>2柑橘类植物精油在水产饲料中的应用</w:t>
      </w:r>
    </w:p>
    <w:p w14:paraId="18E05552">
      <w:pPr>
        <w:spacing w:line="360" w:lineRule="auto"/>
        <w:rPr>
          <w:sz w:val="24"/>
        </w:rPr>
      </w:pPr>
      <w:r>
        <w:rPr>
          <w:sz w:val="24"/>
        </w:rPr>
        <w:t>2.1防霉剂</w:t>
      </w:r>
    </w:p>
    <w:p w14:paraId="38BC1C97">
      <w:pPr>
        <w:spacing w:line="360" w:lineRule="auto"/>
        <w:ind w:firstLine="480" w:firstLineChars="200"/>
        <w:rPr>
          <w:sz w:val="24"/>
        </w:rPr>
      </w:pPr>
      <w:r>
        <w:rPr>
          <w:sz w:val="24"/>
        </w:rPr>
        <w:t>霉菌毒素代表次级真菌代谢物</w:t>
      </w:r>
      <w:r>
        <w:rPr>
          <w:rFonts w:hint="eastAsia"/>
          <w:sz w:val="24"/>
        </w:rPr>
        <w:t>，</w:t>
      </w:r>
      <w:r>
        <w:rPr>
          <w:sz w:val="24"/>
        </w:rPr>
        <w:t>对真菌的正常生长和繁殖不是必需的</w:t>
      </w:r>
      <w:r>
        <w:rPr>
          <w:rFonts w:hint="eastAsia"/>
          <w:sz w:val="24"/>
        </w:rPr>
        <w:t>，</w:t>
      </w:r>
      <w:r>
        <w:rPr>
          <w:sz w:val="24"/>
        </w:rPr>
        <w:t>但能够在许多物种中引起生化</w:t>
      </w:r>
      <w:r>
        <w:rPr>
          <w:rFonts w:hint="eastAsia"/>
          <w:sz w:val="24"/>
        </w:rPr>
        <w:t>、</w:t>
      </w:r>
      <w:r>
        <w:rPr>
          <w:sz w:val="24"/>
        </w:rPr>
        <w:t>生理和病理变化</w:t>
      </w:r>
      <w:r>
        <w:rPr>
          <w:rFonts w:hint="eastAsia"/>
          <w:sz w:val="24"/>
        </w:rPr>
        <w:t>（</w:t>
      </w:r>
      <w:r>
        <w:rPr>
          <w:sz w:val="24"/>
        </w:rPr>
        <w:t>Pleadin等</w:t>
      </w:r>
      <w:r>
        <w:rPr>
          <w:rFonts w:hint="eastAsia"/>
          <w:sz w:val="24"/>
        </w:rPr>
        <w:t>，</w:t>
      </w:r>
      <w:r>
        <w:rPr>
          <w:sz w:val="24"/>
        </w:rPr>
        <w:t>2019</w:t>
      </w:r>
      <w:r>
        <w:rPr>
          <w:rFonts w:hint="eastAsia"/>
          <w:sz w:val="24"/>
        </w:rPr>
        <w:t>）。</w:t>
      </w:r>
      <w:r>
        <w:rPr>
          <w:sz w:val="24"/>
        </w:rPr>
        <w:t>大多数霉菌毒素具有热稳定性</w:t>
      </w:r>
      <w:r>
        <w:rPr>
          <w:rFonts w:hint="eastAsia"/>
          <w:sz w:val="24"/>
        </w:rPr>
        <w:t>，</w:t>
      </w:r>
      <w:r>
        <w:rPr>
          <w:sz w:val="24"/>
        </w:rPr>
        <w:t>不能轻易被传统的热加工破坏</w:t>
      </w:r>
      <w:r>
        <w:rPr>
          <w:rFonts w:hint="eastAsia"/>
          <w:sz w:val="24"/>
        </w:rPr>
        <w:t>（</w:t>
      </w:r>
      <w:r>
        <w:rPr>
          <w:sz w:val="24"/>
        </w:rPr>
        <w:t>Liu等</w:t>
      </w:r>
      <w:r>
        <w:rPr>
          <w:rFonts w:hint="eastAsia"/>
          <w:sz w:val="24"/>
        </w:rPr>
        <w:t>，</w:t>
      </w:r>
      <w:r>
        <w:rPr>
          <w:sz w:val="24"/>
        </w:rPr>
        <w:t>2020</w:t>
      </w:r>
      <w:r>
        <w:rPr>
          <w:rFonts w:hint="eastAsia"/>
          <w:sz w:val="24"/>
        </w:rPr>
        <w:t>）。</w:t>
      </w:r>
      <w:r>
        <w:rPr>
          <w:sz w:val="24"/>
        </w:rPr>
        <w:t>CEOs具备抑制霉菌的特性</w:t>
      </w:r>
      <w:r>
        <w:rPr>
          <w:rFonts w:hint="eastAsia"/>
          <w:sz w:val="24"/>
        </w:rPr>
        <w:t>，</w:t>
      </w:r>
      <w:r>
        <w:rPr>
          <w:sz w:val="24"/>
        </w:rPr>
        <w:t>可被视为有效的天然防霉剂</w:t>
      </w:r>
      <w:r>
        <w:rPr>
          <w:rFonts w:hint="eastAsia"/>
          <w:sz w:val="24"/>
        </w:rPr>
        <w:t>。</w:t>
      </w:r>
      <w:r>
        <w:rPr>
          <w:sz w:val="24"/>
        </w:rPr>
        <w:t>CEOs可以通过改变病菌细胞形态结构</w:t>
      </w:r>
      <w:r>
        <w:rPr>
          <w:rFonts w:hint="eastAsia"/>
          <w:sz w:val="24"/>
        </w:rPr>
        <w:t>、</w:t>
      </w:r>
      <w:r>
        <w:rPr>
          <w:sz w:val="24"/>
        </w:rPr>
        <w:t>破坏微生物胞内酶系统</w:t>
      </w:r>
      <w:r>
        <w:rPr>
          <w:rFonts w:hint="eastAsia"/>
          <w:sz w:val="24"/>
        </w:rPr>
        <w:t>、</w:t>
      </w:r>
      <w:r>
        <w:rPr>
          <w:sz w:val="24"/>
        </w:rPr>
        <w:t>阻碍分生孢子的产生和萌发等机理</w:t>
      </w:r>
      <w:r>
        <w:rPr>
          <w:rFonts w:hint="eastAsia"/>
          <w:sz w:val="24"/>
        </w:rPr>
        <w:t>（</w:t>
      </w:r>
      <w:r>
        <w:rPr>
          <w:sz w:val="24"/>
        </w:rPr>
        <w:t>王龑等</w:t>
      </w:r>
      <w:r>
        <w:rPr>
          <w:rFonts w:hint="eastAsia"/>
          <w:sz w:val="24"/>
        </w:rPr>
        <w:t>，</w:t>
      </w:r>
      <w:r>
        <w:rPr>
          <w:sz w:val="24"/>
        </w:rPr>
        <w:t>2021</w:t>
      </w:r>
      <w:r>
        <w:rPr>
          <w:rFonts w:hint="eastAsia"/>
          <w:sz w:val="24"/>
        </w:rPr>
        <w:t>），</w:t>
      </w:r>
      <w:r>
        <w:rPr>
          <w:sz w:val="24"/>
        </w:rPr>
        <w:t>从而抑制霉菌生长</w:t>
      </w:r>
      <w:r>
        <w:rPr>
          <w:rFonts w:hint="eastAsia"/>
          <w:sz w:val="24"/>
        </w:rPr>
        <w:t>，</w:t>
      </w:r>
      <w:r>
        <w:rPr>
          <w:sz w:val="24"/>
        </w:rPr>
        <w:t>减少可能存在于饲料中的霉菌毒素对水产养殖鱼类的潜在危害</w:t>
      </w:r>
      <w:r>
        <w:rPr>
          <w:rFonts w:hint="eastAsia"/>
          <w:sz w:val="24"/>
        </w:rPr>
        <w:t>，</w:t>
      </w:r>
      <w:r>
        <w:rPr>
          <w:sz w:val="24"/>
        </w:rPr>
        <w:t>延长饲料的储存寿命</w:t>
      </w:r>
      <w:r>
        <w:rPr>
          <w:rFonts w:hint="eastAsia"/>
          <w:sz w:val="24"/>
        </w:rPr>
        <w:t>。</w:t>
      </w:r>
      <w:r>
        <w:rPr>
          <w:sz w:val="24"/>
        </w:rPr>
        <w:t>Singh等</w:t>
      </w:r>
      <w:r>
        <w:rPr>
          <w:rFonts w:hint="eastAsia"/>
          <w:sz w:val="24"/>
        </w:rPr>
        <w:t>（</w:t>
      </w:r>
      <w:r>
        <w:rPr>
          <w:sz w:val="24"/>
        </w:rPr>
        <w:t>2010</w:t>
      </w:r>
      <w:r>
        <w:rPr>
          <w:rFonts w:hint="eastAsia"/>
          <w:sz w:val="24"/>
        </w:rPr>
        <w:t>）</w:t>
      </w:r>
      <w:r>
        <w:rPr>
          <w:sz w:val="24"/>
        </w:rPr>
        <w:t>研究发现</w:t>
      </w:r>
      <w:r>
        <w:rPr>
          <w:rFonts w:hint="eastAsia"/>
          <w:sz w:val="24"/>
        </w:rPr>
        <w:t>，</w:t>
      </w:r>
      <w:r>
        <w:rPr>
          <w:sz w:val="24"/>
        </w:rPr>
        <w:t>柑橘精油可以抑制黄曲霉的生长和黄曲霉毒素的产生</w:t>
      </w:r>
      <w:r>
        <w:rPr>
          <w:rFonts w:hint="eastAsia"/>
          <w:sz w:val="24"/>
        </w:rPr>
        <w:t>，</w:t>
      </w:r>
      <w:r>
        <w:rPr>
          <w:sz w:val="24"/>
        </w:rPr>
        <w:t>可作为一种天然的抗菌剂</w:t>
      </w:r>
      <w:r>
        <w:rPr>
          <w:rFonts w:hint="eastAsia"/>
          <w:sz w:val="24"/>
        </w:rPr>
        <w:t>。</w:t>
      </w:r>
      <w:r>
        <w:rPr>
          <w:sz w:val="24"/>
        </w:rPr>
        <w:t>Viuda</w:t>
      </w:r>
      <w:r>
        <w:rPr>
          <w:rFonts w:hint="eastAsia"/>
          <w:sz w:val="24"/>
        </w:rPr>
        <w:t xml:space="preserve"> </w:t>
      </w:r>
      <w:r>
        <w:rPr>
          <w:sz w:val="24"/>
        </w:rPr>
        <w:t>Martos等</w:t>
      </w:r>
      <w:r>
        <w:rPr>
          <w:rFonts w:hint="eastAsia"/>
          <w:sz w:val="24"/>
        </w:rPr>
        <w:t>（</w:t>
      </w:r>
      <w:r>
        <w:rPr>
          <w:sz w:val="24"/>
        </w:rPr>
        <w:t>2008</w:t>
      </w:r>
      <w:r>
        <w:rPr>
          <w:rFonts w:hint="eastAsia"/>
          <w:sz w:val="24"/>
        </w:rPr>
        <w:t>）</w:t>
      </w:r>
      <w:r>
        <w:rPr>
          <w:sz w:val="24"/>
        </w:rPr>
        <w:t>研究表明</w:t>
      </w:r>
      <w:r>
        <w:rPr>
          <w:rFonts w:hint="eastAsia"/>
          <w:sz w:val="24"/>
        </w:rPr>
        <w:t>，</w:t>
      </w:r>
      <w:r>
        <w:rPr>
          <w:sz w:val="24"/>
        </w:rPr>
        <w:t>橙子精油</w:t>
      </w:r>
      <w:r>
        <w:rPr>
          <w:rFonts w:hint="eastAsia"/>
          <w:sz w:val="24"/>
        </w:rPr>
        <w:t>、</w:t>
      </w:r>
      <w:r>
        <w:rPr>
          <w:sz w:val="24"/>
        </w:rPr>
        <w:t>柠檬精油和葡萄柚精油均显示出减少或抑制黑曲霉霉菌生长的能力</w:t>
      </w:r>
      <w:r>
        <w:rPr>
          <w:rFonts w:hint="eastAsia"/>
          <w:sz w:val="24"/>
        </w:rPr>
        <w:t>。</w:t>
      </w:r>
      <w:r>
        <w:rPr>
          <w:sz w:val="24"/>
        </w:rPr>
        <w:t>其中</w:t>
      </w:r>
      <w:r>
        <w:rPr>
          <w:rFonts w:hint="eastAsia"/>
          <w:sz w:val="24"/>
        </w:rPr>
        <w:t>，</w:t>
      </w:r>
      <w:r>
        <w:rPr>
          <w:sz w:val="24"/>
        </w:rPr>
        <w:t>橙子精油是致黑曲霉的最佳抑制剂</w:t>
      </w:r>
      <w:r>
        <w:rPr>
          <w:rFonts w:hint="eastAsia"/>
          <w:sz w:val="24"/>
        </w:rPr>
        <w:t>。</w:t>
      </w:r>
    </w:p>
    <w:p w14:paraId="33E9D2F5">
      <w:pPr>
        <w:spacing w:line="360" w:lineRule="auto"/>
        <w:rPr>
          <w:sz w:val="24"/>
        </w:rPr>
      </w:pPr>
      <w:r>
        <w:rPr>
          <w:sz w:val="24"/>
        </w:rPr>
        <w:t>2.2促生长剂</w:t>
      </w:r>
    </w:p>
    <w:p w14:paraId="05FFEDB6">
      <w:pPr>
        <w:spacing w:line="360" w:lineRule="auto"/>
        <w:ind w:firstLine="480" w:firstLineChars="200"/>
        <w:rPr>
          <w:sz w:val="24"/>
        </w:rPr>
      </w:pPr>
      <w:r>
        <w:rPr>
          <w:sz w:val="24"/>
        </w:rPr>
        <w:t>抗生素通常用于控制鱼病</w:t>
      </w:r>
      <w:r>
        <w:rPr>
          <w:rFonts w:hint="eastAsia"/>
          <w:sz w:val="24"/>
        </w:rPr>
        <w:t>、</w:t>
      </w:r>
      <w:r>
        <w:rPr>
          <w:sz w:val="24"/>
        </w:rPr>
        <w:t>增强免疫系统和作为生长促进剂</w:t>
      </w:r>
      <w:r>
        <w:rPr>
          <w:rFonts w:hint="eastAsia"/>
          <w:sz w:val="24"/>
        </w:rPr>
        <w:t>。</w:t>
      </w:r>
      <w:r>
        <w:rPr>
          <w:sz w:val="24"/>
        </w:rPr>
        <w:t>然而</w:t>
      </w:r>
      <w:r>
        <w:rPr>
          <w:rFonts w:hint="eastAsia"/>
          <w:sz w:val="24"/>
        </w:rPr>
        <w:t>，</w:t>
      </w:r>
      <w:r>
        <w:rPr>
          <w:sz w:val="24"/>
        </w:rPr>
        <w:t>由于对细菌的抗性以及它们可能在水产品中释放的残留物</w:t>
      </w:r>
      <w:r>
        <w:rPr>
          <w:rFonts w:hint="eastAsia"/>
          <w:sz w:val="24"/>
        </w:rPr>
        <w:t>，</w:t>
      </w:r>
      <w:r>
        <w:rPr>
          <w:sz w:val="24"/>
        </w:rPr>
        <w:t>抗生素的使用受到限制</w:t>
      </w:r>
      <w:r>
        <w:rPr>
          <w:rFonts w:hint="eastAsia"/>
          <w:sz w:val="24"/>
        </w:rPr>
        <w:t>，</w:t>
      </w:r>
      <w:r>
        <w:rPr>
          <w:sz w:val="24"/>
        </w:rPr>
        <w:t>特别是在水产饲料中已被明令禁止使用</w:t>
      </w:r>
      <w:r>
        <w:rPr>
          <w:rFonts w:hint="eastAsia"/>
          <w:sz w:val="24"/>
        </w:rPr>
        <w:t>。</w:t>
      </w:r>
      <w:r>
        <w:rPr>
          <w:sz w:val="24"/>
        </w:rPr>
        <w:t>CEOs无毒无害</w:t>
      </w:r>
      <w:r>
        <w:rPr>
          <w:rFonts w:hint="eastAsia"/>
          <w:sz w:val="24"/>
        </w:rPr>
        <w:t>，</w:t>
      </w:r>
      <w:r>
        <w:rPr>
          <w:sz w:val="24"/>
        </w:rPr>
        <w:t>并且可散发出浓郁的香气</w:t>
      </w:r>
      <w:r>
        <w:rPr>
          <w:rFonts w:hint="eastAsia"/>
          <w:sz w:val="24"/>
        </w:rPr>
        <w:t>，</w:t>
      </w:r>
      <w:r>
        <w:rPr>
          <w:sz w:val="24"/>
        </w:rPr>
        <w:t>添加到饲料中有助于刺激水产动物的食欲</w:t>
      </w:r>
      <w:r>
        <w:rPr>
          <w:rFonts w:hint="eastAsia"/>
          <w:sz w:val="24"/>
        </w:rPr>
        <w:t>，</w:t>
      </w:r>
      <w:r>
        <w:rPr>
          <w:sz w:val="24"/>
        </w:rPr>
        <w:t>可促进水产动物的生长</w:t>
      </w:r>
      <w:r>
        <w:rPr>
          <w:rFonts w:hint="eastAsia"/>
          <w:sz w:val="24"/>
        </w:rPr>
        <w:t>，</w:t>
      </w:r>
      <w:r>
        <w:rPr>
          <w:sz w:val="24"/>
        </w:rPr>
        <w:t>具有替代促生长类抗生素的潜力</w:t>
      </w:r>
      <w:r>
        <w:rPr>
          <w:rFonts w:hint="eastAsia"/>
          <w:sz w:val="24"/>
        </w:rPr>
        <w:t>。</w:t>
      </w:r>
      <w:r>
        <w:rPr>
          <w:sz w:val="24"/>
        </w:rPr>
        <w:t>王猛强等</w:t>
      </w:r>
      <w:r>
        <w:rPr>
          <w:rFonts w:hint="eastAsia"/>
          <w:sz w:val="24"/>
        </w:rPr>
        <w:t>（</w:t>
      </w:r>
      <w:r>
        <w:rPr>
          <w:sz w:val="24"/>
        </w:rPr>
        <w:t>2015</w:t>
      </w:r>
      <w:r>
        <w:rPr>
          <w:rFonts w:hint="eastAsia"/>
          <w:sz w:val="24"/>
        </w:rPr>
        <w:t>）</w:t>
      </w:r>
      <w:r>
        <w:rPr>
          <w:sz w:val="24"/>
        </w:rPr>
        <w:t>研究表明</w:t>
      </w:r>
      <w:r>
        <w:rPr>
          <w:rFonts w:hint="eastAsia"/>
          <w:sz w:val="24"/>
        </w:rPr>
        <w:t>，</w:t>
      </w:r>
      <w:r>
        <w:rPr>
          <w:sz w:val="24"/>
        </w:rPr>
        <w:t>当减少饲料中的鱼粉含量添加柑橘油时</w:t>
      </w:r>
      <w:r>
        <w:rPr>
          <w:rFonts w:hint="eastAsia"/>
          <w:sz w:val="24"/>
        </w:rPr>
        <w:t>，</w:t>
      </w:r>
      <w:r>
        <w:rPr>
          <w:sz w:val="24"/>
        </w:rPr>
        <w:t>凡纳滨对虾</w:t>
      </w:r>
      <w:r>
        <w:rPr>
          <w:rFonts w:hint="eastAsia"/>
          <w:sz w:val="24"/>
        </w:rPr>
        <w:t>（</w:t>
      </w:r>
      <w:r>
        <w:rPr>
          <w:i/>
          <w:iCs/>
          <w:sz w:val="24"/>
        </w:rPr>
        <w:t>Litopenaeus vannamei</w:t>
      </w:r>
      <w:r>
        <w:rPr>
          <w:rFonts w:hint="eastAsia"/>
          <w:sz w:val="24"/>
        </w:rPr>
        <w:t>）</w:t>
      </w:r>
      <w:r>
        <w:rPr>
          <w:sz w:val="24"/>
        </w:rPr>
        <w:t>的生长表现明显优于对照组</w:t>
      </w:r>
      <w:r>
        <w:rPr>
          <w:rFonts w:hint="eastAsia"/>
          <w:sz w:val="24"/>
        </w:rPr>
        <w:t>。</w:t>
      </w:r>
      <w:r>
        <w:rPr>
          <w:sz w:val="24"/>
        </w:rPr>
        <w:t>通过透射电镜观察肠道超微结构发现</w:t>
      </w:r>
      <w:r>
        <w:rPr>
          <w:rFonts w:hint="eastAsia"/>
          <w:sz w:val="24"/>
        </w:rPr>
        <w:t>，</w:t>
      </w:r>
      <w:r>
        <w:rPr>
          <w:sz w:val="24"/>
        </w:rPr>
        <w:t>添加植物精油的饲料有助于明显减轻凡纳滨对虾肠道绒毛的脱落情况</w:t>
      </w:r>
      <w:r>
        <w:rPr>
          <w:rFonts w:hint="eastAsia"/>
          <w:sz w:val="24"/>
        </w:rPr>
        <w:t>。</w:t>
      </w:r>
      <w:r>
        <w:rPr>
          <w:sz w:val="24"/>
        </w:rPr>
        <w:t>Acar等</w:t>
      </w:r>
      <w:r>
        <w:rPr>
          <w:rFonts w:hint="eastAsia"/>
          <w:sz w:val="24"/>
        </w:rPr>
        <w:t>（</w:t>
      </w:r>
      <w:r>
        <w:rPr>
          <w:sz w:val="24"/>
        </w:rPr>
        <w:t>2015</w:t>
      </w:r>
      <w:r>
        <w:rPr>
          <w:rFonts w:hint="eastAsia"/>
          <w:sz w:val="24"/>
        </w:rPr>
        <w:t>）</w:t>
      </w:r>
      <w:r>
        <w:rPr>
          <w:sz w:val="24"/>
        </w:rPr>
        <w:t>评估了甜橙皮精油对莫桑比克罗非鱼</w:t>
      </w:r>
      <w:r>
        <w:rPr>
          <w:rFonts w:hint="eastAsia"/>
          <w:sz w:val="24"/>
        </w:rPr>
        <w:t>（</w:t>
      </w:r>
      <w:r>
        <w:rPr>
          <w:i/>
          <w:iCs/>
          <w:sz w:val="24"/>
        </w:rPr>
        <w:t>Mozambique tilapia</w:t>
      </w:r>
      <w:r>
        <w:rPr>
          <w:rFonts w:hint="eastAsia"/>
          <w:sz w:val="24"/>
        </w:rPr>
        <w:t>）</w:t>
      </w:r>
      <w:r>
        <w:rPr>
          <w:sz w:val="24"/>
        </w:rPr>
        <w:t>生长速率的影响</w:t>
      </w:r>
      <w:r>
        <w:rPr>
          <w:rFonts w:hint="eastAsia"/>
          <w:sz w:val="24"/>
        </w:rPr>
        <w:t>，</w:t>
      </w:r>
      <w:r>
        <w:rPr>
          <w:sz w:val="24"/>
        </w:rPr>
        <w:t>结果显示</w:t>
      </w:r>
      <w:r>
        <w:rPr>
          <w:rFonts w:hint="eastAsia"/>
          <w:sz w:val="24"/>
        </w:rPr>
        <w:t>，</w:t>
      </w:r>
      <w:r>
        <w:rPr>
          <w:sz w:val="24"/>
        </w:rPr>
        <w:t>甜橙皮精油既可提高莫桑比克罗非鱼的生长性能还能提高其免疫力</w:t>
      </w:r>
      <w:r>
        <w:rPr>
          <w:rFonts w:hint="eastAsia"/>
          <w:sz w:val="24"/>
        </w:rPr>
        <w:t>。</w:t>
      </w:r>
      <w:r>
        <w:rPr>
          <w:sz w:val="24"/>
        </w:rPr>
        <w:t>Kesbi</w:t>
      </w:r>
      <w:r>
        <w:rPr>
          <w:rFonts w:hint="eastAsia"/>
          <w:sz w:val="24"/>
        </w:rPr>
        <w:t>c</w:t>
      </w:r>
      <w:r>
        <w:rPr>
          <w:sz w:val="24"/>
        </w:rPr>
        <w:t>等</w:t>
      </w:r>
      <w:r>
        <w:rPr>
          <w:rFonts w:hint="eastAsia"/>
          <w:sz w:val="24"/>
        </w:rPr>
        <w:t>（</w:t>
      </w:r>
      <w:r>
        <w:rPr>
          <w:sz w:val="24"/>
        </w:rPr>
        <w:t>2020</w:t>
      </w:r>
      <w:r>
        <w:rPr>
          <w:rFonts w:hint="eastAsia"/>
          <w:sz w:val="24"/>
        </w:rPr>
        <w:t>）</w:t>
      </w:r>
      <w:r>
        <w:rPr>
          <w:sz w:val="24"/>
        </w:rPr>
        <w:t>研究发现</w:t>
      </w:r>
      <w:r>
        <w:rPr>
          <w:rFonts w:hint="eastAsia"/>
          <w:sz w:val="24"/>
        </w:rPr>
        <w:t>，</w:t>
      </w:r>
      <w:r>
        <w:rPr>
          <w:sz w:val="24"/>
        </w:rPr>
        <w:t>在尼罗罗非鱼</w:t>
      </w:r>
      <w:r>
        <w:rPr>
          <w:rFonts w:hint="eastAsia"/>
          <w:sz w:val="24"/>
        </w:rPr>
        <w:t>（</w:t>
      </w:r>
      <w:r>
        <w:rPr>
          <w:i/>
          <w:iCs/>
          <w:sz w:val="24"/>
        </w:rPr>
        <w:t>Nile tilapia</w:t>
      </w:r>
      <w:r>
        <w:rPr>
          <w:rFonts w:hint="eastAsia"/>
          <w:sz w:val="24"/>
        </w:rPr>
        <w:t>）</w:t>
      </w:r>
      <w:r>
        <w:rPr>
          <w:sz w:val="24"/>
        </w:rPr>
        <w:t>日粮中添加0.5%的佛手柑精油</w:t>
      </w:r>
      <w:r>
        <w:rPr>
          <w:rFonts w:hint="eastAsia"/>
          <w:sz w:val="24"/>
        </w:rPr>
        <w:t>，</w:t>
      </w:r>
      <w:r>
        <w:rPr>
          <w:sz w:val="24"/>
        </w:rPr>
        <w:t>可优化尼罗罗非鱼的生长性能和饲料利用率</w:t>
      </w:r>
      <w:r>
        <w:rPr>
          <w:rFonts w:hint="eastAsia"/>
          <w:sz w:val="24"/>
        </w:rPr>
        <w:t>，</w:t>
      </w:r>
      <w:r>
        <w:rPr>
          <w:sz w:val="24"/>
        </w:rPr>
        <w:t>同时其血清中的总蛋白质含量最高</w:t>
      </w:r>
      <w:r>
        <w:rPr>
          <w:rFonts w:hint="eastAsia"/>
          <w:sz w:val="24"/>
        </w:rPr>
        <w:t>，</w:t>
      </w:r>
      <w:r>
        <w:rPr>
          <w:sz w:val="24"/>
        </w:rPr>
        <w:t>而其胆固醇和甘油三酯含量最低</w:t>
      </w:r>
      <w:r>
        <w:rPr>
          <w:rFonts w:hint="eastAsia"/>
          <w:sz w:val="24"/>
        </w:rPr>
        <w:t>。</w:t>
      </w:r>
      <w:r>
        <w:rPr>
          <w:sz w:val="24"/>
        </w:rPr>
        <w:t>可以预见的是</w:t>
      </w:r>
      <w:r>
        <w:rPr>
          <w:rFonts w:hint="eastAsia"/>
          <w:sz w:val="24"/>
        </w:rPr>
        <w:t>，</w:t>
      </w:r>
      <w:r>
        <w:rPr>
          <w:sz w:val="24"/>
        </w:rPr>
        <w:t>不同的CEOs品种和水产动物种类会导致不同的效果</w:t>
      </w:r>
      <w:r>
        <w:rPr>
          <w:rFonts w:hint="eastAsia"/>
          <w:sz w:val="24"/>
        </w:rPr>
        <w:t>；</w:t>
      </w:r>
      <w:r>
        <w:rPr>
          <w:sz w:val="24"/>
        </w:rPr>
        <w:t>添加的精油剂量也是影响结果的关键因素</w:t>
      </w:r>
      <w:r>
        <w:rPr>
          <w:rFonts w:hint="eastAsia"/>
          <w:sz w:val="24"/>
        </w:rPr>
        <w:t>，</w:t>
      </w:r>
      <w:r>
        <w:rPr>
          <w:sz w:val="24"/>
        </w:rPr>
        <w:t>添加量过低可能不会产生显著的促生长效果</w:t>
      </w:r>
      <w:r>
        <w:rPr>
          <w:rFonts w:hint="eastAsia"/>
          <w:sz w:val="24"/>
        </w:rPr>
        <w:t>，</w:t>
      </w:r>
      <w:r>
        <w:rPr>
          <w:sz w:val="24"/>
        </w:rPr>
        <w:t>而添加量过高可能会影响饲料的适口性</w:t>
      </w:r>
      <w:r>
        <w:rPr>
          <w:rFonts w:hint="eastAsia"/>
          <w:sz w:val="24"/>
        </w:rPr>
        <w:t>，</w:t>
      </w:r>
      <w:r>
        <w:rPr>
          <w:sz w:val="24"/>
        </w:rPr>
        <w:t>进而影响水产动物的食物摄取</w:t>
      </w:r>
      <w:r>
        <w:rPr>
          <w:rFonts w:hint="eastAsia"/>
          <w:sz w:val="24"/>
        </w:rPr>
        <w:t>。</w:t>
      </w:r>
    </w:p>
    <w:p w14:paraId="33EDD55C">
      <w:pPr>
        <w:spacing w:line="360" w:lineRule="auto"/>
        <w:rPr>
          <w:sz w:val="24"/>
        </w:rPr>
      </w:pPr>
      <w:r>
        <w:rPr>
          <w:sz w:val="24"/>
        </w:rPr>
        <w:t>2.3免疫刺激剂</w:t>
      </w:r>
    </w:p>
    <w:p w14:paraId="0F40DA2F">
      <w:pPr>
        <w:spacing w:line="360" w:lineRule="auto"/>
        <w:ind w:firstLine="480" w:firstLineChars="200"/>
        <w:rPr>
          <w:sz w:val="24"/>
        </w:rPr>
      </w:pPr>
      <w:r>
        <w:rPr>
          <w:sz w:val="24"/>
        </w:rPr>
        <w:t>免疫刺激剂是一类能够调节动物免疫系统并激活免疫功能的物质</w:t>
      </w:r>
      <w:r>
        <w:rPr>
          <w:rFonts w:hint="eastAsia"/>
          <w:sz w:val="24"/>
        </w:rPr>
        <w:t>（</w:t>
      </w:r>
      <w:r>
        <w:rPr>
          <w:sz w:val="24"/>
        </w:rPr>
        <w:t>孟思妤等</w:t>
      </w:r>
      <w:r>
        <w:rPr>
          <w:rFonts w:hint="eastAsia"/>
          <w:sz w:val="24"/>
        </w:rPr>
        <w:t>，</w:t>
      </w:r>
      <w:r>
        <w:rPr>
          <w:sz w:val="24"/>
        </w:rPr>
        <w:t>2016</w:t>
      </w:r>
      <w:r>
        <w:rPr>
          <w:rFonts w:hint="eastAsia"/>
          <w:sz w:val="24"/>
        </w:rPr>
        <w:t>），</w:t>
      </w:r>
      <w:r>
        <w:rPr>
          <w:sz w:val="24"/>
        </w:rPr>
        <w:t>其主要作用是增强动物对细菌和病毒等传染性病原体的抵抗力</w:t>
      </w:r>
      <w:r>
        <w:rPr>
          <w:rFonts w:hint="eastAsia"/>
          <w:sz w:val="24"/>
        </w:rPr>
        <w:t>。</w:t>
      </w:r>
      <w:r>
        <w:rPr>
          <w:sz w:val="24"/>
        </w:rPr>
        <w:t>当动物处于应激状态时</w:t>
      </w:r>
      <w:r>
        <w:rPr>
          <w:rFonts w:hint="eastAsia"/>
          <w:sz w:val="24"/>
        </w:rPr>
        <w:t>，</w:t>
      </w:r>
      <w:r>
        <w:rPr>
          <w:sz w:val="24"/>
        </w:rPr>
        <w:t>体内的糖皮质激素和泌类皮质激素水平上升</w:t>
      </w:r>
      <w:r>
        <w:rPr>
          <w:rFonts w:hint="eastAsia"/>
          <w:sz w:val="24"/>
        </w:rPr>
        <w:t>，</w:t>
      </w:r>
      <w:r>
        <w:rPr>
          <w:sz w:val="24"/>
        </w:rPr>
        <w:t>导致血淋巴细胞</w:t>
      </w:r>
      <w:r>
        <w:rPr>
          <w:rFonts w:hint="eastAsia"/>
          <w:sz w:val="24"/>
        </w:rPr>
        <w:t>、</w:t>
      </w:r>
      <w:r>
        <w:rPr>
          <w:sz w:val="24"/>
        </w:rPr>
        <w:t>巨噬细胞</w:t>
      </w:r>
      <w:r>
        <w:rPr>
          <w:rFonts w:hint="eastAsia"/>
          <w:sz w:val="24"/>
        </w:rPr>
        <w:t>、</w:t>
      </w:r>
      <w:r>
        <w:rPr>
          <w:sz w:val="24"/>
        </w:rPr>
        <w:t>溶菌酶的活性急剧下降</w:t>
      </w:r>
      <w:r>
        <w:rPr>
          <w:rFonts w:hint="eastAsia"/>
          <w:sz w:val="24"/>
        </w:rPr>
        <w:t>，</w:t>
      </w:r>
      <w:r>
        <w:rPr>
          <w:sz w:val="24"/>
        </w:rPr>
        <w:t>从而抑制了动物的免疫系统</w:t>
      </w:r>
      <w:r>
        <w:rPr>
          <w:rFonts w:hint="eastAsia"/>
          <w:sz w:val="24"/>
        </w:rPr>
        <w:t>（</w:t>
      </w:r>
      <w:r>
        <w:rPr>
          <w:sz w:val="24"/>
        </w:rPr>
        <w:t>吴凡</w:t>
      </w:r>
      <w:r>
        <w:rPr>
          <w:rFonts w:hint="eastAsia"/>
          <w:sz w:val="24"/>
        </w:rPr>
        <w:t>，</w:t>
      </w:r>
      <w:r>
        <w:rPr>
          <w:sz w:val="24"/>
        </w:rPr>
        <w:t>2006</w:t>
      </w:r>
      <w:r>
        <w:rPr>
          <w:rFonts w:hint="eastAsia"/>
          <w:sz w:val="24"/>
        </w:rPr>
        <w:t>）。</w:t>
      </w:r>
      <w:r>
        <w:rPr>
          <w:sz w:val="24"/>
        </w:rPr>
        <w:t>在这种情况下</w:t>
      </w:r>
      <w:r>
        <w:rPr>
          <w:rFonts w:hint="eastAsia"/>
          <w:sz w:val="24"/>
        </w:rPr>
        <w:t>，</w:t>
      </w:r>
      <w:r>
        <w:rPr>
          <w:sz w:val="24"/>
        </w:rPr>
        <w:t>动物容易受到养殖水体中潜在的病原体侵袭</w:t>
      </w:r>
      <w:r>
        <w:rPr>
          <w:rFonts w:hint="eastAsia"/>
          <w:sz w:val="24"/>
        </w:rPr>
        <w:t>，</w:t>
      </w:r>
      <w:r>
        <w:rPr>
          <w:sz w:val="24"/>
        </w:rPr>
        <w:t>但免疫刺激剂的使用可以减轻免疫抑制带来的危害</w:t>
      </w:r>
      <w:r>
        <w:rPr>
          <w:rFonts w:hint="eastAsia"/>
          <w:sz w:val="24"/>
        </w:rPr>
        <w:t>。</w:t>
      </w:r>
      <w:r>
        <w:rPr>
          <w:sz w:val="24"/>
        </w:rPr>
        <w:t>在养殖生产中</w:t>
      </w:r>
      <w:r>
        <w:rPr>
          <w:rFonts w:hint="eastAsia"/>
          <w:sz w:val="24"/>
        </w:rPr>
        <w:t>，</w:t>
      </w:r>
      <w:r>
        <w:rPr>
          <w:sz w:val="24"/>
        </w:rPr>
        <w:t>通过向试验饲料中添加CEOs</w:t>
      </w:r>
      <w:r>
        <w:rPr>
          <w:rFonts w:hint="eastAsia"/>
          <w:sz w:val="24"/>
        </w:rPr>
        <w:t>，</w:t>
      </w:r>
      <w:r>
        <w:rPr>
          <w:sz w:val="24"/>
        </w:rPr>
        <w:t>可以增强水生动物的抵抗力</w:t>
      </w:r>
      <w:r>
        <w:rPr>
          <w:rFonts w:hint="eastAsia"/>
          <w:sz w:val="24"/>
        </w:rPr>
        <w:t>，</w:t>
      </w:r>
      <w:r>
        <w:rPr>
          <w:sz w:val="24"/>
        </w:rPr>
        <w:t>达到防御传染性疾病发生的目的</w:t>
      </w:r>
      <w:r>
        <w:rPr>
          <w:rFonts w:hint="eastAsia"/>
          <w:sz w:val="24"/>
        </w:rPr>
        <w:t>。</w:t>
      </w:r>
      <w:r>
        <w:rPr>
          <w:sz w:val="24"/>
        </w:rPr>
        <w:t>何旺泉</w:t>
      </w:r>
      <w:r>
        <w:rPr>
          <w:rFonts w:hint="eastAsia"/>
          <w:sz w:val="24"/>
        </w:rPr>
        <w:t>（</w:t>
      </w:r>
      <w:r>
        <w:rPr>
          <w:sz w:val="24"/>
        </w:rPr>
        <w:t>2018</w:t>
      </w:r>
      <w:r>
        <w:rPr>
          <w:rFonts w:hint="eastAsia"/>
          <w:sz w:val="24"/>
        </w:rPr>
        <w:t>）</w:t>
      </w:r>
      <w:r>
        <w:rPr>
          <w:sz w:val="24"/>
        </w:rPr>
        <w:t>研究发现</w:t>
      </w:r>
      <w:r>
        <w:rPr>
          <w:rFonts w:hint="eastAsia"/>
          <w:sz w:val="24"/>
        </w:rPr>
        <w:t>，</w:t>
      </w:r>
      <w:r>
        <w:rPr>
          <w:sz w:val="24"/>
        </w:rPr>
        <w:t>在凡纳滨对虾试验料中添加柠檬精油</w:t>
      </w:r>
      <w:r>
        <w:rPr>
          <w:rFonts w:hint="eastAsia"/>
          <w:sz w:val="24"/>
        </w:rPr>
        <w:t>，</w:t>
      </w:r>
      <w:r>
        <w:rPr>
          <w:sz w:val="24"/>
        </w:rPr>
        <w:t>其免疫相关因子</w:t>
      </w:r>
      <w:r>
        <w:rPr>
          <w:rFonts w:hint="eastAsia"/>
          <w:sz w:val="24"/>
        </w:rPr>
        <w:t>（</w:t>
      </w:r>
      <w:r>
        <w:rPr>
          <w:sz w:val="24"/>
        </w:rPr>
        <w:t>溶菌酶</w:t>
      </w:r>
      <w:r>
        <w:rPr>
          <w:rFonts w:hint="eastAsia"/>
          <w:sz w:val="24"/>
        </w:rPr>
        <w:t>、</w:t>
      </w:r>
      <w:r>
        <w:rPr>
          <w:sz w:val="24"/>
        </w:rPr>
        <w:t>对虾素和过氧化氢酶</w:t>
      </w:r>
      <w:r>
        <w:rPr>
          <w:rFonts w:hint="eastAsia"/>
          <w:sz w:val="24"/>
        </w:rPr>
        <w:t>）</w:t>
      </w:r>
      <w:r>
        <w:rPr>
          <w:sz w:val="24"/>
        </w:rPr>
        <w:t>表达量均明显上调</w:t>
      </w:r>
      <w:r>
        <w:rPr>
          <w:rFonts w:hint="eastAsia"/>
          <w:sz w:val="24"/>
        </w:rPr>
        <w:t>，</w:t>
      </w:r>
      <w:r>
        <w:rPr>
          <w:sz w:val="24"/>
        </w:rPr>
        <w:t>表明添加柠檬精油可以显著提升凡纳滨对虾的免疫活性</w:t>
      </w:r>
      <w:r>
        <w:rPr>
          <w:rFonts w:hint="eastAsia"/>
          <w:sz w:val="24"/>
        </w:rPr>
        <w:t>，</w:t>
      </w:r>
      <w:r>
        <w:rPr>
          <w:sz w:val="24"/>
        </w:rPr>
        <w:t>柠檬精油可能有助于增强水生动物的非特异性免疫反应</w:t>
      </w:r>
      <w:r>
        <w:rPr>
          <w:rFonts w:hint="eastAsia"/>
          <w:sz w:val="24"/>
        </w:rPr>
        <w:t>。</w:t>
      </w:r>
    </w:p>
    <w:p w14:paraId="34691450">
      <w:pPr>
        <w:spacing w:line="360" w:lineRule="auto"/>
        <w:rPr>
          <w:sz w:val="24"/>
        </w:rPr>
      </w:pPr>
      <w:r>
        <w:rPr>
          <w:sz w:val="24"/>
        </w:rPr>
        <w:t>2.4生物保鲜剂</w:t>
      </w:r>
    </w:p>
    <w:p w14:paraId="4ECF2C1D">
      <w:pPr>
        <w:spacing w:line="360" w:lineRule="auto"/>
        <w:ind w:firstLine="480" w:firstLineChars="200"/>
        <w:rPr>
          <w:sz w:val="24"/>
        </w:rPr>
      </w:pPr>
      <w:r>
        <w:rPr>
          <w:sz w:val="24"/>
        </w:rPr>
        <w:t>水产品容易腐败和变质</w:t>
      </w:r>
      <w:r>
        <w:rPr>
          <w:rFonts w:hint="eastAsia"/>
          <w:sz w:val="24"/>
        </w:rPr>
        <w:t>，</w:t>
      </w:r>
      <w:r>
        <w:rPr>
          <w:sz w:val="24"/>
        </w:rPr>
        <w:t>因此需要严格的储存条件</w:t>
      </w:r>
      <w:r>
        <w:rPr>
          <w:rFonts w:hint="eastAsia"/>
          <w:sz w:val="24"/>
        </w:rPr>
        <w:t>（</w:t>
      </w:r>
      <w:r>
        <w:rPr>
          <w:sz w:val="24"/>
        </w:rPr>
        <w:t>吕盛寒等</w:t>
      </w:r>
      <w:r>
        <w:rPr>
          <w:rFonts w:hint="eastAsia"/>
          <w:sz w:val="24"/>
        </w:rPr>
        <w:t>，</w:t>
      </w:r>
      <w:r>
        <w:rPr>
          <w:sz w:val="24"/>
        </w:rPr>
        <w:t>2023</w:t>
      </w:r>
      <w:r>
        <w:rPr>
          <w:rFonts w:hint="eastAsia"/>
          <w:sz w:val="24"/>
        </w:rPr>
        <w:t>）。</w:t>
      </w:r>
      <w:r>
        <w:rPr>
          <w:sz w:val="24"/>
        </w:rPr>
        <w:t>CEOs具有强大的抗菌和抗氧化作用</w:t>
      </w:r>
      <w:r>
        <w:rPr>
          <w:rFonts w:hint="eastAsia"/>
          <w:sz w:val="24"/>
        </w:rPr>
        <w:t>，</w:t>
      </w:r>
      <w:r>
        <w:rPr>
          <w:sz w:val="24"/>
        </w:rPr>
        <w:t>可以有效减缓水产品腐败和氧化的速度</w:t>
      </w:r>
      <w:r>
        <w:rPr>
          <w:rFonts w:hint="eastAsia"/>
          <w:sz w:val="24"/>
        </w:rPr>
        <w:t>，</w:t>
      </w:r>
      <w:r>
        <w:rPr>
          <w:sz w:val="24"/>
        </w:rPr>
        <w:t>从而延长水产品的保存时间</w:t>
      </w:r>
      <w:r>
        <w:rPr>
          <w:rFonts w:hint="eastAsia"/>
          <w:sz w:val="24"/>
        </w:rPr>
        <w:t>。</w:t>
      </w:r>
      <w:r>
        <w:rPr>
          <w:sz w:val="24"/>
        </w:rPr>
        <w:t>此外</w:t>
      </w:r>
      <w:r>
        <w:rPr>
          <w:rFonts w:hint="eastAsia"/>
          <w:sz w:val="24"/>
        </w:rPr>
        <w:t>，</w:t>
      </w:r>
      <w:r>
        <w:rPr>
          <w:sz w:val="24"/>
        </w:rPr>
        <w:t>它们还可以改善水产品的口感和味道</w:t>
      </w:r>
      <w:r>
        <w:rPr>
          <w:rFonts w:hint="eastAsia"/>
          <w:sz w:val="24"/>
        </w:rPr>
        <w:t>，</w:t>
      </w:r>
      <w:r>
        <w:rPr>
          <w:sz w:val="24"/>
        </w:rPr>
        <w:t>是一种天然的生物保鲜剂</w:t>
      </w:r>
      <w:r>
        <w:rPr>
          <w:rFonts w:hint="eastAsia"/>
          <w:sz w:val="24"/>
        </w:rPr>
        <w:t>（</w:t>
      </w:r>
      <w:r>
        <w:rPr>
          <w:sz w:val="24"/>
        </w:rPr>
        <w:t>蓝蔚青等</w:t>
      </w:r>
      <w:r>
        <w:rPr>
          <w:rFonts w:hint="eastAsia"/>
          <w:sz w:val="24"/>
        </w:rPr>
        <w:t>，</w:t>
      </w:r>
      <w:r>
        <w:rPr>
          <w:sz w:val="24"/>
        </w:rPr>
        <w:t>2021</w:t>
      </w:r>
      <w:r>
        <w:rPr>
          <w:rFonts w:hint="eastAsia"/>
          <w:sz w:val="24"/>
        </w:rPr>
        <w:t>）。</w:t>
      </w:r>
      <w:r>
        <w:rPr>
          <w:sz w:val="24"/>
        </w:rPr>
        <w:t>刘婧婧</w:t>
      </w:r>
      <w:r>
        <w:rPr>
          <w:rFonts w:hint="eastAsia"/>
          <w:sz w:val="24"/>
        </w:rPr>
        <w:t>（</w:t>
      </w:r>
      <w:r>
        <w:rPr>
          <w:sz w:val="24"/>
        </w:rPr>
        <w:t>2022</w:t>
      </w:r>
      <w:r>
        <w:rPr>
          <w:rFonts w:hint="eastAsia"/>
          <w:sz w:val="24"/>
        </w:rPr>
        <w:t>）</w:t>
      </w:r>
      <w:r>
        <w:rPr>
          <w:sz w:val="24"/>
        </w:rPr>
        <w:t>研究表明</w:t>
      </w:r>
      <w:r>
        <w:rPr>
          <w:rFonts w:hint="eastAsia"/>
          <w:sz w:val="24"/>
        </w:rPr>
        <w:t>，</w:t>
      </w:r>
      <w:r>
        <w:rPr>
          <w:sz w:val="24"/>
        </w:rPr>
        <w:t>1%的柚子精油在南美白对虾的贮藏过程中发挥了重要的保鲜作用</w:t>
      </w:r>
      <w:r>
        <w:rPr>
          <w:rFonts w:hint="eastAsia"/>
          <w:sz w:val="24"/>
        </w:rPr>
        <w:t>，</w:t>
      </w:r>
      <w:r>
        <w:rPr>
          <w:sz w:val="24"/>
        </w:rPr>
        <w:t>保持了虾的品质和口感</w:t>
      </w:r>
      <w:r>
        <w:rPr>
          <w:rFonts w:hint="eastAsia"/>
          <w:sz w:val="24"/>
        </w:rPr>
        <w:t>，</w:t>
      </w:r>
      <w:r>
        <w:rPr>
          <w:sz w:val="24"/>
        </w:rPr>
        <w:t>同时也减轻了腥臭味的影响</w:t>
      </w:r>
      <w:r>
        <w:rPr>
          <w:rFonts w:hint="eastAsia"/>
          <w:sz w:val="24"/>
        </w:rPr>
        <w:t>，</w:t>
      </w:r>
      <w:r>
        <w:rPr>
          <w:sz w:val="24"/>
        </w:rPr>
        <w:t>提升了虾的整体品质</w:t>
      </w:r>
      <w:r>
        <w:rPr>
          <w:rFonts w:hint="eastAsia"/>
          <w:sz w:val="24"/>
        </w:rPr>
        <w:t>。</w:t>
      </w:r>
      <w:r>
        <w:rPr>
          <w:sz w:val="24"/>
        </w:rPr>
        <w:t>同时</w:t>
      </w:r>
      <w:r>
        <w:rPr>
          <w:rFonts w:hint="eastAsia"/>
          <w:sz w:val="24"/>
        </w:rPr>
        <w:t>，</w:t>
      </w:r>
      <w:r>
        <w:rPr>
          <w:sz w:val="24"/>
        </w:rPr>
        <w:t>柚子精油还可通过抑制化学反应物的生成和微生物的增长</w:t>
      </w:r>
      <w:r>
        <w:rPr>
          <w:rFonts w:hint="eastAsia"/>
          <w:sz w:val="24"/>
        </w:rPr>
        <w:t>，</w:t>
      </w:r>
      <w:r>
        <w:rPr>
          <w:sz w:val="24"/>
        </w:rPr>
        <w:t>延长虾的保质期</w:t>
      </w:r>
      <w:r>
        <w:rPr>
          <w:rFonts w:hint="eastAsia"/>
          <w:sz w:val="24"/>
        </w:rPr>
        <w:t>。</w:t>
      </w:r>
      <w:r>
        <w:rPr>
          <w:sz w:val="24"/>
        </w:rPr>
        <w:t>Ahmad等</w:t>
      </w:r>
      <w:r>
        <w:rPr>
          <w:rFonts w:hint="eastAsia"/>
          <w:sz w:val="24"/>
        </w:rPr>
        <w:t>（</w:t>
      </w:r>
      <w:r>
        <w:rPr>
          <w:sz w:val="24"/>
        </w:rPr>
        <w:t>2012</w:t>
      </w:r>
      <w:r>
        <w:rPr>
          <w:rFonts w:hint="eastAsia"/>
          <w:sz w:val="24"/>
        </w:rPr>
        <w:t>）</w:t>
      </w:r>
      <w:r>
        <w:rPr>
          <w:sz w:val="24"/>
        </w:rPr>
        <w:t>研究发现</w:t>
      </w:r>
      <w:r>
        <w:rPr>
          <w:rFonts w:hint="eastAsia"/>
          <w:sz w:val="24"/>
        </w:rPr>
        <w:t>，</w:t>
      </w:r>
      <w:r>
        <w:rPr>
          <w:sz w:val="24"/>
        </w:rPr>
        <w:t>将4%的柠檬草精油掺入明胶膜</w:t>
      </w:r>
      <w:r>
        <w:rPr>
          <w:rFonts w:hint="eastAsia"/>
          <w:sz w:val="24"/>
        </w:rPr>
        <w:t>，</w:t>
      </w:r>
      <w:r>
        <w:rPr>
          <w:sz w:val="24"/>
        </w:rPr>
        <w:t>能够显著改善包裹鲈鱼片的薄膜的抗菌和抗氧化性能</w:t>
      </w:r>
      <w:r>
        <w:rPr>
          <w:rFonts w:hint="eastAsia"/>
          <w:sz w:val="24"/>
        </w:rPr>
        <w:t>，</w:t>
      </w:r>
      <w:r>
        <w:rPr>
          <w:sz w:val="24"/>
        </w:rPr>
        <w:t>有助于保持鲈鱼片在冷藏条件下的品质</w:t>
      </w:r>
      <w:r>
        <w:rPr>
          <w:rFonts w:hint="eastAsia"/>
          <w:sz w:val="24"/>
        </w:rPr>
        <w:t>，</w:t>
      </w:r>
      <w:r>
        <w:rPr>
          <w:sz w:val="24"/>
        </w:rPr>
        <w:t>延长其保质期</w:t>
      </w:r>
      <w:r>
        <w:rPr>
          <w:rFonts w:hint="eastAsia"/>
          <w:sz w:val="24"/>
        </w:rPr>
        <w:t>。</w:t>
      </w:r>
      <w:r>
        <w:rPr>
          <w:sz w:val="24"/>
        </w:rPr>
        <w:t>Sarmast等</w:t>
      </w:r>
      <w:r>
        <w:rPr>
          <w:rFonts w:hint="eastAsia"/>
          <w:sz w:val="24"/>
        </w:rPr>
        <w:t>（</w:t>
      </w:r>
      <w:r>
        <w:rPr>
          <w:sz w:val="24"/>
        </w:rPr>
        <w:t>2019</w:t>
      </w:r>
      <w:r>
        <w:rPr>
          <w:rFonts w:hint="eastAsia"/>
          <w:sz w:val="24"/>
        </w:rPr>
        <w:t>）</w:t>
      </w:r>
      <w:r>
        <w:rPr>
          <w:sz w:val="24"/>
        </w:rPr>
        <w:t>研究发现</w:t>
      </w:r>
      <w:r>
        <w:rPr>
          <w:rFonts w:hint="eastAsia"/>
          <w:sz w:val="24"/>
        </w:rPr>
        <w:t>，</w:t>
      </w:r>
      <w:r>
        <w:rPr>
          <w:sz w:val="24"/>
        </w:rPr>
        <w:t>基于壳聚糖明胶和波斯酸橙皮精油的超冷贮藏可有效提高虹鳟鱼片的质量和保质期</w:t>
      </w:r>
      <w:r>
        <w:rPr>
          <w:rFonts w:hint="eastAsia"/>
          <w:sz w:val="24"/>
        </w:rPr>
        <w:t>。</w:t>
      </w:r>
      <w:r>
        <w:rPr>
          <w:sz w:val="24"/>
        </w:rPr>
        <w:t>梁广钰等</w:t>
      </w:r>
      <w:r>
        <w:rPr>
          <w:rFonts w:hint="eastAsia"/>
          <w:sz w:val="24"/>
        </w:rPr>
        <w:t>（</w:t>
      </w:r>
      <w:r>
        <w:rPr>
          <w:sz w:val="24"/>
        </w:rPr>
        <w:t>2020</w:t>
      </w:r>
      <w:r>
        <w:rPr>
          <w:rFonts w:hint="eastAsia"/>
          <w:sz w:val="24"/>
        </w:rPr>
        <w:t>）</w:t>
      </w:r>
      <w:r>
        <w:rPr>
          <w:sz w:val="24"/>
        </w:rPr>
        <w:t>发现</w:t>
      </w:r>
      <w:r>
        <w:rPr>
          <w:rFonts w:hint="eastAsia"/>
          <w:sz w:val="24"/>
        </w:rPr>
        <w:t>，</w:t>
      </w:r>
      <w:r>
        <w:rPr>
          <w:sz w:val="24"/>
        </w:rPr>
        <w:t>马家柚果皮在鲫鱼的贮藏和保鲜中发挥了多重功能</w:t>
      </w:r>
      <w:r>
        <w:rPr>
          <w:rFonts w:hint="eastAsia"/>
          <w:sz w:val="24"/>
        </w:rPr>
        <w:t>，</w:t>
      </w:r>
      <w:r>
        <w:rPr>
          <w:sz w:val="24"/>
        </w:rPr>
        <w:t>包括抑制氧化和微生物繁殖</w:t>
      </w:r>
      <w:r>
        <w:rPr>
          <w:rFonts w:hint="eastAsia"/>
          <w:sz w:val="24"/>
        </w:rPr>
        <w:t>、</w:t>
      </w:r>
      <w:r>
        <w:rPr>
          <w:sz w:val="24"/>
        </w:rPr>
        <w:t>改善风味以及具有脱腥效果</w:t>
      </w:r>
      <w:r>
        <w:rPr>
          <w:rFonts w:hint="eastAsia"/>
          <w:sz w:val="24"/>
        </w:rPr>
        <w:t>。</w:t>
      </w:r>
    </w:p>
    <w:p w14:paraId="2D6F0A80">
      <w:pPr>
        <w:spacing w:line="360" w:lineRule="auto"/>
        <w:rPr>
          <w:sz w:val="24"/>
        </w:rPr>
      </w:pPr>
      <w:r>
        <w:rPr>
          <w:sz w:val="24"/>
        </w:rPr>
        <w:t>3展望</w:t>
      </w:r>
    </w:p>
    <w:p w14:paraId="63DC1D22">
      <w:pPr>
        <w:spacing w:line="360" w:lineRule="auto"/>
        <w:ind w:firstLine="480" w:firstLineChars="200"/>
        <w:rPr>
          <w:sz w:val="24"/>
        </w:rPr>
      </w:pPr>
      <w:r>
        <w:rPr>
          <w:sz w:val="24"/>
        </w:rPr>
        <w:t>CEOs具备替代抗生素的应用潜力</w:t>
      </w:r>
      <w:r>
        <w:rPr>
          <w:rFonts w:hint="eastAsia"/>
          <w:sz w:val="24"/>
        </w:rPr>
        <w:t>，</w:t>
      </w:r>
      <w:r>
        <w:rPr>
          <w:sz w:val="24"/>
        </w:rPr>
        <w:t>市场前景广阔</w:t>
      </w:r>
      <w:r>
        <w:rPr>
          <w:rFonts w:hint="eastAsia"/>
          <w:sz w:val="24"/>
        </w:rPr>
        <w:t>。</w:t>
      </w:r>
      <w:r>
        <w:rPr>
          <w:sz w:val="24"/>
        </w:rPr>
        <w:t>然而</w:t>
      </w:r>
      <w:r>
        <w:rPr>
          <w:rFonts w:hint="eastAsia"/>
          <w:sz w:val="24"/>
        </w:rPr>
        <w:t>，</w:t>
      </w:r>
      <w:r>
        <w:rPr>
          <w:sz w:val="24"/>
        </w:rPr>
        <w:t>这些精油具有高度挥发性</w:t>
      </w:r>
      <w:r>
        <w:rPr>
          <w:rFonts w:hint="eastAsia"/>
          <w:sz w:val="24"/>
        </w:rPr>
        <w:t>，</w:t>
      </w:r>
      <w:r>
        <w:rPr>
          <w:sz w:val="24"/>
        </w:rPr>
        <w:t>容易受到紫外线</w:t>
      </w:r>
      <w:r>
        <w:rPr>
          <w:rFonts w:hint="eastAsia"/>
          <w:sz w:val="24"/>
        </w:rPr>
        <w:t>、</w:t>
      </w:r>
      <w:r>
        <w:rPr>
          <w:sz w:val="24"/>
        </w:rPr>
        <w:t>温度</w:t>
      </w:r>
      <w:r>
        <w:rPr>
          <w:rFonts w:hint="eastAsia"/>
          <w:sz w:val="24"/>
        </w:rPr>
        <w:t>、</w:t>
      </w:r>
      <w:r>
        <w:rPr>
          <w:sz w:val="24"/>
        </w:rPr>
        <w:t>湿度</w:t>
      </w:r>
      <w:r>
        <w:rPr>
          <w:rFonts w:hint="eastAsia"/>
          <w:sz w:val="24"/>
        </w:rPr>
        <w:t>、</w:t>
      </w:r>
      <w:r>
        <w:rPr>
          <w:sz w:val="24"/>
        </w:rPr>
        <w:t>pH等环境条件的影响</w:t>
      </w:r>
      <w:r>
        <w:rPr>
          <w:rFonts w:hint="eastAsia"/>
          <w:sz w:val="24"/>
        </w:rPr>
        <w:t>，</w:t>
      </w:r>
      <w:r>
        <w:rPr>
          <w:sz w:val="24"/>
        </w:rPr>
        <w:t>可能会导致其生物活性降低</w:t>
      </w:r>
      <w:r>
        <w:rPr>
          <w:rFonts w:hint="eastAsia"/>
          <w:sz w:val="24"/>
        </w:rPr>
        <w:t>。</w:t>
      </w:r>
      <w:r>
        <w:rPr>
          <w:sz w:val="24"/>
        </w:rPr>
        <w:t>因此</w:t>
      </w:r>
      <w:r>
        <w:rPr>
          <w:rFonts w:hint="eastAsia"/>
          <w:sz w:val="24"/>
        </w:rPr>
        <w:t>，</w:t>
      </w:r>
      <w:r>
        <w:rPr>
          <w:sz w:val="24"/>
        </w:rPr>
        <w:t>在将CEOs应用于水产饲料时</w:t>
      </w:r>
      <w:r>
        <w:rPr>
          <w:rFonts w:hint="eastAsia"/>
          <w:sz w:val="24"/>
        </w:rPr>
        <w:t>，</w:t>
      </w:r>
      <w:r>
        <w:rPr>
          <w:sz w:val="24"/>
        </w:rPr>
        <w:t>必须考虑其稳定性</w:t>
      </w:r>
      <w:r>
        <w:rPr>
          <w:rFonts w:hint="eastAsia"/>
          <w:sz w:val="24"/>
        </w:rPr>
        <w:t>。</w:t>
      </w:r>
      <w:r>
        <w:rPr>
          <w:sz w:val="24"/>
        </w:rPr>
        <w:t>此外</w:t>
      </w:r>
      <w:r>
        <w:rPr>
          <w:rFonts w:hint="eastAsia"/>
          <w:sz w:val="24"/>
        </w:rPr>
        <w:t>，</w:t>
      </w:r>
      <w:r>
        <w:rPr>
          <w:sz w:val="24"/>
        </w:rPr>
        <w:t>不同柑橘品种的不同部位提取的化学成分也有所不同</w:t>
      </w:r>
      <w:r>
        <w:rPr>
          <w:rFonts w:hint="eastAsia"/>
          <w:sz w:val="24"/>
        </w:rPr>
        <w:t>。</w:t>
      </w:r>
      <w:r>
        <w:rPr>
          <w:sz w:val="24"/>
        </w:rPr>
        <w:t>未来</w:t>
      </w:r>
      <w:r>
        <w:rPr>
          <w:rFonts w:hint="eastAsia"/>
          <w:sz w:val="24"/>
        </w:rPr>
        <w:t>，</w:t>
      </w:r>
      <w:r>
        <w:rPr>
          <w:sz w:val="24"/>
        </w:rPr>
        <w:t>需要在CEOs稳态包埋技术</w:t>
      </w:r>
      <w:r>
        <w:rPr>
          <w:rFonts w:hint="eastAsia"/>
          <w:sz w:val="24"/>
        </w:rPr>
        <w:t>，</w:t>
      </w:r>
      <w:r>
        <w:rPr>
          <w:sz w:val="24"/>
        </w:rPr>
        <w:t>及其对水产动物的促生长</w:t>
      </w:r>
      <w:r>
        <w:rPr>
          <w:rFonts w:hint="eastAsia"/>
          <w:sz w:val="24"/>
        </w:rPr>
        <w:t>、</w:t>
      </w:r>
      <w:r>
        <w:rPr>
          <w:sz w:val="24"/>
        </w:rPr>
        <w:t>保健康等方面的作用机制进行深入研究</w:t>
      </w:r>
      <w:r>
        <w:rPr>
          <w:rFonts w:hint="eastAsia"/>
          <w:sz w:val="24"/>
        </w:rPr>
        <w:t>，</w:t>
      </w:r>
      <w:r>
        <w:rPr>
          <w:sz w:val="24"/>
        </w:rPr>
        <w:t>以期充分发挥其生物活性与功能</w:t>
      </w:r>
      <w:r>
        <w:rPr>
          <w:rFonts w:hint="eastAsia"/>
          <w:sz w:val="24"/>
        </w:rPr>
        <w:t>，</w:t>
      </w:r>
      <w:r>
        <w:rPr>
          <w:sz w:val="24"/>
        </w:rPr>
        <w:t>促进水产养殖业健康可持续发展</w:t>
      </w:r>
      <w:r>
        <w:rPr>
          <w:rFonts w:hint="eastAsia"/>
          <w:sz w:val="24"/>
        </w:rPr>
        <w:t>。</w:t>
      </w:r>
    </w:p>
    <w:p w14:paraId="46904E8C">
      <w:pPr>
        <w:spacing w:line="360" w:lineRule="auto"/>
        <w:rPr>
          <w:sz w:val="24"/>
        </w:rPr>
      </w:pPr>
      <w:r>
        <w:rPr>
          <w:rFonts w:hint="eastAsia"/>
          <w:sz w:val="24"/>
        </w:rPr>
        <w:t>参考文献：略</w:t>
      </w:r>
    </w:p>
    <w:p w14:paraId="4BA20F46">
      <w:pPr>
        <w:spacing w:line="360" w:lineRule="auto"/>
        <w:jc w:val="right"/>
        <w:rPr>
          <w:sz w:val="24"/>
        </w:rPr>
      </w:pPr>
      <w:r>
        <w:rPr>
          <w:szCs w:val="21"/>
        </w:rPr>
        <w:t>原文刊登在《中国饲料》</w:t>
      </w:r>
      <w:r>
        <w:rPr>
          <w:rFonts w:hint="eastAsia"/>
          <w:szCs w:val="21"/>
        </w:rPr>
        <w:t>2024年第4期</w:t>
      </w:r>
    </w:p>
    <w:p w14:paraId="61F58F37">
      <w:pPr>
        <w:spacing w:line="276" w:lineRule="auto"/>
        <w:jc w:val="left"/>
        <w:outlineLvl w:val="0"/>
        <w:rPr>
          <w:rStyle w:val="101"/>
          <w:rFonts w:eastAsia="黑体"/>
          <w:b/>
          <w:bCs/>
          <w:sz w:val="32"/>
          <w:szCs w:val="32"/>
          <w:bdr w:val="single" w:color="auto" w:sz="4" w:space="0"/>
        </w:rPr>
      </w:pPr>
      <w:bookmarkStart w:id="22" w:name="_Toc198113465"/>
      <w:r>
        <w:rPr>
          <w:rStyle w:val="101"/>
          <w:rFonts w:hint="eastAsia" w:eastAsia="黑体"/>
          <w:b/>
          <w:bCs/>
          <w:sz w:val="32"/>
          <w:szCs w:val="32"/>
          <w:bdr w:val="single" w:color="auto" w:sz="4" w:space="0"/>
        </w:rPr>
        <w:t>饲料研发</w:t>
      </w:r>
      <w:bookmarkEnd w:id="22"/>
    </w:p>
    <w:p w14:paraId="1CAB4F13">
      <w:pPr>
        <w:jc w:val="center"/>
        <w:outlineLvl w:val="1"/>
        <w:rPr>
          <w:rFonts w:ascii="黑体" w:hAnsi="黑体" w:eastAsia="黑体"/>
          <w:b/>
          <w:bCs/>
          <w:sz w:val="32"/>
          <w:szCs w:val="32"/>
          <w14:ligatures w14:val="standardContextual"/>
        </w:rPr>
      </w:pPr>
      <w:bookmarkStart w:id="23" w:name="_Toc198113466"/>
      <w:r>
        <w:rPr>
          <w:rFonts w:ascii="黑体" w:hAnsi="黑体" w:eastAsia="黑体"/>
          <w:b/>
          <w:bCs/>
          <w:sz w:val="32"/>
          <w:szCs w:val="32"/>
          <w14:ligatures w14:val="standardContextual"/>
        </w:rPr>
        <w:t>不同制粒温度熟化软颗粒饲料品质分析及其</w:t>
      </w:r>
    </w:p>
    <w:p w14:paraId="110A7885">
      <w:pPr>
        <w:jc w:val="center"/>
        <w:outlineLvl w:val="1"/>
        <w:rPr>
          <w:rFonts w:ascii="黑体" w:hAnsi="黑体" w:eastAsia="黑体"/>
          <w:b/>
          <w:bCs/>
          <w:szCs w:val="21"/>
          <w14:ligatures w14:val="standardContextual"/>
        </w:rPr>
      </w:pPr>
      <w:r>
        <w:rPr>
          <w:rFonts w:ascii="黑体" w:hAnsi="黑体" w:eastAsia="黑体"/>
          <w:b/>
          <w:bCs/>
          <w:sz w:val="32"/>
          <w:szCs w:val="32"/>
          <w14:ligatures w14:val="standardContextual"/>
        </w:rPr>
        <w:t>对罗非鱼生长性能的影响</w:t>
      </w:r>
      <w:bookmarkEnd w:id="23"/>
    </w:p>
    <w:p w14:paraId="2169434D">
      <w:pPr>
        <w:jc w:val="center"/>
        <w:rPr>
          <w:szCs w:val="21"/>
          <w14:ligatures w14:val="standardContextual"/>
        </w:rPr>
      </w:pPr>
      <w:r>
        <w:rPr>
          <w:szCs w:val="21"/>
          <w14:ligatures w14:val="standardContextual"/>
        </w:rPr>
        <w:t>刘 砾</w:t>
      </w:r>
      <w:r>
        <w:rPr>
          <w:szCs w:val="21"/>
          <w:vertAlign w:val="superscript"/>
          <w14:ligatures w14:val="standardContextual"/>
        </w:rPr>
        <w:t>1</w:t>
      </w:r>
      <w:r>
        <w:rPr>
          <w:szCs w:val="21"/>
          <w14:ligatures w14:val="standardContextual"/>
        </w:rPr>
        <w:t xml:space="preserve"> 潘文静</w:t>
      </w:r>
      <w:r>
        <w:rPr>
          <w:szCs w:val="21"/>
          <w:vertAlign w:val="superscript"/>
          <w14:ligatures w14:val="standardContextual"/>
        </w:rPr>
        <w:t>1</w:t>
      </w:r>
      <w:r>
        <w:rPr>
          <w:szCs w:val="21"/>
          <w14:ligatures w14:val="standardContextual"/>
        </w:rPr>
        <w:t xml:space="preserve"> 方玉芬</w:t>
      </w:r>
      <w:r>
        <w:rPr>
          <w:szCs w:val="21"/>
          <w:vertAlign w:val="superscript"/>
          <w14:ligatures w14:val="standardContextual"/>
        </w:rPr>
        <w:t>1</w:t>
      </w:r>
      <w:r>
        <w:rPr>
          <w:szCs w:val="21"/>
          <w14:ligatures w14:val="standardContextual"/>
        </w:rPr>
        <w:t xml:space="preserve"> 刘 浩</w:t>
      </w:r>
      <w:r>
        <w:rPr>
          <w:szCs w:val="21"/>
          <w:vertAlign w:val="superscript"/>
          <w14:ligatures w14:val="standardContextual"/>
        </w:rPr>
        <w:t>1</w:t>
      </w:r>
      <w:r>
        <w:rPr>
          <w:szCs w:val="21"/>
          <w14:ligatures w14:val="standardContextual"/>
        </w:rPr>
        <w:t xml:space="preserve"> 向宇欣</w:t>
      </w:r>
      <w:r>
        <w:rPr>
          <w:szCs w:val="21"/>
          <w:vertAlign w:val="superscript"/>
          <w14:ligatures w14:val="standardContextual"/>
        </w:rPr>
        <w:t>1</w:t>
      </w:r>
      <w:r>
        <w:rPr>
          <w:szCs w:val="21"/>
          <w14:ligatures w14:val="standardContextual"/>
        </w:rPr>
        <w:t xml:space="preserve"> 万 蒙</w:t>
      </w:r>
      <w:r>
        <w:rPr>
          <w:szCs w:val="21"/>
          <w:vertAlign w:val="superscript"/>
          <w14:ligatures w14:val="standardContextual"/>
        </w:rPr>
        <w:t>1</w:t>
      </w:r>
      <w:r>
        <w:rPr>
          <w:szCs w:val="21"/>
          <w14:ligatures w14:val="standardContextual"/>
        </w:rPr>
        <w:t xml:space="preserve"> 祝爱侠</w:t>
      </w:r>
      <w:r>
        <w:rPr>
          <w:szCs w:val="21"/>
          <w:vertAlign w:val="superscript"/>
          <w14:ligatures w14:val="standardContextual"/>
        </w:rPr>
        <w:t>1，2*</w:t>
      </w:r>
    </w:p>
    <w:p w14:paraId="62DCBA50">
      <w:pPr>
        <w:jc w:val="center"/>
        <w:rPr>
          <w:szCs w:val="21"/>
          <w14:ligatures w14:val="standardContextual"/>
        </w:rPr>
      </w:pPr>
      <w:r>
        <w:rPr>
          <w:szCs w:val="21"/>
          <w14:ligatures w14:val="standardContextual"/>
        </w:rPr>
        <w:t>(1.武汉轻工大学 动物营养与饲料科学湖北省重点实验室，湖北 武汉 430023；2.福建省特种水产配合饲料重点实验室，福建 福清 350308)</w:t>
      </w:r>
    </w:p>
    <w:p w14:paraId="563E309A">
      <w:pPr>
        <w:rPr>
          <w:szCs w:val="21"/>
          <w14:ligatures w14:val="standardContextual"/>
        </w:rPr>
      </w:pPr>
      <w:r>
        <w:rPr>
          <w:b/>
          <w:bCs/>
          <w:szCs w:val="21"/>
          <w14:ligatures w14:val="standardContextual"/>
        </w:rPr>
        <w:t>摘 要</w:t>
      </w:r>
      <w:r>
        <w:rPr>
          <w:szCs w:val="21"/>
          <w14:ligatures w14:val="standardContextual"/>
        </w:rPr>
        <w:t>：试验旨在测定不同制粒温度熟化软颗粒的饲料品质及其对罗非鱼生长性能的影响。采用单因素试验设计，在固定其他加工工艺参数的条件下，通过设置不同的制粒温度(90、100、110、120、130 ℃)制备熟化软颗粒饲料，测定不同制粒温度对熟化软颗粒饲料品质及其对罗非鱼生长性能、肌肉品质的影响。结果表明：当熟化软颗粒饲料的制粒温度为130 ℃时，熟化软颗粒的内聚性为0.4、黏度为1032.01 cP、硬度为2508.48 g、下沉速度为8.22 cm/s、溶失率为8.83</w:t>
      </w:r>
      <w:r>
        <w:rPr>
          <w:rFonts w:hint="eastAsia"/>
          <w:szCs w:val="21"/>
          <w14:ligatures w14:val="standardContextual"/>
        </w:rPr>
        <w:t xml:space="preserve"> </w:t>
      </w:r>
      <w:r>
        <w:rPr>
          <w:szCs w:val="21"/>
          <w14:ligatures w14:val="standardContextual"/>
        </w:rPr>
        <w:t>%、淀粉糊化度为80</w:t>
      </w:r>
      <w:r>
        <w:rPr>
          <w:rFonts w:hint="eastAsia"/>
          <w:szCs w:val="21"/>
          <w14:ligatures w14:val="standardContextual"/>
        </w:rPr>
        <w:t xml:space="preserve"> </w:t>
      </w:r>
      <w:r>
        <w:rPr>
          <w:szCs w:val="21"/>
          <w14:ligatures w14:val="standardContextual"/>
        </w:rPr>
        <w:t>%。随着制粒温度的升高，罗非鱼的末重、增重率(WGR)和特定生长率(SGR)均逐渐提高，并在130 ℃达到最大值(</w:t>
      </w:r>
      <w:r>
        <w:rPr>
          <w:i/>
          <w:iCs/>
          <w:szCs w:val="21"/>
          <w14:ligatures w14:val="standardContextual"/>
        </w:rPr>
        <w:t>P</w:t>
      </w:r>
      <w:r>
        <w:rPr>
          <w:szCs w:val="21"/>
          <w14:ligatures w14:val="standardContextual"/>
        </w:rPr>
        <w:t>&gt;0.05)。研究表明，当制粒温度为130 ℃时，罗非鱼熟化软颗粒饲料的综合品质较好，罗非鱼的生长性能较佳。关键词：罗非鱼；制粒温度；熟化软颗粒饲料；饲料品质；生长性能</w:t>
      </w:r>
    </w:p>
    <w:p w14:paraId="7411AB09">
      <w:pPr>
        <w:jc w:val="center"/>
        <w:rPr>
          <w:b/>
          <w:bCs/>
          <w:sz w:val="24"/>
          <w14:ligatures w14:val="standardContextual"/>
        </w:rPr>
      </w:pPr>
      <w:r>
        <w:rPr>
          <w:b/>
          <w:bCs/>
          <w:sz w:val="24"/>
          <w14:ligatures w14:val="standardContextual"/>
        </w:rPr>
        <w:t>Analysis of feed quality of soft pellets aged at different pelleting temperatures and their effects on growth performance of tilapia</w:t>
      </w:r>
    </w:p>
    <w:p w14:paraId="6AE049C3">
      <w:pPr>
        <w:jc w:val="center"/>
        <w:rPr>
          <w:szCs w:val="21"/>
          <w14:ligatures w14:val="standardContextual"/>
        </w:rPr>
      </w:pPr>
      <w:r>
        <w:rPr>
          <w:szCs w:val="21"/>
          <w14:ligatures w14:val="standardContextual"/>
        </w:rPr>
        <w:t>LIU Li PAN Wenjing FANG Yufen LIU Hao XIANG Yuxin WAN Meng ZHU Aixia</w:t>
      </w:r>
    </w:p>
    <w:p w14:paraId="11D22C0F">
      <w:pPr>
        <w:rPr>
          <w:szCs w:val="21"/>
          <w14:ligatures w14:val="standardContextual"/>
        </w:rPr>
      </w:pPr>
      <w:r>
        <w:rPr>
          <w:b/>
          <w:bCs/>
          <w:szCs w:val="21"/>
          <w14:ligatures w14:val="standardContextual"/>
        </w:rPr>
        <w:t>Abstract</w:t>
      </w:r>
      <w:r>
        <w:rPr>
          <w:szCs w:val="21"/>
          <w14:ligatures w14:val="standardContextual"/>
        </w:rPr>
        <w:t>: The aim of this experiment was to determine the quality of soft pellet feed at different pelleting temperatures and its effects on growth performance of tilapia. A single factor experimental design was used to prepare the aged soft pellet feed by setting different pelleting temperatures (90, 100, 110, 120, 130 ℃) under the condition of fixing other processing parameters, and the effects of different pelleting temperatures on the quality of the aged soft pellet feed and on the growth performance and muscle quality of tilapia were measured. The results showed that when the granulated temperature was 130 ℃, the cohesion, viscosity, hardness, sinking speed, dissolution loss rate and starch gelatinization degree were 0.4, 1 032.01 cP, 2 508.48 g, 8.22 cm/s, 8.83% and 80% respectively. With the increase of pelleting temperature, the final weight, weight gain rate (WGR) and specific growth rate (SGR) of tilapia gradually increased, and reached the maximum value at 130 ℃ (</w:t>
      </w:r>
      <w:r>
        <w:rPr>
          <w:i/>
          <w:iCs/>
          <w:szCs w:val="21"/>
          <w14:ligatures w14:val="standardContextual"/>
        </w:rPr>
        <w:t>P</w:t>
      </w:r>
      <w:r>
        <w:rPr>
          <w:szCs w:val="21"/>
          <w14:ligatures w14:val="standardContextual"/>
        </w:rPr>
        <w:t>&gt;0.05). The study indicates that when the pelletizing temperature is 130 ℃, the comprehensive quality of tilapia soft pellet feed and growth performance of tilapia were better.</w:t>
      </w:r>
    </w:p>
    <w:p w14:paraId="067DBAC8">
      <w:pPr>
        <w:rPr>
          <w:szCs w:val="21"/>
          <w14:ligatures w14:val="standardContextual"/>
        </w:rPr>
      </w:pPr>
      <w:r>
        <w:rPr>
          <w:b/>
          <w:bCs/>
          <w:szCs w:val="21"/>
          <w14:ligatures w14:val="standardContextual"/>
        </w:rPr>
        <w:t>Key words</w:t>
      </w:r>
      <w:r>
        <w:rPr>
          <w:szCs w:val="21"/>
          <w14:ligatures w14:val="standardContextual"/>
        </w:rPr>
        <w:t>: tilapia; pelleting temperature; mature soft pellet feed; feed quality; growth performance</w:t>
      </w:r>
    </w:p>
    <w:p w14:paraId="7BB487E7">
      <w:pPr>
        <w:rPr>
          <w:szCs w:val="21"/>
          <w14:ligatures w14:val="standardContextual"/>
        </w:rPr>
      </w:pPr>
    </w:p>
    <w:p w14:paraId="01EB7488">
      <w:pPr>
        <w:spacing w:line="360" w:lineRule="auto"/>
        <w:ind w:firstLine="480" w:firstLineChars="200"/>
        <w:rPr>
          <w:sz w:val="24"/>
          <w14:ligatures w14:val="standardContextual"/>
        </w:rPr>
      </w:pPr>
      <w:r>
        <w:rPr>
          <w:sz w:val="24"/>
          <w14:ligatures w14:val="standardContextual"/>
        </w:rPr>
        <w:t>除饲料原料组成外，粉碎、制粒、膨化等饲料加工工艺对饲料品质也具有一定的影响</w:t>
      </w:r>
      <w:r>
        <w:rPr>
          <w:sz w:val="24"/>
          <w:vertAlign w:val="superscript"/>
          <w14:ligatures w14:val="standardContextual"/>
        </w:rPr>
        <w:t>[1-3]</w:t>
      </w:r>
      <w:r>
        <w:rPr>
          <w:sz w:val="24"/>
          <w14:ligatures w14:val="standardContextual"/>
        </w:rPr>
        <w:t>。其中，饲料制粒作为颗粒饲料生产的核心工序，通过高温高压作用引发饲料成分发生理化反应，从而改善饲料适口性，提高饲料利用率，减少运输损耗，提高动物生长性能</w:t>
      </w:r>
      <w:r>
        <w:rPr>
          <w:sz w:val="24"/>
          <w:vertAlign w:val="superscript"/>
          <w14:ligatures w14:val="standardContextual"/>
        </w:rPr>
        <w:t>[4-6]</w:t>
      </w:r>
      <w:r>
        <w:rPr>
          <w:sz w:val="24"/>
          <w14:ligatures w14:val="standardContextual"/>
        </w:rPr>
        <w:t>。制粒温度对制粒机的生产能力和颗粒饲料的品质起着关键作用。适度提高制粒温度可促进淀粉糊化和蛋白质变性，消除饲料中的抗营养因子和病原菌</w:t>
      </w:r>
      <w:r>
        <w:rPr>
          <w:sz w:val="24"/>
          <w:vertAlign w:val="superscript"/>
          <w14:ligatures w14:val="standardContextual"/>
        </w:rPr>
        <w:t>[7-9]</w:t>
      </w:r>
      <w:r>
        <w:rPr>
          <w:sz w:val="24"/>
          <w14:ligatures w14:val="standardContextual"/>
        </w:rPr>
        <w:t>。但温度过高会降低热敏性营养物质的效价，促进美拉德反应，影响动物的生长性能</w:t>
      </w:r>
      <w:r>
        <w:rPr>
          <w:sz w:val="24"/>
          <w:vertAlign w:val="superscript"/>
          <w14:ligatures w14:val="standardContextual"/>
        </w:rPr>
        <w:t>[10-12]</w:t>
      </w:r>
      <w:r>
        <w:rPr>
          <w:sz w:val="24"/>
          <w14:ligatures w14:val="standardContextual"/>
        </w:rPr>
        <w:t>。因此，优化制粒温度可提高颗粒饲料的水中稳定性，增强营养物质消化吸收率，降低水体污染风险，延长水产动物的摄食时间</w:t>
      </w:r>
      <w:r>
        <w:rPr>
          <w:sz w:val="24"/>
          <w:vertAlign w:val="superscript"/>
          <w14:ligatures w14:val="standardContextual"/>
        </w:rPr>
        <w:t>[13]</w:t>
      </w:r>
      <w:r>
        <w:rPr>
          <w:sz w:val="24"/>
          <w14:ligatures w14:val="standardContextual"/>
        </w:rPr>
        <w:t>。</w:t>
      </w:r>
    </w:p>
    <w:p w14:paraId="2419D8D3">
      <w:pPr>
        <w:spacing w:line="360" w:lineRule="auto"/>
        <w:ind w:firstLine="480" w:firstLineChars="200"/>
        <w:rPr>
          <w:sz w:val="24"/>
          <w14:ligatures w14:val="standardContextual"/>
        </w:rPr>
      </w:pPr>
      <w:r>
        <w:rPr>
          <w:sz w:val="24"/>
          <w14:ligatures w14:val="standardContextual"/>
        </w:rPr>
        <w:t>熟化软颗粒饲料是一种高水分、高糊化度的柔软饲料，可以保持颗粒形状，具有良好的适口性、诱食性和饲料利用率，有利于动物的健康生长，可提高养殖效益</w:t>
      </w:r>
      <w:r>
        <w:rPr>
          <w:sz w:val="24"/>
          <w:vertAlign w:val="superscript"/>
          <w14:ligatures w14:val="standardContextual"/>
        </w:rPr>
        <w:t>[14-16]</w:t>
      </w:r>
      <w:r>
        <w:rPr>
          <w:sz w:val="24"/>
          <w14:ligatures w14:val="standardContextual"/>
        </w:rPr>
        <w:t>。近年来，研究已证实熟化软颗粒饲料可以提高断奶仔猪的生长性能、免疫力、抗氧化能力和抗病力</w:t>
      </w:r>
      <w:r>
        <w:rPr>
          <w:sz w:val="24"/>
          <w:vertAlign w:val="superscript"/>
          <w14:ligatures w14:val="standardContextual"/>
        </w:rPr>
        <w:t>[17-18]</w:t>
      </w:r>
      <w:r>
        <w:rPr>
          <w:sz w:val="24"/>
          <w14:ligatures w14:val="standardContextual"/>
        </w:rPr>
        <w:t>。但关于熟化软颗粒饲料对罗非鱼生长性能影响的研究却较少。基于前期对熟化饲料加工技术的研究，本试验旨在研究不同制粒温度对罗非鱼熟化软颗粒饲料品质及生长性能的影响，确定罗非鱼熟化软颗粒饲料的适宜制粒温度。</w:t>
      </w:r>
    </w:p>
    <w:p w14:paraId="2B438682">
      <w:pPr>
        <w:spacing w:line="360" w:lineRule="auto"/>
        <w:rPr>
          <w:sz w:val="24"/>
          <w14:ligatures w14:val="standardContextual"/>
        </w:rPr>
      </w:pPr>
      <w:r>
        <w:rPr>
          <w:sz w:val="24"/>
          <w14:ligatures w14:val="standardContextual"/>
        </w:rPr>
        <w:t>1</w:t>
      </w:r>
      <w:r>
        <w:rPr>
          <w:rFonts w:hint="eastAsia"/>
          <w:sz w:val="24"/>
          <w14:ligatures w14:val="standardContextual"/>
        </w:rPr>
        <w:t xml:space="preserve">  </w:t>
      </w:r>
      <w:r>
        <w:rPr>
          <w:sz w:val="24"/>
          <w14:ligatures w14:val="standardContextual"/>
        </w:rPr>
        <w:t>材料与方法</w:t>
      </w:r>
    </w:p>
    <w:p w14:paraId="7B3BD9C3">
      <w:pPr>
        <w:spacing w:line="360" w:lineRule="auto"/>
        <w:rPr>
          <w:sz w:val="24"/>
          <w14:ligatures w14:val="standardContextual"/>
        </w:rPr>
      </w:pPr>
      <w:r>
        <w:rPr>
          <w:sz w:val="24"/>
          <w14:ligatures w14:val="standardContextual"/>
        </w:rPr>
        <w:t>1.1</w:t>
      </w:r>
      <w:r>
        <w:rPr>
          <w:rFonts w:hint="eastAsia"/>
          <w:sz w:val="24"/>
          <w14:ligatures w14:val="standardContextual"/>
        </w:rPr>
        <w:t xml:space="preserve">  </w:t>
      </w:r>
      <w:r>
        <w:rPr>
          <w:sz w:val="24"/>
          <w14:ligatures w14:val="standardContextual"/>
        </w:rPr>
        <w:t>熟化软颗粒饲料制备</w:t>
      </w:r>
    </w:p>
    <w:p w14:paraId="202B005A">
      <w:pPr>
        <w:spacing w:line="360" w:lineRule="auto"/>
        <w:ind w:firstLine="480" w:firstLineChars="200"/>
        <w:rPr>
          <w:sz w:val="24"/>
          <w14:ligatures w14:val="standardContextual"/>
        </w:rPr>
      </w:pPr>
      <w:r>
        <w:rPr>
          <w:sz w:val="24"/>
          <w14:ligatures w14:val="standardContextual"/>
        </w:rPr>
        <w:t>以鱼粉、豆粕、淀粉、大豆油和玉米油为主要原料，将原料进行粉碎、称重、充分混合等处理。通过前期试验</w:t>
      </w:r>
      <w:r>
        <w:rPr>
          <w:sz w:val="24"/>
          <w:vertAlign w:val="superscript"/>
          <w14:ligatures w14:val="standardContextual"/>
        </w:rPr>
        <w:t>[14]</w:t>
      </w:r>
      <w:r>
        <w:rPr>
          <w:sz w:val="24"/>
          <w14:ligatures w14:val="standardContextual"/>
        </w:rPr>
        <w:t>，确定其他工艺参数。采用单因素试验设计，使用双螺杆试验机分别在90、100、110、120、130</w:t>
      </w:r>
      <w:r>
        <w:rPr>
          <w:rFonts w:hint="eastAsia"/>
          <w:sz w:val="24"/>
          <w14:ligatures w14:val="standardContextual"/>
        </w:rPr>
        <w:t xml:space="preserve"> </w:t>
      </w:r>
      <w:r>
        <w:rPr>
          <w:sz w:val="24"/>
          <w14:ligatures w14:val="standardContextual"/>
        </w:rPr>
        <w:t>℃制粒温度下制备5组罗非鱼熟化软颗粒饲料样品。将样品分别称取后装袋，进行两层密封，置于4</w:t>
      </w:r>
      <w:r>
        <w:rPr>
          <w:rFonts w:hint="eastAsia"/>
          <w:sz w:val="24"/>
          <w14:ligatures w14:val="standardContextual"/>
        </w:rPr>
        <w:t xml:space="preserve"> </w:t>
      </w:r>
      <w:r>
        <w:rPr>
          <w:sz w:val="24"/>
          <w14:ligatures w14:val="standardContextual"/>
        </w:rPr>
        <w:t>℃冰箱中保存备用。熟化软颗粒饲料组成及营养水平见表1。</w:t>
      </w:r>
    </w:p>
    <w:p w14:paraId="1E77A28F">
      <w:pPr>
        <w:spacing w:line="360" w:lineRule="auto"/>
        <w:ind w:firstLine="480" w:firstLineChars="200"/>
        <w:rPr>
          <w:sz w:val="24"/>
          <w14:ligatures w14:val="standardContextual"/>
        </w:rPr>
      </w:pPr>
      <w:r>
        <w:rPr>
          <w:sz w:val="24"/>
          <w14:ligatures w14:val="standardContextual"/>
        </w:rPr>
        <w:t>1.2</w:t>
      </w:r>
      <w:r>
        <w:rPr>
          <w:rFonts w:hint="eastAsia"/>
          <w:sz w:val="24"/>
          <w14:ligatures w14:val="standardContextual"/>
        </w:rPr>
        <w:t xml:space="preserve">  </w:t>
      </w:r>
      <w:r>
        <w:rPr>
          <w:sz w:val="24"/>
          <w14:ligatures w14:val="standardContextual"/>
        </w:rPr>
        <w:t>试验设计</w:t>
      </w:r>
    </w:p>
    <w:p w14:paraId="5C54FB22">
      <w:pPr>
        <w:spacing w:line="360" w:lineRule="auto"/>
        <w:ind w:firstLine="480" w:firstLineChars="200"/>
        <w:rPr>
          <w:sz w:val="24"/>
          <w14:ligatures w14:val="standardContextual"/>
        </w:rPr>
      </w:pPr>
      <w:r>
        <w:rPr>
          <w:sz w:val="24"/>
          <w14:ligatures w14:val="standardContextual"/>
        </w:rPr>
        <w:t>罗非鱼购自湖北省黄冈市幸福水库。经过16</w:t>
      </w:r>
      <w:r>
        <w:rPr>
          <w:rFonts w:hint="eastAsia"/>
          <w:sz w:val="24"/>
          <w14:ligatures w14:val="standardContextual"/>
        </w:rPr>
        <w:t xml:space="preserve"> </w:t>
      </w:r>
      <w:r>
        <w:rPr>
          <w:sz w:val="24"/>
          <w14:ligatures w14:val="standardContextual"/>
        </w:rPr>
        <w:t>d的暂养驯养后，挑选体质健康、鳍条完整、规格相近、体重(2.10±0.04)</w:t>
      </w:r>
      <w:r>
        <w:rPr>
          <w:rFonts w:hint="eastAsia"/>
          <w:sz w:val="24"/>
          <w14:ligatures w14:val="standardContextual"/>
        </w:rPr>
        <w:t xml:space="preserve"> </w:t>
      </w:r>
      <w:r>
        <w:rPr>
          <w:sz w:val="24"/>
          <w14:ligatures w14:val="standardContextual"/>
        </w:rPr>
        <w:t>g幼鱼600尾，随机分为5组，每组3个重复，每个重复40尾鱼，每组分别饲喂90、100、110、120、130</w:t>
      </w:r>
      <w:r>
        <w:rPr>
          <w:rFonts w:hint="eastAsia"/>
          <w:sz w:val="24"/>
          <w14:ligatures w14:val="standardContextual"/>
        </w:rPr>
        <w:t xml:space="preserve"> </w:t>
      </w:r>
      <w:r>
        <w:rPr>
          <w:sz w:val="24"/>
          <w14:ligatures w14:val="standardContextual"/>
        </w:rPr>
        <w:t>℃制备的熟化软颗粒饲料。饲养试验在武汉轻工大学水产动物养殖实验室的循环水养殖系统中进行，水族箱为圆柱形，体积为300</w:t>
      </w:r>
      <w:r>
        <w:rPr>
          <w:rFonts w:hint="eastAsia"/>
          <w:sz w:val="24"/>
          <w14:ligatures w14:val="standardContextual"/>
        </w:rPr>
        <w:t xml:space="preserve"> </w:t>
      </w:r>
      <w:r>
        <w:rPr>
          <w:sz w:val="24"/>
          <w14:ligatures w14:val="standardContextual"/>
        </w:rPr>
        <w:t>L。试验期70</w:t>
      </w:r>
      <w:r>
        <w:rPr>
          <w:rFonts w:hint="eastAsia"/>
          <w:sz w:val="24"/>
          <w14:ligatures w14:val="standardContextual"/>
        </w:rPr>
        <w:t xml:space="preserve"> </w:t>
      </w:r>
      <w:r>
        <w:rPr>
          <w:sz w:val="24"/>
          <w14:ligatures w14:val="standardContextual"/>
        </w:rPr>
        <w:t>d。</w:t>
      </w:r>
    </w:p>
    <w:p w14:paraId="7479077C">
      <w:pPr>
        <w:spacing w:line="360" w:lineRule="auto"/>
        <w:rPr>
          <w:sz w:val="24"/>
          <w14:ligatures w14:val="standardContextual"/>
        </w:rPr>
      </w:pPr>
      <w:r>
        <w:rPr>
          <w:sz w:val="24"/>
          <w14:ligatures w14:val="standardContextual"/>
        </w:rPr>
        <w:t>1.3</w:t>
      </w:r>
      <w:r>
        <w:rPr>
          <w:rFonts w:hint="eastAsia"/>
          <w:sz w:val="24"/>
          <w14:ligatures w14:val="standardContextual"/>
        </w:rPr>
        <w:t xml:space="preserve">  </w:t>
      </w:r>
      <w:r>
        <w:rPr>
          <w:sz w:val="24"/>
          <w14:ligatures w14:val="standardContextual"/>
        </w:rPr>
        <w:t>饲养管理</w:t>
      </w:r>
    </w:p>
    <w:p w14:paraId="68889DAA">
      <w:pPr>
        <w:spacing w:line="360" w:lineRule="auto"/>
        <w:ind w:firstLine="480" w:firstLineChars="200"/>
        <w:rPr>
          <w:sz w:val="24"/>
          <w14:ligatures w14:val="standardContextual"/>
        </w:rPr>
      </w:pPr>
      <w:r>
        <w:rPr>
          <w:sz w:val="24"/>
          <w14:ligatures w14:val="standardContextual"/>
        </w:rPr>
        <w:t>试验采用循环水养殖系统进行饲养，24</w:t>
      </w:r>
      <w:r>
        <w:rPr>
          <w:rFonts w:hint="eastAsia"/>
          <w:sz w:val="24"/>
          <w14:ligatures w14:val="standardContextual"/>
        </w:rPr>
        <w:t xml:space="preserve"> </w:t>
      </w:r>
      <w:r>
        <w:rPr>
          <w:sz w:val="24"/>
          <w14:ligatures w14:val="standardContextual"/>
        </w:rPr>
        <w:t>h曝气增氧，每2</w:t>
      </w:r>
      <w:r>
        <w:rPr>
          <w:rFonts w:hint="eastAsia"/>
          <w:sz w:val="24"/>
          <w14:ligatures w14:val="standardContextual"/>
        </w:rPr>
        <w:t xml:space="preserve"> </w:t>
      </w:r>
      <w:r>
        <w:rPr>
          <w:sz w:val="24"/>
          <w14:ligatures w14:val="standardContextual"/>
        </w:rPr>
        <w:t>d换水30</w:t>
      </w:r>
      <w:r>
        <w:rPr>
          <w:rFonts w:hint="eastAsia"/>
          <w:sz w:val="24"/>
          <w14:ligatures w14:val="standardContextual"/>
        </w:rPr>
        <w:t xml:space="preserve"> </w:t>
      </w:r>
      <w:r>
        <w:rPr>
          <w:sz w:val="24"/>
          <w14:ligatures w14:val="standardContextual"/>
        </w:rPr>
        <w:t>%，罗非鱼幼鱼成活率达100</w:t>
      </w:r>
      <w:r>
        <w:rPr>
          <w:rFonts w:hint="eastAsia"/>
          <w:sz w:val="24"/>
          <w14:ligatures w14:val="standardContextual"/>
        </w:rPr>
        <w:t xml:space="preserve"> </w:t>
      </w:r>
      <w:r>
        <w:rPr>
          <w:sz w:val="24"/>
          <w14:ligatures w14:val="standardContextual"/>
        </w:rPr>
        <w:t>%。养殖期间，水温保持在(30±3.2)</w:t>
      </w:r>
      <w:r>
        <w:rPr>
          <w:rFonts w:hint="eastAsia"/>
          <w:sz w:val="24"/>
          <w14:ligatures w14:val="standardContextual"/>
        </w:rPr>
        <w:t xml:space="preserve"> </w:t>
      </w:r>
      <w:r>
        <w:rPr>
          <w:sz w:val="24"/>
          <w14:ligatures w14:val="standardContextual"/>
        </w:rPr>
        <w:t>℃，溶解氧为7.0~8.5</w:t>
      </w:r>
      <w:r>
        <w:rPr>
          <w:rFonts w:hint="eastAsia"/>
          <w:sz w:val="24"/>
          <w14:ligatures w14:val="standardContextual"/>
        </w:rPr>
        <w:t xml:space="preserve"> </w:t>
      </w:r>
      <w:r>
        <w:rPr>
          <w:sz w:val="24"/>
          <w14:ligatures w14:val="standardContextual"/>
        </w:rPr>
        <w:t>mg/L，pH值7.0~7.7，循环水中铜含量为2.43~3.72</w:t>
      </w:r>
      <w:r>
        <w:rPr>
          <w:rFonts w:hint="eastAsia"/>
          <w:sz w:val="24"/>
          <w14:ligatures w14:val="standardContextual"/>
        </w:rPr>
        <w:t xml:space="preserve"> </w:t>
      </w:r>
      <w:r>
        <w:rPr>
          <w:sz w:val="24"/>
          <w14:ligatures w14:val="standardContextual"/>
        </w:rPr>
        <w:t>μg/L，均在渔业水质标准(GB11607—1989)允许范围内。试验期间采用自然光照。养殖期间适度过量投喂，每天8：30和18：30定时投喂，待鱼饱食后，吸除未食用的饲料和水底粪便。</w:t>
      </w:r>
    </w:p>
    <w:p w14:paraId="3B610EBF">
      <w:pPr>
        <w:spacing w:line="360" w:lineRule="auto"/>
        <w:jc w:val="center"/>
        <w:rPr>
          <w:sz w:val="24"/>
          <w14:ligatures w14:val="standardContextual"/>
        </w:rPr>
      </w:pPr>
      <w:r>
        <w:rPr>
          <w:sz w:val="24"/>
          <w14:ligatures w14:val="standardContextual"/>
        </w:rPr>
        <w:drawing>
          <wp:inline distT="0" distB="0" distL="0" distR="0">
            <wp:extent cx="4914265" cy="6426200"/>
            <wp:effectExtent l="0" t="0" r="635" b="0"/>
            <wp:docPr id="7739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58" name="图片 1"/>
                    <pic:cNvPicPr>
                      <a:picLocks noChangeAspect="1"/>
                    </pic:cNvPicPr>
                  </pic:nvPicPr>
                  <pic:blipFill>
                    <a:blip r:embed="rId30"/>
                    <a:stretch>
                      <a:fillRect/>
                    </a:stretch>
                  </pic:blipFill>
                  <pic:spPr>
                    <a:xfrm>
                      <a:off x="0" y="0"/>
                      <a:ext cx="4979566" cy="6511328"/>
                    </a:xfrm>
                    <a:prstGeom prst="rect">
                      <a:avLst/>
                    </a:prstGeom>
                  </pic:spPr>
                </pic:pic>
              </a:graphicData>
            </a:graphic>
          </wp:inline>
        </w:drawing>
      </w:r>
    </w:p>
    <w:p w14:paraId="7710660E">
      <w:pPr>
        <w:spacing w:line="360" w:lineRule="auto"/>
        <w:rPr>
          <w:sz w:val="24"/>
          <w14:ligatures w14:val="standardContextual"/>
        </w:rPr>
      </w:pPr>
      <w:r>
        <w:rPr>
          <w:sz w:val="24"/>
          <w14:ligatures w14:val="standardContextual"/>
        </w:rPr>
        <w:t>1.4</w:t>
      </w:r>
      <w:r>
        <w:rPr>
          <w:rFonts w:hint="eastAsia"/>
          <w:sz w:val="24"/>
          <w14:ligatures w14:val="standardContextual"/>
        </w:rPr>
        <w:t xml:space="preserve">  </w:t>
      </w:r>
      <w:r>
        <w:rPr>
          <w:sz w:val="24"/>
          <w14:ligatures w14:val="standardContextual"/>
        </w:rPr>
        <w:t>测定指标及方法</w:t>
      </w:r>
    </w:p>
    <w:p w14:paraId="7B83DB84">
      <w:pPr>
        <w:spacing w:line="360" w:lineRule="auto"/>
        <w:rPr>
          <w:sz w:val="24"/>
          <w14:ligatures w14:val="standardContextual"/>
        </w:rPr>
      </w:pPr>
      <w:r>
        <w:rPr>
          <w:sz w:val="24"/>
          <w14:ligatures w14:val="standardContextual"/>
        </w:rPr>
        <w:t>1.4.1</w:t>
      </w:r>
      <w:r>
        <w:rPr>
          <w:rFonts w:hint="eastAsia"/>
          <w:sz w:val="24"/>
          <w14:ligatures w14:val="standardContextual"/>
        </w:rPr>
        <w:t xml:space="preserve">  </w:t>
      </w:r>
      <w:r>
        <w:rPr>
          <w:sz w:val="24"/>
          <w14:ligatures w14:val="standardContextual"/>
        </w:rPr>
        <w:t>饲料品质</w:t>
      </w:r>
    </w:p>
    <w:p w14:paraId="5DF6869B">
      <w:pPr>
        <w:spacing w:line="360" w:lineRule="auto"/>
        <w:ind w:firstLine="480" w:firstLineChars="200"/>
        <w:rPr>
          <w:sz w:val="24"/>
          <w14:ligatures w14:val="standardContextual"/>
        </w:rPr>
      </w:pPr>
      <w:r>
        <w:rPr>
          <w:sz w:val="24"/>
          <w14:ligatures w14:val="standardContextual"/>
        </w:rPr>
        <w:t>参考RAN等</w:t>
      </w:r>
      <w:r>
        <w:rPr>
          <w:sz w:val="24"/>
          <w:vertAlign w:val="superscript"/>
          <w14:ligatures w14:val="standardContextual"/>
        </w:rPr>
        <w:t>[19]</w:t>
      </w:r>
      <w:r>
        <w:rPr>
          <w:sz w:val="24"/>
          <w14:ligatures w14:val="standardContextual"/>
        </w:rPr>
        <w:t>方法，适当修改，在室温下，利用物质质构仪测定不同温度熟化软颗粒饲料(圆柱体，高度1.5</w:t>
      </w:r>
      <w:r>
        <w:rPr>
          <w:rFonts w:hint="eastAsia"/>
          <w:sz w:val="24"/>
          <w14:ligatures w14:val="standardContextual"/>
        </w:rPr>
        <w:t xml:space="preserve"> </w:t>
      </w:r>
      <w:r>
        <w:rPr>
          <w:sz w:val="24"/>
          <w14:ligatures w14:val="standardContextual"/>
        </w:rPr>
        <w:t>cm，直径2.5</w:t>
      </w:r>
      <w:r>
        <w:rPr>
          <w:rFonts w:hint="eastAsia"/>
          <w:sz w:val="24"/>
          <w14:ligatures w14:val="standardContextual"/>
        </w:rPr>
        <w:t xml:space="preserve"> </w:t>
      </w:r>
      <w:r>
        <w:rPr>
          <w:sz w:val="24"/>
          <w14:ligatures w14:val="standardContextual"/>
        </w:rPr>
        <w:t>cm)的内聚性、黏度和硬度。测试速率为1.0</w:t>
      </w:r>
      <w:r>
        <w:rPr>
          <w:rFonts w:hint="eastAsia"/>
          <w:sz w:val="24"/>
          <w14:ligatures w14:val="standardContextual"/>
        </w:rPr>
        <w:t xml:space="preserve"> </w:t>
      </w:r>
      <w:r>
        <w:rPr>
          <w:sz w:val="24"/>
          <w14:ligatures w14:val="standardContextual"/>
        </w:rPr>
        <w:t>mm/s，压缩比为50%，触发力为5.0g，两次压缩间隔为5s</w:t>
      </w:r>
      <w:r>
        <w:rPr>
          <w:rFonts w:hint="eastAsia"/>
          <w:sz w:val="24"/>
          <w14:ligatures w14:val="standardContextual"/>
        </w:rPr>
        <w:t xml:space="preserve"> </w:t>
      </w:r>
      <w:r>
        <w:rPr>
          <w:sz w:val="24"/>
          <w14:ligatures w14:val="standardContextual"/>
        </w:rPr>
        <w:t>。每次测定选取1粒饲料，重复测定5次，取平均值。</w:t>
      </w:r>
    </w:p>
    <w:p w14:paraId="46229A97">
      <w:pPr>
        <w:spacing w:line="360" w:lineRule="auto"/>
        <w:rPr>
          <w:sz w:val="24"/>
          <w14:ligatures w14:val="standardContextual"/>
        </w:rPr>
      </w:pPr>
      <w:r>
        <w:rPr>
          <w:sz w:val="24"/>
          <w14:ligatures w14:val="standardContextual"/>
        </w:rPr>
        <w:t>1.4.2</w:t>
      </w:r>
      <w:r>
        <w:rPr>
          <w:rFonts w:hint="eastAsia"/>
          <w:sz w:val="24"/>
          <w14:ligatures w14:val="standardContextual"/>
        </w:rPr>
        <w:t xml:space="preserve">  </w:t>
      </w:r>
      <w:r>
        <w:rPr>
          <w:sz w:val="24"/>
          <w14:ligatures w14:val="standardContextual"/>
        </w:rPr>
        <w:t>下沉速度</w:t>
      </w:r>
    </w:p>
    <w:p w14:paraId="6859168C">
      <w:pPr>
        <w:spacing w:line="360" w:lineRule="auto"/>
        <w:ind w:firstLine="480" w:firstLineChars="200"/>
        <w:rPr>
          <w:sz w:val="24"/>
          <w14:ligatures w14:val="standardContextual"/>
        </w:rPr>
      </w:pPr>
      <w:r>
        <w:rPr>
          <w:sz w:val="24"/>
          <w14:ligatures w14:val="standardContextual"/>
        </w:rPr>
        <w:t>参考韩金林</w:t>
      </w:r>
      <w:r>
        <w:rPr>
          <w:sz w:val="24"/>
          <w:vertAlign w:val="superscript"/>
          <w14:ligatures w14:val="standardContextual"/>
        </w:rPr>
        <w:t>[20]</w:t>
      </w:r>
      <w:r>
        <w:rPr>
          <w:sz w:val="24"/>
          <w14:ligatures w14:val="standardContextual"/>
        </w:rPr>
        <w:t>方法，取1个1</w:t>
      </w:r>
      <w:r>
        <w:rPr>
          <w:rFonts w:hint="eastAsia"/>
          <w:sz w:val="24"/>
          <w14:ligatures w14:val="standardContextual"/>
        </w:rPr>
        <w:t xml:space="preserve"> </w:t>
      </w:r>
      <w:r>
        <w:rPr>
          <w:sz w:val="24"/>
          <w14:ligatures w14:val="standardContextual"/>
        </w:rPr>
        <w:t>L的量筒，装1</w:t>
      </w:r>
      <w:r>
        <w:rPr>
          <w:rFonts w:hint="eastAsia"/>
          <w:sz w:val="24"/>
          <w14:ligatures w14:val="standardContextual"/>
        </w:rPr>
        <w:t xml:space="preserve"> </w:t>
      </w:r>
      <w:r>
        <w:rPr>
          <w:sz w:val="24"/>
          <w14:ligatures w14:val="standardContextual"/>
        </w:rPr>
        <w:t>L水，竖直放置在桌面上。将饲料颗粒预先在除气蒸馏水中浸泡1</w:t>
      </w:r>
      <w:r>
        <w:rPr>
          <w:rFonts w:hint="eastAsia"/>
          <w:sz w:val="24"/>
          <w14:ligatures w14:val="standardContextual"/>
        </w:rPr>
        <w:t xml:space="preserve"> </w:t>
      </w:r>
      <w:r>
        <w:rPr>
          <w:sz w:val="24"/>
          <w14:ligatures w14:val="standardContextual"/>
        </w:rPr>
        <w:t>min，用吸管将饲料颗粒置于水面下，记录饲料从水面下沉到底部的时间，重复测定30次，计算平均值。</w:t>
      </w:r>
    </w:p>
    <w:p w14:paraId="4C07B89A">
      <w:pPr>
        <w:spacing w:line="360" w:lineRule="auto"/>
        <w:rPr>
          <w:sz w:val="24"/>
          <w14:ligatures w14:val="standardContextual"/>
        </w:rPr>
      </w:pPr>
      <w:r>
        <w:rPr>
          <w:sz w:val="24"/>
          <w14:ligatures w14:val="standardContextual"/>
        </w:rPr>
        <w:t>1.4.3</w:t>
      </w:r>
      <w:r>
        <w:rPr>
          <w:rFonts w:hint="eastAsia"/>
          <w:sz w:val="24"/>
          <w14:ligatures w14:val="standardContextual"/>
        </w:rPr>
        <w:t xml:space="preserve">  </w:t>
      </w:r>
      <w:r>
        <w:rPr>
          <w:sz w:val="24"/>
          <w14:ligatures w14:val="standardContextual"/>
        </w:rPr>
        <w:t>溶失率</w:t>
      </w:r>
    </w:p>
    <w:p w14:paraId="43F0C6F8">
      <w:pPr>
        <w:spacing w:line="360" w:lineRule="auto"/>
        <w:ind w:firstLine="480" w:firstLineChars="200"/>
        <w:rPr>
          <w:sz w:val="24"/>
          <w14:ligatures w14:val="standardContextual"/>
        </w:rPr>
      </w:pPr>
      <w:r>
        <w:rPr>
          <w:sz w:val="24"/>
          <w14:ligatures w14:val="standardContextual"/>
        </w:rPr>
        <w:t>参考韩金林</w:t>
      </w:r>
      <w:r>
        <w:rPr>
          <w:sz w:val="24"/>
          <w:vertAlign w:val="superscript"/>
          <w14:ligatures w14:val="standardContextual"/>
        </w:rPr>
        <w:t>[20]</w:t>
      </w:r>
      <w:r>
        <w:rPr>
          <w:sz w:val="24"/>
          <w14:ligatures w14:val="standardContextual"/>
        </w:rPr>
        <w:t>方法，称取试样10</w:t>
      </w:r>
      <w:r>
        <w:rPr>
          <w:rFonts w:hint="eastAsia"/>
          <w:sz w:val="24"/>
          <w14:ligatures w14:val="standardContextual"/>
        </w:rPr>
        <w:t xml:space="preserve"> </w:t>
      </w:r>
      <w:r>
        <w:rPr>
          <w:sz w:val="24"/>
          <w14:ligatures w14:val="standardContextual"/>
        </w:rPr>
        <w:t>g，放入圆形网筛内。将网筛置于盛有水深为5.5</w:t>
      </w:r>
      <w:r>
        <w:rPr>
          <w:rFonts w:hint="eastAsia"/>
          <w:sz w:val="24"/>
          <w14:ligatures w14:val="standardContextual"/>
        </w:rPr>
        <w:t xml:space="preserve"> </w:t>
      </w:r>
      <w:r>
        <w:rPr>
          <w:sz w:val="24"/>
          <w14:ligatures w14:val="standardContextual"/>
        </w:rPr>
        <w:t>cm的容器中，水温控制为(25±2)</w:t>
      </w:r>
      <w:r>
        <w:rPr>
          <w:rFonts w:hint="eastAsia"/>
          <w:sz w:val="24"/>
          <w14:ligatures w14:val="standardContextual"/>
        </w:rPr>
        <w:t xml:space="preserve"> </w:t>
      </w:r>
      <w:r>
        <w:rPr>
          <w:sz w:val="24"/>
          <w14:ligatures w14:val="standardContextual"/>
        </w:rPr>
        <w:t>℃。浸泡3</w:t>
      </w:r>
      <w:r>
        <w:rPr>
          <w:rFonts w:hint="eastAsia"/>
          <w:sz w:val="24"/>
          <w14:ligatures w14:val="standardContextual"/>
        </w:rPr>
        <w:t xml:space="preserve"> </w:t>
      </w:r>
      <w:r>
        <w:rPr>
          <w:sz w:val="24"/>
          <w14:ligatures w14:val="standardContextual"/>
        </w:rPr>
        <w:t>min后，将网筛从水中缓慢提至水面，再缓慢沉入水中，使饲料离开筛底，反复3次后取出网筛，斜放沥干水分。将网筛内的饲料置于105</w:t>
      </w:r>
      <w:r>
        <w:rPr>
          <w:rFonts w:hint="eastAsia"/>
          <w:sz w:val="24"/>
          <w14:ligatures w14:val="standardContextual"/>
        </w:rPr>
        <w:t xml:space="preserve"> </w:t>
      </w:r>
      <w:r>
        <w:rPr>
          <w:sz w:val="24"/>
          <w14:ligatures w14:val="standardContextual"/>
        </w:rPr>
        <w:t>℃烘箱内烘干至恒重。称取一份未浸水的相同饲料，置于105</w:t>
      </w:r>
      <w:r>
        <w:rPr>
          <w:rFonts w:hint="eastAsia"/>
          <w:sz w:val="24"/>
          <w14:ligatures w14:val="standardContextual"/>
        </w:rPr>
        <w:t xml:space="preserve"> </w:t>
      </w:r>
      <w:r>
        <w:rPr>
          <w:sz w:val="24"/>
          <w14:ligatures w14:val="standardContextual"/>
        </w:rPr>
        <w:t>℃烘箱内烘干至恒重，计算样品在水中的溶失率。样品在水中的溶失率=(样品溶失前烘干重-样品溶失后的烘干重)/样品溶失前烘干重×100</w:t>
      </w:r>
      <w:r>
        <w:rPr>
          <w:rFonts w:hint="eastAsia"/>
          <w:sz w:val="24"/>
          <w14:ligatures w14:val="standardContextual"/>
        </w:rPr>
        <w:t xml:space="preserve"> </w:t>
      </w:r>
      <w:r>
        <w:rPr>
          <w:sz w:val="24"/>
          <w14:ligatures w14:val="standardContextual"/>
        </w:rPr>
        <w:t>%(1)</w:t>
      </w:r>
    </w:p>
    <w:p w14:paraId="622E0A26">
      <w:pPr>
        <w:spacing w:line="360" w:lineRule="auto"/>
        <w:rPr>
          <w:sz w:val="24"/>
          <w14:ligatures w14:val="standardContextual"/>
        </w:rPr>
      </w:pPr>
      <w:r>
        <w:rPr>
          <w:sz w:val="24"/>
          <w14:ligatures w14:val="standardContextual"/>
        </w:rPr>
        <w:t>1.4.4</w:t>
      </w:r>
      <w:r>
        <w:rPr>
          <w:rFonts w:hint="eastAsia"/>
          <w:sz w:val="24"/>
          <w14:ligatures w14:val="standardContextual"/>
        </w:rPr>
        <w:t xml:space="preserve">  </w:t>
      </w:r>
      <w:r>
        <w:rPr>
          <w:sz w:val="24"/>
          <w14:ligatures w14:val="standardContextual"/>
        </w:rPr>
        <w:t>淀粉糊化度</w:t>
      </w:r>
    </w:p>
    <w:p w14:paraId="52E5BE0A">
      <w:pPr>
        <w:spacing w:line="360" w:lineRule="auto"/>
        <w:ind w:firstLine="480" w:firstLineChars="200"/>
        <w:rPr>
          <w:sz w:val="24"/>
          <w14:ligatures w14:val="standardContextual"/>
        </w:rPr>
      </w:pPr>
      <w:r>
        <w:rPr>
          <w:sz w:val="24"/>
          <w14:ligatures w14:val="standardContextual"/>
        </w:rPr>
        <w:t>参考饲料中淀粉糊化度的测定(NY/T4125—2022)标准进行测定</w:t>
      </w:r>
      <w:r>
        <w:rPr>
          <w:sz w:val="24"/>
          <w:vertAlign w:val="superscript"/>
          <w14:ligatures w14:val="standardContextual"/>
        </w:rPr>
        <w:t>[21]</w:t>
      </w:r>
      <w:r>
        <w:rPr>
          <w:sz w:val="24"/>
          <w14:ligatures w14:val="standardContextual"/>
        </w:rPr>
        <w:t>。</w:t>
      </w:r>
    </w:p>
    <w:p w14:paraId="62ACB0ED">
      <w:pPr>
        <w:spacing w:line="360" w:lineRule="auto"/>
        <w:rPr>
          <w:sz w:val="24"/>
          <w14:ligatures w14:val="standardContextual"/>
        </w:rPr>
      </w:pPr>
      <w:r>
        <w:rPr>
          <w:sz w:val="24"/>
          <w14:ligatures w14:val="standardContextual"/>
        </w:rPr>
        <w:t>1.4.5</w:t>
      </w:r>
      <w:r>
        <w:rPr>
          <w:rFonts w:hint="eastAsia"/>
          <w:sz w:val="24"/>
          <w14:ligatures w14:val="standardContextual"/>
        </w:rPr>
        <w:t xml:space="preserve">  </w:t>
      </w:r>
      <w:r>
        <w:rPr>
          <w:sz w:val="24"/>
          <w14:ligatures w14:val="standardContextual"/>
        </w:rPr>
        <w:t>生长指标及形体指标</w:t>
      </w:r>
    </w:p>
    <w:p w14:paraId="38A36C93">
      <w:pPr>
        <w:spacing w:line="360" w:lineRule="auto"/>
        <w:ind w:firstLine="480" w:firstLineChars="200"/>
        <w:rPr>
          <w:sz w:val="24"/>
          <w14:ligatures w14:val="standardContextual"/>
        </w:rPr>
      </w:pPr>
      <w:r>
        <w:rPr>
          <w:sz w:val="24"/>
          <w14:ligatures w14:val="standardContextual"/>
        </w:rPr>
        <w:t>在试验第1天和第70天，对各组罗非鱼进行采样，逐一称重，测量体长，解剖后测量内脏重、肝重等。计算增重率(WGR)、特定生长率(SGR)、肥满度(CF)、肝体指数(HSI)和脏体指数(VR)。</w:t>
      </w:r>
    </w:p>
    <w:p w14:paraId="18066064">
      <w:pPr>
        <w:spacing w:line="360" w:lineRule="auto"/>
        <w:ind w:firstLine="480" w:firstLineChars="200"/>
        <w:rPr>
          <w:sz w:val="24"/>
          <w14:ligatures w14:val="standardContextual"/>
        </w:rPr>
      </w:pPr>
      <w:r>
        <w:rPr>
          <w:sz w:val="24"/>
          <w14:ligatures w14:val="standardContextual"/>
        </w:rPr>
        <w:drawing>
          <wp:inline distT="0" distB="0" distL="0" distR="0">
            <wp:extent cx="3663315" cy="1282700"/>
            <wp:effectExtent l="0" t="0" r="0" b="0"/>
            <wp:docPr id="932139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9828" name="图片 1"/>
                    <pic:cNvPicPr>
                      <a:picLocks noChangeAspect="1"/>
                    </pic:cNvPicPr>
                  </pic:nvPicPr>
                  <pic:blipFill>
                    <a:blip r:embed="rId31"/>
                    <a:stretch>
                      <a:fillRect/>
                    </a:stretch>
                  </pic:blipFill>
                  <pic:spPr>
                    <a:xfrm>
                      <a:off x="0" y="0"/>
                      <a:ext cx="3716449" cy="1301160"/>
                    </a:xfrm>
                    <a:prstGeom prst="rect">
                      <a:avLst/>
                    </a:prstGeom>
                  </pic:spPr>
                </pic:pic>
              </a:graphicData>
            </a:graphic>
          </wp:inline>
        </w:drawing>
      </w:r>
    </w:p>
    <w:p w14:paraId="6449298A">
      <w:pPr>
        <w:spacing w:line="360" w:lineRule="auto"/>
        <w:rPr>
          <w:sz w:val="24"/>
          <w14:ligatures w14:val="standardContextual"/>
        </w:rPr>
      </w:pPr>
      <w:r>
        <w:rPr>
          <w:sz w:val="24"/>
          <w14:ligatures w14:val="standardContextual"/>
        </w:rPr>
        <w:t>1.5</w:t>
      </w:r>
      <w:r>
        <w:rPr>
          <w:rFonts w:hint="eastAsia"/>
          <w:sz w:val="24"/>
          <w14:ligatures w14:val="standardContextual"/>
        </w:rPr>
        <w:t xml:space="preserve">  </w:t>
      </w:r>
      <w:r>
        <w:rPr>
          <w:sz w:val="24"/>
          <w14:ligatures w14:val="standardContextual"/>
        </w:rPr>
        <w:t>数据统计与分析</w:t>
      </w:r>
    </w:p>
    <w:p w14:paraId="5ECA0ABD">
      <w:pPr>
        <w:spacing w:line="360" w:lineRule="auto"/>
        <w:ind w:firstLine="480" w:firstLineChars="200"/>
        <w:rPr>
          <w:sz w:val="24"/>
          <w14:ligatures w14:val="standardContextual"/>
        </w:rPr>
      </w:pPr>
      <w:r>
        <w:rPr>
          <w:sz w:val="24"/>
          <w14:ligatures w14:val="standardContextual"/>
        </w:rPr>
        <w:t>试验数据采用SPSS20.0进行单因素方差分析，Duncan's法进行多重比较，结果以“平均值±标准差”表示，</w:t>
      </w:r>
      <w:r>
        <w:rPr>
          <w:i/>
          <w:iCs/>
          <w:sz w:val="24"/>
          <w14:ligatures w14:val="standardContextual"/>
        </w:rPr>
        <w:t>P</w:t>
      </w:r>
      <w:r>
        <w:rPr>
          <w:sz w:val="24"/>
          <w14:ligatures w14:val="standardContextual"/>
        </w:rPr>
        <w:t>&lt;0.05表示差异显著。</w:t>
      </w:r>
    </w:p>
    <w:p w14:paraId="1320C2F6">
      <w:pPr>
        <w:spacing w:line="360" w:lineRule="auto"/>
        <w:rPr>
          <w:sz w:val="24"/>
          <w14:ligatures w14:val="standardContextual"/>
        </w:rPr>
      </w:pPr>
      <w:r>
        <w:rPr>
          <w:sz w:val="24"/>
          <w14:ligatures w14:val="standardContextual"/>
        </w:rPr>
        <w:t>2</w:t>
      </w:r>
      <w:r>
        <w:rPr>
          <w:rFonts w:hint="eastAsia"/>
          <w:sz w:val="24"/>
          <w14:ligatures w14:val="standardContextual"/>
        </w:rPr>
        <w:t xml:space="preserve">  </w:t>
      </w:r>
      <w:r>
        <w:rPr>
          <w:sz w:val="24"/>
          <w14:ligatures w14:val="standardContextual"/>
        </w:rPr>
        <w:t>结果与分析</w:t>
      </w:r>
    </w:p>
    <w:p w14:paraId="0FBA2294">
      <w:pPr>
        <w:spacing w:line="360" w:lineRule="auto"/>
        <w:rPr>
          <w:sz w:val="24"/>
          <w14:ligatures w14:val="standardContextual"/>
        </w:rPr>
      </w:pPr>
      <w:r>
        <w:rPr>
          <w:sz w:val="24"/>
          <w14:ligatures w14:val="standardContextual"/>
        </w:rPr>
        <w:t>2.1</w:t>
      </w:r>
      <w:r>
        <w:rPr>
          <w:rFonts w:hint="eastAsia"/>
          <w:sz w:val="24"/>
          <w14:ligatures w14:val="standardContextual"/>
        </w:rPr>
        <w:t xml:space="preserve">  </w:t>
      </w:r>
      <w:r>
        <w:rPr>
          <w:sz w:val="24"/>
          <w14:ligatures w14:val="standardContextual"/>
        </w:rPr>
        <w:t>不同制粒温度对熟化软颗粒饲料品质的影响</w:t>
      </w:r>
    </w:p>
    <w:p w14:paraId="0C920CE1">
      <w:pPr>
        <w:spacing w:line="360" w:lineRule="auto"/>
        <w:rPr>
          <w:sz w:val="24"/>
          <w14:ligatures w14:val="standardContextual"/>
        </w:rPr>
      </w:pPr>
      <w:r>
        <w:rPr>
          <w:sz w:val="24"/>
          <w14:ligatures w14:val="standardContextual"/>
        </w:rPr>
        <w:t>2.1.1</w:t>
      </w:r>
      <w:r>
        <w:rPr>
          <w:rFonts w:hint="eastAsia"/>
          <w:sz w:val="24"/>
          <w14:ligatures w14:val="standardContextual"/>
        </w:rPr>
        <w:t xml:space="preserve">  </w:t>
      </w:r>
      <w:r>
        <w:rPr>
          <w:sz w:val="24"/>
          <w14:ligatures w14:val="standardContextual"/>
        </w:rPr>
        <w:t>不同制粒温度对熟化软颗粒饲料内聚性的影响</w:t>
      </w:r>
    </w:p>
    <w:p w14:paraId="2DDD6D7C">
      <w:pPr>
        <w:spacing w:line="360" w:lineRule="auto"/>
        <w:ind w:firstLine="480" w:firstLineChars="200"/>
        <w:rPr>
          <w:sz w:val="24"/>
          <w14:ligatures w14:val="standardContextual"/>
        </w:rPr>
      </w:pPr>
      <w:r>
        <w:rPr>
          <w:sz w:val="24"/>
          <w14:ligatures w14:val="standardContextual"/>
        </w:rPr>
        <w:t>(见图1)由图1可知，随着制粒温度的升高，饲料内聚性呈现先增加后减少的趋势。当制粒温度为120℃时，内聚性达到最大值0.41。制粒温度为120、130</w:t>
      </w:r>
      <w:r>
        <w:rPr>
          <w:rFonts w:hint="eastAsia"/>
          <w:sz w:val="24"/>
          <w14:ligatures w14:val="standardContextual"/>
        </w:rPr>
        <w:t xml:space="preserve"> </w:t>
      </w:r>
      <w:r>
        <w:rPr>
          <w:sz w:val="24"/>
          <w14:ligatures w14:val="standardContextual"/>
        </w:rPr>
        <w:t>℃的内聚性显著高于其他制粒温度(</w:t>
      </w:r>
      <w:r>
        <w:rPr>
          <w:i/>
          <w:iCs/>
          <w:sz w:val="24"/>
          <w14:ligatures w14:val="standardContextual"/>
        </w:rPr>
        <w:t>P</w:t>
      </w:r>
      <w:r>
        <w:rPr>
          <w:sz w:val="24"/>
          <w14:ligatures w14:val="standardContextual"/>
        </w:rPr>
        <w:t>&lt;0.05)。</w:t>
      </w:r>
    </w:p>
    <w:p w14:paraId="229FED60">
      <w:pPr>
        <w:spacing w:line="360" w:lineRule="auto"/>
        <w:jc w:val="center"/>
        <w:rPr>
          <w:sz w:val="24"/>
          <w14:ligatures w14:val="standardContextual"/>
        </w:rPr>
      </w:pPr>
      <w:r>
        <w:rPr>
          <w:sz w:val="24"/>
          <w14:ligatures w14:val="standardContextual"/>
        </w:rPr>
        <w:drawing>
          <wp:inline distT="0" distB="0" distL="0" distR="0">
            <wp:extent cx="5181600" cy="4013200"/>
            <wp:effectExtent l="0" t="0" r="0" b="6350"/>
            <wp:docPr id="974620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20552" name="图片 1"/>
                    <pic:cNvPicPr>
                      <a:picLocks noChangeAspect="1"/>
                    </pic:cNvPicPr>
                  </pic:nvPicPr>
                  <pic:blipFill>
                    <a:blip r:embed="rId32"/>
                    <a:stretch>
                      <a:fillRect/>
                    </a:stretch>
                  </pic:blipFill>
                  <pic:spPr>
                    <a:xfrm>
                      <a:off x="0" y="0"/>
                      <a:ext cx="5223649" cy="4045719"/>
                    </a:xfrm>
                    <a:prstGeom prst="rect">
                      <a:avLst/>
                    </a:prstGeom>
                  </pic:spPr>
                </pic:pic>
              </a:graphicData>
            </a:graphic>
          </wp:inline>
        </w:drawing>
      </w:r>
    </w:p>
    <w:p w14:paraId="51BC7873">
      <w:pPr>
        <w:spacing w:line="360" w:lineRule="auto"/>
        <w:rPr>
          <w:sz w:val="24"/>
          <w14:ligatures w14:val="standardContextual"/>
        </w:rPr>
      </w:pPr>
      <w:r>
        <w:rPr>
          <w:sz w:val="24"/>
          <w14:ligatures w14:val="standardContextual"/>
        </w:rPr>
        <w:t>2.1.2</w:t>
      </w:r>
      <w:r>
        <w:rPr>
          <w:rFonts w:hint="eastAsia"/>
          <w:sz w:val="24"/>
          <w14:ligatures w14:val="standardContextual"/>
        </w:rPr>
        <w:t xml:space="preserve">  </w:t>
      </w:r>
      <w:r>
        <w:rPr>
          <w:sz w:val="24"/>
          <w14:ligatures w14:val="standardContextual"/>
        </w:rPr>
        <w:t>不同制粒温度对熟化软颗粒饲料黏度的影响(见图2)</w:t>
      </w:r>
    </w:p>
    <w:p w14:paraId="76D5729C">
      <w:pPr>
        <w:spacing w:line="360" w:lineRule="auto"/>
        <w:ind w:firstLine="480" w:firstLineChars="200"/>
        <w:rPr>
          <w:sz w:val="24"/>
          <w14:ligatures w14:val="standardContextual"/>
        </w:rPr>
      </w:pPr>
      <w:r>
        <w:rPr>
          <w:sz w:val="24"/>
          <w14:ligatures w14:val="standardContextual"/>
        </w:rPr>
        <w:t>由图2可知，随着制粒温度的升高，饲料黏度总体呈现先上升后下降的趋势(</w:t>
      </w:r>
      <w:r>
        <w:rPr>
          <w:i/>
          <w:iCs/>
          <w:sz w:val="24"/>
          <w14:ligatures w14:val="standardContextual"/>
        </w:rPr>
        <w:t>P</w:t>
      </w:r>
      <w:r>
        <w:rPr>
          <w:sz w:val="24"/>
          <w14:ligatures w14:val="standardContextual"/>
        </w:rPr>
        <w:t>&lt;0.05)。当制粒温度为120℃时，黏度达到最大值1811.88cP，显著高于其他温度(</w:t>
      </w:r>
      <w:r>
        <w:rPr>
          <w:i/>
          <w:iCs/>
          <w:sz w:val="24"/>
          <w14:ligatures w14:val="standardContextual"/>
        </w:rPr>
        <w:t>P</w:t>
      </w:r>
      <w:r>
        <w:rPr>
          <w:sz w:val="24"/>
          <w14:ligatures w14:val="standardContextual"/>
        </w:rPr>
        <w:t>&lt;0.05)。</w:t>
      </w:r>
    </w:p>
    <w:p w14:paraId="300634E7">
      <w:pPr>
        <w:spacing w:line="360" w:lineRule="auto"/>
        <w:jc w:val="center"/>
        <w:rPr>
          <w:sz w:val="24"/>
          <w14:ligatures w14:val="standardContextual"/>
        </w:rPr>
      </w:pPr>
      <w:r>
        <w:rPr>
          <w:sz w:val="24"/>
          <w14:ligatures w14:val="standardContextual"/>
        </w:rPr>
        <w:drawing>
          <wp:inline distT="0" distB="0" distL="0" distR="0">
            <wp:extent cx="5118100" cy="3340100"/>
            <wp:effectExtent l="0" t="0" r="6350" b="0"/>
            <wp:docPr id="574755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5577" name="图片 1"/>
                    <pic:cNvPicPr>
                      <a:picLocks noChangeAspect="1"/>
                    </pic:cNvPicPr>
                  </pic:nvPicPr>
                  <pic:blipFill>
                    <a:blip r:embed="rId33"/>
                    <a:stretch>
                      <a:fillRect/>
                    </a:stretch>
                  </pic:blipFill>
                  <pic:spPr>
                    <a:xfrm>
                      <a:off x="0" y="0"/>
                      <a:ext cx="5137517" cy="3352438"/>
                    </a:xfrm>
                    <a:prstGeom prst="rect">
                      <a:avLst/>
                    </a:prstGeom>
                  </pic:spPr>
                </pic:pic>
              </a:graphicData>
            </a:graphic>
          </wp:inline>
        </w:drawing>
      </w:r>
    </w:p>
    <w:p w14:paraId="3736D4CE">
      <w:pPr>
        <w:spacing w:line="360" w:lineRule="auto"/>
        <w:rPr>
          <w:sz w:val="24"/>
          <w14:ligatures w14:val="standardContextual"/>
        </w:rPr>
      </w:pPr>
      <w:r>
        <w:rPr>
          <w:sz w:val="24"/>
          <w14:ligatures w14:val="standardContextual"/>
        </w:rPr>
        <w:t>2.1.3</w:t>
      </w:r>
      <w:r>
        <w:rPr>
          <w:rFonts w:hint="eastAsia"/>
          <w:sz w:val="24"/>
          <w14:ligatures w14:val="standardContextual"/>
        </w:rPr>
        <w:t xml:space="preserve">  </w:t>
      </w:r>
      <w:r>
        <w:rPr>
          <w:sz w:val="24"/>
          <w14:ligatures w14:val="standardContextual"/>
        </w:rPr>
        <w:t>不同制粒温度对熟化软颗粒饲料硬度的影响(见图3)</w:t>
      </w:r>
    </w:p>
    <w:p w14:paraId="3DB219DB">
      <w:pPr>
        <w:spacing w:line="360" w:lineRule="auto"/>
        <w:jc w:val="center"/>
        <w:rPr>
          <w:sz w:val="24"/>
          <w14:ligatures w14:val="standardContextual"/>
        </w:rPr>
      </w:pPr>
      <w:r>
        <w:rPr>
          <w:sz w:val="24"/>
          <w14:ligatures w14:val="standardContextual"/>
        </w:rPr>
        <w:drawing>
          <wp:inline distT="0" distB="0" distL="0" distR="0">
            <wp:extent cx="4578350" cy="3032125"/>
            <wp:effectExtent l="0" t="0" r="0" b="0"/>
            <wp:docPr id="1112072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72677" name="图片 1"/>
                    <pic:cNvPicPr>
                      <a:picLocks noChangeAspect="1"/>
                    </pic:cNvPicPr>
                  </pic:nvPicPr>
                  <pic:blipFill>
                    <a:blip r:embed="rId34"/>
                    <a:stretch>
                      <a:fillRect/>
                    </a:stretch>
                  </pic:blipFill>
                  <pic:spPr>
                    <a:xfrm>
                      <a:off x="0" y="0"/>
                      <a:ext cx="4601010" cy="3047215"/>
                    </a:xfrm>
                    <a:prstGeom prst="rect">
                      <a:avLst/>
                    </a:prstGeom>
                  </pic:spPr>
                </pic:pic>
              </a:graphicData>
            </a:graphic>
          </wp:inline>
        </w:drawing>
      </w:r>
    </w:p>
    <w:p w14:paraId="4DA2C135">
      <w:pPr>
        <w:spacing w:line="360" w:lineRule="auto"/>
        <w:ind w:firstLine="480" w:firstLineChars="200"/>
        <w:rPr>
          <w:sz w:val="24"/>
          <w14:ligatures w14:val="standardContextual"/>
        </w:rPr>
      </w:pPr>
      <w:r>
        <w:rPr>
          <w:sz w:val="24"/>
          <w14:ligatures w14:val="standardContextual"/>
        </w:rPr>
        <w:t>由图3可知，随着制粒温度的升高，饲料硬度呈先增加后减少的趋势。当制粒温度为120℃时，硬度达到最大值4712.06g，显著高于其他温度(</w:t>
      </w:r>
      <w:r>
        <w:rPr>
          <w:i/>
          <w:iCs/>
          <w:sz w:val="24"/>
          <w14:ligatures w14:val="standardContextual"/>
        </w:rPr>
        <w:t>P</w:t>
      </w:r>
      <w:r>
        <w:rPr>
          <w:sz w:val="24"/>
          <w14:ligatures w14:val="standardContextual"/>
        </w:rPr>
        <w:t>&lt;0.05)。</w:t>
      </w:r>
    </w:p>
    <w:p w14:paraId="5C8DA4F9">
      <w:pPr>
        <w:spacing w:line="360" w:lineRule="auto"/>
        <w:rPr>
          <w:sz w:val="24"/>
          <w14:ligatures w14:val="standardContextual"/>
        </w:rPr>
      </w:pPr>
      <w:r>
        <w:rPr>
          <w:sz w:val="24"/>
          <w14:ligatures w14:val="standardContextual"/>
        </w:rPr>
        <w:t>2.2</w:t>
      </w:r>
      <w:r>
        <w:rPr>
          <w:rFonts w:hint="eastAsia"/>
          <w:sz w:val="24"/>
          <w14:ligatures w14:val="standardContextual"/>
        </w:rPr>
        <w:t xml:space="preserve">  </w:t>
      </w:r>
      <w:r>
        <w:rPr>
          <w:sz w:val="24"/>
          <w14:ligatures w14:val="standardContextual"/>
        </w:rPr>
        <w:t>不同制粒温度对熟化软颗粒饲料下沉速度的影响(见图4)</w:t>
      </w:r>
    </w:p>
    <w:p w14:paraId="00BC26F7">
      <w:pPr>
        <w:spacing w:line="360" w:lineRule="auto"/>
        <w:ind w:firstLine="480" w:firstLineChars="200"/>
        <w:rPr>
          <w:sz w:val="24"/>
          <w14:ligatures w14:val="standardContextual"/>
        </w:rPr>
      </w:pPr>
      <w:r>
        <w:rPr>
          <w:sz w:val="24"/>
          <w14:ligatures w14:val="standardContextual"/>
        </w:rPr>
        <w:t>由图4可知，随着制粒温度的升高，饲料下沉速度呈先上升后下降的趋势。当制粒温度为120℃时，下沉速度达到最大，显著高于其他温度(</w:t>
      </w:r>
      <w:r>
        <w:rPr>
          <w:i/>
          <w:iCs/>
          <w:sz w:val="24"/>
          <w14:ligatures w14:val="standardContextual"/>
        </w:rPr>
        <w:t>P</w:t>
      </w:r>
      <w:r>
        <w:rPr>
          <w:sz w:val="24"/>
          <w14:ligatures w14:val="standardContextual"/>
        </w:rPr>
        <w:t>&lt;0.05)。</w:t>
      </w:r>
    </w:p>
    <w:p w14:paraId="52C2FEBA">
      <w:pPr>
        <w:spacing w:line="360" w:lineRule="auto"/>
        <w:jc w:val="center"/>
        <w:rPr>
          <w:sz w:val="24"/>
          <w14:ligatures w14:val="standardContextual"/>
        </w:rPr>
      </w:pPr>
      <w:r>
        <w:rPr>
          <w:sz w:val="24"/>
          <w14:ligatures w14:val="standardContextual"/>
        </w:rPr>
        <w:drawing>
          <wp:inline distT="0" distB="0" distL="0" distR="0">
            <wp:extent cx="4926330" cy="2895600"/>
            <wp:effectExtent l="0" t="0" r="7620" b="0"/>
            <wp:docPr id="410441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41375" name="图片 1"/>
                    <pic:cNvPicPr>
                      <a:picLocks noChangeAspect="1"/>
                    </pic:cNvPicPr>
                  </pic:nvPicPr>
                  <pic:blipFill>
                    <a:blip r:embed="rId35"/>
                    <a:stretch>
                      <a:fillRect/>
                    </a:stretch>
                  </pic:blipFill>
                  <pic:spPr>
                    <a:xfrm>
                      <a:off x="0" y="0"/>
                      <a:ext cx="4941496" cy="2904454"/>
                    </a:xfrm>
                    <a:prstGeom prst="rect">
                      <a:avLst/>
                    </a:prstGeom>
                  </pic:spPr>
                </pic:pic>
              </a:graphicData>
            </a:graphic>
          </wp:inline>
        </w:drawing>
      </w:r>
    </w:p>
    <w:p w14:paraId="367329FD">
      <w:pPr>
        <w:spacing w:line="360" w:lineRule="auto"/>
        <w:rPr>
          <w:sz w:val="24"/>
          <w14:ligatures w14:val="standardContextual"/>
        </w:rPr>
      </w:pPr>
      <w:r>
        <w:rPr>
          <w:sz w:val="24"/>
          <w14:ligatures w14:val="standardContextual"/>
        </w:rPr>
        <w:t>2.3</w:t>
      </w:r>
      <w:r>
        <w:rPr>
          <w:rFonts w:hint="eastAsia"/>
          <w:sz w:val="24"/>
          <w14:ligatures w14:val="standardContextual"/>
        </w:rPr>
        <w:t xml:space="preserve">  </w:t>
      </w:r>
      <w:r>
        <w:rPr>
          <w:sz w:val="24"/>
          <w14:ligatures w14:val="standardContextual"/>
        </w:rPr>
        <w:t>不同制粒温度对熟化软颗粒饲料溶失率的影响(见图5)</w:t>
      </w:r>
    </w:p>
    <w:p w14:paraId="2BE59880">
      <w:pPr>
        <w:spacing w:line="360" w:lineRule="auto"/>
        <w:ind w:firstLine="480" w:firstLineChars="200"/>
        <w:rPr>
          <w:sz w:val="24"/>
          <w14:ligatures w14:val="standardContextual"/>
        </w:rPr>
      </w:pPr>
      <w:r>
        <w:rPr>
          <w:sz w:val="24"/>
          <w14:ligatures w14:val="standardContextual"/>
        </w:rPr>
        <w:t>由图5可知，当制粒温度为110、130℃时，溶失率无显著性差异，且均显著低于其他温度(</w:t>
      </w:r>
      <w:r>
        <w:rPr>
          <w:i/>
          <w:iCs/>
          <w:sz w:val="24"/>
          <w14:ligatures w14:val="standardContextual"/>
        </w:rPr>
        <w:t>P</w:t>
      </w:r>
      <w:r>
        <w:rPr>
          <w:sz w:val="24"/>
          <w14:ligatures w14:val="standardContextual"/>
        </w:rPr>
        <w:t>&lt;0.05)。</w:t>
      </w:r>
    </w:p>
    <w:p w14:paraId="23C2ACC8">
      <w:pPr>
        <w:spacing w:line="360" w:lineRule="auto"/>
        <w:jc w:val="center"/>
        <w:rPr>
          <w:sz w:val="24"/>
          <w14:ligatures w14:val="standardContextual"/>
        </w:rPr>
      </w:pPr>
      <w:r>
        <w:rPr>
          <w:sz w:val="24"/>
          <w14:ligatures w14:val="standardContextual"/>
        </w:rPr>
        <w:drawing>
          <wp:inline distT="0" distB="0" distL="0" distR="0">
            <wp:extent cx="4620260" cy="3009265"/>
            <wp:effectExtent l="0" t="0" r="8890" b="635"/>
            <wp:docPr id="388721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1944" name="图片 1"/>
                    <pic:cNvPicPr>
                      <a:picLocks noChangeAspect="1"/>
                    </pic:cNvPicPr>
                  </pic:nvPicPr>
                  <pic:blipFill>
                    <a:blip r:embed="rId36"/>
                    <a:stretch>
                      <a:fillRect/>
                    </a:stretch>
                  </pic:blipFill>
                  <pic:spPr>
                    <a:xfrm>
                      <a:off x="0" y="0"/>
                      <a:ext cx="4645555" cy="3025819"/>
                    </a:xfrm>
                    <a:prstGeom prst="rect">
                      <a:avLst/>
                    </a:prstGeom>
                  </pic:spPr>
                </pic:pic>
              </a:graphicData>
            </a:graphic>
          </wp:inline>
        </w:drawing>
      </w:r>
    </w:p>
    <w:p w14:paraId="372D34B6">
      <w:pPr>
        <w:spacing w:line="360" w:lineRule="auto"/>
        <w:rPr>
          <w:sz w:val="24"/>
          <w14:ligatures w14:val="standardContextual"/>
        </w:rPr>
      </w:pPr>
      <w:r>
        <w:rPr>
          <w:sz w:val="24"/>
          <w14:ligatures w14:val="standardContextual"/>
        </w:rPr>
        <w:t>2.4</w:t>
      </w:r>
      <w:r>
        <w:rPr>
          <w:rFonts w:hint="eastAsia"/>
          <w:sz w:val="24"/>
          <w14:ligatures w14:val="standardContextual"/>
        </w:rPr>
        <w:t xml:space="preserve">  </w:t>
      </w:r>
      <w:r>
        <w:rPr>
          <w:sz w:val="24"/>
          <w14:ligatures w14:val="standardContextual"/>
        </w:rPr>
        <w:t>不同制粒温度对熟化软颗粒饲料淀粉糊化度的影响(见图6)</w:t>
      </w:r>
    </w:p>
    <w:p w14:paraId="209232C0">
      <w:pPr>
        <w:spacing w:line="360" w:lineRule="auto"/>
        <w:ind w:firstLine="480" w:firstLineChars="200"/>
        <w:rPr>
          <w:sz w:val="24"/>
          <w14:ligatures w14:val="standardContextual"/>
        </w:rPr>
      </w:pPr>
      <w:r>
        <w:rPr>
          <w:sz w:val="24"/>
          <w14:ligatures w14:val="standardContextual"/>
        </w:rPr>
        <w:t>由图6可知，随着制粒温度的升高，饲料淀粉糊化度呈现先逐渐上升的趋势。当制粒温度为130</w:t>
      </w:r>
      <w:r>
        <w:rPr>
          <w:rFonts w:hint="eastAsia"/>
          <w:sz w:val="24"/>
          <w14:ligatures w14:val="standardContextual"/>
        </w:rPr>
        <w:t xml:space="preserve"> </w:t>
      </w:r>
      <w:r>
        <w:rPr>
          <w:sz w:val="24"/>
          <w14:ligatures w14:val="standardContextual"/>
        </w:rPr>
        <w:t>℃时，淀粉糊化度达到最大值85</w:t>
      </w:r>
      <w:r>
        <w:rPr>
          <w:rFonts w:hint="eastAsia"/>
          <w:sz w:val="24"/>
          <w14:ligatures w14:val="standardContextual"/>
        </w:rPr>
        <w:t xml:space="preserve"> </w:t>
      </w:r>
      <w:r>
        <w:rPr>
          <w:sz w:val="24"/>
          <w14:ligatures w14:val="standardContextual"/>
        </w:rPr>
        <w:t>%，且显著高于其他制粒温度(</w:t>
      </w:r>
      <w:r>
        <w:rPr>
          <w:i/>
          <w:iCs/>
          <w:sz w:val="24"/>
          <w14:ligatures w14:val="standardContextual"/>
        </w:rPr>
        <w:t>P</w:t>
      </w:r>
      <w:r>
        <w:rPr>
          <w:sz w:val="24"/>
          <w14:ligatures w14:val="standardContextual"/>
        </w:rPr>
        <w:t>&lt;0.05)。</w:t>
      </w:r>
    </w:p>
    <w:p w14:paraId="5012C86D">
      <w:pPr>
        <w:spacing w:line="360" w:lineRule="auto"/>
        <w:jc w:val="center"/>
        <w:rPr>
          <w:sz w:val="24"/>
          <w14:ligatures w14:val="standardContextual"/>
        </w:rPr>
      </w:pPr>
      <w:r>
        <w:rPr>
          <w:sz w:val="24"/>
          <w14:ligatures w14:val="standardContextual"/>
        </w:rPr>
        <w:drawing>
          <wp:inline distT="0" distB="0" distL="0" distR="0">
            <wp:extent cx="5049520" cy="3060700"/>
            <wp:effectExtent l="0" t="0" r="0" b="6350"/>
            <wp:docPr id="2091436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6956" name="图片 1"/>
                    <pic:cNvPicPr>
                      <a:picLocks noChangeAspect="1"/>
                    </pic:cNvPicPr>
                  </pic:nvPicPr>
                  <pic:blipFill>
                    <a:blip r:embed="rId37"/>
                    <a:stretch>
                      <a:fillRect/>
                    </a:stretch>
                  </pic:blipFill>
                  <pic:spPr>
                    <a:xfrm>
                      <a:off x="0" y="0"/>
                      <a:ext cx="5085093" cy="3081911"/>
                    </a:xfrm>
                    <a:prstGeom prst="rect">
                      <a:avLst/>
                    </a:prstGeom>
                  </pic:spPr>
                </pic:pic>
              </a:graphicData>
            </a:graphic>
          </wp:inline>
        </w:drawing>
      </w:r>
    </w:p>
    <w:p w14:paraId="14AB5B04">
      <w:pPr>
        <w:spacing w:line="360" w:lineRule="auto"/>
        <w:rPr>
          <w:sz w:val="24"/>
          <w14:ligatures w14:val="standardContextual"/>
        </w:rPr>
      </w:pPr>
      <w:r>
        <w:rPr>
          <w:sz w:val="24"/>
          <w14:ligatures w14:val="standardContextual"/>
        </w:rPr>
        <w:t>2.5</w:t>
      </w:r>
      <w:r>
        <w:rPr>
          <w:rFonts w:hint="eastAsia"/>
          <w:sz w:val="24"/>
          <w14:ligatures w14:val="standardContextual"/>
        </w:rPr>
        <w:t xml:space="preserve">  </w:t>
      </w:r>
      <w:r>
        <w:rPr>
          <w:sz w:val="24"/>
          <w14:ligatures w14:val="standardContextual"/>
        </w:rPr>
        <w:t>不同制粒温度对熟化软颗粒饲料营养成分的影响(见表2)</w:t>
      </w:r>
    </w:p>
    <w:p w14:paraId="17091553">
      <w:pPr>
        <w:spacing w:line="360" w:lineRule="auto"/>
        <w:ind w:firstLine="480" w:firstLineChars="200"/>
        <w:rPr>
          <w:sz w:val="24"/>
          <w14:ligatures w14:val="standardContextual"/>
        </w:rPr>
      </w:pPr>
      <w:r>
        <w:rPr>
          <w:sz w:val="24"/>
          <w14:ligatures w14:val="standardContextual"/>
        </w:rPr>
        <w:t>由表2可知，制粒温度对饲料粗蛋白含量无显著影响(</w:t>
      </w:r>
      <w:r>
        <w:rPr>
          <w:i/>
          <w:iCs/>
          <w:sz w:val="24"/>
          <w14:ligatures w14:val="standardContextual"/>
        </w:rPr>
        <w:t>P</w:t>
      </w:r>
      <w:r>
        <w:rPr>
          <w:sz w:val="24"/>
          <w14:ligatures w14:val="standardContextual"/>
        </w:rPr>
        <w:t>&gt;0.05)。饲料水分含量随着制粒温度的升高而降低，制粒温度为130℃饲料水分含量显著低于其他温度(</w:t>
      </w:r>
      <w:r>
        <w:rPr>
          <w:i/>
          <w:iCs/>
          <w:sz w:val="24"/>
          <w14:ligatures w14:val="standardContextual"/>
        </w:rPr>
        <w:t>P</w:t>
      </w:r>
      <w:r>
        <w:rPr>
          <w:sz w:val="24"/>
          <w14:ligatures w14:val="standardContextual"/>
        </w:rPr>
        <w:t>&lt;0.05)。饲料粗脂肪含量随着制粒温度的升高呈先下降后上升的趋势，制粒温度为120</w:t>
      </w:r>
      <w:r>
        <w:rPr>
          <w:rFonts w:hint="eastAsia"/>
          <w:sz w:val="24"/>
          <w14:ligatures w14:val="standardContextual"/>
        </w:rPr>
        <w:t xml:space="preserve"> </w:t>
      </w:r>
      <w:r>
        <w:rPr>
          <w:sz w:val="24"/>
          <w14:ligatures w14:val="standardContextual"/>
        </w:rPr>
        <w:t>℃时饲料粗脂肪含量显著低于除130</w:t>
      </w:r>
      <w:r>
        <w:rPr>
          <w:rFonts w:hint="eastAsia"/>
          <w:sz w:val="24"/>
          <w14:ligatures w14:val="standardContextual"/>
        </w:rPr>
        <w:t xml:space="preserve"> </w:t>
      </w:r>
      <w:r>
        <w:rPr>
          <w:sz w:val="24"/>
          <w14:ligatures w14:val="standardContextual"/>
        </w:rPr>
        <w:t>℃外的其他处理(</w:t>
      </w:r>
      <w:r>
        <w:rPr>
          <w:i/>
          <w:iCs/>
          <w:sz w:val="24"/>
          <w14:ligatures w14:val="standardContextual"/>
        </w:rPr>
        <w:t>P</w:t>
      </w:r>
      <w:r>
        <w:rPr>
          <w:sz w:val="24"/>
          <w14:ligatures w14:val="standardContextual"/>
        </w:rPr>
        <w:t>&lt;0.05)。</w:t>
      </w:r>
    </w:p>
    <w:p w14:paraId="4018E83B">
      <w:pPr>
        <w:spacing w:line="360" w:lineRule="auto"/>
        <w:jc w:val="center"/>
        <w:rPr>
          <w:sz w:val="24"/>
          <w14:ligatures w14:val="standardContextual"/>
        </w:rPr>
      </w:pPr>
      <w:r>
        <w:rPr>
          <w:sz w:val="24"/>
          <w14:ligatures w14:val="standardContextual"/>
        </w:rPr>
        <w:drawing>
          <wp:inline distT="0" distB="0" distL="0" distR="0">
            <wp:extent cx="5972175" cy="1848485"/>
            <wp:effectExtent l="0" t="0" r="0" b="0"/>
            <wp:docPr id="829009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09678" name="图片 1"/>
                    <pic:cNvPicPr>
                      <a:picLocks noChangeAspect="1"/>
                    </pic:cNvPicPr>
                  </pic:nvPicPr>
                  <pic:blipFill>
                    <a:blip r:embed="rId38"/>
                    <a:stretch>
                      <a:fillRect/>
                    </a:stretch>
                  </pic:blipFill>
                  <pic:spPr>
                    <a:xfrm>
                      <a:off x="0" y="0"/>
                      <a:ext cx="6010213" cy="1860373"/>
                    </a:xfrm>
                    <a:prstGeom prst="rect">
                      <a:avLst/>
                    </a:prstGeom>
                  </pic:spPr>
                </pic:pic>
              </a:graphicData>
            </a:graphic>
          </wp:inline>
        </w:drawing>
      </w:r>
    </w:p>
    <w:p w14:paraId="75100088">
      <w:pPr>
        <w:spacing w:line="360" w:lineRule="auto"/>
        <w:rPr>
          <w:sz w:val="24"/>
          <w14:ligatures w14:val="standardContextual"/>
        </w:rPr>
      </w:pPr>
      <w:r>
        <w:rPr>
          <w:sz w:val="24"/>
          <w14:ligatures w14:val="standardContextual"/>
        </w:rPr>
        <w:t>2.6</w:t>
      </w:r>
      <w:r>
        <w:rPr>
          <w:rFonts w:hint="eastAsia"/>
          <w:sz w:val="24"/>
          <w14:ligatures w14:val="standardContextual"/>
        </w:rPr>
        <w:t xml:space="preserve">  </w:t>
      </w:r>
      <w:r>
        <w:rPr>
          <w:sz w:val="24"/>
          <w14:ligatures w14:val="standardContextual"/>
        </w:rPr>
        <w:t>不同制粒温度的熟化软颗粒饲料对罗非鱼生长性能的影响(见表3)</w:t>
      </w:r>
    </w:p>
    <w:p w14:paraId="38281037">
      <w:pPr>
        <w:spacing w:line="360" w:lineRule="auto"/>
        <w:ind w:firstLine="480" w:firstLineChars="200"/>
        <w:rPr>
          <w:sz w:val="24"/>
          <w14:ligatures w14:val="standardContextual"/>
        </w:rPr>
      </w:pPr>
      <w:r>
        <w:rPr>
          <w:sz w:val="24"/>
          <w14:ligatures w14:val="standardContextual"/>
        </w:rPr>
        <w:t>由表3可知，罗非鱼的末重、WGR和SGR随着制粒温度的升高呈现先降低后增加的趋势，且均在130</w:t>
      </w:r>
      <w:r>
        <w:rPr>
          <w:rFonts w:hint="eastAsia"/>
          <w:sz w:val="24"/>
          <w14:ligatures w14:val="standardContextual"/>
        </w:rPr>
        <w:t xml:space="preserve"> </w:t>
      </w:r>
      <w:r>
        <w:rPr>
          <w:sz w:val="24"/>
          <w14:ligatures w14:val="standardContextual"/>
        </w:rPr>
        <w:t>℃时达到最大值(</w:t>
      </w:r>
      <w:r>
        <w:rPr>
          <w:i/>
          <w:iCs/>
          <w:sz w:val="24"/>
          <w14:ligatures w14:val="standardContextual"/>
        </w:rPr>
        <w:t>P</w:t>
      </w:r>
      <w:r>
        <w:rPr>
          <w:sz w:val="24"/>
          <w14:ligatures w14:val="standardContextual"/>
        </w:rPr>
        <w:t>&gt;0.05)。罗非鱼全鱼CF随着制粒温度的增加呈先上升后下降的趋势，在120</w:t>
      </w:r>
      <w:r>
        <w:rPr>
          <w:rFonts w:hint="eastAsia"/>
          <w:sz w:val="24"/>
          <w14:ligatures w14:val="standardContextual"/>
        </w:rPr>
        <w:t xml:space="preserve"> </w:t>
      </w:r>
      <w:r>
        <w:rPr>
          <w:sz w:val="24"/>
          <w14:ligatures w14:val="standardContextual"/>
        </w:rPr>
        <w:t>℃时达到最大值4.29</w:t>
      </w:r>
      <w:r>
        <w:rPr>
          <w:rFonts w:hint="eastAsia"/>
          <w:sz w:val="24"/>
          <w14:ligatures w14:val="standardContextual"/>
        </w:rPr>
        <w:t xml:space="preserve"> </w:t>
      </w:r>
      <w:r>
        <w:rPr>
          <w:sz w:val="24"/>
          <w14:ligatures w14:val="standardContextual"/>
        </w:rPr>
        <w:t>g/cm</w:t>
      </w:r>
      <w:r>
        <w:rPr>
          <w:sz w:val="24"/>
          <w:vertAlign w:val="superscript"/>
          <w14:ligatures w14:val="standardContextual"/>
        </w:rPr>
        <w:t>3</w:t>
      </w:r>
      <w:r>
        <w:rPr>
          <w:sz w:val="24"/>
          <w14:ligatures w14:val="standardContextual"/>
        </w:rPr>
        <w:t>，90℃组CF显著低于其他组(</w:t>
      </w:r>
      <w:r>
        <w:rPr>
          <w:i/>
          <w:iCs/>
          <w:sz w:val="24"/>
          <w14:ligatures w14:val="standardContextual"/>
        </w:rPr>
        <w:t>P</w:t>
      </w:r>
      <w:r>
        <w:rPr>
          <w:sz w:val="24"/>
          <w14:ligatures w14:val="standardContextual"/>
        </w:rPr>
        <w:t>&lt;0.05)，其余各组间差异不显著(</w:t>
      </w:r>
      <w:r>
        <w:rPr>
          <w:i/>
          <w:iCs/>
          <w:sz w:val="24"/>
          <w14:ligatures w14:val="standardContextual"/>
        </w:rPr>
        <w:t>P</w:t>
      </w:r>
      <w:r>
        <w:rPr>
          <w:sz w:val="24"/>
          <w14:ligatures w14:val="standardContextual"/>
        </w:rPr>
        <w:t>&gt;0.05)。罗非鱼HSI随着制粒温度的增加呈先增大后减小的趋势，在100℃时达到最大值3.63</w:t>
      </w:r>
      <w:r>
        <w:rPr>
          <w:rFonts w:hint="eastAsia"/>
          <w:sz w:val="24"/>
          <w14:ligatures w14:val="standardContextual"/>
        </w:rPr>
        <w:t xml:space="preserve"> </w:t>
      </w:r>
      <w:r>
        <w:rPr>
          <w:sz w:val="24"/>
          <w14:ligatures w14:val="standardContextual"/>
        </w:rPr>
        <w:t>%，且显著高于90</w:t>
      </w:r>
      <w:r>
        <w:rPr>
          <w:rFonts w:hint="eastAsia"/>
          <w:sz w:val="24"/>
          <w14:ligatures w14:val="standardContextual"/>
        </w:rPr>
        <w:t xml:space="preserve"> </w:t>
      </w:r>
      <w:r>
        <w:rPr>
          <w:sz w:val="24"/>
          <w14:ligatures w14:val="standardContextual"/>
        </w:rPr>
        <w:t>℃组、120</w:t>
      </w:r>
      <w:r>
        <w:rPr>
          <w:rFonts w:hint="eastAsia"/>
          <w:sz w:val="24"/>
          <w14:ligatures w14:val="standardContextual"/>
        </w:rPr>
        <w:t xml:space="preserve"> </w:t>
      </w:r>
      <w:r>
        <w:rPr>
          <w:sz w:val="24"/>
          <w14:ligatures w14:val="standardContextual"/>
        </w:rPr>
        <w:t>℃组和130</w:t>
      </w:r>
      <w:r>
        <w:rPr>
          <w:rFonts w:hint="eastAsia"/>
          <w:sz w:val="24"/>
          <w14:ligatures w14:val="standardContextual"/>
        </w:rPr>
        <w:t xml:space="preserve"> </w:t>
      </w:r>
      <w:r>
        <w:rPr>
          <w:sz w:val="24"/>
          <w14:ligatures w14:val="standardContextual"/>
        </w:rPr>
        <w:t>℃组(</w:t>
      </w:r>
      <w:r>
        <w:rPr>
          <w:i/>
          <w:iCs/>
          <w:sz w:val="24"/>
          <w14:ligatures w14:val="standardContextual"/>
        </w:rPr>
        <w:t>P</w:t>
      </w:r>
      <w:r>
        <w:rPr>
          <w:sz w:val="24"/>
          <w14:ligatures w14:val="standardContextual"/>
        </w:rPr>
        <w:t>&lt;0.05)。罗非鱼VR在10.35</w:t>
      </w:r>
      <w:r>
        <w:rPr>
          <w:rFonts w:hint="eastAsia"/>
          <w:sz w:val="24"/>
          <w14:ligatures w14:val="standardContextual"/>
        </w:rPr>
        <w:t xml:space="preserve"> </w:t>
      </w:r>
      <w:r>
        <w:rPr>
          <w:sz w:val="24"/>
          <w14:ligatures w14:val="standardContextual"/>
        </w:rPr>
        <w:t>%~11.70</w:t>
      </w:r>
      <w:r>
        <w:rPr>
          <w:rFonts w:hint="eastAsia"/>
          <w:sz w:val="24"/>
          <w14:ligatures w14:val="standardContextual"/>
        </w:rPr>
        <w:t xml:space="preserve"> </w:t>
      </w:r>
      <w:r>
        <w:rPr>
          <w:sz w:val="24"/>
          <w14:ligatures w14:val="standardContextual"/>
        </w:rPr>
        <w:t>%之间，各组之间差异不显著(</w:t>
      </w:r>
      <w:r>
        <w:rPr>
          <w:i/>
          <w:iCs/>
          <w:sz w:val="24"/>
          <w14:ligatures w14:val="standardContextual"/>
        </w:rPr>
        <w:t>P</w:t>
      </w:r>
      <w:r>
        <w:rPr>
          <w:sz w:val="24"/>
          <w14:ligatures w14:val="standardContextual"/>
        </w:rPr>
        <w:t>&gt;0.05)。130℃组罗非鱼的头长/体长达到最大值0.30，显著高于其他处组(</w:t>
      </w:r>
      <w:r>
        <w:rPr>
          <w:i/>
          <w:iCs/>
          <w:sz w:val="24"/>
          <w14:ligatures w14:val="standardContextual"/>
        </w:rPr>
        <w:t>P</w:t>
      </w:r>
      <w:r>
        <w:rPr>
          <w:sz w:val="24"/>
          <w14:ligatures w14:val="standardContextual"/>
        </w:rPr>
        <w:t>&lt;0.05)。罗非鱼的体高/体长在0.41~0.42之间(</w:t>
      </w:r>
      <w:r>
        <w:rPr>
          <w:i/>
          <w:iCs/>
          <w:sz w:val="24"/>
          <w14:ligatures w14:val="standardContextual"/>
        </w:rPr>
        <w:t>P</w:t>
      </w:r>
      <w:r>
        <w:rPr>
          <w:sz w:val="24"/>
          <w14:ligatures w14:val="standardContextual"/>
        </w:rPr>
        <w:t>&gt;0.05)。</w:t>
      </w:r>
    </w:p>
    <w:p w14:paraId="1CFCD763">
      <w:pPr>
        <w:spacing w:line="360" w:lineRule="auto"/>
        <w:jc w:val="center"/>
        <w:rPr>
          <w:sz w:val="24"/>
          <w14:ligatures w14:val="standardContextual"/>
        </w:rPr>
      </w:pPr>
      <w:r>
        <w:rPr>
          <w:sz w:val="24"/>
          <w14:ligatures w14:val="standardContextual"/>
        </w:rPr>
        <w:drawing>
          <wp:inline distT="0" distB="0" distL="0" distR="0">
            <wp:extent cx="5735955" cy="2679700"/>
            <wp:effectExtent l="0" t="0" r="0" b="6350"/>
            <wp:docPr id="1672727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27139" name="图片 1"/>
                    <pic:cNvPicPr>
                      <a:picLocks noChangeAspect="1"/>
                    </pic:cNvPicPr>
                  </pic:nvPicPr>
                  <pic:blipFill>
                    <a:blip r:embed="rId39"/>
                    <a:stretch>
                      <a:fillRect/>
                    </a:stretch>
                  </pic:blipFill>
                  <pic:spPr>
                    <a:xfrm>
                      <a:off x="0" y="0"/>
                      <a:ext cx="5739826" cy="2681258"/>
                    </a:xfrm>
                    <a:prstGeom prst="rect">
                      <a:avLst/>
                    </a:prstGeom>
                  </pic:spPr>
                </pic:pic>
              </a:graphicData>
            </a:graphic>
          </wp:inline>
        </w:drawing>
      </w:r>
    </w:p>
    <w:p w14:paraId="6C9AC48F">
      <w:pPr>
        <w:spacing w:line="360" w:lineRule="auto"/>
        <w:rPr>
          <w:sz w:val="24"/>
          <w14:ligatures w14:val="standardContextual"/>
        </w:rPr>
      </w:pPr>
      <w:r>
        <w:rPr>
          <w:sz w:val="24"/>
          <w14:ligatures w14:val="standardContextual"/>
        </w:rPr>
        <w:t>2.7</w:t>
      </w:r>
      <w:r>
        <w:rPr>
          <w:rFonts w:hint="eastAsia"/>
          <w:sz w:val="24"/>
          <w14:ligatures w14:val="standardContextual"/>
        </w:rPr>
        <w:t xml:space="preserve">  </w:t>
      </w:r>
      <w:r>
        <w:rPr>
          <w:sz w:val="24"/>
          <w14:ligatures w14:val="standardContextual"/>
        </w:rPr>
        <w:t>不同制粒温度的熟化软颗粒饲料对罗非鱼全鱼体成分的影响(见表4)</w:t>
      </w:r>
    </w:p>
    <w:p w14:paraId="244F7633">
      <w:pPr>
        <w:spacing w:line="360" w:lineRule="auto"/>
        <w:ind w:firstLine="480" w:firstLineChars="200"/>
        <w:rPr>
          <w:sz w:val="24"/>
          <w14:ligatures w14:val="standardContextual"/>
        </w:rPr>
      </w:pPr>
      <w:r>
        <w:rPr>
          <w:sz w:val="24"/>
          <w14:ligatures w14:val="standardContextual"/>
        </w:rPr>
        <w:t>由表4可知，随着制粒温度的升高，罗非鱼粗蛋白含量差异不显著(</w:t>
      </w:r>
      <w:r>
        <w:rPr>
          <w:i/>
          <w:iCs/>
          <w:sz w:val="24"/>
          <w14:ligatures w14:val="standardContextual"/>
        </w:rPr>
        <w:t>P</w:t>
      </w:r>
      <w:r>
        <w:rPr>
          <w:sz w:val="24"/>
          <w14:ligatures w14:val="standardContextual"/>
        </w:rPr>
        <w:t>&gt;0.05)。120</w:t>
      </w:r>
      <w:r>
        <w:rPr>
          <w:rFonts w:hint="eastAsia"/>
          <w:sz w:val="24"/>
          <w14:ligatures w14:val="standardContextual"/>
        </w:rPr>
        <w:t xml:space="preserve"> </w:t>
      </w:r>
      <w:r>
        <w:rPr>
          <w:sz w:val="24"/>
          <w14:ligatures w14:val="standardContextual"/>
        </w:rPr>
        <w:t>℃组全鱼粗脂肪含量最低，为25.57%，显著低于其他组(</w:t>
      </w:r>
      <w:r>
        <w:rPr>
          <w:i/>
          <w:iCs/>
          <w:sz w:val="24"/>
          <w14:ligatures w14:val="standardContextual"/>
        </w:rPr>
        <w:t>P</w:t>
      </w:r>
      <w:r>
        <w:rPr>
          <w:sz w:val="24"/>
          <w14:ligatures w14:val="standardContextual"/>
        </w:rPr>
        <w:t>&lt;0.05)。粗灰分含量随着制粒温度的上升总体呈降低趋势，130℃组全鱼粗灰分含量达到最小值13.60%，显著低于90℃组和120℃组(</w:t>
      </w:r>
      <w:r>
        <w:rPr>
          <w:i/>
          <w:iCs/>
          <w:sz w:val="24"/>
          <w14:ligatures w14:val="standardContextual"/>
        </w:rPr>
        <w:t>P</w:t>
      </w:r>
      <w:r>
        <w:rPr>
          <w:sz w:val="24"/>
          <w14:ligatures w14:val="standardContextual"/>
        </w:rPr>
        <w:t>&lt;0.05)。</w:t>
      </w:r>
    </w:p>
    <w:p w14:paraId="476BA9F6">
      <w:pPr>
        <w:spacing w:line="360" w:lineRule="auto"/>
        <w:jc w:val="center"/>
        <w:rPr>
          <w:sz w:val="24"/>
          <w14:ligatures w14:val="standardContextual"/>
        </w:rPr>
      </w:pPr>
      <w:r>
        <w:rPr>
          <w:sz w:val="24"/>
          <w14:ligatures w14:val="standardContextual"/>
        </w:rPr>
        <w:drawing>
          <wp:inline distT="0" distB="0" distL="0" distR="0">
            <wp:extent cx="5654040" cy="1569720"/>
            <wp:effectExtent l="0" t="0" r="3810" b="0"/>
            <wp:docPr id="157111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1858" name="图片 1"/>
                    <pic:cNvPicPr>
                      <a:picLocks noChangeAspect="1"/>
                    </pic:cNvPicPr>
                  </pic:nvPicPr>
                  <pic:blipFill>
                    <a:blip r:embed="rId40"/>
                    <a:stretch>
                      <a:fillRect/>
                    </a:stretch>
                  </pic:blipFill>
                  <pic:spPr>
                    <a:xfrm>
                      <a:off x="0" y="0"/>
                      <a:ext cx="5666879" cy="1573299"/>
                    </a:xfrm>
                    <a:prstGeom prst="rect">
                      <a:avLst/>
                    </a:prstGeom>
                  </pic:spPr>
                </pic:pic>
              </a:graphicData>
            </a:graphic>
          </wp:inline>
        </w:drawing>
      </w:r>
    </w:p>
    <w:p w14:paraId="134ECB8F">
      <w:pPr>
        <w:spacing w:line="360" w:lineRule="auto"/>
        <w:rPr>
          <w:sz w:val="24"/>
          <w14:ligatures w14:val="standardContextual"/>
        </w:rPr>
      </w:pPr>
      <w:r>
        <w:rPr>
          <w:sz w:val="24"/>
          <w14:ligatures w14:val="standardContextual"/>
        </w:rPr>
        <w:t>3</w:t>
      </w:r>
      <w:r>
        <w:rPr>
          <w:rFonts w:hint="eastAsia"/>
          <w:sz w:val="24"/>
          <w14:ligatures w14:val="standardContextual"/>
        </w:rPr>
        <w:t xml:space="preserve">  </w:t>
      </w:r>
      <w:r>
        <w:rPr>
          <w:sz w:val="24"/>
          <w14:ligatures w14:val="standardContextual"/>
        </w:rPr>
        <w:t>讨论</w:t>
      </w:r>
    </w:p>
    <w:p w14:paraId="6C891AD8">
      <w:pPr>
        <w:spacing w:line="360" w:lineRule="auto"/>
        <w:rPr>
          <w:sz w:val="24"/>
          <w14:ligatures w14:val="standardContextual"/>
        </w:rPr>
      </w:pPr>
      <w:r>
        <w:rPr>
          <w:sz w:val="24"/>
          <w14:ligatures w14:val="standardContextual"/>
        </w:rPr>
        <w:t>3.1</w:t>
      </w:r>
      <w:r>
        <w:rPr>
          <w:rFonts w:hint="eastAsia"/>
          <w:sz w:val="24"/>
          <w14:ligatures w14:val="standardContextual"/>
        </w:rPr>
        <w:t xml:space="preserve">  </w:t>
      </w:r>
      <w:r>
        <w:rPr>
          <w:sz w:val="24"/>
          <w14:ligatures w14:val="standardContextual"/>
        </w:rPr>
        <w:t>不同制粒温度对熟化软颗粒饲料品质的影响</w:t>
      </w:r>
    </w:p>
    <w:p w14:paraId="160E6EAD">
      <w:pPr>
        <w:spacing w:line="360" w:lineRule="auto"/>
        <w:ind w:firstLine="480" w:firstLineChars="200"/>
        <w:rPr>
          <w:sz w:val="24"/>
          <w14:ligatures w14:val="standardContextual"/>
        </w:rPr>
      </w:pPr>
      <w:r>
        <w:rPr>
          <w:sz w:val="24"/>
          <w14:ligatures w14:val="standardContextual"/>
        </w:rPr>
        <w:t>内聚性是物质内部的黏合力，即物质内部聚合在一起的内聚力(内应力)。若饲料内聚性过小，则会导致熟化软颗粒饲料粉化率过高、耐水性差。饲料硬度是其外观质量的重要指标之一，影响着饲料的适口性。研究表明，硬度与内聚力呈正相关</w:t>
      </w:r>
      <w:r>
        <w:rPr>
          <w:sz w:val="24"/>
          <w:vertAlign w:val="superscript"/>
          <w14:ligatures w14:val="standardContextual"/>
        </w:rPr>
        <w:t>[22]</w:t>
      </w:r>
      <w:r>
        <w:rPr>
          <w:sz w:val="24"/>
          <w14:ligatures w14:val="standardContextual"/>
        </w:rPr>
        <w:t>，这与本试验结果一致。饲料的硬度和内聚性均随制粒温度的升高呈先上升后下降的趋势，并在120</w:t>
      </w:r>
      <w:r>
        <w:rPr>
          <w:rFonts w:hint="eastAsia"/>
          <w:sz w:val="24"/>
          <w14:ligatures w14:val="standardContextual"/>
        </w:rPr>
        <w:t xml:space="preserve"> </w:t>
      </w:r>
      <w:r>
        <w:rPr>
          <w:sz w:val="24"/>
          <w14:ligatures w14:val="standardContextual"/>
        </w:rPr>
        <w:t>℃达到最大值。当制粒温度低于120</w:t>
      </w:r>
      <w:r>
        <w:rPr>
          <w:rFonts w:hint="eastAsia"/>
          <w:sz w:val="24"/>
          <w14:ligatures w14:val="standardContextual"/>
        </w:rPr>
        <w:t xml:space="preserve"> </w:t>
      </w:r>
      <w:r>
        <w:rPr>
          <w:sz w:val="24"/>
          <w14:ligatures w14:val="standardContextual"/>
        </w:rPr>
        <w:t>℃时，硬度呈上升趋势，这可能是由于随着制粒温度的升高，颗粒饲料的致密度和稳定性增加。制粒温度的升高会促进水分蒸发，降低饲料中的水分含量，增加饲料硬度</w:t>
      </w:r>
      <w:r>
        <w:rPr>
          <w:sz w:val="24"/>
          <w:vertAlign w:val="superscript"/>
          <w14:ligatures w14:val="standardContextual"/>
        </w:rPr>
        <w:t>[23]</w:t>
      </w:r>
      <w:r>
        <w:rPr>
          <w:sz w:val="24"/>
          <w14:ligatures w14:val="standardContextual"/>
        </w:rPr>
        <w:t>。当制粒温度为120</w:t>
      </w:r>
      <w:r>
        <w:rPr>
          <w:rFonts w:hint="eastAsia"/>
          <w:sz w:val="24"/>
          <w14:ligatures w14:val="standardContextual"/>
        </w:rPr>
        <w:t xml:space="preserve"> </w:t>
      </w:r>
      <w:r>
        <w:rPr>
          <w:sz w:val="24"/>
          <w14:ligatures w14:val="standardContextual"/>
        </w:rPr>
        <w:t>℃时，硬度达到最大值，这可能与饲料中粗脂肪和水分含量在120℃明显减少有关。研究表明，脂肪在饲料中具有润滑作用，脂肪含量越高，粉化率越高，硬度越小</w:t>
      </w:r>
      <w:r>
        <w:rPr>
          <w:sz w:val="24"/>
          <w:vertAlign w:val="superscript"/>
          <w14:ligatures w14:val="standardContextual"/>
        </w:rPr>
        <w:t>[24]</w:t>
      </w:r>
      <w:r>
        <w:rPr>
          <w:sz w:val="24"/>
          <w14:ligatures w14:val="standardContextual"/>
        </w:rPr>
        <w:t>。当制粒温度超过120</w:t>
      </w:r>
      <w:r>
        <w:rPr>
          <w:rFonts w:hint="eastAsia"/>
          <w:sz w:val="24"/>
          <w14:ligatures w14:val="standardContextual"/>
        </w:rPr>
        <w:t xml:space="preserve"> </w:t>
      </w:r>
      <w:r>
        <w:rPr>
          <w:sz w:val="24"/>
          <w14:ligatures w14:val="standardContextual"/>
        </w:rPr>
        <w:t>℃时，饲料中水分快速蒸发，物料黏度降低，从而导致饲料颗粒硬度下降</w:t>
      </w:r>
      <w:r>
        <w:rPr>
          <w:sz w:val="24"/>
          <w:vertAlign w:val="superscript"/>
          <w14:ligatures w14:val="standardContextual"/>
        </w:rPr>
        <w:t>[25]</w:t>
      </w:r>
      <w:r>
        <w:rPr>
          <w:sz w:val="24"/>
          <w14:ligatures w14:val="standardContextual"/>
        </w:rPr>
        <w:t>。</w:t>
      </w:r>
    </w:p>
    <w:p w14:paraId="627981B5">
      <w:pPr>
        <w:spacing w:line="360" w:lineRule="auto"/>
        <w:rPr>
          <w:sz w:val="24"/>
          <w14:ligatures w14:val="standardContextual"/>
        </w:rPr>
      </w:pPr>
      <w:r>
        <w:rPr>
          <w:sz w:val="24"/>
          <w14:ligatures w14:val="standardContextual"/>
        </w:rPr>
        <w:t>3.2</w:t>
      </w:r>
      <w:r>
        <w:rPr>
          <w:rFonts w:hint="eastAsia"/>
          <w:sz w:val="24"/>
          <w14:ligatures w14:val="standardContextual"/>
        </w:rPr>
        <w:t xml:space="preserve">  </w:t>
      </w:r>
      <w:r>
        <w:rPr>
          <w:sz w:val="24"/>
          <w14:ligatures w14:val="standardContextual"/>
        </w:rPr>
        <w:t>不同制粒温度对熟化软颗粒饲料下沉速度的影响</w:t>
      </w:r>
    </w:p>
    <w:p w14:paraId="77E133D2">
      <w:pPr>
        <w:spacing w:line="360" w:lineRule="auto"/>
        <w:ind w:firstLine="480" w:firstLineChars="200"/>
        <w:rPr>
          <w:sz w:val="24"/>
          <w14:ligatures w14:val="standardContextual"/>
        </w:rPr>
      </w:pPr>
      <w:r>
        <w:rPr>
          <w:sz w:val="24"/>
          <w14:ligatures w14:val="standardContextual"/>
        </w:rPr>
        <w:t>饲料的下沉速度是评价水产饲料浮沉性的关键指标之一。在本试验中，随着制粒温度的升高，饲料的下沉速度先升高后下降。当制粒温度为120</w:t>
      </w:r>
      <w:r>
        <w:rPr>
          <w:rFonts w:hint="eastAsia"/>
          <w:sz w:val="24"/>
          <w14:ligatures w14:val="standardContextual"/>
        </w:rPr>
        <w:t xml:space="preserve"> </w:t>
      </w:r>
      <w:r>
        <w:rPr>
          <w:sz w:val="24"/>
          <w14:ligatures w14:val="standardContextual"/>
        </w:rPr>
        <w:t>℃时，饲料的下沉速度显著高于其他处理。这可能是由于120</w:t>
      </w:r>
      <w:r>
        <w:rPr>
          <w:rFonts w:hint="eastAsia"/>
          <w:sz w:val="24"/>
          <w14:ligatures w14:val="standardContextual"/>
        </w:rPr>
        <w:t xml:space="preserve"> </w:t>
      </w:r>
      <w:r>
        <w:rPr>
          <w:sz w:val="24"/>
          <w14:ligatures w14:val="standardContextual"/>
        </w:rPr>
        <w:t>℃时饲料内聚力和黏度最大，颗粒更紧实，质量较大，导致下沉速度较快。</w:t>
      </w:r>
    </w:p>
    <w:p w14:paraId="1E23C069">
      <w:pPr>
        <w:spacing w:line="360" w:lineRule="auto"/>
        <w:rPr>
          <w:sz w:val="24"/>
          <w14:ligatures w14:val="standardContextual"/>
        </w:rPr>
      </w:pPr>
      <w:r>
        <w:rPr>
          <w:sz w:val="24"/>
          <w14:ligatures w14:val="standardContextual"/>
        </w:rPr>
        <w:t>3.3</w:t>
      </w:r>
      <w:r>
        <w:rPr>
          <w:rFonts w:hint="eastAsia"/>
          <w:sz w:val="24"/>
          <w14:ligatures w14:val="standardContextual"/>
        </w:rPr>
        <w:t xml:space="preserve">  </w:t>
      </w:r>
      <w:r>
        <w:rPr>
          <w:sz w:val="24"/>
          <w14:ligatures w14:val="standardContextual"/>
        </w:rPr>
        <w:t>不同制粒温度对熟化软颗粒饲料溶失率的影响</w:t>
      </w:r>
    </w:p>
    <w:p w14:paraId="34416361">
      <w:pPr>
        <w:spacing w:line="360" w:lineRule="auto"/>
        <w:ind w:firstLine="480" w:firstLineChars="200"/>
        <w:rPr>
          <w:sz w:val="24"/>
          <w14:ligatures w14:val="standardContextual"/>
        </w:rPr>
      </w:pPr>
      <w:r>
        <w:rPr>
          <w:sz w:val="24"/>
          <w14:ligatures w14:val="standardContextual"/>
        </w:rPr>
        <w:t>饲料溶失率是衡量水产颗粒饲料质量的重要综合性指标。溶失率过高不仅会增加饲料成本，还会影响鱼类对营养物质的利用率，并增加水质污染的风险</w:t>
      </w:r>
      <w:r>
        <w:rPr>
          <w:sz w:val="24"/>
          <w:vertAlign w:val="superscript"/>
          <w14:ligatures w14:val="standardContextual"/>
        </w:rPr>
        <w:t>[26]</w:t>
      </w:r>
      <w:r>
        <w:rPr>
          <w:sz w:val="24"/>
          <w14:ligatures w14:val="standardContextual"/>
        </w:rPr>
        <w:t>。本试验结果显示，当制粒温度超过100</w:t>
      </w:r>
      <w:r>
        <w:rPr>
          <w:rFonts w:hint="eastAsia"/>
          <w:sz w:val="24"/>
          <w14:ligatures w14:val="standardContextual"/>
        </w:rPr>
        <w:t xml:space="preserve"> </w:t>
      </w:r>
      <w:r>
        <w:rPr>
          <w:sz w:val="24"/>
          <w14:ligatures w14:val="standardContextual"/>
        </w:rPr>
        <w:t>℃时，饲料溶失率显著降低，但120</w:t>
      </w:r>
      <w:r>
        <w:rPr>
          <w:rFonts w:hint="eastAsia"/>
          <w:sz w:val="24"/>
          <w14:ligatures w14:val="standardContextual"/>
        </w:rPr>
        <w:t xml:space="preserve"> </w:t>
      </w:r>
      <w:r>
        <w:rPr>
          <w:sz w:val="24"/>
          <w14:ligatures w14:val="standardContextual"/>
        </w:rPr>
        <w:t>℃溶失率显著高于110、130</w:t>
      </w:r>
      <w:r>
        <w:rPr>
          <w:rFonts w:hint="eastAsia"/>
          <w:sz w:val="24"/>
          <w14:ligatures w14:val="standardContextual"/>
        </w:rPr>
        <w:t xml:space="preserve"> </w:t>
      </w:r>
      <w:r>
        <w:rPr>
          <w:sz w:val="24"/>
          <w14:ligatures w14:val="standardContextual"/>
        </w:rPr>
        <w:t>℃。这可能是120</w:t>
      </w:r>
      <w:r>
        <w:rPr>
          <w:rFonts w:hint="eastAsia"/>
          <w:sz w:val="24"/>
          <w14:ligatures w14:val="standardContextual"/>
        </w:rPr>
        <w:t xml:space="preserve"> </w:t>
      </w:r>
      <w:r>
        <w:rPr>
          <w:sz w:val="24"/>
          <w14:ligatures w14:val="standardContextual"/>
        </w:rPr>
        <w:t>℃时饲料黏度较高，影响了制粒效果，导致饲料表面粗糙，感官指标不佳，从而使饲料溶失率增大。有研究指出，制粒温度升高会使饲料的溶失率先显著降低，随后保持稳定</w:t>
      </w:r>
      <w:r>
        <w:rPr>
          <w:sz w:val="24"/>
          <w:vertAlign w:val="superscript"/>
          <w14:ligatures w14:val="standardContextual"/>
        </w:rPr>
        <w:t>[27]</w:t>
      </w:r>
      <w:r>
        <w:rPr>
          <w:sz w:val="24"/>
          <w14:ligatures w14:val="standardContextual"/>
        </w:rPr>
        <w:t>，这与本研究结果一致。</w:t>
      </w:r>
    </w:p>
    <w:p w14:paraId="4965C45A">
      <w:pPr>
        <w:spacing w:line="360" w:lineRule="auto"/>
        <w:rPr>
          <w:sz w:val="24"/>
          <w14:ligatures w14:val="standardContextual"/>
        </w:rPr>
      </w:pPr>
      <w:r>
        <w:rPr>
          <w:sz w:val="24"/>
          <w14:ligatures w14:val="standardContextual"/>
        </w:rPr>
        <w:t>3.4</w:t>
      </w:r>
      <w:r>
        <w:rPr>
          <w:rFonts w:hint="eastAsia"/>
          <w:sz w:val="24"/>
          <w14:ligatures w14:val="standardContextual"/>
        </w:rPr>
        <w:t xml:space="preserve">  </w:t>
      </w:r>
      <w:r>
        <w:rPr>
          <w:sz w:val="24"/>
          <w14:ligatures w14:val="standardContextual"/>
        </w:rPr>
        <w:t>不同制粒温度对熟化软颗粒饲料淀粉糊化度的影响</w:t>
      </w:r>
    </w:p>
    <w:p w14:paraId="39D60B86">
      <w:pPr>
        <w:spacing w:line="360" w:lineRule="auto"/>
        <w:ind w:firstLine="480" w:firstLineChars="200"/>
        <w:rPr>
          <w:sz w:val="24"/>
          <w14:ligatures w14:val="standardContextual"/>
        </w:rPr>
      </w:pPr>
      <w:r>
        <w:rPr>
          <w:sz w:val="24"/>
          <w14:ligatures w14:val="standardContextual"/>
        </w:rPr>
        <w:t>饲料淀粉糊化度是评价颗粒饲料加工质量的重要指标之一。饲料淀粉糊化度越高，越容易被酶水解，越有利于动物的消化吸收</w:t>
      </w:r>
      <w:r>
        <w:rPr>
          <w:sz w:val="24"/>
          <w:vertAlign w:val="superscript"/>
          <w14:ligatures w14:val="standardContextual"/>
        </w:rPr>
        <w:t>[28-29]</w:t>
      </w:r>
      <w:r>
        <w:rPr>
          <w:sz w:val="24"/>
          <w14:ligatures w14:val="standardContextual"/>
        </w:rPr>
        <w:t>。研究表明，在其他条件相同的情况下，提高制粒温度会显著增加饲料的淀粉糊化度</w:t>
      </w:r>
      <w:r>
        <w:rPr>
          <w:sz w:val="24"/>
          <w:vertAlign w:val="superscript"/>
          <w14:ligatures w14:val="standardContextual"/>
        </w:rPr>
        <w:t>[30]</w:t>
      </w:r>
      <w:r>
        <w:rPr>
          <w:sz w:val="24"/>
          <w14:ligatures w14:val="standardContextual"/>
        </w:rPr>
        <w:t>，这与本研究结果一致。原因可能是随着制粒温度的升高，进入淀粉颗粒无定形区的水分子增多，导致淀粉颗粒急剧膨胀，淀粉分子间的缔合状态被破坏，结晶区的稳定性降低，促使淀粉糊化度增加。</w:t>
      </w:r>
    </w:p>
    <w:p w14:paraId="3B73086C">
      <w:pPr>
        <w:spacing w:line="360" w:lineRule="auto"/>
        <w:rPr>
          <w:sz w:val="24"/>
          <w14:ligatures w14:val="standardContextual"/>
        </w:rPr>
      </w:pPr>
      <w:r>
        <w:rPr>
          <w:sz w:val="24"/>
          <w14:ligatures w14:val="standardContextual"/>
        </w:rPr>
        <w:t>3.5</w:t>
      </w:r>
      <w:r>
        <w:rPr>
          <w:rFonts w:hint="eastAsia"/>
          <w:sz w:val="24"/>
          <w14:ligatures w14:val="standardContextual"/>
        </w:rPr>
        <w:t xml:space="preserve">  </w:t>
      </w:r>
      <w:r>
        <w:rPr>
          <w:sz w:val="24"/>
          <w14:ligatures w14:val="standardContextual"/>
        </w:rPr>
        <w:t>不同制粒温度对熟化软颗粒饲料营养成分的影响</w:t>
      </w:r>
    </w:p>
    <w:p w14:paraId="79E72A39">
      <w:pPr>
        <w:spacing w:line="360" w:lineRule="auto"/>
        <w:ind w:firstLine="480" w:firstLineChars="200"/>
        <w:rPr>
          <w:sz w:val="24"/>
          <w14:ligatures w14:val="standardContextual"/>
        </w:rPr>
      </w:pPr>
      <w:r>
        <w:rPr>
          <w:sz w:val="24"/>
          <w14:ligatures w14:val="standardContextual"/>
        </w:rPr>
        <w:t>本试验研究表明，随着制粒温度的升高(90~120</w:t>
      </w:r>
      <w:r>
        <w:rPr>
          <w:rFonts w:hint="eastAsia"/>
          <w:sz w:val="24"/>
          <w14:ligatures w14:val="standardContextual"/>
        </w:rPr>
        <w:t xml:space="preserve"> </w:t>
      </w:r>
      <w:r>
        <w:rPr>
          <w:sz w:val="24"/>
          <w14:ligatures w14:val="standardContextual"/>
        </w:rPr>
        <w:t>℃)，饲料粗脂肪含量呈下降趋势。这可能是由于不同脂肪酸在高温下发生水解、氧化及聚合等多种化学反应，导致不饱和脂肪酸含量降低</w:t>
      </w:r>
      <w:r>
        <w:rPr>
          <w:sz w:val="24"/>
          <w:vertAlign w:val="superscript"/>
          <w14:ligatures w14:val="standardContextual"/>
        </w:rPr>
        <w:t>[31]</w:t>
      </w:r>
      <w:r>
        <w:rPr>
          <w:sz w:val="24"/>
          <w14:ligatures w14:val="standardContextual"/>
        </w:rPr>
        <w:t>。此外，较高的制粒温度可能导致淀粉-蛋白质和淀粉-脂质复合物的形成，从而降低热不稳定营养素的消化率，抑制动物小肠对营养素的吸收</w:t>
      </w:r>
      <w:r>
        <w:rPr>
          <w:sz w:val="24"/>
          <w:vertAlign w:val="superscript"/>
          <w14:ligatures w14:val="standardContextual"/>
        </w:rPr>
        <w:t>[32-34]</w:t>
      </w:r>
      <w:r>
        <w:rPr>
          <w:sz w:val="24"/>
          <w14:ligatures w14:val="standardContextual"/>
        </w:rPr>
        <w:t>。本试验还发现，制粒温度对饲料粗蛋白含量无显著影响，与前人研究结果一致</w:t>
      </w:r>
      <w:r>
        <w:rPr>
          <w:sz w:val="24"/>
          <w:vertAlign w:val="superscript"/>
          <w14:ligatures w14:val="standardContextual"/>
        </w:rPr>
        <w:t>[35]</w:t>
      </w:r>
      <w:r>
        <w:rPr>
          <w:sz w:val="24"/>
          <w14:ligatures w14:val="standardContextual"/>
        </w:rPr>
        <w:t>。原因可能是制粒温度升高会促进蛋白质变性，降低蛋白质效价，但对粗蛋白的含量无显著影响</w:t>
      </w:r>
      <w:r>
        <w:rPr>
          <w:sz w:val="24"/>
          <w:vertAlign w:val="superscript"/>
          <w14:ligatures w14:val="standardContextual"/>
        </w:rPr>
        <w:t>[36]</w:t>
      </w:r>
      <w:r>
        <w:rPr>
          <w:sz w:val="24"/>
          <w14:ligatures w14:val="standardContextual"/>
        </w:rPr>
        <w:t>。</w:t>
      </w:r>
    </w:p>
    <w:p w14:paraId="79F38A8B">
      <w:pPr>
        <w:spacing w:line="360" w:lineRule="auto"/>
        <w:rPr>
          <w:sz w:val="24"/>
          <w14:ligatures w14:val="standardContextual"/>
        </w:rPr>
      </w:pPr>
      <w:r>
        <w:rPr>
          <w:sz w:val="24"/>
          <w14:ligatures w14:val="standardContextual"/>
        </w:rPr>
        <w:t>3.6</w:t>
      </w:r>
      <w:r>
        <w:rPr>
          <w:rFonts w:hint="eastAsia"/>
          <w:sz w:val="24"/>
          <w14:ligatures w14:val="standardContextual"/>
        </w:rPr>
        <w:t xml:space="preserve">  </w:t>
      </w:r>
      <w:r>
        <w:rPr>
          <w:sz w:val="24"/>
          <w14:ligatures w14:val="standardContextual"/>
        </w:rPr>
        <w:t>不同制粒温度饲料对罗非鱼生长性能和全鱼体成分的影响</w:t>
      </w:r>
    </w:p>
    <w:p w14:paraId="52B30B98">
      <w:pPr>
        <w:spacing w:line="360" w:lineRule="auto"/>
        <w:ind w:firstLine="480" w:firstLineChars="200"/>
        <w:rPr>
          <w:sz w:val="24"/>
          <w14:ligatures w14:val="standardContextual"/>
        </w:rPr>
      </w:pPr>
      <w:r>
        <w:rPr>
          <w:sz w:val="24"/>
          <w14:ligatures w14:val="standardContextual"/>
        </w:rPr>
        <w:t>本试验发现，罗非鱼的末重、WGR和SGR随着制粒温度的升高呈先下降后上升的趋势。这可能是因为制粒温度升高后，饲料的淀粉糊化度增加，破坏了植物的细胞壁，促使营养物质从糊粉层细胞中释放出来，且高温可以促进蛋白质变性，提高蛋白质的利用率，从而提高动物对变性蛋白质的消化率</w:t>
      </w:r>
      <w:r>
        <w:rPr>
          <w:sz w:val="24"/>
          <w:vertAlign w:val="superscript"/>
          <w14:ligatures w14:val="standardContextual"/>
        </w:rPr>
        <w:t>[37]</w:t>
      </w:r>
      <w:r>
        <w:rPr>
          <w:sz w:val="24"/>
          <w14:ligatures w14:val="standardContextual"/>
        </w:rPr>
        <w:t>。制粒过程中的高温、高压能够杀灭多种微生物和细菌，起到消除或缓解有毒有害成分的作用。CF</w:t>
      </w:r>
      <w:r>
        <w:rPr>
          <w:sz w:val="24"/>
          <w:vertAlign w:val="superscript"/>
          <w14:ligatures w14:val="standardContextual"/>
        </w:rPr>
        <w:t>[38]</w:t>
      </w:r>
      <w:r>
        <w:rPr>
          <w:sz w:val="24"/>
          <w14:ligatures w14:val="standardContextual"/>
        </w:rPr>
        <w:t>、VR和HSI</w:t>
      </w:r>
      <w:r>
        <w:rPr>
          <w:sz w:val="24"/>
          <w:vertAlign w:val="superscript"/>
          <w14:ligatures w14:val="standardContextual"/>
        </w:rPr>
        <w:t>[39]</w:t>
      </w:r>
      <w:r>
        <w:rPr>
          <w:sz w:val="24"/>
          <w14:ligatures w14:val="standardContextual"/>
        </w:rPr>
        <w:t>是判断鱼类发育程度和生长状况的重要指标。本试验中，制粒温度对罗非鱼的VR和体高/体长均无显著影响。CF随着制粒温度的升高呈先上升后下降的趋势，其中90℃组显著低于其他组。这可能是由于随着制粒温度的升高，饲料脂肪发生氧化分解，生成脂肪酸，导致罗非鱼容易摄入更多的脂肪。鱼体粗脂肪含量大体呈先降低后上升的趋势。这可能是由于在120</w:t>
      </w:r>
      <w:r>
        <w:rPr>
          <w:rFonts w:hint="eastAsia"/>
          <w:sz w:val="24"/>
          <w14:ligatures w14:val="standardContextual"/>
        </w:rPr>
        <w:t xml:space="preserve"> </w:t>
      </w:r>
      <w:r>
        <w:rPr>
          <w:sz w:val="24"/>
          <w14:ligatures w14:val="standardContextual"/>
        </w:rPr>
        <w:t>℃制粒时，饲料粗脂肪含量最低，罗非鱼摄入量较少，其全鱼粗脂肪含量低于其他组。</w:t>
      </w:r>
    </w:p>
    <w:p w14:paraId="04EC3B7C">
      <w:pPr>
        <w:spacing w:line="360" w:lineRule="auto"/>
        <w:rPr>
          <w:sz w:val="24"/>
          <w14:ligatures w14:val="standardContextual"/>
        </w:rPr>
      </w:pPr>
      <w:r>
        <w:rPr>
          <w:sz w:val="24"/>
          <w14:ligatures w14:val="standardContextual"/>
        </w:rPr>
        <w:t>4</w:t>
      </w:r>
      <w:r>
        <w:rPr>
          <w:rFonts w:hint="eastAsia"/>
          <w:sz w:val="24"/>
          <w14:ligatures w14:val="standardContextual"/>
        </w:rPr>
        <w:t xml:space="preserve">  </w:t>
      </w:r>
      <w:r>
        <w:rPr>
          <w:sz w:val="24"/>
          <w14:ligatures w14:val="standardContextual"/>
        </w:rPr>
        <w:t>结论</w:t>
      </w:r>
    </w:p>
    <w:p w14:paraId="76E3220A">
      <w:pPr>
        <w:spacing w:line="360" w:lineRule="auto"/>
        <w:ind w:firstLine="480" w:firstLineChars="200"/>
        <w:rPr>
          <w:sz w:val="24"/>
          <w14:ligatures w14:val="standardContextual"/>
        </w:rPr>
      </w:pPr>
      <w:r>
        <w:rPr>
          <w:sz w:val="24"/>
          <w14:ligatures w14:val="standardContextual"/>
        </w:rPr>
        <w:t>在本试验条件下，确定最佳罗非鱼熟化软颗粒饲料的制粒温度为130</w:t>
      </w:r>
      <w:r>
        <w:rPr>
          <w:rFonts w:hint="eastAsia"/>
          <w:sz w:val="24"/>
          <w14:ligatures w14:val="standardContextual"/>
        </w:rPr>
        <w:t xml:space="preserve"> </w:t>
      </w:r>
      <w:r>
        <w:rPr>
          <w:sz w:val="24"/>
          <w14:ligatures w14:val="standardContextual"/>
        </w:rPr>
        <w:t>℃。在此温度下制备的罗非鱼熟化软颗粒的内聚性为0.4、黏度为1032.01cP、硬度为2508.48</w:t>
      </w:r>
      <w:r>
        <w:rPr>
          <w:rFonts w:hint="eastAsia"/>
          <w:sz w:val="24"/>
          <w14:ligatures w14:val="standardContextual"/>
        </w:rPr>
        <w:t xml:space="preserve"> </w:t>
      </w:r>
      <w:r>
        <w:rPr>
          <w:sz w:val="24"/>
          <w14:ligatures w14:val="standardContextual"/>
        </w:rPr>
        <w:t>g、下沉速度为8.22</w:t>
      </w:r>
      <w:r>
        <w:rPr>
          <w:rFonts w:hint="eastAsia"/>
          <w:sz w:val="24"/>
          <w14:ligatures w14:val="standardContextual"/>
        </w:rPr>
        <w:t xml:space="preserve"> </w:t>
      </w:r>
      <w:r>
        <w:rPr>
          <w:sz w:val="24"/>
          <w14:ligatures w14:val="standardContextual"/>
        </w:rPr>
        <w:t>cm/s、溶失率为8.83</w:t>
      </w:r>
      <w:r>
        <w:rPr>
          <w:rFonts w:hint="eastAsia"/>
          <w:sz w:val="24"/>
          <w14:ligatures w14:val="standardContextual"/>
        </w:rPr>
        <w:t xml:space="preserve"> </w:t>
      </w:r>
      <w:r>
        <w:rPr>
          <w:sz w:val="24"/>
          <w14:ligatures w14:val="standardContextual"/>
        </w:rPr>
        <w:t>%、淀粉糊化度为80</w:t>
      </w:r>
      <w:r>
        <w:rPr>
          <w:rFonts w:hint="eastAsia"/>
          <w:sz w:val="24"/>
          <w14:ligatures w14:val="standardContextual"/>
        </w:rPr>
        <w:t xml:space="preserve"> </w:t>
      </w:r>
      <w:r>
        <w:rPr>
          <w:sz w:val="24"/>
          <w14:ligatures w14:val="standardContextual"/>
        </w:rPr>
        <w:t>%，且罗非鱼的生长性能较好。</w:t>
      </w:r>
    </w:p>
    <w:p w14:paraId="509ECB6C">
      <w:pPr>
        <w:spacing w:line="360" w:lineRule="auto"/>
        <w:rPr>
          <w:sz w:val="24"/>
          <w14:ligatures w14:val="standardContextual"/>
        </w:rPr>
      </w:pPr>
      <w:r>
        <w:rPr>
          <w:rFonts w:hint="eastAsia"/>
          <w:sz w:val="24"/>
          <w14:ligatures w14:val="standardContextual"/>
        </w:rPr>
        <w:t>参考文献：略</w:t>
      </w:r>
    </w:p>
    <w:p w14:paraId="3ECF27D1">
      <w:pPr>
        <w:spacing w:line="360" w:lineRule="auto"/>
        <w:ind w:firstLine="420" w:firstLineChars="200"/>
        <w:jc w:val="right"/>
        <w:rPr>
          <w:color w:val="333333"/>
          <w:szCs w:val="21"/>
          <w:shd w:val="clear" w:color="auto" w:fill="FFFFFF"/>
          <w14:ligatures w14:val="standardContextual"/>
        </w:rPr>
      </w:pPr>
      <w:r>
        <w:rPr>
          <w:szCs w:val="21"/>
          <w14:ligatures w14:val="standardContextual"/>
        </w:rPr>
        <w:t>原文刊登在《</w:t>
      </w:r>
      <w:r>
        <w:rPr>
          <w:rFonts w:hint="eastAsia"/>
          <w:color w:val="333333"/>
          <w:szCs w:val="21"/>
          <w:shd w:val="clear" w:color="auto" w:fill="FFFFFF"/>
          <w14:ligatures w14:val="standardContextual"/>
        </w:rPr>
        <w:t>饲料研究</w:t>
      </w:r>
      <w:r>
        <w:rPr>
          <w:szCs w:val="21"/>
          <w14:ligatures w14:val="standardContextual"/>
        </w:rPr>
        <w:t>》</w:t>
      </w:r>
      <w:r>
        <w:rPr>
          <w:rFonts w:hint="eastAsia"/>
          <w:szCs w:val="21"/>
          <w14:ligatures w14:val="standardContextual"/>
        </w:rPr>
        <w:t>2025年第4期</w:t>
      </w:r>
    </w:p>
    <w:p w14:paraId="5557DCC9">
      <w:pPr>
        <w:spacing w:after="80"/>
        <w:contextualSpacing/>
        <w:jc w:val="center"/>
        <w:outlineLvl w:val="1"/>
        <w:rPr>
          <w:rFonts w:ascii="等线 Light" w:hAnsi="等线 Light" w:eastAsia="黑体"/>
          <w:b/>
          <w:spacing w:val="-10"/>
          <w:kern w:val="28"/>
          <w:sz w:val="32"/>
          <w:szCs w:val="56"/>
          <w14:ligatures w14:val="standardContextual"/>
        </w:rPr>
      </w:pPr>
      <w:bookmarkStart w:id="24" w:name="_Toc198113467"/>
      <w:r>
        <w:rPr>
          <w:rFonts w:hint="eastAsia" w:ascii="等线 Light" w:hAnsi="等线 Light" w:eastAsia="黑体"/>
          <w:b/>
          <w:spacing w:val="-10"/>
          <w:kern w:val="28"/>
          <w:sz w:val="32"/>
          <w:szCs w:val="56"/>
          <w14:ligatures w14:val="standardContextual"/>
        </w:rPr>
        <w:t>发酵菜籽褐饼替代豆粕对鲤鱼生长性能</w:t>
      </w:r>
      <w:r>
        <w:rPr>
          <w:rFonts w:hint="eastAsia" w:ascii="宋体" w:hAnsi="宋体" w:cs="微软雅黑"/>
          <w:b/>
          <w:spacing w:val="-10"/>
          <w:kern w:val="28"/>
          <w:sz w:val="32"/>
          <w:szCs w:val="56"/>
          <w14:ligatures w14:val="standardContextual"/>
        </w:rPr>
        <w:t>、</w:t>
      </w:r>
      <w:r>
        <w:rPr>
          <w:rFonts w:hint="eastAsia" w:ascii="黑体" w:hAnsi="黑体" w:eastAsia="黑体" w:cs="黑体"/>
          <w:b/>
          <w:spacing w:val="-10"/>
          <w:kern w:val="28"/>
          <w:sz w:val="32"/>
          <w:szCs w:val="56"/>
          <w14:ligatures w14:val="standardContextual"/>
        </w:rPr>
        <w:t>肉品质和肠</w:t>
      </w:r>
      <w:r>
        <w:rPr>
          <w:rFonts w:hint="eastAsia" w:ascii="等线 Light" w:hAnsi="等线 Light" w:eastAsia="黑体"/>
          <w:b/>
          <w:spacing w:val="-10"/>
          <w:kern w:val="28"/>
          <w:sz w:val="32"/>
          <w:szCs w:val="56"/>
          <w14:ligatures w14:val="standardContextual"/>
        </w:rPr>
        <w:t>道健康的影响</w:t>
      </w:r>
      <w:bookmarkEnd w:id="24"/>
    </w:p>
    <w:p w14:paraId="406984CD">
      <w:pPr>
        <w:jc w:val="center"/>
        <w:rPr>
          <w:szCs w:val="21"/>
          <w14:ligatures w14:val="standardContextual"/>
        </w:rPr>
      </w:pPr>
      <w:r>
        <w:rPr>
          <w:szCs w:val="21"/>
          <w14:ligatures w14:val="standardContextual"/>
        </w:rPr>
        <w:t>张遨然 郑云凡 尹 望 蒲晓庆 赵 敏 李 勇 晏秋波 王红梅*</w:t>
      </w:r>
    </w:p>
    <w:p w14:paraId="5032F7F1">
      <w:pPr>
        <w:jc w:val="center"/>
        <w:rPr>
          <w:szCs w:val="21"/>
          <w14:ligatures w14:val="standardContextual"/>
        </w:rPr>
      </w:pPr>
      <w:r>
        <w:rPr>
          <w:szCs w:val="21"/>
          <w14:ligatures w14:val="standardContextual"/>
        </w:rPr>
        <w:t>( 新希望六和股份有限公司</w:t>
      </w:r>
      <w:r>
        <w:rPr>
          <w:rFonts w:ascii="宋体" w:hAnsi="宋体"/>
          <w:szCs w:val="21"/>
          <w14:ligatures w14:val="standardContextual"/>
        </w:rPr>
        <w:t>,</w:t>
      </w:r>
      <w:r>
        <w:rPr>
          <w:szCs w:val="21"/>
          <w14:ligatures w14:val="standardContextual"/>
        </w:rPr>
        <w:t>畜禽饲料与畜禽产品质量安全控制四川省重点实验室</w:t>
      </w:r>
      <w:r>
        <w:rPr>
          <w:rFonts w:ascii="宋体" w:hAnsi="宋体"/>
          <w:szCs w:val="21"/>
          <w14:ligatures w14:val="standardContextual"/>
        </w:rPr>
        <w:t>,</w:t>
      </w:r>
      <w:r>
        <w:rPr>
          <w:szCs w:val="21"/>
          <w14:ligatures w14:val="standardContextual"/>
        </w:rPr>
        <w:t>农业农村部饲料及畜禽产品质量安全控制重点实验室</w:t>
      </w:r>
      <w:r>
        <w:rPr>
          <w:rFonts w:ascii="宋体" w:hAnsi="宋体"/>
          <w:szCs w:val="21"/>
          <w14:ligatures w14:val="standardContextual"/>
        </w:rPr>
        <w:t>,</w:t>
      </w:r>
      <w:r>
        <w:rPr>
          <w:szCs w:val="21"/>
          <w14:ligatures w14:val="standardContextual"/>
        </w:rPr>
        <w:t>成都 610023)</w:t>
      </w:r>
    </w:p>
    <w:p w14:paraId="256297DC">
      <w:pPr>
        <w:snapToGrid w:val="0"/>
        <w:rPr>
          <w:szCs w:val="21"/>
          <w14:ligatures w14:val="standardContextual"/>
        </w:rPr>
      </w:pPr>
      <w:r>
        <w:rPr>
          <w:b/>
          <w:bCs/>
          <w:szCs w:val="21"/>
          <w14:ligatures w14:val="standardContextual"/>
        </w:rPr>
        <w:t>摘要</w:t>
      </w:r>
      <w:r>
        <w:rPr>
          <w:szCs w:val="21"/>
          <w14:ligatures w14:val="standardContextual"/>
        </w:rPr>
        <w:t>:本试验旨在探究饲料中添加不同比例发酵菜籽褐饼(FRBC)替代部分豆粕对鲤鱼生长性能</w:t>
      </w:r>
      <w:r>
        <w:rPr>
          <w:rFonts w:hint="eastAsia" w:ascii="宋体" w:hAnsi="宋体" w:cs="微软雅黑"/>
          <w:szCs w:val="21"/>
          <w14:ligatures w14:val="standardContextual"/>
        </w:rPr>
        <w:t>、</w:t>
      </w:r>
      <w:r>
        <w:rPr>
          <w:szCs w:val="21"/>
          <w14:ligatures w14:val="standardContextual"/>
        </w:rPr>
        <w:t>营养物质沉积率</w:t>
      </w:r>
      <w:r>
        <w:rPr>
          <w:rFonts w:hint="eastAsia" w:ascii="宋体" w:hAnsi="宋体" w:cs="微软雅黑"/>
          <w:szCs w:val="21"/>
          <w14:ligatures w14:val="standardContextual"/>
        </w:rPr>
        <w:t>、</w:t>
      </w:r>
      <w:r>
        <w:rPr>
          <w:szCs w:val="21"/>
          <w14:ligatures w14:val="standardContextual"/>
        </w:rPr>
        <w:t>全鱼和肌肉营养组成</w:t>
      </w:r>
      <w:r>
        <w:rPr>
          <w:rFonts w:hint="eastAsia" w:ascii="宋体" w:hAnsi="宋体" w:cs="微软雅黑"/>
          <w:szCs w:val="21"/>
          <w14:ligatures w14:val="standardContextual"/>
        </w:rPr>
        <w:t>、</w:t>
      </w:r>
      <w:r>
        <w:rPr>
          <w:szCs w:val="21"/>
          <w14:ligatures w14:val="standardContextual"/>
        </w:rPr>
        <w:t>血清生化指标以及肠道健康的影响</w:t>
      </w:r>
      <w:r>
        <w:rPr>
          <w:rFonts w:hint="eastAsia" w:ascii="宋体" w:hAnsi="宋体"/>
          <w:szCs w:val="21"/>
          <w14:ligatures w14:val="standardContextual"/>
        </w:rPr>
        <w:t>。</w:t>
      </w:r>
      <w:r>
        <w:rPr>
          <w:szCs w:val="21"/>
          <w14:ligatures w14:val="standardContextual"/>
        </w:rPr>
        <w:t>采用等氮(42</w:t>
      </w:r>
      <w:r>
        <w:rPr>
          <w:rFonts w:hint="eastAsia"/>
          <w:szCs w:val="21"/>
          <w14:ligatures w14:val="standardContextual"/>
        </w:rPr>
        <w:t xml:space="preserve"> </w:t>
      </w:r>
      <w:r>
        <w:rPr>
          <w:szCs w:val="21"/>
          <w14:ligatures w14:val="standardContextual"/>
        </w:rPr>
        <w:t>%粗蛋白质)等脂(11</w:t>
      </w:r>
      <w:r>
        <w:rPr>
          <w:rFonts w:hint="eastAsia"/>
          <w:szCs w:val="21"/>
          <w14:ligatures w14:val="standardContextual"/>
        </w:rPr>
        <w:t xml:space="preserve"> </w:t>
      </w:r>
      <w:r>
        <w:rPr>
          <w:szCs w:val="21"/>
          <w14:ligatures w14:val="standardContextual"/>
        </w:rPr>
        <w:t>%粗脂肪)的原则</w:t>
      </w:r>
      <w:r>
        <w:rPr>
          <w:rFonts w:ascii="宋体" w:hAnsi="宋体"/>
          <w:szCs w:val="21"/>
          <w14:ligatures w14:val="standardContextual"/>
        </w:rPr>
        <w:t>,</w:t>
      </w:r>
      <w:r>
        <w:rPr>
          <w:szCs w:val="21"/>
          <w14:ligatures w14:val="standardContextual"/>
        </w:rPr>
        <w:t>以含25</w:t>
      </w:r>
      <w:r>
        <w:rPr>
          <w:rFonts w:hint="eastAsia"/>
          <w:szCs w:val="21"/>
          <w14:ligatures w14:val="standardContextual"/>
        </w:rPr>
        <w:t xml:space="preserve"> </w:t>
      </w:r>
      <w:r>
        <w:rPr>
          <w:szCs w:val="21"/>
          <w14:ligatures w14:val="standardContextual"/>
        </w:rPr>
        <w:t>%豆粕的饲料为对照饲料</w:t>
      </w:r>
      <w:r>
        <w:rPr>
          <w:rFonts w:ascii="宋体" w:hAnsi="宋体"/>
          <w:szCs w:val="21"/>
          <w14:ligatures w14:val="standardContextual"/>
        </w:rPr>
        <w:t>,</w:t>
      </w:r>
      <w:r>
        <w:rPr>
          <w:szCs w:val="21"/>
          <w14:ligatures w14:val="standardContextual"/>
        </w:rPr>
        <w:t>分别以FRBC替代8</w:t>
      </w:r>
      <w:r>
        <w:rPr>
          <w:rFonts w:hint="eastAsia"/>
          <w:szCs w:val="21"/>
          <w14:ligatures w14:val="standardContextual"/>
        </w:rPr>
        <w:t xml:space="preserve"> </w:t>
      </w:r>
      <w:r>
        <w:rPr>
          <w:szCs w:val="21"/>
          <w14:ligatures w14:val="standardContextual"/>
        </w:rPr>
        <w:t>%</w:t>
      </w:r>
      <w:r>
        <w:rPr>
          <w:rFonts w:hint="eastAsia" w:ascii="宋体" w:hAnsi="宋体" w:cs="微软雅黑"/>
          <w:szCs w:val="21"/>
          <w14:ligatures w14:val="standardContextual"/>
        </w:rPr>
        <w:t>、</w:t>
      </w:r>
      <w:r>
        <w:rPr>
          <w:szCs w:val="21"/>
          <w14:ligatures w14:val="standardContextual"/>
        </w:rPr>
        <w:t>18</w:t>
      </w:r>
      <w:r>
        <w:rPr>
          <w:rFonts w:hint="eastAsia"/>
          <w:szCs w:val="21"/>
          <w14:ligatures w14:val="standardContextual"/>
        </w:rPr>
        <w:t xml:space="preserve"> </w:t>
      </w:r>
      <w:r>
        <w:rPr>
          <w:szCs w:val="21"/>
          <w14:ligatures w14:val="standardContextual"/>
        </w:rPr>
        <w:t>%</w:t>
      </w:r>
      <w:r>
        <w:rPr>
          <w:rFonts w:hint="eastAsia" w:ascii="宋体" w:hAnsi="宋体" w:cs="微软雅黑"/>
          <w:szCs w:val="21"/>
          <w14:ligatures w14:val="standardContextual"/>
        </w:rPr>
        <w:t>、</w:t>
      </w:r>
      <w:r>
        <w:rPr>
          <w:szCs w:val="21"/>
          <w14:ligatures w14:val="standardContextual"/>
        </w:rPr>
        <w:t>27</w:t>
      </w:r>
      <w:r>
        <w:rPr>
          <w:rFonts w:hint="eastAsia"/>
          <w:szCs w:val="21"/>
          <w14:ligatures w14:val="standardContextual"/>
        </w:rPr>
        <w:t xml:space="preserve"> </w:t>
      </w:r>
      <w:r>
        <w:rPr>
          <w:szCs w:val="21"/>
          <w14:ligatures w14:val="standardContextual"/>
        </w:rPr>
        <w:t>%和36</w:t>
      </w:r>
      <w:r>
        <w:rPr>
          <w:rFonts w:hint="eastAsia"/>
          <w:szCs w:val="21"/>
          <w14:ligatures w14:val="standardContextual"/>
        </w:rPr>
        <w:t xml:space="preserve"> </w:t>
      </w:r>
      <w:r>
        <w:rPr>
          <w:szCs w:val="21"/>
          <w14:ligatures w14:val="standardContextual"/>
        </w:rPr>
        <w:t>%的豆粕</w:t>
      </w:r>
      <w:r>
        <w:rPr>
          <w:rFonts w:ascii="宋体" w:hAnsi="宋体"/>
          <w:szCs w:val="21"/>
          <w14:ligatures w14:val="standardContextual"/>
        </w:rPr>
        <w:t>,</w:t>
      </w:r>
      <w:r>
        <w:rPr>
          <w:szCs w:val="21"/>
          <w14:ligatures w14:val="standardContextual"/>
        </w:rPr>
        <w:t>对应的饲料中FRBC的添加比例分别为0(FRBC0组</w:t>
      </w:r>
      <w:r>
        <w:rPr>
          <w:rFonts w:ascii="宋体" w:hAnsi="宋体"/>
          <w:szCs w:val="21"/>
          <w14:ligatures w14:val="standardContextual"/>
        </w:rPr>
        <w:t>,</w:t>
      </w:r>
      <w:r>
        <w:rPr>
          <w:szCs w:val="21"/>
          <w14:ligatures w14:val="standardContextual"/>
        </w:rPr>
        <w:t>作为对照组)</w:t>
      </w:r>
      <w:r>
        <w:rPr>
          <w:rFonts w:hint="eastAsia" w:ascii="宋体" w:hAnsi="宋体" w:cs="微软雅黑"/>
          <w:szCs w:val="21"/>
          <w14:ligatures w14:val="standardContextual"/>
        </w:rPr>
        <w:t>、</w:t>
      </w:r>
      <w:r>
        <w:rPr>
          <w:szCs w:val="21"/>
          <w14:ligatures w14:val="standardContextual"/>
        </w:rPr>
        <w:t>3</w:t>
      </w:r>
      <w:r>
        <w:rPr>
          <w:rFonts w:hint="eastAsia"/>
          <w:szCs w:val="21"/>
          <w14:ligatures w14:val="standardContextual"/>
        </w:rPr>
        <w:t xml:space="preserve"> </w:t>
      </w:r>
      <w:r>
        <w:rPr>
          <w:szCs w:val="21"/>
          <w14:ligatures w14:val="standardContextual"/>
        </w:rPr>
        <w:t>%(FRBC3组)</w:t>
      </w:r>
      <w:r>
        <w:rPr>
          <w:rFonts w:hint="eastAsia" w:ascii="宋体" w:hAnsi="宋体" w:cs="微软雅黑"/>
          <w:szCs w:val="21"/>
          <w14:ligatures w14:val="standardContextual"/>
        </w:rPr>
        <w:t>、</w:t>
      </w:r>
      <w:r>
        <w:rPr>
          <w:szCs w:val="21"/>
          <w14:ligatures w14:val="standardContextual"/>
        </w:rPr>
        <w:t>6</w:t>
      </w:r>
      <w:r>
        <w:rPr>
          <w:rFonts w:hint="eastAsia"/>
          <w:szCs w:val="21"/>
          <w14:ligatures w14:val="standardContextual"/>
        </w:rPr>
        <w:t xml:space="preserve"> </w:t>
      </w:r>
      <w:r>
        <w:rPr>
          <w:szCs w:val="21"/>
          <w14:ligatures w14:val="standardContextual"/>
        </w:rPr>
        <w:t>%(FRBC6组)</w:t>
      </w:r>
      <w:r>
        <w:rPr>
          <w:rFonts w:hint="eastAsia" w:ascii="宋体" w:hAnsi="宋体" w:cs="微软雅黑"/>
          <w:szCs w:val="21"/>
          <w14:ligatures w14:val="standardContextual"/>
        </w:rPr>
        <w:t>、</w:t>
      </w:r>
      <w:r>
        <w:rPr>
          <w:szCs w:val="21"/>
          <w14:ligatures w14:val="standardContextual"/>
        </w:rPr>
        <w:t>9</w:t>
      </w:r>
      <w:r>
        <w:rPr>
          <w:rFonts w:hint="eastAsia"/>
          <w:szCs w:val="21"/>
          <w14:ligatures w14:val="standardContextual"/>
        </w:rPr>
        <w:t xml:space="preserve"> </w:t>
      </w:r>
      <w:r>
        <w:rPr>
          <w:szCs w:val="21"/>
          <w14:ligatures w14:val="standardContextual"/>
        </w:rPr>
        <w:t>%(FRBC9组)</w:t>
      </w:r>
      <w:r>
        <w:rPr>
          <w:rFonts w:hint="eastAsia" w:ascii="宋体" w:hAnsi="宋体" w:cs="微软雅黑"/>
          <w:szCs w:val="21"/>
          <w14:ligatures w14:val="standardContextual"/>
        </w:rPr>
        <w:t>、</w:t>
      </w:r>
      <w:r>
        <w:rPr>
          <w:szCs w:val="21"/>
          <w14:ligatures w14:val="standardContextual"/>
        </w:rPr>
        <w:t>12</w:t>
      </w:r>
      <w:r>
        <w:rPr>
          <w:rFonts w:hint="eastAsia"/>
          <w:szCs w:val="21"/>
          <w14:ligatures w14:val="standardContextual"/>
        </w:rPr>
        <w:t xml:space="preserve"> </w:t>
      </w:r>
      <w:r>
        <w:rPr>
          <w:szCs w:val="21"/>
          <w14:ligatures w14:val="standardContextual"/>
        </w:rPr>
        <w:t>%(FRBC12组)</w:t>
      </w:r>
      <w:r>
        <w:rPr>
          <w:rFonts w:hint="eastAsia" w:ascii="宋体" w:hAnsi="宋体"/>
          <w:szCs w:val="21"/>
          <w14:ligatures w14:val="standardContextual"/>
        </w:rPr>
        <w:t>。</w:t>
      </w:r>
      <w:r>
        <w:rPr>
          <w:szCs w:val="21"/>
          <w14:ligatures w14:val="standardContextual"/>
        </w:rPr>
        <w:t>选取初始平均体重为(99.97±1.33)</w:t>
      </w:r>
      <w:r>
        <w:rPr>
          <w:rFonts w:hint="eastAsia"/>
          <w:szCs w:val="21"/>
          <w14:ligatures w14:val="standardContextual"/>
        </w:rPr>
        <w:t xml:space="preserve"> </w:t>
      </w:r>
      <w:r>
        <w:rPr>
          <w:szCs w:val="21"/>
          <w14:ligatures w14:val="standardContextual"/>
        </w:rPr>
        <w:t>g的鲤鱼幼鱼2450尾</w:t>
      </w:r>
      <w:r>
        <w:rPr>
          <w:rFonts w:ascii="宋体" w:hAnsi="宋体"/>
          <w:szCs w:val="21"/>
          <w14:ligatures w14:val="standardContextual"/>
        </w:rPr>
        <w:t>,</w:t>
      </w:r>
      <w:r>
        <w:rPr>
          <w:szCs w:val="21"/>
          <w14:ligatures w14:val="standardContextual"/>
        </w:rPr>
        <w:t>随机分为5组(每组7个重复</w:t>
      </w:r>
      <w:r>
        <w:rPr>
          <w:rFonts w:ascii="宋体" w:hAnsi="宋体"/>
          <w:szCs w:val="21"/>
          <w14:ligatures w14:val="standardContextual"/>
        </w:rPr>
        <w:t>,</w:t>
      </w:r>
      <w:r>
        <w:rPr>
          <w:szCs w:val="21"/>
          <w14:ligatures w14:val="standardContextual"/>
        </w:rPr>
        <w:t>每个重复70尾)</w:t>
      </w:r>
      <w:r>
        <w:rPr>
          <w:rFonts w:ascii="宋体" w:hAnsi="宋体"/>
          <w:szCs w:val="21"/>
          <w14:ligatures w14:val="standardContextual"/>
        </w:rPr>
        <w:t>,</w:t>
      </w:r>
      <w:r>
        <w:rPr>
          <w:szCs w:val="21"/>
          <w14:ligatures w14:val="standardContextual"/>
        </w:rPr>
        <w:t>饲喂以上5种试验饲料</w:t>
      </w:r>
      <w:r>
        <w:rPr>
          <w:rFonts w:ascii="宋体" w:hAnsi="宋体"/>
          <w:szCs w:val="21"/>
          <w14:ligatures w14:val="standardContextual"/>
        </w:rPr>
        <w:t>,</w:t>
      </w:r>
      <w:r>
        <w:rPr>
          <w:szCs w:val="21"/>
          <w14:ligatures w14:val="standardContextual"/>
        </w:rPr>
        <w:t>饲喂8周</w:t>
      </w:r>
      <w:r>
        <w:rPr>
          <w:rFonts w:hint="eastAsia" w:ascii="宋体" w:hAnsi="宋体"/>
          <w:szCs w:val="21"/>
          <w14:ligatures w14:val="standardContextual"/>
        </w:rPr>
        <w:t>。</w:t>
      </w:r>
      <w:r>
        <w:rPr>
          <w:szCs w:val="21"/>
          <w14:ligatures w14:val="standardContextual"/>
        </w:rPr>
        <w:t>结果显示:1)FRBC添加比例≥9</w:t>
      </w:r>
      <w:r>
        <w:rPr>
          <w:rFonts w:hint="eastAsia"/>
          <w:szCs w:val="21"/>
          <w14:ligatures w14:val="standardContextual"/>
        </w:rPr>
        <w:t xml:space="preserve"> </w:t>
      </w:r>
      <w:r>
        <w:rPr>
          <w:szCs w:val="21"/>
          <w14:ligatures w14:val="standardContextual"/>
        </w:rPr>
        <w:t>%时</w:t>
      </w:r>
      <w:r>
        <w:rPr>
          <w:rFonts w:ascii="宋体" w:hAnsi="宋体"/>
          <w:szCs w:val="21"/>
          <w14:ligatures w14:val="standardContextual"/>
        </w:rPr>
        <w:t>,</w:t>
      </w:r>
      <w:r>
        <w:rPr>
          <w:szCs w:val="21"/>
          <w14:ligatures w14:val="standardContextual"/>
        </w:rPr>
        <w:t>鲤鱼的末均重</w:t>
      </w:r>
      <w:r>
        <w:rPr>
          <w:rFonts w:hint="eastAsia" w:ascii="宋体" w:hAnsi="宋体" w:cs="微软雅黑"/>
          <w:szCs w:val="21"/>
          <w14:ligatures w14:val="standardContextual"/>
        </w:rPr>
        <w:t>、</w:t>
      </w:r>
      <w:r>
        <w:rPr>
          <w:szCs w:val="21"/>
          <w14:ligatures w14:val="standardContextual"/>
        </w:rPr>
        <w:t>增重率</w:t>
      </w:r>
      <w:r>
        <w:rPr>
          <w:rFonts w:hint="eastAsia" w:ascii="宋体" w:hAnsi="宋体" w:cs="微软雅黑"/>
          <w:szCs w:val="21"/>
          <w14:ligatures w14:val="standardContextual"/>
        </w:rPr>
        <w:t>、</w:t>
      </w:r>
      <w:r>
        <w:rPr>
          <w:szCs w:val="21"/>
          <w14:ligatures w14:val="standardContextual"/>
        </w:rPr>
        <w:t>特定生长率</w:t>
      </w:r>
      <w:r>
        <w:rPr>
          <w:rFonts w:hint="eastAsia" w:ascii="宋体" w:hAnsi="宋体" w:cs="微软雅黑"/>
          <w:szCs w:val="21"/>
          <w14:ligatures w14:val="standardContextual"/>
        </w:rPr>
        <w:t>、</w:t>
      </w:r>
      <w:r>
        <w:rPr>
          <w:szCs w:val="21"/>
          <w14:ligatures w14:val="standardContextual"/>
        </w:rPr>
        <w:t>蛋白质效率均显著提高(</w:t>
      </w:r>
      <w:r>
        <w:rPr>
          <w:i/>
          <w:iCs/>
          <w:szCs w:val="21"/>
          <w14:ligatures w14:val="standardContextual"/>
        </w:rPr>
        <w:t>P</w:t>
      </w:r>
      <w:r>
        <w:rPr>
          <w:szCs w:val="21"/>
          <w14:ligatures w14:val="standardContextual"/>
        </w:rPr>
        <w:t>&lt;0.05)</w:t>
      </w:r>
      <w:r>
        <w:rPr>
          <w:rFonts w:ascii="宋体" w:hAnsi="宋体"/>
          <w:szCs w:val="21"/>
          <w14:ligatures w14:val="standardContextual"/>
        </w:rPr>
        <w:t>,</w:t>
      </w:r>
      <w:r>
        <w:rPr>
          <w:szCs w:val="21"/>
          <w14:ligatures w14:val="standardContextual"/>
        </w:rPr>
        <w:t>饲料系数显著降低(</w:t>
      </w:r>
      <w:r>
        <w:rPr>
          <w:i/>
          <w:iCs/>
          <w:szCs w:val="21"/>
          <w14:ligatures w14:val="standardContextual"/>
        </w:rPr>
        <w:t>P</w:t>
      </w:r>
      <w:r>
        <w:rPr>
          <w:szCs w:val="21"/>
          <w14:ligatures w14:val="standardContextual"/>
        </w:rPr>
        <w:t>&lt;0.05);各组间存活率</w:t>
      </w:r>
      <w:r>
        <w:rPr>
          <w:rFonts w:hint="eastAsia" w:ascii="宋体" w:hAnsi="宋体" w:cs="微软雅黑"/>
          <w:szCs w:val="21"/>
          <w14:ligatures w14:val="standardContextual"/>
        </w:rPr>
        <w:t>、</w:t>
      </w:r>
      <w:r>
        <w:rPr>
          <w:szCs w:val="21"/>
          <w14:ligatures w14:val="standardContextual"/>
        </w:rPr>
        <w:t>形体指数(包括肥满度</w:t>
      </w:r>
      <w:r>
        <w:rPr>
          <w:rFonts w:hint="eastAsia" w:ascii="宋体" w:hAnsi="宋体" w:cs="微软雅黑"/>
          <w:szCs w:val="21"/>
          <w14:ligatures w14:val="standardContextual"/>
        </w:rPr>
        <w:t>、</w:t>
      </w:r>
      <w:r>
        <w:rPr>
          <w:szCs w:val="21"/>
          <w14:ligatures w14:val="standardContextual"/>
        </w:rPr>
        <w:t>肝体比</w:t>
      </w:r>
      <w:r>
        <w:rPr>
          <w:rFonts w:hint="eastAsia" w:ascii="宋体" w:hAnsi="宋体" w:cs="微软雅黑"/>
          <w:szCs w:val="21"/>
          <w14:ligatures w14:val="standardContextual"/>
        </w:rPr>
        <w:t>、</w:t>
      </w:r>
      <w:r>
        <w:rPr>
          <w:szCs w:val="21"/>
          <w14:ligatures w14:val="standardContextual"/>
        </w:rPr>
        <w:t>脏体比)无显著差异(</w:t>
      </w:r>
      <w:r>
        <w:rPr>
          <w:i/>
          <w:iCs/>
          <w:szCs w:val="21"/>
          <w14:ligatures w14:val="standardContextual"/>
        </w:rPr>
        <w:t>P</w:t>
      </w:r>
      <w:r>
        <w:rPr>
          <w:szCs w:val="21"/>
          <w14:ligatures w14:val="standardContextual"/>
        </w:rPr>
        <w:t>&gt;0.05)</w:t>
      </w:r>
      <w:r>
        <w:rPr>
          <w:rFonts w:hint="eastAsia" w:ascii="宋体" w:hAnsi="宋体"/>
          <w:szCs w:val="21"/>
          <w14:ligatures w14:val="standardContextual"/>
        </w:rPr>
        <w:t>。</w:t>
      </w:r>
      <w:r>
        <w:rPr>
          <w:szCs w:val="21"/>
          <w14:ligatures w14:val="standardContextual"/>
        </w:rPr>
        <w:t>2)与对照组相比</w:t>
      </w:r>
      <w:r>
        <w:rPr>
          <w:rFonts w:ascii="宋体" w:hAnsi="宋体"/>
          <w:szCs w:val="21"/>
          <w14:ligatures w14:val="standardContextual"/>
        </w:rPr>
        <w:t>,</w:t>
      </w:r>
      <w:r>
        <w:rPr>
          <w:szCs w:val="21"/>
          <w14:ligatures w14:val="standardContextual"/>
        </w:rPr>
        <w:t>饲料中添加不同比例FRBC对鲤鱼的全鱼营养组成(如粗蛋白质</w:t>
      </w:r>
      <w:r>
        <w:rPr>
          <w:rFonts w:hint="eastAsia" w:ascii="宋体" w:hAnsi="宋体" w:cs="微软雅黑"/>
          <w:szCs w:val="21"/>
          <w14:ligatures w14:val="standardContextual"/>
        </w:rPr>
        <w:t>、</w:t>
      </w:r>
      <w:r>
        <w:rPr>
          <w:szCs w:val="21"/>
          <w14:ligatures w14:val="standardContextual"/>
        </w:rPr>
        <w:t>粗脂肪</w:t>
      </w:r>
      <w:r>
        <w:rPr>
          <w:rFonts w:hint="eastAsia" w:ascii="宋体" w:hAnsi="宋体" w:cs="微软雅黑"/>
          <w:szCs w:val="21"/>
          <w14:ligatures w14:val="standardContextual"/>
        </w:rPr>
        <w:t>、</w:t>
      </w:r>
      <w:r>
        <w:rPr>
          <w:szCs w:val="21"/>
          <w14:ligatures w14:val="standardContextual"/>
        </w:rPr>
        <w:t>粗灰分及氨基酸含量)均无显著影响(</w:t>
      </w:r>
      <w:r>
        <w:rPr>
          <w:i/>
          <w:iCs/>
          <w:szCs w:val="21"/>
          <w14:ligatures w14:val="standardContextual"/>
        </w:rPr>
        <w:t>P</w:t>
      </w:r>
      <w:r>
        <w:rPr>
          <w:szCs w:val="21"/>
          <w14:ligatures w14:val="standardContextual"/>
        </w:rPr>
        <w:t>&gt;0.05)</w:t>
      </w:r>
      <w:r>
        <w:rPr>
          <w:rFonts w:ascii="宋体" w:hAnsi="宋体"/>
          <w:szCs w:val="21"/>
          <w14:ligatures w14:val="standardContextual"/>
        </w:rPr>
        <w:t>,</w:t>
      </w:r>
      <w:r>
        <w:rPr>
          <w:szCs w:val="21"/>
          <w14:ligatures w14:val="standardContextual"/>
        </w:rPr>
        <w:t>但可显著提高鲤鱼肌肉中钙含量(</w:t>
      </w:r>
      <w:r>
        <w:rPr>
          <w:i/>
          <w:iCs/>
          <w:szCs w:val="21"/>
          <w14:ligatures w14:val="standardContextual"/>
        </w:rPr>
        <w:t>P</w:t>
      </w:r>
      <w:r>
        <w:rPr>
          <w:szCs w:val="21"/>
          <w14:ligatures w14:val="standardContextual"/>
        </w:rPr>
        <w:t>&lt;0.05)</w:t>
      </w:r>
      <w:r>
        <w:rPr>
          <w:rFonts w:hint="eastAsia" w:ascii="宋体" w:hAnsi="宋体"/>
          <w:szCs w:val="21"/>
          <w14:ligatures w14:val="standardContextual"/>
        </w:rPr>
        <w:t>。</w:t>
      </w:r>
      <w:r>
        <w:rPr>
          <w:szCs w:val="21"/>
          <w14:ligatures w14:val="standardContextual"/>
        </w:rPr>
        <w:t>3)与对照组相比</w:t>
      </w:r>
      <w:r>
        <w:rPr>
          <w:rFonts w:ascii="宋体" w:hAnsi="宋体"/>
          <w:szCs w:val="21"/>
          <w14:ligatures w14:val="standardContextual"/>
        </w:rPr>
        <w:t>,</w:t>
      </w:r>
      <w:r>
        <w:rPr>
          <w:szCs w:val="21"/>
          <w14:ligatures w14:val="standardContextual"/>
        </w:rPr>
        <w:t>饲料中添加3</w:t>
      </w:r>
      <w:r>
        <w:rPr>
          <w:rFonts w:hint="eastAsia"/>
          <w:szCs w:val="21"/>
          <w14:ligatures w14:val="standardContextual"/>
        </w:rPr>
        <w:t xml:space="preserve"> </w:t>
      </w:r>
      <w:r>
        <w:rPr>
          <w:szCs w:val="21"/>
          <w14:ligatures w14:val="standardContextual"/>
        </w:rPr>
        <w:t>%</w:t>
      </w:r>
      <w:r>
        <w:rPr>
          <w:rFonts w:hint="eastAsia" w:ascii="宋体" w:hAnsi="宋体" w:cs="微软雅黑"/>
          <w:szCs w:val="21"/>
          <w14:ligatures w14:val="standardContextual"/>
        </w:rPr>
        <w:t>、</w:t>
      </w:r>
      <w:r>
        <w:rPr>
          <w:szCs w:val="21"/>
          <w14:ligatures w14:val="standardContextual"/>
        </w:rPr>
        <w:t>9</w:t>
      </w:r>
      <w:r>
        <w:rPr>
          <w:rFonts w:hint="eastAsia"/>
          <w:szCs w:val="21"/>
          <w14:ligatures w14:val="standardContextual"/>
        </w:rPr>
        <w:t xml:space="preserve"> </w:t>
      </w:r>
      <w:r>
        <w:rPr>
          <w:szCs w:val="21"/>
          <w14:ligatures w14:val="standardContextual"/>
        </w:rPr>
        <w:t>%和12</w:t>
      </w:r>
      <w:r>
        <w:rPr>
          <w:rFonts w:hint="eastAsia"/>
          <w:szCs w:val="21"/>
          <w14:ligatures w14:val="standardContextual"/>
        </w:rPr>
        <w:t xml:space="preserve"> </w:t>
      </w:r>
      <w:r>
        <w:rPr>
          <w:szCs w:val="21"/>
          <w14:ligatures w14:val="standardContextual"/>
        </w:rPr>
        <w:t>%FRBC均显著提高了鲤鱼蛋白质</w:t>
      </w:r>
      <w:r>
        <w:rPr>
          <w:rFonts w:hint="eastAsia" w:ascii="宋体" w:hAnsi="宋体" w:cs="微软雅黑"/>
          <w:szCs w:val="21"/>
          <w14:ligatures w14:val="standardContextual"/>
        </w:rPr>
        <w:t>、</w:t>
      </w:r>
      <w:r>
        <w:rPr>
          <w:szCs w:val="21"/>
          <w14:ligatures w14:val="standardContextual"/>
        </w:rPr>
        <w:t>赖氨酸和苏氨酸沉积率(</w:t>
      </w:r>
      <w:r>
        <w:rPr>
          <w:i/>
          <w:iCs/>
          <w:szCs w:val="21"/>
          <w14:ligatures w14:val="standardContextual"/>
        </w:rPr>
        <w:t>P</w:t>
      </w:r>
      <w:r>
        <w:rPr>
          <w:szCs w:val="21"/>
          <w14:ligatures w14:val="standardContextual"/>
        </w:rPr>
        <w:t>&lt;0.05)</w:t>
      </w:r>
      <w:r>
        <w:rPr>
          <w:rFonts w:ascii="宋体" w:hAnsi="宋体"/>
          <w:szCs w:val="21"/>
          <w14:ligatures w14:val="standardContextual"/>
        </w:rPr>
        <w:t>,</w:t>
      </w:r>
      <w:r>
        <w:rPr>
          <w:szCs w:val="21"/>
          <w14:ligatures w14:val="standardContextual"/>
        </w:rPr>
        <w:t>同时显著降低了脂肪沉积率(</w:t>
      </w:r>
      <w:r>
        <w:rPr>
          <w:i/>
          <w:iCs/>
          <w:szCs w:val="21"/>
          <w14:ligatures w14:val="standardContextual"/>
        </w:rPr>
        <w:t>P</w:t>
      </w:r>
      <w:r>
        <w:rPr>
          <w:szCs w:val="21"/>
          <w14:ligatures w14:val="standardContextual"/>
        </w:rPr>
        <w:t>&lt;0.05)</w:t>
      </w:r>
      <w:r>
        <w:rPr>
          <w:rFonts w:hint="eastAsia" w:ascii="宋体" w:hAnsi="宋体"/>
          <w:szCs w:val="21"/>
          <w14:ligatures w14:val="standardContextual"/>
        </w:rPr>
        <w:t>。</w:t>
      </w:r>
      <w:r>
        <w:rPr>
          <w:szCs w:val="21"/>
          <w14:ligatures w14:val="standardContextual"/>
        </w:rPr>
        <w:t>4)与对照组相比</w:t>
      </w:r>
      <w:r>
        <w:rPr>
          <w:rFonts w:ascii="宋体" w:hAnsi="宋体"/>
          <w:szCs w:val="21"/>
          <w14:ligatures w14:val="standardContextual"/>
        </w:rPr>
        <w:t>,</w:t>
      </w:r>
      <w:r>
        <w:rPr>
          <w:szCs w:val="21"/>
          <w14:ligatures w14:val="standardContextual"/>
        </w:rPr>
        <w:t>饲料中添加12</w:t>
      </w:r>
      <w:r>
        <w:rPr>
          <w:rFonts w:hint="eastAsia"/>
          <w:szCs w:val="21"/>
          <w14:ligatures w14:val="standardContextual"/>
        </w:rPr>
        <w:t xml:space="preserve"> </w:t>
      </w:r>
      <w:r>
        <w:rPr>
          <w:szCs w:val="21"/>
          <w14:ligatures w14:val="standardContextual"/>
        </w:rPr>
        <w:t>%FRBC显著降低了血清中总胆固醇(TC)含量以及谷丙转氨酶(ALT)和谷草转氨酶(AST)活性(</w:t>
      </w:r>
      <w:r>
        <w:rPr>
          <w:i/>
          <w:iCs/>
          <w:szCs w:val="21"/>
          <w14:ligatures w14:val="standardContextual"/>
        </w:rPr>
        <w:t>P</w:t>
      </w:r>
      <w:r>
        <w:rPr>
          <w:szCs w:val="21"/>
          <w14:ligatures w14:val="standardContextual"/>
        </w:rPr>
        <w:t>&lt;0.05)</w:t>
      </w:r>
      <w:r>
        <w:rPr>
          <w:rFonts w:hint="eastAsia" w:ascii="宋体" w:hAnsi="宋体"/>
          <w:szCs w:val="21"/>
          <w14:ligatures w14:val="standardContextual"/>
        </w:rPr>
        <w:t>。</w:t>
      </w:r>
      <w:r>
        <w:rPr>
          <w:szCs w:val="21"/>
          <w14:ligatures w14:val="standardContextual"/>
        </w:rPr>
        <w:t>5)与对照组相比</w:t>
      </w:r>
      <w:r>
        <w:rPr>
          <w:rFonts w:ascii="宋体" w:hAnsi="宋体"/>
          <w:szCs w:val="21"/>
          <w14:ligatures w14:val="standardContextual"/>
        </w:rPr>
        <w:t>,</w:t>
      </w:r>
      <w:r>
        <w:rPr>
          <w:szCs w:val="21"/>
          <w14:ligatures w14:val="standardContextual"/>
        </w:rPr>
        <w:t>肠道黏膜中总抗氧化能力(T-AOC)在FRBC6组显著提高(</w:t>
      </w:r>
      <w:r>
        <w:rPr>
          <w:i/>
          <w:iCs/>
          <w:szCs w:val="21"/>
          <w14:ligatures w14:val="standardContextual"/>
        </w:rPr>
        <w:t>P</w:t>
      </w:r>
      <w:r>
        <w:rPr>
          <w:szCs w:val="21"/>
          <w14:ligatures w14:val="standardContextual"/>
        </w:rPr>
        <w:t>&lt;0.05)</w:t>
      </w:r>
      <w:r>
        <w:rPr>
          <w:rFonts w:ascii="宋体" w:hAnsi="宋体"/>
          <w:szCs w:val="21"/>
          <w14:ligatures w14:val="standardContextual"/>
        </w:rPr>
        <w:t>,</w:t>
      </w:r>
      <w:r>
        <w:rPr>
          <w:szCs w:val="21"/>
          <w14:ligatures w14:val="standardContextual"/>
        </w:rPr>
        <w:t>但在FRBC添加比例&gt;9</w:t>
      </w:r>
      <w:r>
        <w:rPr>
          <w:rFonts w:hint="eastAsia"/>
          <w:szCs w:val="21"/>
          <w14:ligatures w14:val="standardContextual"/>
        </w:rPr>
        <w:t xml:space="preserve"> </w:t>
      </w:r>
      <w:r>
        <w:rPr>
          <w:szCs w:val="21"/>
          <w14:ligatures w14:val="standardContextual"/>
        </w:rPr>
        <w:t>%后出现显著降低(</w:t>
      </w:r>
      <w:r>
        <w:rPr>
          <w:i/>
          <w:iCs/>
          <w:szCs w:val="21"/>
          <w14:ligatures w14:val="standardContextual"/>
        </w:rPr>
        <w:t>P</w:t>
      </w:r>
      <w:r>
        <w:rPr>
          <w:szCs w:val="21"/>
          <w14:ligatures w14:val="standardContextual"/>
        </w:rPr>
        <w:t>&lt;0.05)</w:t>
      </w:r>
      <w:r>
        <w:rPr>
          <w:rFonts w:hint="eastAsia" w:ascii="宋体" w:hAnsi="宋体"/>
          <w:szCs w:val="21"/>
          <w14:ligatures w14:val="standardContextual"/>
        </w:rPr>
        <w:t>。</w:t>
      </w:r>
      <w:r>
        <w:rPr>
          <w:szCs w:val="21"/>
          <w14:ligatures w14:val="standardContextual"/>
        </w:rPr>
        <w:t>6)FRBC12组肠道黏膜中胰蛋白酶活性显著高于对照组(</w:t>
      </w:r>
      <w:r>
        <w:rPr>
          <w:i/>
          <w:iCs/>
          <w:szCs w:val="21"/>
          <w14:ligatures w14:val="standardContextual"/>
        </w:rPr>
        <w:t>P</w:t>
      </w:r>
      <w:r>
        <w:rPr>
          <w:szCs w:val="21"/>
          <w14:ligatures w14:val="standardContextual"/>
        </w:rPr>
        <w:t>&lt;0.05)</w:t>
      </w:r>
      <w:r>
        <w:rPr>
          <w:rFonts w:hint="eastAsia" w:ascii="宋体" w:hAnsi="宋体"/>
          <w:szCs w:val="21"/>
          <w14:ligatures w14:val="standardContextual"/>
        </w:rPr>
        <w:t>。</w:t>
      </w:r>
      <w:r>
        <w:rPr>
          <w:szCs w:val="21"/>
          <w14:ligatures w14:val="standardContextual"/>
        </w:rPr>
        <w:t>7)各组间肠道黏膜中闭锁小带蛋白-1(</w:t>
      </w:r>
      <w:r>
        <w:rPr>
          <w:i/>
          <w:iCs/>
          <w:szCs w:val="21"/>
          <w14:ligatures w14:val="standardContextual"/>
        </w:rPr>
        <w:t>ZO</w:t>
      </w:r>
      <w:r>
        <w:rPr>
          <w:szCs w:val="21"/>
          <w14:ligatures w14:val="standardContextual"/>
        </w:rPr>
        <w:t>-1)和闭合蛋白(</w:t>
      </w:r>
      <w:r>
        <w:rPr>
          <w:i/>
          <w:iCs/>
          <w:szCs w:val="21"/>
          <w14:ligatures w14:val="standardContextual"/>
        </w:rPr>
        <w:t>Occludin</w:t>
      </w:r>
      <w:r>
        <w:rPr>
          <w:szCs w:val="21"/>
          <w14:ligatures w14:val="standardContextual"/>
        </w:rPr>
        <w:t>)的mRNA相对表达量无显著差异(</w:t>
      </w:r>
      <w:r>
        <w:rPr>
          <w:i/>
          <w:iCs/>
          <w:szCs w:val="21"/>
          <w14:ligatures w14:val="standardContextual"/>
        </w:rPr>
        <w:t>P</w:t>
      </w:r>
      <w:r>
        <w:rPr>
          <w:szCs w:val="21"/>
          <w14:ligatures w14:val="standardContextual"/>
        </w:rPr>
        <w:t>&gt;0.05)</w:t>
      </w:r>
      <w:r>
        <w:rPr>
          <w:rFonts w:ascii="宋体" w:hAnsi="宋体"/>
          <w:szCs w:val="21"/>
          <w14:ligatures w14:val="standardContextual"/>
        </w:rPr>
        <w:t>,</w:t>
      </w:r>
      <w:r>
        <w:rPr>
          <w:szCs w:val="21"/>
          <w14:ligatures w14:val="standardContextual"/>
        </w:rPr>
        <w:t>但FRBC9组封闭蛋白-1(</w:t>
      </w:r>
      <w:r>
        <w:rPr>
          <w:i/>
          <w:iCs/>
          <w:szCs w:val="21"/>
          <w14:ligatures w14:val="standardContextual"/>
        </w:rPr>
        <w:t>Claudin</w:t>
      </w:r>
      <w:r>
        <w:rPr>
          <w:szCs w:val="21"/>
          <w14:ligatures w14:val="standardContextual"/>
        </w:rPr>
        <w:t>-1)的mRNA相对表达量较对照组显著下调(</w:t>
      </w:r>
      <w:r>
        <w:rPr>
          <w:i/>
          <w:iCs/>
          <w:szCs w:val="21"/>
          <w14:ligatures w14:val="standardContextual"/>
        </w:rPr>
        <w:t>P</w:t>
      </w:r>
      <w:r>
        <w:rPr>
          <w:szCs w:val="21"/>
          <w14:ligatures w14:val="standardContextual"/>
        </w:rPr>
        <w:t>&lt;0.05)</w:t>
      </w:r>
      <w:r>
        <w:rPr>
          <w:rFonts w:hint="eastAsia" w:ascii="宋体" w:hAnsi="宋体"/>
          <w:szCs w:val="21"/>
          <w14:ligatures w14:val="standardContextual"/>
        </w:rPr>
        <w:t>。</w:t>
      </w:r>
      <w:r>
        <w:rPr>
          <w:szCs w:val="21"/>
          <w14:ligatures w14:val="standardContextual"/>
        </w:rPr>
        <w:t>8)各组间肠道绒毛高度</w:t>
      </w:r>
      <w:r>
        <w:rPr>
          <w:rFonts w:hint="eastAsia" w:ascii="宋体" w:hAnsi="宋体" w:cs="微软雅黑"/>
          <w:szCs w:val="21"/>
          <w14:ligatures w14:val="standardContextual"/>
        </w:rPr>
        <w:t>、</w:t>
      </w:r>
      <w:r>
        <w:rPr>
          <w:szCs w:val="21"/>
          <w14:ligatures w14:val="standardContextual"/>
        </w:rPr>
        <w:t>肠壁厚度无显著差异(</w:t>
      </w:r>
      <w:r>
        <w:rPr>
          <w:i/>
          <w:iCs/>
          <w:szCs w:val="21"/>
          <w14:ligatures w14:val="standardContextual"/>
        </w:rPr>
        <w:t>P</w:t>
      </w:r>
      <w:r>
        <w:rPr>
          <w:szCs w:val="21"/>
          <w14:ligatures w14:val="standardContextual"/>
        </w:rPr>
        <w:t>&gt;0.05)</w:t>
      </w:r>
      <w:r>
        <w:rPr>
          <w:rFonts w:ascii="宋体" w:hAnsi="宋体"/>
          <w:szCs w:val="21"/>
          <w14:ligatures w14:val="standardContextual"/>
        </w:rPr>
        <w:t>,</w:t>
      </w:r>
      <w:r>
        <w:rPr>
          <w:szCs w:val="21"/>
          <w14:ligatures w14:val="standardContextual"/>
        </w:rPr>
        <w:t>且肠道组织结构无明显差异</w:t>
      </w:r>
      <w:r>
        <w:rPr>
          <w:rFonts w:hint="eastAsia" w:ascii="宋体" w:hAnsi="宋体"/>
          <w:szCs w:val="21"/>
          <w14:ligatures w14:val="standardContextual"/>
        </w:rPr>
        <w:t>。</w:t>
      </w:r>
      <w:r>
        <w:rPr>
          <w:szCs w:val="21"/>
          <w14:ligatures w14:val="standardContextual"/>
        </w:rPr>
        <w:t>综合以上结果可知</w:t>
      </w:r>
      <w:r>
        <w:rPr>
          <w:rFonts w:ascii="宋体" w:hAnsi="宋体"/>
          <w:szCs w:val="21"/>
          <w14:ligatures w14:val="standardContextual"/>
        </w:rPr>
        <w:t>,</w:t>
      </w:r>
      <w:r>
        <w:rPr>
          <w:szCs w:val="21"/>
          <w14:ligatures w14:val="standardContextual"/>
        </w:rPr>
        <w:t>在豆粕含量为25</w:t>
      </w:r>
      <w:r>
        <w:rPr>
          <w:rFonts w:hint="eastAsia"/>
          <w:szCs w:val="21"/>
          <w14:ligatures w14:val="standardContextual"/>
        </w:rPr>
        <w:t xml:space="preserve"> </w:t>
      </w:r>
      <w:r>
        <w:rPr>
          <w:szCs w:val="21"/>
          <w14:ligatures w14:val="standardContextual"/>
        </w:rPr>
        <w:t>%的饲料中</w:t>
      </w:r>
      <w:r>
        <w:rPr>
          <w:rFonts w:ascii="宋体" w:hAnsi="宋体"/>
          <w:szCs w:val="21"/>
          <w14:ligatures w14:val="standardContextual"/>
        </w:rPr>
        <w:t>,</w:t>
      </w:r>
      <w:r>
        <w:rPr>
          <w:szCs w:val="21"/>
          <w14:ligatures w14:val="standardContextual"/>
        </w:rPr>
        <w:t>FRBC替代豆粕比例达36</w:t>
      </w:r>
      <w:r>
        <w:rPr>
          <w:rFonts w:hint="eastAsia"/>
          <w:szCs w:val="21"/>
          <w14:ligatures w14:val="standardContextual"/>
        </w:rPr>
        <w:t xml:space="preserve"> </w:t>
      </w:r>
      <w:r>
        <w:rPr>
          <w:szCs w:val="21"/>
          <w14:ligatures w14:val="standardContextual"/>
        </w:rPr>
        <w:t>%时可提高鲤鱼的生长性能</w:t>
      </w:r>
      <w:r>
        <w:rPr>
          <w:rFonts w:hint="eastAsia" w:ascii="宋体" w:hAnsi="宋体" w:cs="微软雅黑"/>
          <w:szCs w:val="21"/>
          <w14:ligatures w14:val="standardContextual"/>
        </w:rPr>
        <w:t>、</w:t>
      </w:r>
      <w:r>
        <w:rPr>
          <w:szCs w:val="21"/>
          <w14:ligatures w14:val="standardContextual"/>
        </w:rPr>
        <w:t>饲料利用率和肉品质</w:t>
      </w:r>
      <w:r>
        <w:rPr>
          <w:rFonts w:ascii="宋体" w:hAnsi="宋体"/>
          <w:szCs w:val="21"/>
          <w14:ligatures w14:val="standardContextual"/>
        </w:rPr>
        <w:t>,</w:t>
      </w:r>
      <w:r>
        <w:rPr>
          <w:szCs w:val="21"/>
          <w14:ligatures w14:val="standardContextual"/>
        </w:rPr>
        <w:t>且不会对肠道健康产生不良影响</w:t>
      </w:r>
      <w:r>
        <w:rPr>
          <w:rFonts w:hint="eastAsia" w:ascii="宋体" w:hAnsi="宋体"/>
          <w:szCs w:val="21"/>
          <w14:ligatures w14:val="standardContextual"/>
        </w:rPr>
        <w:t>。</w:t>
      </w:r>
    </w:p>
    <w:p w14:paraId="74E08462">
      <w:pPr>
        <w:snapToGrid w:val="0"/>
        <w:rPr>
          <w:rFonts w:ascii="宋体" w:hAnsi="宋体"/>
          <w:szCs w:val="21"/>
          <w14:ligatures w14:val="standardContextual"/>
        </w:rPr>
      </w:pPr>
      <w:r>
        <w:rPr>
          <w:rFonts w:hint="eastAsia" w:ascii="宋体" w:hAnsi="宋体"/>
          <w:b/>
          <w:bCs/>
          <w:szCs w:val="21"/>
          <w14:ligatures w14:val="standardContextual"/>
        </w:rPr>
        <w:t>关键词</w:t>
      </w:r>
      <w:r>
        <w:rPr>
          <w:rFonts w:ascii="宋体" w:hAnsi="宋体"/>
          <w:szCs w:val="21"/>
          <w14:ligatures w14:val="standardContextual"/>
        </w:rPr>
        <w:t>:</w:t>
      </w:r>
      <w:r>
        <w:rPr>
          <w:rFonts w:hint="eastAsia" w:ascii="宋体" w:hAnsi="宋体"/>
          <w:szCs w:val="21"/>
          <w14:ligatures w14:val="standardContextual"/>
        </w:rPr>
        <w:t>发酵菜籽褐饼</w:t>
      </w:r>
      <w:r>
        <w:rPr>
          <w:rFonts w:ascii="宋体" w:hAnsi="宋体"/>
          <w:szCs w:val="21"/>
          <w14:ligatures w14:val="standardContextual"/>
        </w:rPr>
        <w:t>;</w:t>
      </w:r>
      <w:r>
        <w:rPr>
          <w:rFonts w:hint="eastAsia" w:ascii="宋体" w:hAnsi="宋体"/>
          <w:szCs w:val="21"/>
          <w14:ligatures w14:val="standardContextual"/>
        </w:rPr>
        <w:t>鲤鱼</w:t>
      </w:r>
      <w:r>
        <w:rPr>
          <w:rFonts w:ascii="宋体" w:hAnsi="宋体"/>
          <w:szCs w:val="21"/>
          <w14:ligatures w14:val="standardContextual"/>
        </w:rPr>
        <w:t>;</w:t>
      </w:r>
      <w:r>
        <w:rPr>
          <w:rFonts w:hint="eastAsia" w:ascii="宋体" w:hAnsi="宋体"/>
          <w:szCs w:val="21"/>
          <w14:ligatures w14:val="standardContextual"/>
        </w:rPr>
        <w:t>生长性能</w:t>
      </w:r>
      <w:r>
        <w:rPr>
          <w:rFonts w:ascii="宋体" w:hAnsi="宋体"/>
          <w:szCs w:val="21"/>
          <w14:ligatures w14:val="standardContextual"/>
        </w:rPr>
        <w:t>;</w:t>
      </w:r>
      <w:r>
        <w:rPr>
          <w:rFonts w:hint="eastAsia" w:ascii="宋体" w:hAnsi="宋体"/>
          <w:szCs w:val="21"/>
          <w14:ligatures w14:val="standardContextual"/>
        </w:rPr>
        <w:t>营养物质利用</w:t>
      </w:r>
      <w:r>
        <w:rPr>
          <w:rFonts w:ascii="宋体" w:hAnsi="宋体"/>
          <w:szCs w:val="21"/>
          <w14:ligatures w14:val="standardContextual"/>
        </w:rPr>
        <w:t>;</w:t>
      </w:r>
      <w:r>
        <w:rPr>
          <w:rFonts w:hint="eastAsia" w:ascii="宋体" w:hAnsi="宋体"/>
          <w:szCs w:val="21"/>
          <w14:ligatures w14:val="standardContextual"/>
        </w:rPr>
        <w:t>肠道健康</w:t>
      </w:r>
    </w:p>
    <w:p w14:paraId="77778BCC">
      <w:pPr>
        <w:jc w:val="center"/>
        <w:rPr>
          <w:b/>
          <w:bCs/>
          <w:sz w:val="24"/>
          <w14:ligatures w14:val="standardContextual"/>
        </w:rPr>
      </w:pPr>
      <w:r>
        <w:rPr>
          <w:b/>
          <w:bCs/>
          <w:sz w:val="24"/>
          <w14:ligatures w14:val="standardContextual"/>
        </w:rPr>
        <w:t>Effects of Replacing Soybean Meal with Fermented Rapeseed Brown</w:t>
      </w:r>
      <w:r>
        <w:rPr>
          <w:rFonts w:hint="eastAsia"/>
          <w:b/>
          <w:bCs/>
          <w:sz w:val="24"/>
          <w14:ligatures w14:val="standardContextual"/>
        </w:rPr>
        <w:t xml:space="preserve"> </w:t>
      </w:r>
      <w:r>
        <w:rPr>
          <w:b/>
          <w:bCs/>
          <w:sz w:val="24"/>
          <w14:ligatures w14:val="standardContextual"/>
        </w:rPr>
        <w:t>Cake on Growth Performance,</w:t>
      </w:r>
      <w:r>
        <w:rPr>
          <w:rFonts w:hint="eastAsia"/>
          <w:b/>
          <w:bCs/>
          <w:sz w:val="24"/>
          <w14:ligatures w14:val="standardContextual"/>
        </w:rPr>
        <w:t xml:space="preserve"> </w:t>
      </w:r>
      <w:r>
        <w:rPr>
          <w:b/>
          <w:bCs/>
          <w:sz w:val="24"/>
          <w14:ligatures w14:val="standardContextual"/>
        </w:rPr>
        <w:t>Meat Quality and Intestinal</w:t>
      </w:r>
      <w:r>
        <w:rPr>
          <w:rFonts w:hint="eastAsia"/>
          <w:b/>
          <w:bCs/>
          <w:sz w:val="24"/>
          <w14:ligatures w14:val="standardContextual"/>
        </w:rPr>
        <w:t xml:space="preserve"> </w:t>
      </w:r>
      <w:r>
        <w:rPr>
          <w:b/>
          <w:bCs/>
          <w:sz w:val="24"/>
          <w14:ligatures w14:val="standardContextual"/>
        </w:rPr>
        <w:t xml:space="preserve">Health of Common Carp ( </w:t>
      </w:r>
      <w:r>
        <w:rPr>
          <w:b/>
          <w:bCs/>
          <w:i/>
          <w:iCs/>
          <w:sz w:val="24"/>
          <w14:ligatures w14:val="standardContextual"/>
        </w:rPr>
        <w:t>Cyprinus carpio</w:t>
      </w:r>
      <w:r>
        <w:rPr>
          <w:b/>
          <w:bCs/>
          <w:sz w:val="24"/>
          <w14:ligatures w14:val="standardContextual"/>
        </w:rPr>
        <w:t>)</w:t>
      </w:r>
    </w:p>
    <w:p w14:paraId="77EDB566">
      <w:pPr>
        <w:jc w:val="center"/>
        <w:rPr>
          <w:szCs w:val="21"/>
          <w14:ligatures w14:val="standardContextual"/>
        </w:rPr>
      </w:pPr>
      <w:r>
        <w:rPr>
          <w:szCs w:val="21"/>
          <w14:ligatures w14:val="standardContextual"/>
        </w:rPr>
        <w:t>ZHANG Aoran ZHENG Yunfan YIN Wang PU Xiaoqing ZHAO Min LI YongYAN Qiubo WANG Hongmei*</w:t>
      </w:r>
    </w:p>
    <w:p w14:paraId="29159961">
      <w:pPr>
        <w:jc w:val="center"/>
        <w:rPr>
          <w:szCs w:val="21"/>
          <w14:ligatures w14:val="standardContextual"/>
        </w:rPr>
      </w:pPr>
      <w:r>
        <w:rPr>
          <w:szCs w:val="21"/>
          <w14:ligatures w14:val="standardContextual"/>
        </w:rPr>
        <w:t xml:space="preserve">( </w:t>
      </w:r>
      <w:r>
        <w:rPr>
          <w:i/>
          <w:iCs/>
          <w:szCs w:val="21"/>
          <w14:ligatures w14:val="standardContextual"/>
        </w:rPr>
        <w:t>Key Laboratory of Feed and Livestock and Poultry Products Quality &amp; Safety Control</w:t>
      </w:r>
      <w:r>
        <w:rPr>
          <w:szCs w:val="21"/>
          <w14:ligatures w14:val="standardContextual"/>
        </w:rPr>
        <w:t>,</w:t>
      </w:r>
      <w:r>
        <w:rPr>
          <w:rFonts w:hint="eastAsia"/>
          <w:szCs w:val="21"/>
          <w14:ligatures w14:val="standardContextual"/>
        </w:rPr>
        <w:t xml:space="preserve"> </w:t>
      </w:r>
      <w:r>
        <w:rPr>
          <w:i/>
          <w:iCs/>
          <w:szCs w:val="21"/>
          <w14:ligatures w14:val="standardContextual"/>
        </w:rPr>
        <w:t>Ministry of Agriculture and</w:t>
      </w:r>
      <w:r>
        <w:rPr>
          <w:rFonts w:hint="eastAsia"/>
          <w:i/>
          <w:iCs/>
          <w:szCs w:val="21"/>
          <w14:ligatures w14:val="standardContextual"/>
        </w:rPr>
        <w:t xml:space="preserve"> </w:t>
      </w:r>
      <w:r>
        <w:rPr>
          <w:i/>
          <w:iCs/>
          <w:szCs w:val="21"/>
          <w14:ligatures w14:val="standardContextual"/>
        </w:rPr>
        <w:t>Rural Affairs</w:t>
      </w:r>
      <w:r>
        <w:rPr>
          <w:szCs w:val="21"/>
          <w14:ligatures w14:val="standardContextual"/>
        </w:rPr>
        <w:t>,</w:t>
      </w:r>
      <w:r>
        <w:rPr>
          <w:rFonts w:hint="eastAsia"/>
          <w:szCs w:val="21"/>
          <w14:ligatures w14:val="standardContextual"/>
        </w:rPr>
        <w:t xml:space="preserve"> </w:t>
      </w:r>
      <w:r>
        <w:rPr>
          <w:i/>
          <w:iCs/>
          <w:szCs w:val="21"/>
          <w14:ligatures w14:val="standardContextual"/>
        </w:rPr>
        <w:t>Quality Control for Feed and Products of Livestock and Poultry Key Laboratory of Sichuan</w:t>
      </w:r>
      <w:r>
        <w:rPr>
          <w:rFonts w:hint="eastAsia"/>
          <w:i/>
          <w:iCs/>
          <w:szCs w:val="21"/>
          <w14:ligatures w14:val="standardContextual"/>
        </w:rPr>
        <w:t xml:space="preserve"> </w:t>
      </w:r>
      <w:r>
        <w:rPr>
          <w:i/>
          <w:iCs/>
          <w:szCs w:val="21"/>
          <w14:ligatures w14:val="standardContextual"/>
        </w:rPr>
        <w:t>Province</w:t>
      </w:r>
      <w:r>
        <w:rPr>
          <w:szCs w:val="21"/>
          <w14:ligatures w14:val="standardContextual"/>
        </w:rPr>
        <w:t>,</w:t>
      </w:r>
      <w:r>
        <w:rPr>
          <w:rFonts w:hint="eastAsia"/>
          <w:szCs w:val="21"/>
          <w14:ligatures w14:val="standardContextual"/>
        </w:rPr>
        <w:t xml:space="preserve"> </w:t>
      </w:r>
      <w:r>
        <w:rPr>
          <w:i/>
          <w:iCs/>
          <w:szCs w:val="21"/>
          <w14:ligatures w14:val="standardContextual"/>
        </w:rPr>
        <w:t>New Hope Liuhe Feed Research Institute,</w:t>
      </w:r>
      <w:r>
        <w:rPr>
          <w:rFonts w:hint="eastAsia"/>
          <w:i/>
          <w:iCs/>
          <w:szCs w:val="21"/>
          <w14:ligatures w14:val="standardContextual"/>
        </w:rPr>
        <w:t xml:space="preserve"> </w:t>
      </w:r>
      <w:r>
        <w:rPr>
          <w:i/>
          <w:iCs/>
          <w:szCs w:val="21"/>
          <w14:ligatures w14:val="standardContextual"/>
        </w:rPr>
        <w:t>Chengdu</w:t>
      </w:r>
      <w:r>
        <w:rPr>
          <w:szCs w:val="21"/>
          <w14:ligatures w14:val="standardContextual"/>
        </w:rPr>
        <w:t xml:space="preserve"> 610023,China)</w:t>
      </w:r>
    </w:p>
    <w:p w14:paraId="3D7FF863">
      <w:pPr>
        <w:rPr>
          <w:szCs w:val="21"/>
          <w14:ligatures w14:val="standardContextual"/>
        </w:rPr>
      </w:pPr>
      <w:r>
        <w:rPr>
          <w:b/>
          <w:bCs/>
          <w:szCs w:val="21"/>
          <w14:ligatures w14:val="standardContextual"/>
        </w:rPr>
        <w:t>Abstract</w:t>
      </w:r>
      <w:r>
        <w:rPr>
          <w:szCs w:val="21"/>
          <w14:ligatures w14:val="standardContextual"/>
        </w:rPr>
        <w:t>: The purpose of this experiment was conducted to investigate the effects of adding different proportions of fermented rapeseed brown cake (FRBC) replacing part of soybean meal in diets on the growth performance,</w:t>
      </w:r>
      <w:r>
        <w:rPr>
          <w:rFonts w:hint="eastAsia"/>
          <w:szCs w:val="21"/>
          <w14:ligatures w14:val="standardContextual"/>
        </w:rPr>
        <w:t xml:space="preserve"> </w:t>
      </w:r>
      <w:r>
        <w:rPr>
          <w:szCs w:val="21"/>
          <w14:ligatures w14:val="standardContextual"/>
        </w:rPr>
        <w:t>nutrient deposition rates,</w:t>
      </w:r>
      <w:r>
        <w:rPr>
          <w:rFonts w:hint="eastAsia"/>
          <w:szCs w:val="21"/>
          <w14:ligatures w14:val="standardContextual"/>
        </w:rPr>
        <w:t xml:space="preserve"> </w:t>
      </w:r>
      <w:r>
        <w:rPr>
          <w:szCs w:val="21"/>
          <w14:ligatures w14:val="standardContextual"/>
        </w:rPr>
        <w:t>nutritional composition of whole fish and muscle,</w:t>
      </w:r>
      <w:r>
        <w:rPr>
          <w:rFonts w:hint="eastAsia"/>
          <w:szCs w:val="21"/>
          <w14:ligatures w14:val="standardContextual"/>
        </w:rPr>
        <w:t xml:space="preserve"> </w:t>
      </w:r>
      <w:r>
        <w:rPr>
          <w:szCs w:val="21"/>
          <w14:ligatures w14:val="standardContextual"/>
        </w:rPr>
        <w:t>serum biochemical indices and intestinal health of common carp. The principle of isonitrogen (42</w:t>
      </w:r>
      <w:r>
        <w:rPr>
          <w:rFonts w:hint="eastAsia"/>
          <w:szCs w:val="21"/>
          <w14:ligatures w14:val="standardContextual"/>
        </w:rPr>
        <w:t xml:space="preserve"> </w:t>
      </w:r>
      <w:r>
        <w:rPr>
          <w:szCs w:val="21"/>
          <w14:ligatures w14:val="standardContextual"/>
        </w:rPr>
        <w:t>% crude protein) and isolipid (11</w:t>
      </w:r>
      <w:r>
        <w:rPr>
          <w:rFonts w:hint="eastAsia"/>
          <w:szCs w:val="21"/>
          <w14:ligatures w14:val="standardContextual"/>
        </w:rPr>
        <w:t xml:space="preserve"> </w:t>
      </w:r>
      <w:r>
        <w:rPr>
          <w:szCs w:val="21"/>
          <w14:ligatures w14:val="standardContextual"/>
        </w:rPr>
        <w:t>%crude fat) was adopted. Diet containing 25</w:t>
      </w:r>
      <w:r>
        <w:rPr>
          <w:rFonts w:hint="eastAsia"/>
          <w:szCs w:val="21"/>
          <w14:ligatures w14:val="standardContextual"/>
        </w:rPr>
        <w:t xml:space="preserve"> </w:t>
      </w:r>
      <w:r>
        <w:rPr>
          <w:szCs w:val="21"/>
          <w14:ligatures w14:val="standardContextual"/>
        </w:rPr>
        <w:t>% soybean meal was used as a control diet,</w:t>
      </w:r>
      <w:r>
        <w:rPr>
          <w:rFonts w:hint="eastAsia"/>
          <w:szCs w:val="21"/>
          <w14:ligatures w14:val="standardContextual"/>
        </w:rPr>
        <w:t xml:space="preserve"> </w:t>
      </w:r>
      <w:r>
        <w:rPr>
          <w:szCs w:val="21"/>
          <w14:ligatures w14:val="standardContextual"/>
        </w:rPr>
        <w:t>and 8</w:t>
      </w:r>
      <w:r>
        <w:rPr>
          <w:rFonts w:hint="eastAsia"/>
          <w:szCs w:val="21"/>
          <w14:ligatures w14:val="standardContextual"/>
        </w:rPr>
        <w:t xml:space="preserve"> </w:t>
      </w:r>
      <w:r>
        <w:rPr>
          <w:szCs w:val="21"/>
          <w14:ligatures w14:val="standardContextual"/>
        </w:rPr>
        <w:t>%,18</w:t>
      </w:r>
      <w:r>
        <w:rPr>
          <w:rFonts w:hint="eastAsia"/>
          <w:szCs w:val="21"/>
          <w14:ligatures w14:val="standardContextual"/>
        </w:rPr>
        <w:t xml:space="preserve"> </w:t>
      </w:r>
      <w:r>
        <w:rPr>
          <w:szCs w:val="21"/>
          <w14:ligatures w14:val="standardContextual"/>
        </w:rPr>
        <w:t>%,27</w:t>
      </w:r>
      <w:r>
        <w:rPr>
          <w:rFonts w:hint="eastAsia"/>
          <w:szCs w:val="21"/>
          <w14:ligatures w14:val="standardContextual"/>
        </w:rPr>
        <w:t xml:space="preserve"> </w:t>
      </w:r>
      <w:r>
        <w:rPr>
          <w:szCs w:val="21"/>
          <w14:ligatures w14:val="standardContextual"/>
        </w:rPr>
        <w:t>%</w:t>
      </w:r>
      <w:r>
        <w:rPr>
          <w:rFonts w:hint="eastAsia"/>
          <w:szCs w:val="21"/>
          <w14:ligatures w14:val="standardContextual"/>
        </w:rPr>
        <w:t xml:space="preserve"> </w:t>
      </w:r>
      <w:r>
        <w:rPr>
          <w:szCs w:val="21"/>
          <w14:ligatures w14:val="standardContextual"/>
        </w:rPr>
        <w:t>and 36</w:t>
      </w:r>
      <w:r>
        <w:rPr>
          <w:rFonts w:hint="eastAsia"/>
          <w:szCs w:val="21"/>
          <w14:ligatures w14:val="standardContextual"/>
        </w:rPr>
        <w:t xml:space="preserve"> </w:t>
      </w:r>
      <w:r>
        <w:rPr>
          <w:szCs w:val="21"/>
          <w14:ligatures w14:val="standardContextual"/>
        </w:rPr>
        <w:t>% soybean meal were replaced with FRBC,</w:t>
      </w:r>
      <w:r>
        <w:rPr>
          <w:rFonts w:hint="eastAsia"/>
          <w:szCs w:val="21"/>
          <w14:ligatures w14:val="standardContextual"/>
        </w:rPr>
        <w:t xml:space="preserve"> </w:t>
      </w:r>
      <w:r>
        <w:rPr>
          <w:szCs w:val="21"/>
          <w14:ligatures w14:val="standardContextual"/>
        </w:rPr>
        <w:t>respectively. The proportions of FRBC in the corresponding</w:t>
      </w:r>
      <w:r>
        <w:rPr>
          <w:rFonts w:hint="eastAsia"/>
          <w:szCs w:val="21"/>
          <w14:ligatures w14:val="standardContextual"/>
        </w:rPr>
        <w:t xml:space="preserve"> </w:t>
      </w:r>
      <w:r>
        <w:rPr>
          <w:szCs w:val="21"/>
          <w14:ligatures w14:val="standardContextual"/>
        </w:rPr>
        <w:t>diets were 0 (FRBC0 group,</w:t>
      </w:r>
      <w:r>
        <w:rPr>
          <w:rFonts w:hint="eastAsia"/>
          <w:szCs w:val="21"/>
          <w14:ligatures w14:val="standardContextual"/>
        </w:rPr>
        <w:t xml:space="preserve"> </w:t>
      </w:r>
      <w:r>
        <w:rPr>
          <w:szCs w:val="21"/>
          <w14:ligatures w14:val="standardContextual"/>
        </w:rPr>
        <w:t>as control group) ,3</w:t>
      </w:r>
      <w:r>
        <w:rPr>
          <w:rFonts w:hint="eastAsia"/>
          <w:szCs w:val="21"/>
          <w14:ligatures w14:val="standardContextual"/>
        </w:rPr>
        <w:t xml:space="preserve"> </w:t>
      </w:r>
      <w:r>
        <w:rPr>
          <w:szCs w:val="21"/>
          <w14:ligatures w14:val="standardContextual"/>
        </w:rPr>
        <w:t>% (FRBC3 group) ,6</w:t>
      </w:r>
      <w:r>
        <w:rPr>
          <w:rFonts w:hint="eastAsia"/>
          <w:szCs w:val="21"/>
          <w14:ligatures w14:val="standardContextual"/>
        </w:rPr>
        <w:t xml:space="preserve"> </w:t>
      </w:r>
      <w:r>
        <w:rPr>
          <w:szCs w:val="21"/>
          <w14:ligatures w14:val="standardContextual"/>
        </w:rPr>
        <w:t>% (FRBC6 group) ,9</w:t>
      </w:r>
      <w:r>
        <w:rPr>
          <w:rFonts w:hint="eastAsia"/>
          <w:szCs w:val="21"/>
          <w14:ligatures w14:val="standardContextual"/>
        </w:rPr>
        <w:t xml:space="preserve"> </w:t>
      </w:r>
      <w:r>
        <w:rPr>
          <w:szCs w:val="21"/>
          <w14:ligatures w14:val="standardContextual"/>
        </w:rPr>
        <w:t>% (FRBC9group) ,12</w:t>
      </w:r>
      <w:r>
        <w:rPr>
          <w:rFonts w:hint="eastAsia"/>
          <w:szCs w:val="21"/>
          <w14:ligatures w14:val="standardContextual"/>
        </w:rPr>
        <w:t xml:space="preserve"> </w:t>
      </w:r>
      <w:r>
        <w:rPr>
          <w:szCs w:val="21"/>
          <w14:ligatures w14:val="standardContextual"/>
        </w:rPr>
        <w:t>% (FRBC12 group),</w:t>
      </w:r>
      <w:r>
        <w:rPr>
          <w:rFonts w:hint="eastAsia"/>
          <w:szCs w:val="21"/>
          <w14:ligatures w14:val="standardContextual"/>
        </w:rPr>
        <w:t xml:space="preserve"> </w:t>
      </w:r>
      <w:r>
        <w:rPr>
          <w:szCs w:val="21"/>
          <w14:ligatures w14:val="standardContextual"/>
        </w:rPr>
        <w:t>respectively. A total of 2450 juvenile common carp at average body weight</w:t>
      </w:r>
      <w:r>
        <w:rPr>
          <w:rFonts w:hint="eastAsia"/>
          <w:szCs w:val="21"/>
          <w14:ligatures w14:val="standardContextual"/>
        </w:rPr>
        <w:t xml:space="preserve"> </w:t>
      </w:r>
      <w:r>
        <w:rPr>
          <w:szCs w:val="21"/>
          <w14:ligatures w14:val="standardContextual"/>
        </w:rPr>
        <w:t>of (99.97±1.33) g were randomly divided into 5 groups with 7 replicates per group and 70 fish per replicate,</w:t>
      </w:r>
      <w:r>
        <w:rPr>
          <w:rFonts w:hint="eastAsia"/>
          <w:szCs w:val="21"/>
          <w14:ligatures w14:val="standardContextual"/>
        </w:rPr>
        <w:t xml:space="preserve"> </w:t>
      </w:r>
      <w:r>
        <w:rPr>
          <w:szCs w:val="21"/>
          <w14:ligatures w14:val="standardContextual"/>
        </w:rPr>
        <w:t>and fed with above 5 experimental diets for 8 weeks. The results showed as follow s: 1) the final body weight</w:t>
      </w:r>
      <w:r>
        <w:rPr>
          <w:rFonts w:hint="eastAsia"/>
          <w:szCs w:val="21"/>
          <w14:ligatures w14:val="standardContextual"/>
        </w:rPr>
        <w:t xml:space="preserve"> </w:t>
      </w:r>
      <w:r>
        <w:rPr>
          <w:szCs w:val="21"/>
          <w14:ligatures w14:val="standardContextual"/>
        </w:rPr>
        <w:t>(FBW),</w:t>
      </w:r>
      <w:r>
        <w:rPr>
          <w:rFonts w:hint="eastAsia"/>
          <w:szCs w:val="21"/>
          <w14:ligatures w14:val="standardContextual"/>
        </w:rPr>
        <w:t xml:space="preserve"> </w:t>
      </w:r>
      <w:r>
        <w:rPr>
          <w:szCs w:val="21"/>
          <w14:ligatures w14:val="standardContextual"/>
        </w:rPr>
        <w:t>weight gain rate (WGR),</w:t>
      </w:r>
      <w:r>
        <w:rPr>
          <w:rFonts w:hint="eastAsia"/>
          <w:szCs w:val="21"/>
          <w14:ligatures w14:val="standardContextual"/>
        </w:rPr>
        <w:t xml:space="preserve"> </w:t>
      </w:r>
      <w:r>
        <w:rPr>
          <w:szCs w:val="21"/>
          <w14:ligatures w14:val="standardContextual"/>
        </w:rPr>
        <w:t>specific growth rate (SGR) and protein efficiency ratio (PER) w ere significantly increased (</w:t>
      </w:r>
      <w:r>
        <w:rPr>
          <w:i/>
          <w:iCs/>
          <w:szCs w:val="21"/>
          <w14:ligatures w14:val="standardContextual"/>
        </w:rPr>
        <w:t>P</w:t>
      </w:r>
      <w:r>
        <w:rPr>
          <w:szCs w:val="21"/>
          <w14:ligatures w14:val="standardContextual"/>
        </w:rPr>
        <w:t>&lt;0.05),</w:t>
      </w:r>
      <w:r>
        <w:rPr>
          <w:rFonts w:hint="eastAsia"/>
          <w:szCs w:val="21"/>
          <w14:ligatures w14:val="standardContextual"/>
        </w:rPr>
        <w:t xml:space="preserve"> </w:t>
      </w:r>
      <w:r>
        <w:rPr>
          <w:szCs w:val="21"/>
          <w14:ligatures w14:val="standardContextual"/>
        </w:rPr>
        <w:t>and the feed conversation ratio was significantly decreased (</w:t>
      </w:r>
      <w:r>
        <w:rPr>
          <w:i/>
          <w:iCs/>
          <w:szCs w:val="21"/>
          <w14:ligatures w14:val="standardContextual"/>
        </w:rPr>
        <w:t>P</w:t>
      </w:r>
      <w:r>
        <w:rPr>
          <w:szCs w:val="21"/>
          <w14:ligatures w14:val="standardContextual"/>
        </w:rPr>
        <w:t>&lt; 0.05) when</w:t>
      </w:r>
      <w:r>
        <w:rPr>
          <w:rFonts w:hint="eastAsia"/>
          <w:szCs w:val="21"/>
          <w14:ligatures w14:val="standardContextual"/>
        </w:rPr>
        <w:t xml:space="preserve"> </w:t>
      </w:r>
      <w:r>
        <w:rPr>
          <w:szCs w:val="21"/>
          <w14:ligatures w14:val="standardContextual"/>
        </w:rPr>
        <w:t>the proportion of FRBC was higher than or equal to 9</w:t>
      </w:r>
      <w:r>
        <w:rPr>
          <w:rFonts w:hint="eastAsia"/>
          <w:szCs w:val="21"/>
          <w14:ligatures w14:val="standardContextual"/>
        </w:rPr>
        <w:t xml:space="preserve"> </w:t>
      </w:r>
      <w:r>
        <w:rPr>
          <w:szCs w:val="21"/>
          <w14:ligatures w14:val="standardContextual"/>
        </w:rPr>
        <w:t>%. There were no significant differences in survival rate,</w:t>
      </w:r>
      <w:r>
        <w:rPr>
          <w:rFonts w:hint="eastAsia"/>
          <w:szCs w:val="21"/>
          <w14:ligatures w14:val="standardContextual"/>
        </w:rPr>
        <w:t xml:space="preserve"> </w:t>
      </w:r>
      <w:r>
        <w:rPr>
          <w:szCs w:val="21"/>
          <w14:ligatures w14:val="standardContextual"/>
        </w:rPr>
        <w:t>body indexes including condition factor,</w:t>
      </w:r>
      <w:r>
        <w:rPr>
          <w:rFonts w:hint="eastAsia"/>
          <w:szCs w:val="21"/>
          <w14:ligatures w14:val="standardContextual"/>
        </w:rPr>
        <w:t xml:space="preserve"> </w:t>
      </w:r>
      <w:r>
        <w:rPr>
          <w:szCs w:val="21"/>
          <w14:ligatures w14:val="standardContextual"/>
        </w:rPr>
        <w:t>hepatosomatic index and viscerosomatic index among all groups (</w:t>
      </w:r>
      <w:r>
        <w:rPr>
          <w:i/>
          <w:iCs/>
          <w:szCs w:val="21"/>
          <w14:ligatures w14:val="standardContextual"/>
        </w:rPr>
        <w:t>P</w:t>
      </w:r>
      <w:r>
        <w:rPr>
          <w:szCs w:val="21"/>
          <w14:ligatures w14:val="standardContextual"/>
        </w:rPr>
        <w:t>&gt;0.05). 2) Compared with the control group,</w:t>
      </w:r>
      <w:r>
        <w:rPr>
          <w:rFonts w:hint="eastAsia"/>
          <w:szCs w:val="21"/>
          <w14:ligatures w14:val="standardContextual"/>
        </w:rPr>
        <w:t xml:space="preserve"> </w:t>
      </w:r>
      <w:r>
        <w:rPr>
          <w:szCs w:val="21"/>
          <w14:ligatures w14:val="standardContextual"/>
        </w:rPr>
        <w:t>adding different proportions of FRBC into diets had no significant</w:t>
      </w:r>
      <w:r>
        <w:rPr>
          <w:rFonts w:hint="eastAsia"/>
          <w:szCs w:val="21"/>
          <w14:ligatures w14:val="standardContextual"/>
        </w:rPr>
        <w:t xml:space="preserve"> </w:t>
      </w:r>
      <w:r>
        <w:rPr>
          <w:szCs w:val="21"/>
          <w14:ligatures w14:val="standardContextual"/>
        </w:rPr>
        <w:t>effects on w hole fish nutritional composition,</w:t>
      </w:r>
      <w:r>
        <w:rPr>
          <w:rFonts w:hint="eastAsia"/>
          <w:szCs w:val="21"/>
          <w14:ligatures w14:val="standardContextual"/>
        </w:rPr>
        <w:t xml:space="preserve"> </w:t>
      </w:r>
      <w:r>
        <w:rPr>
          <w:szCs w:val="21"/>
          <w14:ligatures w14:val="standardContextual"/>
        </w:rPr>
        <w:t>such as crude protein,</w:t>
      </w:r>
      <w:r>
        <w:rPr>
          <w:rFonts w:hint="eastAsia"/>
          <w:szCs w:val="21"/>
          <w14:ligatures w14:val="standardContextual"/>
        </w:rPr>
        <w:t xml:space="preserve"> </w:t>
      </w:r>
      <w:r>
        <w:rPr>
          <w:szCs w:val="21"/>
          <w14:ligatures w14:val="standardContextual"/>
        </w:rPr>
        <w:t>ether extract,</w:t>
      </w:r>
      <w:r>
        <w:rPr>
          <w:rFonts w:hint="eastAsia"/>
          <w:szCs w:val="21"/>
          <w14:ligatures w14:val="standardContextual"/>
        </w:rPr>
        <w:t xml:space="preserve"> </w:t>
      </w:r>
      <w:r>
        <w:rPr>
          <w:szCs w:val="21"/>
          <w14:ligatures w14:val="standardContextual"/>
        </w:rPr>
        <w:t>crude ash and amino acids</w:t>
      </w:r>
      <w:r>
        <w:rPr>
          <w:rFonts w:hint="eastAsia"/>
          <w:szCs w:val="21"/>
          <w14:ligatures w14:val="standardContextual"/>
        </w:rPr>
        <w:t xml:space="preserve"> </w:t>
      </w:r>
      <w:r>
        <w:rPr>
          <w:szCs w:val="21"/>
          <w14:ligatures w14:val="standardContextual"/>
        </w:rPr>
        <w:t>(</w:t>
      </w:r>
      <w:r>
        <w:rPr>
          <w:i/>
          <w:iCs/>
          <w:szCs w:val="21"/>
          <w14:ligatures w14:val="standardContextual"/>
        </w:rPr>
        <w:t>P</w:t>
      </w:r>
      <w:r>
        <w:rPr>
          <w:szCs w:val="21"/>
          <w14:ligatures w14:val="standardContextual"/>
        </w:rPr>
        <w:t>&gt;0.05),</w:t>
      </w:r>
      <w:r>
        <w:rPr>
          <w:rFonts w:hint="eastAsia"/>
          <w:szCs w:val="21"/>
          <w14:ligatures w14:val="standardContextual"/>
        </w:rPr>
        <w:t xml:space="preserve"> </w:t>
      </w:r>
      <w:r>
        <w:rPr>
          <w:szCs w:val="21"/>
          <w14:ligatures w14:val="standardContextual"/>
        </w:rPr>
        <w:t>but significantly increased the content of calcium in muscle (</w:t>
      </w:r>
      <w:r>
        <w:rPr>
          <w:i/>
          <w:iCs/>
          <w:szCs w:val="21"/>
          <w14:ligatures w14:val="standardContextual"/>
        </w:rPr>
        <w:t>P</w:t>
      </w:r>
      <w:r>
        <w:rPr>
          <w:szCs w:val="21"/>
          <w14:ligatures w14:val="standardContextual"/>
        </w:rPr>
        <w:t>&lt;0.05). 3) The deposition rates of</w:t>
      </w:r>
      <w:r>
        <w:rPr>
          <w:rFonts w:hint="eastAsia"/>
          <w:szCs w:val="21"/>
          <w14:ligatures w14:val="standardContextual"/>
        </w:rPr>
        <w:t xml:space="preserve"> </w:t>
      </w:r>
      <w:r>
        <w:rPr>
          <w:szCs w:val="21"/>
          <w14:ligatures w14:val="standardContextual"/>
        </w:rPr>
        <w:t>protein,</w:t>
      </w:r>
      <w:r>
        <w:rPr>
          <w:rFonts w:hint="eastAsia"/>
          <w:szCs w:val="21"/>
          <w14:ligatures w14:val="standardContextual"/>
        </w:rPr>
        <w:t xml:space="preserve"> </w:t>
      </w:r>
      <w:r>
        <w:rPr>
          <w:szCs w:val="21"/>
          <w14:ligatures w14:val="standardContextual"/>
        </w:rPr>
        <w:t>lysine and threonine were significantly increased (</w:t>
      </w:r>
      <w:r>
        <w:rPr>
          <w:i/>
          <w:iCs/>
          <w:szCs w:val="21"/>
          <w14:ligatures w14:val="standardContextual"/>
        </w:rPr>
        <w:t>P</w:t>
      </w:r>
      <w:r>
        <w:rPr>
          <w:szCs w:val="21"/>
          <w14:ligatures w14:val="standardContextual"/>
        </w:rPr>
        <w:t>&lt;0.05),</w:t>
      </w:r>
      <w:r>
        <w:rPr>
          <w:rFonts w:hint="eastAsia"/>
          <w:szCs w:val="21"/>
          <w14:ligatures w14:val="standardContextual"/>
        </w:rPr>
        <w:t xml:space="preserve"> </w:t>
      </w:r>
      <w:r>
        <w:rPr>
          <w:szCs w:val="21"/>
          <w14:ligatures w14:val="standardContextual"/>
        </w:rPr>
        <w:t>and the lipid deposition rate was significantly decreased in the FRBC3,</w:t>
      </w:r>
      <w:r>
        <w:rPr>
          <w:rFonts w:hint="eastAsia"/>
          <w:szCs w:val="21"/>
          <w14:ligatures w14:val="standardContextual"/>
        </w:rPr>
        <w:t xml:space="preserve"> </w:t>
      </w:r>
      <w:r>
        <w:rPr>
          <w:szCs w:val="21"/>
          <w14:ligatures w14:val="standardContextual"/>
        </w:rPr>
        <w:t>FRBC9 and FRBC12 groups compared with the control group (</w:t>
      </w:r>
      <w:r>
        <w:rPr>
          <w:i/>
          <w:iCs/>
          <w:szCs w:val="21"/>
          <w14:ligatures w14:val="standardContextual"/>
        </w:rPr>
        <w:t>P</w:t>
      </w:r>
      <w:r>
        <w:rPr>
          <w:szCs w:val="21"/>
          <w14:ligatures w14:val="standardContextual"/>
        </w:rPr>
        <w:t>&lt;0.05). 4)Adding 12</w:t>
      </w:r>
      <w:r>
        <w:rPr>
          <w:rFonts w:hint="eastAsia"/>
          <w:szCs w:val="21"/>
          <w14:ligatures w14:val="standardContextual"/>
        </w:rPr>
        <w:t xml:space="preserve"> </w:t>
      </w:r>
      <w:r>
        <w:rPr>
          <w:szCs w:val="21"/>
          <w14:ligatures w14:val="standardContextual"/>
        </w:rPr>
        <w:t>% FRBC into the diet significantly reduced the total cholesterol (TC) content and the activities of alanine aminotransferase (ALT) and aspartate aminotransferase (AST) in serum compared with the control</w:t>
      </w:r>
      <w:r>
        <w:rPr>
          <w:rFonts w:hint="eastAsia"/>
          <w:szCs w:val="21"/>
          <w14:ligatures w14:val="standardContextual"/>
        </w:rPr>
        <w:t xml:space="preserve"> </w:t>
      </w:r>
      <w:r>
        <w:rPr>
          <w:szCs w:val="21"/>
          <w14:ligatures w14:val="standardContextual"/>
        </w:rPr>
        <w:t>group (</w:t>
      </w:r>
      <w:r>
        <w:rPr>
          <w:i/>
          <w:iCs/>
          <w:szCs w:val="21"/>
          <w14:ligatures w14:val="standardContextual"/>
        </w:rPr>
        <w:t>P</w:t>
      </w:r>
      <w:r>
        <w:rPr>
          <w:szCs w:val="21"/>
          <w14:ligatures w14:val="standardContextual"/>
        </w:rPr>
        <w:t>&lt;0.05). 5) Compared with the control group,</w:t>
      </w:r>
      <w:r>
        <w:rPr>
          <w:rFonts w:hint="eastAsia"/>
          <w:szCs w:val="21"/>
          <w14:ligatures w14:val="standardContextual"/>
        </w:rPr>
        <w:t xml:space="preserve"> </w:t>
      </w:r>
      <w:r>
        <w:rPr>
          <w:szCs w:val="21"/>
          <w14:ligatures w14:val="standardContextual"/>
        </w:rPr>
        <w:t>the total antioxidant capacity (T-AOC) in intestinal</w:t>
      </w:r>
      <w:r>
        <w:rPr>
          <w:rFonts w:hint="eastAsia"/>
          <w:szCs w:val="21"/>
          <w14:ligatures w14:val="standardContextual"/>
        </w:rPr>
        <w:t xml:space="preserve"> </w:t>
      </w:r>
      <w:r>
        <w:rPr>
          <w:szCs w:val="21"/>
          <w14:ligatures w14:val="standardContextual"/>
        </w:rPr>
        <w:t>mucosa in the FRBC6 group was significantly increased (</w:t>
      </w:r>
      <w:r>
        <w:rPr>
          <w:i/>
          <w:iCs/>
          <w:szCs w:val="21"/>
          <w14:ligatures w14:val="standardContextual"/>
        </w:rPr>
        <w:t>P</w:t>
      </w:r>
      <w:r>
        <w:rPr>
          <w:szCs w:val="21"/>
          <w14:ligatures w14:val="standardContextual"/>
        </w:rPr>
        <w:t>&lt;0.05),</w:t>
      </w:r>
      <w:r>
        <w:rPr>
          <w:rFonts w:hint="eastAsia"/>
          <w:szCs w:val="21"/>
          <w14:ligatures w14:val="standardContextual"/>
        </w:rPr>
        <w:t xml:space="preserve"> </w:t>
      </w:r>
      <w:r>
        <w:rPr>
          <w:szCs w:val="21"/>
          <w14:ligatures w14:val="standardContextual"/>
        </w:rPr>
        <w:t>but it was significantly decreased when the</w:t>
      </w:r>
      <w:r>
        <w:rPr>
          <w:rFonts w:hint="eastAsia"/>
          <w:szCs w:val="21"/>
          <w14:ligatures w14:val="standardContextual"/>
        </w:rPr>
        <w:t xml:space="preserve"> </w:t>
      </w:r>
      <w:r>
        <w:rPr>
          <w:szCs w:val="21"/>
          <w14:ligatures w14:val="standardContextual"/>
        </w:rPr>
        <w:t>proportion of FRBC was higher than 9</w:t>
      </w:r>
      <w:r>
        <w:rPr>
          <w:rFonts w:hint="eastAsia"/>
          <w:szCs w:val="21"/>
          <w14:ligatures w14:val="standardContextual"/>
        </w:rPr>
        <w:t xml:space="preserve"> </w:t>
      </w:r>
      <w:r>
        <w:rPr>
          <w:szCs w:val="21"/>
          <w14:ligatures w14:val="standardContextual"/>
        </w:rPr>
        <w:t>% (</w:t>
      </w:r>
      <w:r>
        <w:rPr>
          <w:i/>
          <w:iCs/>
          <w:szCs w:val="21"/>
          <w14:ligatures w14:val="standardContextual"/>
        </w:rPr>
        <w:t>P</w:t>
      </w:r>
      <w:r>
        <w:rPr>
          <w:szCs w:val="21"/>
          <w14:ligatures w14:val="standardContextual"/>
        </w:rPr>
        <w:t>&lt; 0.05). 6) The trypsin activity in intestinal mucosa in the FR-BC12 group was significantly higher than that in the control group (</w:t>
      </w:r>
      <w:r>
        <w:rPr>
          <w:i/>
          <w:iCs/>
          <w:szCs w:val="21"/>
          <w14:ligatures w14:val="standardContextual"/>
        </w:rPr>
        <w:t>P</w:t>
      </w:r>
      <w:r>
        <w:rPr>
          <w:szCs w:val="21"/>
          <w14:ligatures w14:val="standardContextual"/>
        </w:rPr>
        <w:t>&lt; 0.05). 7) No significant differences</w:t>
      </w:r>
      <w:r>
        <w:rPr>
          <w:rFonts w:hint="eastAsia"/>
          <w:szCs w:val="21"/>
          <w14:ligatures w14:val="standardContextual"/>
        </w:rPr>
        <w:t xml:space="preserve"> </w:t>
      </w:r>
      <w:r>
        <w:rPr>
          <w:szCs w:val="21"/>
          <w14:ligatures w14:val="standardContextual"/>
        </w:rPr>
        <w:t>were observed in the mRNA relative expression levels of zonula occluden-1 (</w:t>
      </w:r>
      <w:r>
        <w:rPr>
          <w:i/>
          <w:iCs/>
          <w:szCs w:val="21"/>
          <w14:ligatures w14:val="standardContextual"/>
        </w:rPr>
        <w:t>ZO</w:t>
      </w:r>
      <w:r>
        <w:rPr>
          <w:szCs w:val="21"/>
          <w14:ligatures w14:val="standardContextual"/>
        </w:rPr>
        <w:t>-1) and occlidin (</w:t>
      </w:r>
      <w:r>
        <w:rPr>
          <w:i/>
          <w:iCs/>
          <w:szCs w:val="21"/>
          <w14:ligatures w14:val="standardContextual"/>
        </w:rPr>
        <w:t>Occlidin</w:t>
      </w:r>
      <w:r>
        <w:rPr>
          <w:szCs w:val="21"/>
          <w14:ligatures w14:val="standardContextual"/>
        </w:rPr>
        <w:t>) among groups (</w:t>
      </w:r>
      <w:r>
        <w:rPr>
          <w:i/>
          <w:iCs/>
          <w:szCs w:val="21"/>
          <w14:ligatures w14:val="standardContextual"/>
        </w:rPr>
        <w:t>P</w:t>
      </w:r>
      <w:r>
        <w:rPr>
          <w:szCs w:val="21"/>
          <w14:ligatures w14:val="standardContextual"/>
        </w:rPr>
        <w:t>&gt;0.05),</w:t>
      </w:r>
      <w:r>
        <w:rPr>
          <w:rFonts w:hint="eastAsia"/>
          <w:szCs w:val="21"/>
          <w14:ligatures w14:val="standardContextual"/>
        </w:rPr>
        <w:t xml:space="preserve"> </w:t>
      </w:r>
      <w:r>
        <w:rPr>
          <w:szCs w:val="21"/>
          <w14:ligatures w14:val="standardContextual"/>
        </w:rPr>
        <w:t>but the mRNA relative expression level of claudin-1 (</w:t>
      </w:r>
      <w:r>
        <w:rPr>
          <w:i/>
          <w:iCs/>
          <w:szCs w:val="21"/>
          <w14:ligatures w14:val="standardContextual"/>
        </w:rPr>
        <w:t>Claudin</w:t>
      </w:r>
      <w:r>
        <w:rPr>
          <w:szCs w:val="21"/>
          <w14:ligatures w14:val="standardContextual"/>
        </w:rPr>
        <w:t>-1) in the FRBC9group was significantly down-regulated compared with the control group (</w:t>
      </w:r>
      <w:r>
        <w:rPr>
          <w:i/>
          <w:iCs/>
          <w:szCs w:val="21"/>
          <w14:ligatures w14:val="standardContextual"/>
        </w:rPr>
        <w:t>P</w:t>
      </w:r>
      <w:r>
        <w:rPr>
          <w:szCs w:val="21"/>
          <w14:ligatures w14:val="standardContextual"/>
        </w:rPr>
        <w:t>&lt;0.05). 8) There were no significant differences in intestinal villus height and intestinal w all thickness among all groups (</w:t>
      </w:r>
      <w:r>
        <w:rPr>
          <w:i/>
          <w:iCs/>
          <w:szCs w:val="21"/>
          <w14:ligatures w14:val="standardContextual"/>
        </w:rPr>
        <w:t>P</w:t>
      </w:r>
      <w:r>
        <w:rPr>
          <w:szCs w:val="21"/>
          <w14:ligatures w14:val="standardContextual"/>
        </w:rPr>
        <w:t>&gt;0.05),</w:t>
      </w:r>
      <w:r>
        <w:rPr>
          <w:rFonts w:hint="eastAsia"/>
          <w:szCs w:val="21"/>
          <w14:ligatures w14:val="standardContextual"/>
        </w:rPr>
        <w:t xml:space="preserve"> </w:t>
      </w:r>
      <w:r>
        <w:rPr>
          <w:szCs w:val="21"/>
          <w14:ligatures w14:val="standardContextual"/>
        </w:rPr>
        <w:t>and no obviously difference in intestinal tissue structure. Based on these results,</w:t>
      </w:r>
      <w:r>
        <w:rPr>
          <w:rFonts w:hint="eastAsia"/>
          <w:szCs w:val="21"/>
          <w14:ligatures w14:val="standardContextual"/>
        </w:rPr>
        <w:t xml:space="preserve"> </w:t>
      </w:r>
      <w:r>
        <w:rPr>
          <w:szCs w:val="21"/>
          <w14:ligatures w14:val="standardContextual"/>
        </w:rPr>
        <w:t>in a diet containing 25</w:t>
      </w:r>
      <w:r>
        <w:rPr>
          <w:rFonts w:hint="eastAsia"/>
          <w:szCs w:val="21"/>
          <w14:ligatures w14:val="standardContextual"/>
        </w:rPr>
        <w:t xml:space="preserve"> </w:t>
      </w:r>
      <w:r>
        <w:rPr>
          <w:szCs w:val="21"/>
          <w14:ligatures w14:val="standardContextual"/>
        </w:rPr>
        <w:t>% soybean meal, replacing 36</w:t>
      </w:r>
      <w:r>
        <w:rPr>
          <w:rFonts w:hint="eastAsia"/>
          <w:szCs w:val="21"/>
          <w14:ligatures w14:val="standardContextual"/>
        </w:rPr>
        <w:t xml:space="preserve"> </w:t>
      </w:r>
      <w:r>
        <w:rPr>
          <w:szCs w:val="21"/>
          <w14:ligatures w14:val="standardContextual"/>
        </w:rPr>
        <w:t xml:space="preserve">% soybean meal with FRBC can promote growth performance, feed utilization rate and meat quality of common carp without adverse effects on intestinal health. </w:t>
      </w:r>
    </w:p>
    <w:p w14:paraId="74F11B3E">
      <w:pPr>
        <w:rPr>
          <w:szCs w:val="21"/>
          <w14:ligatures w14:val="standardContextual"/>
        </w:rPr>
      </w:pPr>
      <w:r>
        <w:rPr>
          <w:b/>
          <w:bCs/>
          <w:szCs w:val="21"/>
          <w14:ligatures w14:val="standardContextual"/>
        </w:rPr>
        <w:t>Key words</w:t>
      </w:r>
      <w:r>
        <w:rPr>
          <w:szCs w:val="21"/>
          <w14:ligatures w14:val="standardContextual"/>
        </w:rPr>
        <w:t>: fermented rapeseed brown cake; common carp; growth performance; nutrient utilization; intestinal health</w:t>
      </w:r>
    </w:p>
    <w:p w14:paraId="2E04304A">
      <w:pPr>
        <w:rPr>
          <w:szCs w:val="21"/>
          <w14:ligatures w14:val="standardContextual"/>
        </w:rPr>
      </w:pPr>
    </w:p>
    <w:p w14:paraId="5D62052B">
      <w:pPr>
        <w:spacing w:line="360" w:lineRule="auto"/>
        <w:ind w:firstLine="480" w:firstLineChars="200"/>
        <w:rPr>
          <w:rFonts w:ascii="宋体" w:hAnsi="宋体"/>
          <w:sz w:val="24"/>
          <w14:ligatures w14:val="standardContextual"/>
        </w:rPr>
      </w:pPr>
      <w:r>
        <w:rPr>
          <w:rFonts w:hint="eastAsia"/>
          <w:sz w:val="24"/>
          <w14:ligatures w14:val="standardContextual"/>
        </w:rPr>
        <w:t>蛋白质是水产动物饲料中的主要营养素之一</w:t>
      </w:r>
      <w:r>
        <w:rPr>
          <w:rFonts w:hint="eastAsia" w:ascii="宋体" w:hAnsi="宋体"/>
          <w:sz w:val="24"/>
          <w14:ligatures w14:val="standardContextual"/>
        </w:rPr>
        <w:t>,</w:t>
      </w:r>
      <w:r>
        <w:rPr>
          <w:rFonts w:hint="eastAsia"/>
          <w:sz w:val="24"/>
          <w14:ligatures w14:val="standardContextual"/>
        </w:rPr>
        <w:t>通常占据配方的20 %~50 %</w:t>
      </w:r>
      <w:r>
        <w:rPr>
          <w:rFonts w:hint="eastAsia" w:ascii="宋体" w:hAnsi="宋体"/>
          <w:sz w:val="24"/>
          <w14:ligatures w14:val="standardContextual"/>
        </w:rPr>
        <w:t>。</w:t>
      </w:r>
      <w:r>
        <w:rPr>
          <w:rFonts w:hint="eastAsia"/>
          <w:sz w:val="24"/>
          <w14:ligatures w14:val="standardContextual"/>
        </w:rPr>
        <w:t>然而</w:t>
      </w:r>
      <w:r>
        <w:rPr>
          <w:rFonts w:hint="eastAsia" w:ascii="宋体" w:hAnsi="宋体"/>
          <w:sz w:val="24"/>
          <w14:ligatures w14:val="standardContextual"/>
        </w:rPr>
        <w:t>,</w:t>
      </w:r>
      <w:r>
        <w:rPr>
          <w:rFonts w:hint="eastAsia"/>
          <w:sz w:val="24"/>
          <w14:ligatures w14:val="standardContextual"/>
        </w:rPr>
        <w:t>饲料中主要的蛋白质源</w:t>
      </w:r>
      <w:r>
        <w:rPr>
          <w:rFonts w:hint="eastAsia" w:ascii="宋体" w:hAnsi="宋体"/>
          <w:sz w:val="24"/>
          <w14:ligatures w14:val="standardContextual"/>
        </w:rPr>
        <w:t>,</w:t>
      </w:r>
      <w:r>
        <w:rPr>
          <w:rFonts w:hint="eastAsia"/>
          <w:sz w:val="24"/>
          <w14:ligatures w14:val="standardContextual"/>
        </w:rPr>
        <w:t>如鱼粉和豆粕</w:t>
      </w:r>
      <w:r>
        <w:rPr>
          <w:rFonts w:hint="eastAsia" w:ascii="宋体" w:hAnsi="宋体"/>
          <w:sz w:val="24"/>
          <w14:ligatures w14:val="standardContextual"/>
        </w:rPr>
        <w:t>,</w:t>
      </w:r>
      <w:r>
        <w:rPr>
          <w:rFonts w:hint="eastAsia"/>
          <w:sz w:val="24"/>
          <w14:ligatures w14:val="standardContextual"/>
        </w:rPr>
        <w:t>面临着资源短缺</w:t>
      </w:r>
      <w:r>
        <w:rPr>
          <w:rFonts w:hint="eastAsia" w:ascii="宋体" w:hAnsi="宋体" w:cs="微软雅黑"/>
          <w:sz w:val="24"/>
          <w14:ligatures w14:val="standardContextual"/>
        </w:rPr>
        <w:t>、</w:t>
      </w:r>
      <w:r>
        <w:rPr>
          <w:rFonts w:hint="eastAsia"/>
          <w:sz w:val="24"/>
          <w14:ligatures w14:val="standardContextual"/>
        </w:rPr>
        <w:t>供需紧张和价格上涨等问题</w:t>
      </w:r>
      <w:r>
        <w:rPr>
          <w:rFonts w:hint="eastAsia" w:ascii="宋体" w:hAnsi="宋体"/>
          <w:sz w:val="24"/>
          <w14:ligatures w14:val="standardContextual"/>
        </w:rPr>
        <w:t>,</w:t>
      </w:r>
      <w:r>
        <w:rPr>
          <w:rFonts w:hint="eastAsia"/>
          <w:sz w:val="24"/>
          <w14:ligatures w14:val="standardContextual"/>
        </w:rPr>
        <w:t>这些问题严重制约了水产养殖业的健康发展</w:t>
      </w:r>
      <w:r>
        <w:rPr>
          <w:rFonts w:hint="eastAsia"/>
          <w:sz w:val="24"/>
          <w:vertAlign w:val="superscript"/>
          <w14:ligatures w14:val="standardContextual"/>
        </w:rPr>
        <w:t>[1-2]</w:t>
      </w:r>
      <w:r>
        <w:rPr>
          <w:rFonts w:hint="eastAsia" w:ascii="宋体" w:hAnsi="宋体"/>
          <w:sz w:val="24"/>
          <w14:ligatures w14:val="standardContextual"/>
        </w:rPr>
        <w:t>。</w:t>
      </w:r>
      <w:r>
        <w:rPr>
          <w:rFonts w:hint="eastAsia"/>
          <w:sz w:val="24"/>
          <w14:ligatures w14:val="standardContextual"/>
        </w:rPr>
        <w:t>因此</w:t>
      </w:r>
      <w:r>
        <w:rPr>
          <w:rFonts w:hint="eastAsia" w:ascii="宋体" w:hAnsi="宋体"/>
          <w:sz w:val="24"/>
          <w14:ligatures w14:val="standardContextual"/>
        </w:rPr>
        <w:t>,</w:t>
      </w:r>
      <w:r>
        <w:rPr>
          <w:rFonts w:hint="eastAsia"/>
          <w:sz w:val="24"/>
          <w14:ligatures w14:val="standardContextual"/>
        </w:rPr>
        <w:t>寻找可替代豆粕的可持续性蛋白质来源已成为当前亟待解决的问题</w:t>
      </w:r>
      <w:r>
        <w:rPr>
          <w:rFonts w:hint="eastAsia" w:ascii="宋体" w:hAnsi="宋体"/>
          <w:sz w:val="24"/>
          <w14:ligatures w14:val="standardContextual"/>
        </w:rPr>
        <w:t>。</w:t>
      </w:r>
      <w:r>
        <w:rPr>
          <w:rFonts w:hint="eastAsia"/>
          <w:sz w:val="24"/>
          <w14:ligatures w14:val="standardContextual"/>
        </w:rPr>
        <w:t>菜籽饼粕是一种重要的植物蛋白质饲料资源</w:t>
      </w:r>
      <w:r>
        <w:rPr>
          <w:rFonts w:hint="eastAsia" w:ascii="宋体" w:hAnsi="宋体"/>
          <w:sz w:val="24"/>
          <w14:ligatures w14:val="standardContextual"/>
        </w:rPr>
        <w:t>,</w:t>
      </w:r>
      <w:r>
        <w:rPr>
          <w:rFonts w:hint="eastAsia"/>
          <w:sz w:val="24"/>
          <w14:ligatures w14:val="standardContextual"/>
        </w:rPr>
        <w:t>其蛋白质含量高达35 %~42 %</w:t>
      </w:r>
      <w:r>
        <w:rPr>
          <w:rFonts w:hint="eastAsia"/>
          <w:sz w:val="24"/>
          <w:vertAlign w:val="superscript"/>
          <w14:ligatures w14:val="standardContextual"/>
        </w:rPr>
        <w:t>[3]</w:t>
      </w:r>
      <w:r>
        <w:rPr>
          <w:rFonts w:hint="eastAsia" w:ascii="宋体" w:hAnsi="宋体"/>
          <w:sz w:val="24"/>
          <w14:ligatures w14:val="standardContextual"/>
        </w:rPr>
        <w:t>,</w:t>
      </w:r>
      <w:r>
        <w:rPr>
          <w:rFonts w:hint="eastAsia"/>
          <w:sz w:val="24"/>
          <w14:ligatures w14:val="standardContextual"/>
        </w:rPr>
        <w:t>并且氨基酸组成相对平衡</w:t>
      </w:r>
      <w:r>
        <w:rPr>
          <w:rFonts w:hint="eastAsia" w:ascii="宋体" w:hAnsi="宋体"/>
          <w:sz w:val="24"/>
          <w14:ligatures w14:val="standardContextual"/>
        </w:rPr>
        <w:t>。</w:t>
      </w:r>
      <w:r>
        <w:rPr>
          <w:rFonts w:hint="eastAsia"/>
          <w:sz w:val="24"/>
          <w14:ligatures w14:val="standardContextual"/>
        </w:rPr>
        <w:t>与豆粕相比</w:t>
      </w:r>
      <w:r>
        <w:rPr>
          <w:rFonts w:ascii="宋体" w:hAnsi="宋体"/>
          <w:sz w:val="24"/>
          <w14:ligatures w14:val="standardContextual"/>
        </w:rPr>
        <w:t>,</w:t>
      </w:r>
      <w:r>
        <w:rPr>
          <w:rFonts w:hint="eastAsia"/>
          <w:sz w:val="24"/>
          <w14:ligatures w14:val="standardContextual"/>
        </w:rPr>
        <w:t>菜籽粕含有较高的蛋氨酸</w:t>
      </w:r>
      <w:r>
        <w:rPr>
          <w:sz w:val="24"/>
          <w14:ligatures w14:val="standardContextual"/>
        </w:rPr>
        <w:t>(2.1</w:t>
      </w:r>
      <w:r>
        <w:rPr>
          <w:rFonts w:hint="eastAsia"/>
          <w:sz w:val="24"/>
          <w14:ligatures w14:val="standardContextual"/>
        </w:rPr>
        <w:t xml:space="preserve"> </w:t>
      </w:r>
      <w:r>
        <w:rPr>
          <w:sz w:val="24"/>
          <w14:ligatures w14:val="standardContextual"/>
        </w:rPr>
        <w:t>%vs1.4</w:t>
      </w:r>
      <w:r>
        <w:rPr>
          <w:rFonts w:hint="eastAsia"/>
          <w:sz w:val="24"/>
          <w14:ligatures w14:val="standardContextual"/>
        </w:rPr>
        <w:t xml:space="preserve"> </w:t>
      </w:r>
      <w:r>
        <w:rPr>
          <w:sz w:val="24"/>
          <w14:ligatures w14:val="standardContextual"/>
        </w:rPr>
        <w:t>%)</w:t>
      </w:r>
      <w:r>
        <w:rPr>
          <w:rFonts w:hint="eastAsia" w:ascii="宋体" w:hAnsi="宋体" w:cs="微软雅黑"/>
          <w:sz w:val="24"/>
          <w14:ligatures w14:val="standardContextual"/>
        </w:rPr>
        <w:t>、</w:t>
      </w:r>
      <w:r>
        <w:rPr>
          <w:rFonts w:hint="eastAsia"/>
          <w:sz w:val="24"/>
          <w14:ligatures w14:val="standardContextual"/>
        </w:rPr>
        <w:t>胱氨酸</w:t>
      </w:r>
      <w:r>
        <w:rPr>
          <w:sz w:val="24"/>
          <w14:ligatures w14:val="standardContextual"/>
        </w:rPr>
        <w:t>(1.2</w:t>
      </w:r>
      <w:r>
        <w:rPr>
          <w:rFonts w:hint="eastAsia"/>
          <w:sz w:val="24"/>
          <w14:ligatures w14:val="standardContextual"/>
        </w:rPr>
        <w:t xml:space="preserve"> </w:t>
      </w:r>
      <w:r>
        <w:rPr>
          <w:sz w:val="24"/>
          <w14:ligatures w14:val="standardContextual"/>
        </w:rPr>
        <w:t>%vs0.6</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但赖氨酸</w:t>
      </w:r>
      <w:r>
        <w:rPr>
          <w:sz w:val="24"/>
          <w14:ligatures w14:val="standardContextual"/>
        </w:rPr>
        <w:t>(5.5</w:t>
      </w:r>
      <w:r>
        <w:rPr>
          <w:rFonts w:hint="eastAsia"/>
          <w:sz w:val="24"/>
          <w14:ligatures w14:val="standardContextual"/>
        </w:rPr>
        <w:t xml:space="preserve"> </w:t>
      </w:r>
      <w:r>
        <w:rPr>
          <w:sz w:val="24"/>
          <w14:ligatures w14:val="standardContextual"/>
        </w:rPr>
        <w:t>%vs6.2</w:t>
      </w:r>
      <w:r>
        <w:rPr>
          <w:rFonts w:hint="eastAsia"/>
          <w:sz w:val="24"/>
          <w14:ligatures w14:val="standardContextual"/>
        </w:rPr>
        <w:t xml:space="preserve"> </w:t>
      </w:r>
      <w:r>
        <w:rPr>
          <w:sz w:val="24"/>
          <w14:ligatures w14:val="standardContextual"/>
        </w:rPr>
        <w:t>%)</w:t>
      </w:r>
      <w:r>
        <w:rPr>
          <w:rFonts w:hint="eastAsia"/>
          <w:sz w:val="24"/>
          <w14:ligatures w14:val="standardContextual"/>
        </w:rPr>
        <w:t>低于豆粕</w:t>
      </w:r>
      <w:r>
        <w:rPr>
          <w:rFonts w:hint="eastAsia"/>
          <w:sz w:val="24"/>
          <w:vertAlign w:val="superscript"/>
          <w14:ligatures w14:val="standardContextual"/>
        </w:rPr>
        <w:t>[</w:t>
      </w:r>
      <w:r>
        <w:rPr>
          <w:sz w:val="24"/>
          <w:vertAlign w:val="superscript"/>
          <w14:ligatures w14:val="standardContextual"/>
        </w:rPr>
        <w:t>4-5]</w:t>
      </w:r>
      <w:r>
        <w:rPr>
          <w:rFonts w:hint="eastAsia" w:ascii="宋体" w:hAnsi="宋体"/>
          <w:sz w:val="24"/>
          <w14:ligatures w14:val="standardContextual"/>
        </w:rPr>
        <w:t>。</w:t>
      </w:r>
      <w:r>
        <w:rPr>
          <w:rFonts w:hint="eastAsia"/>
          <w:sz w:val="24"/>
          <w14:ligatures w14:val="standardContextual"/>
        </w:rPr>
        <w:t>菜籽是全球重要的油料作物之一</w:t>
      </w:r>
      <w:r>
        <w:rPr>
          <w:rFonts w:hint="eastAsia" w:ascii="宋体" w:hAnsi="宋体"/>
          <w:sz w:val="24"/>
          <w14:ligatures w14:val="standardContextual"/>
        </w:rPr>
        <w:t>,</w:t>
      </w:r>
      <w:r>
        <w:rPr>
          <w:rFonts w:hint="eastAsia"/>
          <w:sz w:val="24"/>
          <w14:ligatures w14:val="standardContextual"/>
        </w:rPr>
        <w:t>中国的油菜籽产量约占全球产量的</w:t>
      </w:r>
      <w:r>
        <w:rPr>
          <w:sz w:val="24"/>
          <w14:ligatures w14:val="standardContextual"/>
        </w:rPr>
        <w:t>1/3</w:t>
      </w:r>
      <w:r>
        <w:rPr>
          <w:rFonts w:hint="eastAsia" w:ascii="宋体" w:hAnsi="宋体"/>
          <w:sz w:val="24"/>
          <w14:ligatures w14:val="standardContextual"/>
        </w:rPr>
        <w:t>,</w:t>
      </w:r>
      <w:r>
        <w:rPr>
          <w:rFonts w:hint="eastAsia"/>
          <w:sz w:val="24"/>
          <w14:ligatures w14:val="standardContextual"/>
        </w:rPr>
        <w:t>是世界第三大生产国</w:t>
      </w:r>
      <w:r>
        <w:rPr>
          <w:rFonts w:hint="eastAsia"/>
          <w:sz w:val="24"/>
          <w:vertAlign w:val="superscript"/>
          <w14:ligatures w14:val="standardContextual"/>
        </w:rPr>
        <w:t>[</w:t>
      </w:r>
      <w:r>
        <w:rPr>
          <w:sz w:val="24"/>
          <w:vertAlign w:val="superscript"/>
          <w14:ligatures w14:val="standardContextual"/>
        </w:rPr>
        <w:t>6]</w:t>
      </w:r>
      <w:r>
        <w:rPr>
          <w:rFonts w:hint="eastAsia" w:ascii="宋体" w:hAnsi="宋体"/>
          <w:sz w:val="24"/>
          <w14:ligatures w14:val="standardContextual"/>
        </w:rPr>
        <w:t>。</w:t>
      </w:r>
      <w:r>
        <w:rPr>
          <w:rFonts w:hint="eastAsia"/>
          <w:sz w:val="24"/>
          <w14:ligatures w14:val="standardContextual"/>
        </w:rPr>
        <w:t>在以往的研究中</w:t>
      </w:r>
      <w:r>
        <w:rPr>
          <w:rFonts w:ascii="宋体" w:hAnsi="宋体"/>
          <w:sz w:val="24"/>
          <w14:ligatures w14:val="standardContextual"/>
        </w:rPr>
        <w:t>,</w:t>
      </w:r>
      <w:r>
        <w:rPr>
          <w:rFonts w:hint="eastAsia"/>
          <w:sz w:val="24"/>
          <w14:ligatures w14:val="standardContextual"/>
        </w:rPr>
        <w:t>研究者们曾尝试用菜籽粕替代部分豆粕</w:t>
      </w:r>
      <w:r>
        <w:rPr>
          <w:rFonts w:ascii="宋体" w:hAnsi="宋体"/>
          <w:sz w:val="24"/>
          <w14:ligatures w14:val="standardContextual"/>
        </w:rPr>
        <w:t>,</w:t>
      </w:r>
      <w:r>
        <w:rPr>
          <w:rFonts w:hint="eastAsia"/>
          <w:sz w:val="24"/>
          <w14:ligatures w14:val="standardContextual"/>
        </w:rPr>
        <w:t>以作为饲料蛋白质源</w:t>
      </w:r>
      <w:r>
        <w:rPr>
          <w:rFonts w:hint="eastAsia" w:ascii="宋体" w:hAnsi="宋体"/>
          <w:sz w:val="24"/>
          <w14:ligatures w14:val="standardContextual"/>
        </w:rPr>
        <w:t>。</w:t>
      </w:r>
      <w:r>
        <w:rPr>
          <w:rFonts w:hint="eastAsia"/>
          <w:sz w:val="24"/>
          <w14:ligatures w14:val="standardContextual"/>
        </w:rPr>
        <w:t>研究表明</w:t>
      </w:r>
      <w:r>
        <w:rPr>
          <w:rFonts w:hint="eastAsia" w:ascii="宋体" w:hAnsi="宋体"/>
          <w:sz w:val="24"/>
          <w14:ligatures w14:val="standardContextual"/>
        </w:rPr>
        <w:t>,</w:t>
      </w:r>
      <w:r>
        <w:rPr>
          <w:rFonts w:hint="eastAsia"/>
          <w:sz w:val="24"/>
          <w14:ligatures w14:val="standardContextual"/>
        </w:rPr>
        <w:t>适量添加菜籽粕可以降低饲料成本</w:t>
      </w:r>
      <w:r>
        <w:rPr>
          <w:rFonts w:hint="eastAsia" w:ascii="宋体" w:hAnsi="宋体"/>
          <w:sz w:val="24"/>
          <w14:ligatures w14:val="standardContextual"/>
        </w:rPr>
        <w:t>,</w:t>
      </w:r>
      <w:r>
        <w:rPr>
          <w:rFonts w:hint="eastAsia"/>
          <w:sz w:val="24"/>
          <w14:ligatures w14:val="standardContextual"/>
        </w:rPr>
        <w:t>但过量添加可能会影响鱼类的生长性能和健康状况</w:t>
      </w:r>
      <w:r>
        <w:rPr>
          <w:rFonts w:hint="eastAsia"/>
          <w:sz w:val="24"/>
          <w:vertAlign w:val="superscript"/>
          <w14:ligatures w14:val="standardContextual"/>
        </w:rPr>
        <w:t>[</w:t>
      </w:r>
      <w:r>
        <w:rPr>
          <w:sz w:val="24"/>
          <w:vertAlign w:val="superscript"/>
          <w14:ligatures w14:val="standardContextual"/>
        </w:rPr>
        <w:t>7-9]</w:t>
      </w:r>
      <w:r>
        <w:rPr>
          <w:rFonts w:hint="eastAsia" w:ascii="宋体" w:hAnsi="宋体"/>
          <w:sz w:val="24"/>
          <w14:ligatures w14:val="standardContextual"/>
        </w:rPr>
        <w:t>。</w:t>
      </w:r>
      <w:r>
        <w:rPr>
          <w:rFonts w:hint="eastAsia"/>
          <w:sz w:val="24"/>
          <w14:ligatures w14:val="standardContextual"/>
        </w:rPr>
        <w:t>尽管菜籽粕是一种优质且价格较低的蛋白质来源</w:t>
      </w:r>
      <w:r>
        <w:rPr>
          <w:rFonts w:ascii="宋体" w:hAnsi="宋体"/>
          <w:sz w:val="24"/>
          <w14:ligatures w14:val="standardContextual"/>
        </w:rPr>
        <w:t>,</w:t>
      </w:r>
      <w:r>
        <w:rPr>
          <w:rFonts w:hint="eastAsia"/>
          <w:sz w:val="24"/>
          <w14:ligatures w14:val="standardContextual"/>
        </w:rPr>
        <w:t>但其存在许多抗营养因子</w:t>
      </w:r>
      <w:r>
        <w:rPr>
          <w:rFonts w:ascii="宋体" w:hAnsi="宋体"/>
          <w:sz w:val="24"/>
          <w14:ligatures w14:val="standardContextual"/>
        </w:rPr>
        <w:t>,</w:t>
      </w:r>
      <w:r>
        <w:rPr>
          <w:rFonts w:hint="eastAsia"/>
          <w:sz w:val="24"/>
          <w14:ligatures w14:val="standardContextual"/>
        </w:rPr>
        <w:t>如硫代葡萄糖甙</w:t>
      </w:r>
      <w:r>
        <w:rPr>
          <w:rFonts w:hint="eastAsia" w:ascii="宋体" w:hAnsi="宋体" w:cs="微软雅黑"/>
          <w:sz w:val="24"/>
          <w14:ligatures w14:val="standardContextual"/>
        </w:rPr>
        <w:t>、</w:t>
      </w:r>
      <w:r>
        <w:rPr>
          <w:rFonts w:hint="eastAsia"/>
          <w:sz w:val="24"/>
          <w14:ligatures w14:val="standardContextual"/>
        </w:rPr>
        <w:t>芥子碱</w:t>
      </w:r>
      <w:r>
        <w:rPr>
          <w:rFonts w:hint="eastAsia" w:ascii="宋体" w:hAnsi="宋体" w:cs="微软雅黑"/>
          <w:sz w:val="24"/>
          <w14:ligatures w14:val="standardContextual"/>
        </w:rPr>
        <w:t>、</w:t>
      </w:r>
      <w:r>
        <w:rPr>
          <w:rFonts w:hint="eastAsia"/>
          <w:sz w:val="24"/>
          <w14:ligatures w14:val="standardContextual"/>
        </w:rPr>
        <w:t>单宁和植酸等</w:t>
      </w:r>
      <w:r>
        <w:rPr>
          <w:rFonts w:ascii="宋体" w:hAnsi="宋体"/>
          <w:sz w:val="24"/>
          <w14:ligatures w14:val="standardContextual"/>
        </w:rPr>
        <w:t>,</w:t>
      </w:r>
      <w:r>
        <w:rPr>
          <w:rFonts w:hint="eastAsia"/>
          <w:sz w:val="24"/>
          <w14:ligatures w14:val="standardContextual"/>
        </w:rPr>
        <w:t>这些物质会对鱼类的生长和健康产生不利影响</w:t>
      </w:r>
      <w:r>
        <w:rPr>
          <w:rFonts w:hint="eastAsia" w:ascii="宋体" w:hAnsi="宋体"/>
          <w:sz w:val="24"/>
          <w14:ligatures w14:val="standardContextual"/>
        </w:rPr>
        <w:t>,</w:t>
      </w:r>
      <w:r>
        <w:rPr>
          <w:rFonts w:hint="eastAsia"/>
          <w:sz w:val="24"/>
          <w14:ligatures w14:val="standardContextual"/>
        </w:rPr>
        <w:t>限制了菜籽粕在水产动物饲料中的使用</w:t>
      </w:r>
      <w:r>
        <w:rPr>
          <w:rFonts w:hint="eastAsia"/>
          <w:sz w:val="24"/>
          <w:vertAlign w:val="superscript"/>
          <w14:ligatures w14:val="standardContextual"/>
        </w:rPr>
        <w:t>[</w:t>
      </w:r>
      <w:r>
        <w:rPr>
          <w:sz w:val="24"/>
          <w:vertAlign w:val="superscript"/>
          <w14:ligatures w14:val="standardContextual"/>
        </w:rPr>
        <w:t>10-12]</w:t>
      </w:r>
      <w:r>
        <w:rPr>
          <w:rFonts w:hint="eastAsia" w:ascii="宋体" w:hAnsi="宋体"/>
          <w:sz w:val="24"/>
          <w14:ligatures w14:val="standardContextual"/>
        </w:rPr>
        <w:t>。</w:t>
      </w:r>
      <w:r>
        <w:rPr>
          <w:rFonts w:hint="eastAsia"/>
          <w:sz w:val="24"/>
          <w14:ligatures w14:val="standardContextual"/>
        </w:rPr>
        <w:t>因此</w:t>
      </w:r>
      <w:r>
        <w:rPr>
          <w:rFonts w:ascii="宋体" w:hAnsi="宋体"/>
          <w:sz w:val="24"/>
          <w14:ligatures w14:val="standardContextual"/>
        </w:rPr>
        <w:t>,</w:t>
      </w:r>
      <w:r>
        <w:rPr>
          <w:rFonts w:hint="eastAsia"/>
          <w:sz w:val="24"/>
          <w14:ligatures w14:val="standardContextual"/>
        </w:rPr>
        <w:t>提高菜籽粕的营养价值和改善其抗营养因子含量至关重要</w:t>
      </w:r>
      <w:r>
        <w:rPr>
          <w:rFonts w:hint="eastAsia" w:ascii="宋体" w:hAnsi="宋体"/>
          <w:sz w:val="24"/>
          <w14:ligatures w14:val="standardContextual"/>
        </w:rPr>
        <w:t>。</w:t>
      </w:r>
      <w:r>
        <w:rPr>
          <w:sz w:val="24"/>
          <w14:ligatures w14:val="standardContextual"/>
        </w:rPr>
        <w:t>Dossou</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13</w:t>
      </w:r>
      <w:r>
        <w:rPr>
          <w:rFonts w:hint="eastAsia"/>
          <w:sz w:val="24"/>
          <w:vertAlign w:val="superscript"/>
          <w14:ligatures w14:val="standardContextual"/>
        </w:rPr>
        <w:t>]</w:t>
      </w:r>
      <w:r>
        <w:rPr>
          <w:rFonts w:hint="eastAsia"/>
          <w:sz w:val="24"/>
          <w14:ligatures w14:val="standardContextual"/>
        </w:rPr>
        <w:t>研究发现</w:t>
      </w:r>
      <w:r>
        <w:rPr>
          <w:rFonts w:hint="eastAsia" w:ascii="宋体" w:hAnsi="宋体"/>
          <w:sz w:val="24"/>
          <w14:ligatures w14:val="standardContextual"/>
        </w:rPr>
        <w:t>,</w:t>
      </w:r>
      <w:r>
        <w:rPr>
          <w:rFonts w:hint="eastAsia"/>
          <w:sz w:val="24"/>
          <w14:ligatures w14:val="standardContextual"/>
        </w:rPr>
        <w:t>当未发酵菜籽粕添加水平增加到</w:t>
      </w:r>
      <w:r>
        <w:rPr>
          <w:sz w:val="24"/>
          <w14:ligatures w14:val="standardContextual"/>
        </w:rPr>
        <w:t>50</w:t>
      </w:r>
      <w:r>
        <w:rPr>
          <w:rFonts w:hint="eastAsia"/>
          <w:sz w:val="24"/>
          <w14:ligatures w14:val="standardContextual"/>
        </w:rPr>
        <w:t xml:space="preserve"> </w:t>
      </w:r>
      <w:r>
        <w:rPr>
          <w:sz w:val="24"/>
          <w14:ligatures w14:val="standardContextual"/>
        </w:rPr>
        <w:t>%</w:t>
      </w:r>
      <w:r>
        <w:rPr>
          <w:rFonts w:hint="eastAsia"/>
          <w:sz w:val="24"/>
          <w14:ligatures w14:val="standardContextual"/>
        </w:rPr>
        <w:t>时</w:t>
      </w:r>
      <w:r>
        <w:rPr>
          <w:rFonts w:hint="eastAsia" w:ascii="宋体" w:hAnsi="宋体"/>
          <w:sz w:val="24"/>
          <w14:ligatures w14:val="standardContextual"/>
        </w:rPr>
        <w:t>,</w:t>
      </w:r>
      <w:r>
        <w:rPr>
          <w:rFonts w:hint="eastAsia"/>
          <w:sz w:val="24"/>
          <w14:ligatures w14:val="standardContextual"/>
        </w:rPr>
        <w:t>会显著降低红鲷鱼的生长性能和饲料利用率</w:t>
      </w:r>
      <w:r>
        <w:rPr>
          <w:rFonts w:ascii="宋体" w:hAnsi="宋体"/>
          <w:sz w:val="24"/>
          <w14:ligatures w14:val="standardContextual"/>
        </w:rPr>
        <w:t>;</w:t>
      </w:r>
      <w:r>
        <w:rPr>
          <w:rFonts w:hint="eastAsia"/>
          <w:sz w:val="24"/>
          <w14:ligatures w14:val="standardContextual"/>
        </w:rPr>
        <w:t>然而</w:t>
      </w:r>
      <w:r>
        <w:rPr>
          <w:rFonts w:hint="eastAsia" w:ascii="宋体" w:hAnsi="宋体"/>
          <w:sz w:val="24"/>
          <w14:ligatures w14:val="standardContextual"/>
        </w:rPr>
        <w:t>,</w:t>
      </w:r>
      <w:r>
        <w:rPr>
          <w:rFonts w:hint="eastAsia"/>
          <w:sz w:val="24"/>
          <w14:ligatures w14:val="standardContextual"/>
        </w:rPr>
        <w:t>添加</w:t>
      </w:r>
      <w:r>
        <w:rPr>
          <w:sz w:val="24"/>
          <w14:ligatures w14:val="standardContextual"/>
        </w:rPr>
        <w:t>56.23</w:t>
      </w:r>
      <w:r>
        <w:rPr>
          <w:rFonts w:hint="eastAsia"/>
          <w:sz w:val="24"/>
          <w14:ligatures w14:val="standardContextual"/>
        </w:rPr>
        <w:t xml:space="preserve"> </w:t>
      </w:r>
      <w:r>
        <w:rPr>
          <w:sz w:val="24"/>
          <w14:ligatures w14:val="standardContextual"/>
        </w:rPr>
        <w:t>%</w:t>
      </w:r>
      <w:r>
        <w:rPr>
          <w:rFonts w:hint="eastAsia"/>
          <w:sz w:val="24"/>
          <w14:ligatures w14:val="standardContextual"/>
        </w:rPr>
        <w:t>发酵菜籽粕并不会对红鲷鱼的生长性能和健康产生任何影响</w:t>
      </w:r>
      <w:r>
        <w:rPr>
          <w:rFonts w:hint="eastAsia" w:ascii="宋体" w:hAnsi="宋体"/>
          <w:sz w:val="24"/>
          <w14:ligatures w14:val="standardContextual"/>
        </w:rPr>
        <w:t>。</w:t>
      </w:r>
      <w:r>
        <w:rPr>
          <w:rFonts w:hint="eastAsia"/>
          <w:sz w:val="24"/>
          <w14:ligatures w14:val="standardContextual"/>
        </w:rPr>
        <w:t>这一结果表明</w:t>
      </w:r>
      <w:r>
        <w:rPr>
          <w:rFonts w:hint="eastAsia" w:ascii="宋体" w:hAnsi="宋体"/>
          <w:sz w:val="24"/>
          <w14:ligatures w14:val="standardContextual"/>
        </w:rPr>
        <w:t>,</w:t>
      </w:r>
      <w:r>
        <w:rPr>
          <w:rFonts w:hint="eastAsia"/>
          <w:sz w:val="24"/>
          <w14:ligatures w14:val="standardContextual"/>
        </w:rPr>
        <w:t>经过微生物发酵处理后</w:t>
      </w:r>
      <w:r>
        <w:rPr>
          <w:rFonts w:hint="eastAsia" w:ascii="宋体" w:hAnsi="宋体"/>
          <w:sz w:val="24"/>
          <w14:ligatures w14:val="standardContextual"/>
        </w:rPr>
        <w:t>,</w:t>
      </w:r>
      <w:r>
        <w:rPr>
          <w:rFonts w:hint="eastAsia"/>
          <w:sz w:val="24"/>
          <w14:ligatures w14:val="standardContextual"/>
        </w:rPr>
        <w:t>菜籽饼粕中的粗纤维和抗营养因子含量得到显著降低</w:t>
      </w:r>
      <w:r>
        <w:rPr>
          <w:rFonts w:hint="eastAsia" w:ascii="宋体" w:hAnsi="宋体"/>
          <w:sz w:val="24"/>
          <w14:ligatures w14:val="standardContextual"/>
        </w:rPr>
        <w:t>,</w:t>
      </w:r>
      <w:r>
        <w:rPr>
          <w:rFonts w:hint="eastAsia"/>
          <w:sz w:val="24"/>
          <w14:ligatures w14:val="standardContextual"/>
        </w:rPr>
        <w:t>粗蛋白质和小肽的含量则有所提升</w:t>
      </w:r>
      <w:r>
        <w:rPr>
          <w:rFonts w:hint="eastAsia" w:ascii="宋体" w:hAnsi="宋体"/>
          <w:sz w:val="24"/>
          <w14:ligatures w14:val="standardContextual"/>
        </w:rPr>
        <w:t>,</w:t>
      </w:r>
      <w:r>
        <w:rPr>
          <w:rFonts w:hint="eastAsia"/>
          <w:sz w:val="24"/>
          <w14:ligatures w14:val="standardContextual"/>
        </w:rPr>
        <w:t>进而提高了菜籽粕的营养价值</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发酵处理还使菜籽粕的外观变得蓬松</w:t>
      </w:r>
      <w:r>
        <w:rPr>
          <w:rFonts w:hint="eastAsia" w:ascii="宋体" w:hAnsi="宋体"/>
          <w:sz w:val="24"/>
          <w14:ligatures w14:val="standardContextual"/>
        </w:rPr>
        <w:t>,</w:t>
      </w:r>
      <w:r>
        <w:rPr>
          <w:rFonts w:hint="eastAsia"/>
          <w:sz w:val="24"/>
          <w14:ligatures w14:val="standardContextual"/>
        </w:rPr>
        <w:t>散发出香气</w:t>
      </w:r>
      <w:r>
        <w:rPr>
          <w:rFonts w:hint="eastAsia" w:ascii="宋体" w:hAnsi="宋体"/>
          <w:sz w:val="24"/>
          <w14:ligatures w14:val="standardContextual"/>
        </w:rPr>
        <w:t>,</w:t>
      </w:r>
      <w:r>
        <w:rPr>
          <w:rFonts w:hint="eastAsia"/>
          <w:sz w:val="24"/>
          <w14:ligatures w14:val="standardContextual"/>
        </w:rPr>
        <w:t>口感得到显著改善</w:t>
      </w:r>
      <w:r>
        <w:rPr>
          <w:rFonts w:hint="eastAsia" w:ascii="宋体" w:hAnsi="宋体"/>
          <w:sz w:val="24"/>
          <w14:ligatures w14:val="standardContextual"/>
        </w:rPr>
        <w:t>,</w:t>
      </w:r>
      <w:r>
        <w:rPr>
          <w:rFonts w:hint="eastAsia"/>
          <w:sz w:val="24"/>
          <w14:ligatures w14:val="standardContextual"/>
        </w:rPr>
        <w:t>从而进一步促进了红鲷鱼对菜籽粕蛋白质的利用效率</w:t>
      </w:r>
      <w:r>
        <w:rPr>
          <w:rFonts w:hint="eastAsia" w:ascii="宋体" w:hAnsi="宋体"/>
          <w:sz w:val="24"/>
          <w14:ligatures w14:val="standardContextual"/>
        </w:rPr>
        <w:t>。</w:t>
      </w:r>
    </w:p>
    <w:p w14:paraId="73AAAB0C">
      <w:pPr>
        <w:spacing w:line="360" w:lineRule="auto"/>
        <w:ind w:firstLine="480" w:firstLineChars="200"/>
        <w:rPr>
          <w:rFonts w:ascii="宋体" w:hAnsi="宋体"/>
          <w:sz w:val="24"/>
          <w14:ligatures w14:val="standardContextual"/>
        </w:rPr>
      </w:pPr>
      <w:r>
        <w:rPr>
          <w:rFonts w:hint="eastAsia"/>
          <w:sz w:val="24"/>
          <w14:ligatures w14:val="standardContextual"/>
        </w:rPr>
        <w:t>菜籽粕和菜籽褐饼均为油菜籽榨油过程中的副产物</w:t>
      </w:r>
      <w:r>
        <w:rPr>
          <w:rFonts w:hint="eastAsia" w:ascii="宋体" w:hAnsi="宋体"/>
          <w:sz w:val="24"/>
          <w14:ligatures w14:val="standardContextual"/>
        </w:rPr>
        <w:t>。</w:t>
      </w:r>
      <w:r>
        <w:rPr>
          <w:rFonts w:hint="eastAsia"/>
          <w:sz w:val="24"/>
          <w14:ligatures w14:val="standardContextual"/>
        </w:rPr>
        <w:t>其中</w:t>
      </w:r>
      <w:r>
        <w:rPr>
          <w:rFonts w:ascii="宋体" w:hAnsi="宋体"/>
          <w:sz w:val="24"/>
          <w14:ligatures w14:val="standardContextual"/>
        </w:rPr>
        <w:t>,</w:t>
      </w:r>
      <w:r>
        <w:rPr>
          <w:rFonts w:hint="eastAsia"/>
          <w:sz w:val="24"/>
          <w14:ligatures w14:val="standardContextual"/>
        </w:rPr>
        <w:t>菜籽褐饼经过溶剂浸出工艺进一步提取剩余油脂后</w:t>
      </w:r>
      <w:r>
        <w:rPr>
          <w:rFonts w:ascii="宋体" w:hAnsi="宋体"/>
          <w:sz w:val="24"/>
          <w14:ligatures w14:val="standardContextual"/>
        </w:rPr>
        <w:t>,</w:t>
      </w:r>
      <w:r>
        <w:rPr>
          <w:rFonts w:hint="eastAsia"/>
          <w:sz w:val="24"/>
          <w14:ligatures w14:val="standardContextual"/>
        </w:rPr>
        <w:t>剩余的残渣便是菜籽粕</w:t>
      </w:r>
      <w:r>
        <w:rPr>
          <w:rFonts w:hint="eastAsia" w:ascii="宋体" w:hAnsi="宋体"/>
          <w:sz w:val="24"/>
          <w14:ligatures w14:val="standardContextual"/>
        </w:rPr>
        <w:t>。</w:t>
      </w:r>
      <w:r>
        <w:rPr>
          <w:rFonts w:hint="eastAsia"/>
          <w:sz w:val="24"/>
          <w14:ligatures w14:val="standardContextual"/>
        </w:rPr>
        <w:t>相较于菜籽粕</w:t>
      </w:r>
      <w:r>
        <w:rPr>
          <w:rFonts w:hint="eastAsia" w:ascii="宋体" w:hAnsi="宋体"/>
          <w:sz w:val="24"/>
          <w14:ligatures w14:val="standardContextual"/>
        </w:rPr>
        <w:t>,</w:t>
      </w:r>
      <w:r>
        <w:rPr>
          <w:rFonts w:hint="eastAsia"/>
          <w:sz w:val="24"/>
          <w14:ligatures w14:val="standardContextual"/>
        </w:rPr>
        <w:t>菜籽褐饼的油脂含量更高</w:t>
      </w:r>
      <w:r>
        <w:rPr>
          <w:rFonts w:hint="eastAsia" w:ascii="宋体" w:hAnsi="宋体"/>
          <w:sz w:val="24"/>
          <w14:ligatures w14:val="standardContextual"/>
        </w:rPr>
        <w:t>,</w:t>
      </w:r>
      <w:r>
        <w:rPr>
          <w:rFonts w:hint="eastAsia"/>
          <w:sz w:val="24"/>
          <w14:ligatures w14:val="standardContextual"/>
        </w:rPr>
        <w:t>而其他营养成分含量则略低</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由于生产工艺的不同</w:t>
      </w:r>
      <w:r>
        <w:rPr>
          <w:rFonts w:ascii="宋体" w:hAnsi="宋体"/>
          <w:sz w:val="24"/>
          <w14:ligatures w14:val="standardContextual"/>
        </w:rPr>
        <w:t>,</w:t>
      </w:r>
      <w:r>
        <w:rPr>
          <w:rFonts w:hint="eastAsia"/>
          <w:sz w:val="24"/>
          <w14:ligatures w14:val="standardContextual"/>
        </w:rPr>
        <w:t>菜籽褐饼的价格通常更具优势</w:t>
      </w:r>
      <w:r>
        <w:rPr>
          <w:rFonts w:hint="eastAsia" w:ascii="宋体" w:hAnsi="宋体"/>
          <w:sz w:val="24"/>
          <w14:ligatures w14:val="standardContextual"/>
        </w:rPr>
        <w:t>。</w:t>
      </w:r>
      <w:r>
        <w:rPr>
          <w:rFonts w:hint="eastAsia"/>
          <w:sz w:val="24"/>
          <w14:ligatures w14:val="standardContextual"/>
        </w:rPr>
        <w:t>发酵过程不仅可以有效去除菜籽饼粕中的硫代葡萄糖苷</w:t>
      </w:r>
      <w:r>
        <w:rPr>
          <w:rFonts w:hint="eastAsia" w:ascii="宋体" w:hAnsi="宋体" w:cs="微软雅黑"/>
          <w:sz w:val="24"/>
          <w14:ligatures w14:val="standardContextual"/>
        </w:rPr>
        <w:t>、</w:t>
      </w:r>
      <w:r>
        <w:rPr>
          <w:rFonts w:hint="eastAsia"/>
          <w:sz w:val="24"/>
          <w14:ligatures w14:val="standardContextual"/>
        </w:rPr>
        <w:t>芥子碱等抗营养因子</w:t>
      </w:r>
      <w:r>
        <w:rPr>
          <w:rFonts w:ascii="宋体" w:hAnsi="宋体"/>
          <w:sz w:val="24"/>
          <w14:ligatures w14:val="standardContextual"/>
        </w:rPr>
        <w:t>,</w:t>
      </w:r>
      <w:r>
        <w:rPr>
          <w:rFonts w:hint="eastAsia"/>
          <w:sz w:val="24"/>
          <w14:ligatures w14:val="standardContextual"/>
        </w:rPr>
        <w:t>还能提高其蛋白质</w:t>
      </w:r>
      <w:r>
        <w:rPr>
          <w:rFonts w:hint="eastAsia" w:ascii="宋体" w:hAnsi="宋体" w:cs="微软雅黑"/>
          <w:sz w:val="24"/>
          <w14:ligatures w14:val="standardContextual"/>
        </w:rPr>
        <w:t>、</w:t>
      </w:r>
      <w:r>
        <w:rPr>
          <w:rFonts w:hint="eastAsia"/>
          <w:sz w:val="24"/>
          <w14:ligatures w14:val="standardContextual"/>
        </w:rPr>
        <w:t>氨基酸的含量和生物利用度</w:t>
      </w:r>
      <w:r>
        <w:rPr>
          <w:rFonts w:hint="eastAsia" w:ascii="宋体" w:hAnsi="宋体"/>
          <w:sz w:val="24"/>
          <w14:ligatures w14:val="standardContextual"/>
        </w:rPr>
        <w:t>。</w:t>
      </w:r>
      <w:r>
        <w:rPr>
          <w:rFonts w:hint="eastAsia"/>
          <w:sz w:val="24"/>
          <w14:ligatures w14:val="standardContextual"/>
        </w:rPr>
        <w:t>因此</w:t>
      </w:r>
      <w:r>
        <w:rPr>
          <w:rFonts w:ascii="宋体" w:hAnsi="宋体"/>
          <w:sz w:val="24"/>
          <w14:ligatures w14:val="standardContextual"/>
        </w:rPr>
        <w:t>,</w:t>
      </w:r>
      <w:r>
        <w:rPr>
          <w:rFonts w:hint="eastAsia"/>
          <w:sz w:val="24"/>
          <w14:ligatures w14:val="standardContextual"/>
        </w:rPr>
        <w:t>探索发酵菜籽褐饼</w:t>
      </w:r>
      <w:r>
        <w:rPr>
          <w:sz w:val="24"/>
          <w14:ligatures w14:val="standardContextual"/>
        </w:rPr>
        <w:t>(fermented</w:t>
      </w:r>
      <w:r>
        <w:rPr>
          <w:rFonts w:hint="eastAsia"/>
          <w:sz w:val="24"/>
          <w14:ligatures w14:val="standardContextual"/>
        </w:rPr>
        <w:t xml:space="preserve"> </w:t>
      </w:r>
      <w:r>
        <w:rPr>
          <w:sz w:val="24"/>
          <w14:ligatures w14:val="standardContextual"/>
        </w:rPr>
        <w:t>rapeseed</w:t>
      </w:r>
      <w:r>
        <w:rPr>
          <w:rFonts w:hint="eastAsia"/>
          <w:sz w:val="24"/>
          <w14:ligatures w14:val="standardContextual"/>
        </w:rPr>
        <w:t xml:space="preserve"> </w:t>
      </w:r>
      <w:r>
        <w:rPr>
          <w:sz w:val="24"/>
          <w14:ligatures w14:val="standardContextual"/>
        </w:rPr>
        <w:t>brown</w:t>
      </w:r>
      <w:r>
        <w:rPr>
          <w:rFonts w:hint="eastAsia"/>
          <w:sz w:val="24"/>
          <w14:ligatures w14:val="standardContextual"/>
        </w:rPr>
        <w:t xml:space="preserve"> </w:t>
      </w:r>
      <w:r>
        <w:rPr>
          <w:sz w:val="24"/>
          <w14:ligatures w14:val="standardContextual"/>
        </w:rPr>
        <w:t>cake</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FRBC)</w:t>
      </w:r>
      <w:r>
        <w:rPr>
          <w:rFonts w:hint="eastAsia"/>
          <w:sz w:val="24"/>
          <w14:ligatures w14:val="standardContextual"/>
        </w:rPr>
        <w:t>作为可替代豆粕的新型蛋白质来源及其在水产饲料中的应用潜力</w:t>
      </w:r>
      <w:r>
        <w:rPr>
          <w:rFonts w:hint="eastAsia" w:ascii="宋体" w:hAnsi="宋体"/>
          <w:sz w:val="24"/>
          <w14:ligatures w14:val="standardContextual"/>
        </w:rPr>
        <w:t>,</w:t>
      </w:r>
      <w:r>
        <w:rPr>
          <w:rFonts w:hint="eastAsia"/>
          <w:sz w:val="24"/>
          <w14:ligatures w14:val="standardContextual"/>
        </w:rPr>
        <w:t>具有重要意义</w:t>
      </w:r>
      <w:r>
        <w:rPr>
          <w:rFonts w:hint="eastAsia" w:ascii="宋体" w:hAnsi="宋体"/>
          <w:sz w:val="24"/>
          <w14:ligatures w14:val="standardContextual"/>
        </w:rPr>
        <w:t>。</w:t>
      </w:r>
      <w:r>
        <w:rPr>
          <w:rFonts w:hint="eastAsia"/>
          <w:sz w:val="24"/>
          <w14:ligatures w14:val="standardContextual"/>
        </w:rPr>
        <w:t>目前</w:t>
      </w:r>
      <w:r>
        <w:rPr>
          <w:rFonts w:ascii="宋体" w:hAnsi="宋体"/>
          <w:sz w:val="24"/>
          <w14:ligatures w14:val="standardContextual"/>
        </w:rPr>
        <w:t>,</w:t>
      </w:r>
      <w:r>
        <w:rPr>
          <w:rFonts w:hint="eastAsia"/>
          <w:sz w:val="24"/>
          <w14:ligatures w14:val="standardContextual"/>
        </w:rPr>
        <w:t>关于鲤鱼饲料中豆粕的替代</w:t>
      </w:r>
      <w:r>
        <w:rPr>
          <w:rFonts w:hint="eastAsia" w:ascii="宋体" w:hAnsi="宋体"/>
          <w:sz w:val="24"/>
          <w14:ligatures w14:val="standardContextual"/>
        </w:rPr>
        <w:t>,</w:t>
      </w:r>
      <w:r>
        <w:rPr>
          <w:rFonts w:hint="eastAsia"/>
          <w:sz w:val="24"/>
          <w14:ligatures w14:val="standardContextual"/>
        </w:rPr>
        <w:t>尤其是使用</w:t>
      </w:r>
      <w:r>
        <w:rPr>
          <w:sz w:val="24"/>
          <w14:ligatures w14:val="standardContextual"/>
        </w:rPr>
        <w:t>FRBC</w:t>
      </w:r>
      <w:r>
        <w:rPr>
          <w:rFonts w:hint="eastAsia"/>
          <w:sz w:val="24"/>
          <w14:ligatures w14:val="standardContextual"/>
        </w:rPr>
        <w:t>的研究报道较为匮乏</w:t>
      </w:r>
      <w:r>
        <w:rPr>
          <w:rFonts w:hint="eastAsia" w:ascii="宋体" w:hAnsi="宋体"/>
          <w:sz w:val="24"/>
          <w14:ligatures w14:val="standardContextual"/>
        </w:rPr>
        <w:t>。</w:t>
      </w:r>
      <w:r>
        <w:rPr>
          <w:rFonts w:hint="eastAsia"/>
          <w:sz w:val="24"/>
          <w14:ligatures w14:val="standardContextual"/>
        </w:rPr>
        <w:t>本试验以鲤鱼为研究对象</w:t>
      </w:r>
      <w:r>
        <w:rPr>
          <w:rFonts w:hint="eastAsia" w:ascii="宋体" w:hAnsi="宋体"/>
          <w:sz w:val="24"/>
          <w14:ligatures w14:val="standardContextual"/>
        </w:rPr>
        <w:t>,</w:t>
      </w:r>
      <w:r>
        <w:rPr>
          <w:rFonts w:hint="eastAsia"/>
          <w:sz w:val="24"/>
          <w14:ligatures w14:val="standardContextual"/>
        </w:rPr>
        <w:t>探究</w:t>
      </w:r>
      <w:r>
        <w:rPr>
          <w:sz w:val="24"/>
          <w14:ligatures w14:val="standardContextual"/>
        </w:rPr>
        <w:t>FRBC</w:t>
      </w:r>
      <w:r>
        <w:rPr>
          <w:rFonts w:hint="eastAsia"/>
          <w:sz w:val="24"/>
          <w14:ligatures w14:val="standardContextual"/>
        </w:rPr>
        <w:t>替代不同比例豆粕对鲤鱼生长性能</w:t>
      </w:r>
      <w:r>
        <w:rPr>
          <w:rFonts w:hint="eastAsia" w:ascii="宋体" w:hAnsi="宋体" w:cs="微软雅黑"/>
          <w:sz w:val="24"/>
          <w14:ligatures w14:val="standardContextual"/>
        </w:rPr>
        <w:t>、</w:t>
      </w:r>
      <w:r>
        <w:rPr>
          <w:rFonts w:hint="eastAsia"/>
          <w:sz w:val="24"/>
          <w14:ligatures w14:val="standardContextual"/>
        </w:rPr>
        <w:t>营养物质沉积率</w:t>
      </w:r>
      <w:r>
        <w:rPr>
          <w:rFonts w:hint="eastAsia" w:ascii="宋体" w:hAnsi="宋体" w:cs="微软雅黑"/>
          <w:sz w:val="24"/>
          <w14:ligatures w14:val="standardContextual"/>
        </w:rPr>
        <w:t>、</w:t>
      </w:r>
      <w:r>
        <w:rPr>
          <w:rFonts w:hint="eastAsia"/>
          <w:sz w:val="24"/>
          <w14:ligatures w14:val="standardContextual"/>
        </w:rPr>
        <w:t>全鱼和肌肉营养组成</w:t>
      </w:r>
      <w:r>
        <w:rPr>
          <w:rFonts w:hint="eastAsia" w:ascii="宋体" w:hAnsi="宋体" w:cs="微软雅黑"/>
          <w:sz w:val="24"/>
          <w14:ligatures w14:val="standardContextual"/>
        </w:rPr>
        <w:t>、</w:t>
      </w:r>
      <w:r>
        <w:rPr>
          <w:rFonts w:hint="eastAsia"/>
          <w:sz w:val="24"/>
          <w14:ligatures w14:val="standardContextual"/>
        </w:rPr>
        <w:t>肠道抗氧化能力和消化酶活性</w:t>
      </w:r>
      <w:r>
        <w:rPr>
          <w:rFonts w:hint="eastAsia" w:ascii="宋体" w:hAnsi="宋体" w:cs="微软雅黑"/>
          <w:sz w:val="24"/>
          <w14:ligatures w14:val="standardContextual"/>
        </w:rPr>
        <w:t>、</w:t>
      </w:r>
      <w:r>
        <w:rPr>
          <w:rFonts w:hint="eastAsia"/>
          <w:sz w:val="24"/>
          <w14:ligatures w14:val="standardContextual"/>
        </w:rPr>
        <w:t>血清生化指标以及肠道健康的影响</w:t>
      </w:r>
      <w:r>
        <w:rPr>
          <w:rFonts w:hint="eastAsia" w:ascii="宋体" w:hAnsi="宋体"/>
          <w:sz w:val="24"/>
          <w14:ligatures w14:val="standardContextual"/>
        </w:rPr>
        <w:t>,</w:t>
      </w:r>
      <w:r>
        <w:rPr>
          <w:rFonts w:hint="eastAsia"/>
          <w:sz w:val="24"/>
          <w14:ligatures w14:val="standardContextual"/>
        </w:rPr>
        <w:t>旨在探究</w:t>
      </w:r>
      <w:r>
        <w:rPr>
          <w:sz w:val="24"/>
          <w14:ligatures w14:val="standardContextual"/>
        </w:rPr>
        <w:t>FRBC</w:t>
      </w:r>
      <w:r>
        <w:rPr>
          <w:rFonts w:hint="eastAsia"/>
          <w:sz w:val="24"/>
          <w14:ligatures w14:val="standardContextual"/>
        </w:rPr>
        <w:t>作为鲤鱼饲料蛋白质源的可行性</w:t>
      </w:r>
      <w:r>
        <w:rPr>
          <w:rFonts w:hint="eastAsia" w:ascii="宋体" w:hAnsi="宋体" w:cs="微软雅黑"/>
          <w:sz w:val="24"/>
          <w14:ligatures w14:val="standardContextual"/>
        </w:rPr>
        <w:t>、</w:t>
      </w:r>
      <w:r>
        <w:rPr>
          <w:rFonts w:hint="eastAsia"/>
          <w:sz w:val="24"/>
          <w14:ligatures w14:val="standardContextual"/>
        </w:rPr>
        <w:t>安全性和经济效益</w:t>
      </w:r>
      <w:r>
        <w:rPr>
          <w:rFonts w:hint="eastAsia" w:ascii="宋体" w:hAnsi="宋体"/>
          <w:sz w:val="24"/>
          <w14:ligatures w14:val="standardContextual"/>
        </w:rPr>
        <w:t>,</w:t>
      </w:r>
      <w:r>
        <w:rPr>
          <w:rFonts w:hint="eastAsia"/>
          <w:sz w:val="24"/>
          <w14:ligatures w14:val="standardContextual"/>
        </w:rPr>
        <w:t>以期为菜籽饼粕在水产饲料中高比例替代豆粕提供理论支持</w:t>
      </w:r>
      <w:r>
        <w:rPr>
          <w:rFonts w:hint="eastAsia" w:ascii="宋体" w:hAnsi="宋体"/>
          <w:sz w:val="24"/>
          <w14:ligatures w14:val="standardContextual"/>
        </w:rPr>
        <w:t>。</w:t>
      </w:r>
    </w:p>
    <w:p w14:paraId="2FE50B44">
      <w:pPr>
        <w:spacing w:line="360" w:lineRule="auto"/>
        <w:rPr>
          <w:sz w:val="24"/>
          <w14:ligatures w14:val="standardContextual"/>
        </w:rPr>
      </w:pPr>
      <w:r>
        <w:rPr>
          <w:sz w:val="24"/>
          <w14:ligatures w14:val="standardContextual"/>
        </w:rPr>
        <w:t>1</w:t>
      </w:r>
      <w:r>
        <w:rPr>
          <w:rFonts w:hint="eastAsia"/>
          <w:sz w:val="24"/>
          <w14:ligatures w14:val="standardContextual"/>
        </w:rPr>
        <w:t xml:space="preserve">  材料与方法</w:t>
      </w:r>
    </w:p>
    <w:p w14:paraId="3A7A1CAC">
      <w:pPr>
        <w:spacing w:line="360" w:lineRule="auto"/>
        <w:rPr>
          <w:sz w:val="24"/>
          <w14:ligatures w14:val="standardContextual"/>
        </w:rPr>
      </w:pPr>
      <w:r>
        <w:rPr>
          <w:sz w:val="24"/>
          <w14:ligatures w14:val="standardContextual"/>
        </w:rPr>
        <w:t>1.1</w:t>
      </w:r>
      <w:r>
        <w:rPr>
          <w:rFonts w:hint="eastAsia"/>
          <w:sz w:val="24"/>
          <w14:ligatures w14:val="standardContextual"/>
        </w:rPr>
        <w:t xml:space="preserve">  试验材料</w:t>
      </w:r>
    </w:p>
    <w:p w14:paraId="78CD4957">
      <w:pPr>
        <w:spacing w:line="360" w:lineRule="auto"/>
        <w:ind w:firstLine="480" w:firstLineChars="200"/>
        <w:rPr>
          <w:rFonts w:ascii="宋体" w:hAnsi="宋体"/>
          <w:sz w:val="24"/>
          <w14:ligatures w14:val="standardContextual"/>
        </w:rPr>
      </w:pPr>
      <w:r>
        <w:rPr>
          <w:rFonts w:hint="eastAsia"/>
          <w:sz w:val="24"/>
          <w14:ligatures w14:val="standardContextual"/>
        </w:rPr>
        <w:t>选用色泽均匀</w:t>
      </w:r>
      <w:r>
        <w:rPr>
          <w:rFonts w:hint="eastAsia" w:ascii="宋体" w:hAnsi="宋体" w:cs="微软雅黑"/>
          <w:sz w:val="24"/>
          <w14:ligatures w14:val="standardContextual"/>
        </w:rPr>
        <w:t>、</w:t>
      </w:r>
      <w:r>
        <w:rPr>
          <w:rFonts w:hint="eastAsia"/>
          <w:sz w:val="24"/>
          <w14:ligatures w14:val="standardContextual"/>
        </w:rPr>
        <w:t>无杂质</w:t>
      </w:r>
      <w:r>
        <w:rPr>
          <w:rFonts w:hint="eastAsia" w:ascii="宋体" w:hAnsi="宋体" w:cs="微软雅黑"/>
          <w:sz w:val="24"/>
          <w14:ligatures w14:val="standardContextual"/>
        </w:rPr>
        <w:t>、</w:t>
      </w:r>
      <w:r>
        <w:rPr>
          <w:rFonts w:hint="eastAsia"/>
          <w:sz w:val="24"/>
          <w14:ligatures w14:val="standardContextual"/>
        </w:rPr>
        <w:t>无发霉的优质菜籽褐饼原料</w:t>
      </w:r>
      <w:r>
        <w:rPr>
          <w:rFonts w:hint="eastAsia" w:ascii="宋体" w:hAnsi="宋体"/>
          <w:sz w:val="24"/>
          <w14:ligatures w14:val="standardContextual"/>
        </w:rPr>
        <w:t>，</w:t>
      </w:r>
      <w:r>
        <w:rPr>
          <w:rFonts w:hint="eastAsia"/>
          <w:sz w:val="24"/>
          <w14:ligatures w14:val="standardContextual"/>
        </w:rPr>
        <w:t>按照如下步骤制备</w:t>
      </w:r>
      <w:r>
        <w:rPr>
          <w:sz w:val="24"/>
          <w14:ligatures w14:val="standardContextual"/>
        </w:rPr>
        <w:t>FRBC(</w:t>
      </w:r>
      <w:r>
        <w:rPr>
          <w:rFonts w:hint="eastAsia"/>
          <w:sz w:val="24"/>
          <w14:ligatures w14:val="standardContextual"/>
        </w:rPr>
        <w:t>以使用</w:t>
      </w:r>
      <w:r>
        <w:rPr>
          <w:sz w:val="24"/>
          <w14:ligatures w14:val="standardContextual"/>
        </w:rPr>
        <w:t>1.0</w:t>
      </w:r>
      <w:r>
        <w:rPr>
          <w:rFonts w:hint="eastAsia"/>
          <w:sz w:val="24"/>
          <w14:ligatures w14:val="standardContextual"/>
        </w:rPr>
        <w:t xml:space="preserve"> </w:t>
      </w:r>
      <w:r>
        <w:rPr>
          <w:sz w:val="24"/>
          <w14:ligatures w14:val="standardContextual"/>
        </w:rPr>
        <w:t>t</w:t>
      </w:r>
      <w:r>
        <w:rPr>
          <w:rFonts w:hint="eastAsia"/>
          <w:sz w:val="24"/>
          <w14:ligatures w14:val="standardContextual"/>
        </w:rPr>
        <w:t>菜籽褐饼原料为例</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第</w:t>
      </w:r>
      <w:r>
        <w:rPr>
          <w:sz w:val="24"/>
          <w14:ligatures w14:val="standardContextual"/>
        </w:rPr>
        <w:t>1</w:t>
      </w:r>
      <w:r>
        <w:rPr>
          <w:rFonts w:hint="eastAsia"/>
          <w:sz w:val="24"/>
          <w14:ligatures w14:val="standardContextual"/>
        </w:rPr>
        <w:t>步</w:t>
      </w:r>
      <w:r>
        <w:rPr>
          <w:rFonts w:hint="eastAsia" w:ascii="宋体" w:hAnsi="宋体"/>
          <w:sz w:val="24"/>
          <w14:ligatures w14:val="standardContextual"/>
        </w:rPr>
        <w:t>，</w:t>
      </w:r>
      <w:r>
        <w:rPr>
          <w:rFonts w:hint="eastAsia"/>
          <w:sz w:val="24"/>
          <w14:ligatures w14:val="standardContextual"/>
        </w:rPr>
        <w:t>准确称取菜籽褐饼原料</w:t>
      </w:r>
      <w:r>
        <w:rPr>
          <w:sz w:val="24"/>
          <w14:ligatures w14:val="standardContextual"/>
        </w:rPr>
        <w:t>200</w:t>
      </w:r>
      <w:r>
        <w:rPr>
          <w:rFonts w:hint="eastAsia"/>
          <w:sz w:val="24"/>
          <w14:ligatures w14:val="standardContextual"/>
        </w:rPr>
        <w:t xml:space="preserve"> </w:t>
      </w:r>
      <w:r>
        <w:rPr>
          <w:sz w:val="24"/>
          <w14:ligatures w14:val="standardContextual"/>
        </w:rPr>
        <w:t>kg(</w:t>
      </w:r>
      <w:r>
        <w:rPr>
          <w:rFonts w:hint="eastAsia"/>
          <w:sz w:val="24"/>
          <w14:ligatures w14:val="standardContextual"/>
        </w:rPr>
        <w:t>占总菜籽褐饼原料的</w:t>
      </w:r>
      <w:r>
        <w:rPr>
          <w:sz w:val="24"/>
          <w14:ligatures w14:val="standardContextual"/>
        </w:rPr>
        <w:t>20</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与温水</w:t>
      </w:r>
      <w:r>
        <w:rPr>
          <w:sz w:val="24"/>
          <w14:ligatures w14:val="standardContextual"/>
        </w:rPr>
        <w:t>(</w:t>
      </w:r>
      <w:r>
        <w:rPr>
          <w:rFonts w:hint="eastAsia"/>
          <w:sz w:val="24"/>
          <w14:ligatures w14:val="standardContextual"/>
        </w:rPr>
        <w:t>水温</w:t>
      </w:r>
      <w:r>
        <w:rPr>
          <w:sz w:val="24"/>
          <w14:ligatures w14:val="standardContextual"/>
        </w:rPr>
        <w:t>55~60</w:t>
      </w:r>
      <w:r>
        <w:rPr>
          <w:rFonts w:hint="eastAsia"/>
          <w:sz w:val="24"/>
          <w14:ligatures w14:val="standardContextual"/>
        </w:rPr>
        <w:t>℃)按</w:t>
      </w:r>
      <w:r>
        <w:rPr>
          <w:sz w:val="24"/>
          <w14:ligatures w14:val="standardContextual"/>
        </w:rPr>
        <w:t>1</w:t>
      </w:r>
      <w:r>
        <w:rPr>
          <w:rFonts w:ascii="Cambria Math" w:hAnsi="Cambria Math" w:cs="Cambria Math"/>
          <w:sz w:val="24"/>
          <w14:ligatures w14:val="standardContextual"/>
        </w:rPr>
        <w:t>∶</w:t>
      </w:r>
      <w:r>
        <w:rPr>
          <w:sz w:val="24"/>
          <w14:ligatures w14:val="standardContextual"/>
        </w:rPr>
        <w:t>3.5</w:t>
      </w:r>
      <w:r>
        <w:rPr>
          <w:rFonts w:hint="eastAsia"/>
          <w:sz w:val="24"/>
          <w14:ligatures w14:val="standardContextual"/>
        </w:rPr>
        <w:t>的比例混合</w:t>
      </w:r>
      <w:r>
        <w:rPr>
          <w:rFonts w:hint="eastAsia" w:ascii="宋体" w:hAnsi="宋体"/>
          <w:sz w:val="24"/>
          <w14:ligatures w14:val="standardContextual"/>
        </w:rPr>
        <w:t>，</w:t>
      </w:r>
      <w:r>
        <w:rPr>
          <w:rFonts w:hint="eastAsia"/>
          <w:sz w:val="24"/>
          <w14:ligatures w14:val="standardContextual"/>
        </w:rPr>
        <w:t>将</w:t>
      </w:r>
      <w:r>
        <w:rPr>
          <w:sz w:val="24"/>
          <w14:ligatures w14:val="standardContextual"/>
        </w:rPr>
        <w:t>pH</w:t>
      </w:r>
      <w:r>
        <w:rPr>
          <w:rFonts w:hint="eastAsia"/>
          <w:sz w:val="24"/>
          <w14:ligatures w14:val="standardContextual"/>
        </w:rPr>
        <w:t>调至约</w:t>
      </w:r>
      <w:r>
        <w:rPr>
          <w:sz w:val="24"/>
          <w14:ligatures w14:val="standardContextual"/>
        </w:rPr>
        <w:t>9.0</w:t>
      </w:r>
      <w:r>
        <w:rPr>
          <w:rFonts w:hint="eastAsia" w:ascii="宋体" w:hAnsi="宋体"/>
          <w:sz w:val="24"/>
          <w14:ligatures w14:val="standardContextual"/>
        </w:rPr>
        <w:t>，</w:t>
      </w:r>
      <w:r>
        <w:rPr>
          <w:rFonts w:hint="eastAsia"/>
          <w:sz w:val="24"/>
          <w14:ligatures w14:val="standardContextual"/>
        </w:rPr>
        <w:t>再加入占原料总量</w:t>
      </w:r>
      <w:r>
        <w:rPr>
          <w:sz w:val="24"/>
          <w14:ligatures w14:val="standardContextual"/>
        </w:rPr>
        <w:t>2</w:t>
      </w:r>
      <w:r>
        <w:rPr>
          <w:rFonts w:hint="eastAsia"/>
          <w:sz w:val="24"/>
          <w14:ligatures w14:val="standardContextual"/>
        </w:rPr>
        <w:t xml:space="preserve"> </w:t>
      </w:r>
      <w:r>
        <w:rPr>
          <w:sz w:val="24"/>
          <w14:ligatures w14:val="standardContextual"/>
        </w:rPr>
        <w:t>%(4.0</w:t>
      </w:r>
      <w:r>
        <w:rPr>
          <w:rFonts w:hint="eastAsia"/>
          <w:sz w:val="24"/>
          <w14:ligatures w14:val="standardContextual"/>
        </w:rPr>
        <w:t xml:space="preserve"> </w:t>
      </w:r>
      <w:r>
        <w:rPr>
          <w:sz w:val="24"/>
          <w14:ligatures w14:val="standardContextual"/>
        </w:rPr>
        <w:t>kg)</w:t>
      </w:r>
      <w:r>
        <w:rPr>
          <w:rFonts w:hint="eastAsia"/>
          <w:sz w:val="24"/>
          <w14:ligatures w14:val="standardContextual"/>
        </w:rPr>
        <w:t>的碱性蛋白酶</w:t>
      </w:r>
      <w:r>
        <w:rPr>
          <w:sz w:val="24"/>
          <w14:ligatures w14:val="standardContextual"/>
        </w:rPr>
        <w:t>(</w:t>
      </w:r>
      <w:r>
        <w:rPr>
          <w:rFonts w:hint="eastAsia"/>
          <w:sz w:val="24"/>
          <w14:ligatures w14:val="standardContextual"/>
        </w:rPr>
        <w:t>活性为</w:t>
      </w:r>
      <w:r>
        <w:rPr>
          <w:sz w:val="24"/>
          <w14:ligatures w14:val="standardContextual"/>
        </w:rPr>
        <w:t>50000</w:t>
      </w:r>
      <w:r>
        <w:rPr>
          <w:rFonts w:hint="eastAsia"/>
          <w:sz w:val="24"/>
          <w14:ligatures w14:val="standardContextual"/>
        </w:rPr>
        <w:t xml:space="preserve"> </w:t>
      </w:r>
      <w:r>
        <w:rPr>
          <w:sz w:val="24"/>
          <w14:ligatures w14:val="standardContextual"/>
        </w:rPr>
        <w:t>U/</w:t>
      </w:r>
      <w:r>
        <w:rPr>
          <w:rFonts w:hint="eastAsia"/>
          <w:sz w:val="24"/>
          <w14:ligatures w14:val="standardContextual"/>
        </w:rPr>
        <w:t xml:space="preserve"> </w:t>
      </w:r>
      <w:r>
        <w:rPr>
          <w:sz w:val="24"/>
          <w14:ligatures w14:val="standardContextual"/>
        </w:rPr>
        <w:t>g)</w:t>
      </w:r>
      <w:r>
        <w:rPr>
          <w:rFonts w:hint="eastAsia" w:ascii="宋体" w:hAnsi="宋体"/>
          <w:sz w:val="24"/>
          <w14:ligatures w14:val="standardContextual"/>
        </w:rPr>
        <w:t>，</w:t>
      </w:r>
      <w:r>
        <w:rPr>
          <w:rFonts w:hint="eastAsia"/>
          <w:sz w:val="24"/>
          <w14:ligatures w14:val="standardContextual"/>
        </w:rPr>
        <w:t>混匀后</w:t>
      </w:r>
      <w:r>
        <w:rPr>
          <w:sz w:val="24"/>
          <w14:ligatures w14:val="standardContextual"/>
        </w:rPr>
        <w:t>55</w:t>
      </w:r>
      <w:r>
        <w:rPr>
          <w:rFonts w:hint="eastAsia"/>
          <w:sz w:val="24"/>
          <w14:ligatures w14:val="standardContextual"/>
        </w:rPr>
        <w:t xml:space="preserve"> ℃恒温酶解</w:t>
      </w:r>
      <w:r>
        <w:rPr>
          <w:sz w:val="24"/>
          <w14:ligatures w14:val="standardContextual"/>
        </w:rPr>
        <w:t>5.0</w:t>
      </w:r>
      <w:r>
        <w:rPr>
          <w:rFonts w:hint="eastAsia"/>
          <w:sz w:val="24"/>
          <w14:ligatures w14:val="standardContextual"/>
        </w:rPr>
        <w:t xml:space="preserve"> </w:t>
      </w:r>
      <w:r>
        <w:rPr>
          <w:sz w:val="24"/>
          <w14:ligatures w14:val="standardContextual"/>
        </w:rPr>
        <w:t>h</w:t>
      </w:r>
      <w:r>
        <w:rPr>
          <w:rFonts w:hint="eastAsia" w:ascii="宋体" w:hAnsi="宋体"/>
          <w:sz w:val="24"/>
          <w14:ligatures w14:val="standardContextual"/>
        </w:rPr>
        <w:t>；</w:t>
      </w:r>
      <w:r>
        <w:rPr>
          <w:rFonts w:hint="eastAsia"/>
          <w:sz w:val="24"/>
          <w14:ligatures w14:val="standardContextual"/>
        </w:rPr>
        <w:t>第</w:t>
      </w:r>
      <w:r>
        <w:rPr>
          <w:sz w:val="24"/>
          <w14:ligatures w14:val="standardContextual"/>
        </w:rPr>
        <w:t>2</w:t>
      </w:r>
      <w:r>
        <w:rPr>
          <w:rFonts w:hint="eastAsia"/>
          <w:sz w:val="24"/>
          <w14:ligatures w14:val="standardContextual"/>
        </w:rPr>
        <w:t>步</w:t>
      </w:r>
      <w:r>
        <w:rPr>
          <w:rFonts w:hint="eastAsia" w:ascii="宋体" w:hAnsi="宋体"/>
          <w:sz w:val="24"/>
          <w14:ligatures w14:val="standardContextual"/>
        </w:rPr>
        <w:t>，</w:t>
      </w:r>
      <w:r>
        <w:rPr>
          <w:rFonts w:hint="eastAsia"/>
          <w:sz w:val="24"/>
          <w14:ligatures w14:val="standardContextual"/>
        </w:rPr>
        <w:t>称取</w:t>
      </w:r>
      <w:r>
        <w:rPr>
          <w:sz w:val="24"/>
          <w14:ligatures w14:val="standardContextual"/>
        </w:rPr>
        <w:t>5.0</w:t>
      </w:r>
      <w:r>
        <w:rPr>
          <w:rFonts w:hint="eastAsia"/>
          <w:sz w:val="24"/>
          <w14:ligatures w14:val="standardContextual"/>
        </w:rPr>
        <w:t xml:space="preserve"> </w:t>
      </w:r>
      <w:r>
        <w:rPr>
          <w:sz w:val="24"/>
          <w14:ligatures w14:val="standardContextual"/>
        </w:rPr>
        <w:t>kg</w:t>
      </w:r>
      <w:r>
        <w:rPr>
          <w:rFonts w:hint="eastAsia"/>
          <w:sz w:val="24"/>
          <w14:ligatures w14:val="standardContextual"/>
        </w:rPr>
        <w:t>菌粉[主要活性成分包括枯草芽孢杆菌(≥1×10</w:t>
      </w:r>
      <w:r>
        <w:rPr>
          <w:rFonts w:hint="eastAsia"/>
          <w:sz w:val="24"/>
          <w:vertAlign w:val="superscript"/>
          <w14:ligatures w14:val="standardContextual"/>
        </w:rPr>
        <w:t>8</w:t>
      </w:r>
      <w:r>
        <w:rPr>
          <w:rFonts w:hint="eastAsia"/>
          <w:sz w:val="24"/>
          <w14:ligatures w14:val="standardContextual"/>
        </w:rPr>
        <w:t xml:space="preserve"> </w:t>
      </w:r>
      <w:r>
        <w:rPr>
          <w:sz w:val="24"/>
          <w14:ligatures w14:val="standardContextual"/>
        </w:rPr>
        <w:t>CFU/g)</w:t>
      </w:r>
      <w:r>
        <w:rPr>
          <w:rFonts w:hint="eastAsia" w:ascii="宋体" w:hAnsi="宋体" w:cs="微软雅黑"/>
          <w:sz w:val="24"/>
          <w14:ligatures w14:val="standardContextual"/>
        </w:rPr>
        <w:t>、</w:t>
      </w:r>
      <w:r>
        <w:rPr>
          <w:rFonts w:hint="eastAsia"/>
          <w:sz w:val="24"/>
          <w14:ligatures w14:val="standardContextual"/>
        </w:rPr>
        <w:t>酿酒酵母(≥</w:t>
      </w:r>
      <w:r>
        <w:rPr>
          <w:sz w:val="24"/>
          <w14:ligatures w14:val="standardContextual"/>
        </w:rPr>
        <w:t>5×10</w:t>
      </w:r>
      <w:r>
        <w:rPr>
          <w:sz w:val="24"/>
          <w:vertAlign w:val="superscript"/>
          <w14:ligatures w14:val="standardContextual"/>
        </w:rPr>
        <w:t>6</w:t>
      </w:r>
      <w:r>
        <w:rPr>
          <w:rFonts w:hint="eastAsia"/>
          <w:sz w:val="24"/>
          <w14:ligatures w14:val="standardContextual"/>
        </w:rPr>
        <w:t xml:space="preserve"> </w:t>
      </w:r>
      <w:r>
        <w:rPr>
          <w:sz w:val="24"/>
          <w14:ligatures w14:val="standardContextual"/>
        </w:rPr>
        <w:t>CFU/g)</w:t>
      </w:r>
      <w:r>
        <w:rPr>
          <w:rFonts w:hint="eastAsia"/>
          <w:sz w:val="24"/>
          <w14:ligatures w14:val="standardContextual"/>
        </w:rPr>
        <w:t>和植物乳杆菌(≥2</w:t>
      </w:r>
      <w:r>
        <w:rPr>
          <w:sz w:val="24"/>
          <w14:ligatures w14:val="standardContextual"/>
        </w:rPr>
        <w:t>×10</w:t>
      </w:r>
      <w:r>
        <w:rPr>
          <w:sz w:val="24"/>
          <w:vertAlign w:val="superscript"/>
          <w14:ligatures w14:val="standardContextual"/>
        </w:rPr>
        <w:t>7</w:t>
      </w:r>
      <w:r>
        <w:rPr>
          <w:rFonts w:hint="eastAsia"/>
          <w:sz w:val="24"/>
          <w:vertAlign w:val="superscript"/>
          <w14:ligatures w14:val="standardContextual"/>
        </w:rPr>
        <w:t xml:space="preserve"> </w:t>
      </w:r>
      <w:r>
        <w:rPr>
          <w:sz w:val="24"/>
          <w14:ligatures w14:val="standardContextual"/>
        </w:rPr>
        <w:t>CFU/g)</w:t>
      </w:r>
      <w:r>
        <w:rPr>
          <w:rFonts w:hint="eastAsia"/>
          <w:sz w:val="24"/>
          <w14:ligatures w14:val="standardContextual"/>
        </w:rPr>
        <w:t>等]与温水</w:t>
      </w:r>
      <w:r>
        <w:rPr>
          <w:sz w:val="24"/>
          <w14:ligatures w14:val="standardContextual"/>
        </w:rPr>
        <w:t>(</w:t>
      </w:r>
      <w:r>
        <w:rPr>
          <w:rFonts w:hint="eastAsia"/>
          <w:sz w:val="24"/>
          <w14:ligatures w14:val="standardContextual"/>
        </w:rPr>
        <w:t>水温约</w:t>
      </w:r>
      <w:r>
        <w:rPr>
          <w:sz w:val="24"/>
          <w14:ligatures w14:val="standardContextual"/>
        </w:rPr>
        <w:t>35</w:t>
      </w:r>
      <w:r>
        <w:rPr>
          <w:rFonts w:hint="eastAsia"/>
          <w:sz w:val="24"/>
          <w14:ligatures w14:val="standardContextual"/>
        </w:rPr>
        <w:t xml:space="preserve"> ℃)按</w:t>
      </w:r>
      <w:r>
        <w:rPr>
          <w:sz w:val="24"/>
          <w14:ligatures w14:val="standardContextual"/>
        </w:rPr>
        <w:t>1</w:t>
      </w:r>
      <w:r>
        <w:rPr>
          <w:rFonts w:ascii="Cambria Math" w:hAnsi="Cambria Math" w:cs="Cambria Math"/>
          <w:sz w:val="24"/>
          <w14:ligatures w14:val="standardContextual"/>
        </w:rPr>
        <w:t>∶</w:t>
      </w:r>
      <w:r>
        <w:rPr>
          <w:sz w:val="24"/>
          <w14:ligatures w14:val="standardContextual"/>
        </w:rPr>
        <w:t>2</w:t>
      </w:r>
      <w:r>
        <w:rPr>
          <w:rFonts w:hint="eastAsia"/>
          <w:sz w:val="24"/>
          <w14:ligatures w14:val="standardContextual"/>
        </w:rPr>
        <w:t>的比例充分混匀</w:t>
      </w:r>
      <w:r>
        <w:rPr>
          <w:rFonts w:hint="eastAsia" w:ascii="宋体" w:hAnsi="宋体"/>
          <w:sz w:val="24"/>
          <w14:ligatures w14:val="standardContextual"/>
        </w:rPr>
        <w:t>，</w:t>
      </w:r>
      <w:r>
        <w:rPr>
          <w:rFonts w:hint="eastAsia"/>
          <w:sz w:val="24"/>
          <w14:ligatures w14:val="standardContextual"/>
        </w:rPr>
        <w:t>边搅拌边活化</w:t>
      </w:r>
      <w:r>
        <w:rPr>
          <w:sz w:val="24"/>
          <w14:ligatures w14:val="standardContextual"/>
        </w:rPr>
        <w:t>1.0~1.5</w:t>
      </w:r>
      <w:r>
        <w:rPr>
          <w:rFonts w:hint="eastAsia"/>
          <w:sz w:val="24"/>
          <w14:ligatures w14:val="standardContextual"/>
        </w:rPr>
        <w:t xml:space="preserve"> </w:t>
      </w:r>
      <w:r>
        <w:rPr>
          <w:sz w:val="24"/>
          <w14:ligatures w14:val="standardContextual"/>
        </w:rPr>
        <w:t>h</w:t>
      </w:r>
      <w:r>
        <w:rPr>
          <w:rFonts w:ascii="宋体" w:hAnsi="宋体"/>
          <w:sz w:val="24"/>
          <w14:ligatures w14:val="standardContextual"/>
        </w:rPr>
        <w:t>;</w:t>
      </w:r>
      <w:r>
        <w:rPr>
          <w:rFonts w:hint="eastAsia"/>
          <w:sz w:val="24"/>
          <w14:ligatures w14:val="standardContextual"/>
        </w:rPr>
        <w:t>第</w:t>
      </w:r>
      <w:r>
        <w:rPr>
          <w:sz w:val="24"/>
          <w14:ligatures w14:val="standardContextual"/>
        </w:rPr>
        <w:t>3</w:t>
      </w:r>
      <w:r>
        <w:rPr>
          <w:rFonts w:hint="eastAsia"/>
          <w:sz w:val="24"/>
          <w14:ligatures w14:val="standardContextual"/>
        </w:rPr>
        <w:t>步</w:t>
      </w:r>
      <w:r>
        <w:rPr>
          <w:rFonts w:hint="eastAsia" w:ascii="宋体" w:hAnsi="宋体"/>
          <w:sz w:val="24"/>
          <w14:ligatures w14:val="standardContextual"/>
        </w:rPr>
        <w:t>，</w:t>
      </w:r>
      <w:r>
        <w:rPr>
          <w:rFonts w:hint="eastAsia"/>
          <w:sz w:val="24"/>
          <w14:ligatures w14:val="standardContextual"/>
        </w:rPr>
        <w:t>准确称取菜籽褐饼原料</w:t>
      </w:r>
      <w:r>
        <w:rPr>
          <w:sz w:val="24"/>
          <w14:ligatures w14:val="standardContextual"/>
        </w:rPr>
        <w:t>800</w:t>
      </w:r>
      <w:r>
        <w:rPr>
          <w:rFonts w:hint="eastAsia"/>
          <w:sz w:val="24"/>
          <w14:ligatures w14:val="standardContextual"/>
        </w:rPr>
        <w:t xml:space="preserve"> </w:t>
      </w:r>
      <w:r>
        <w:rPr>
          <w:sz w:val="24"/>
          <w14:ligatures w14:val="standardContextual"/>
        </w:rPr>
        <w:t>kg(</w:t>
      </w:r>
      <w:r>
        <w:rPr>
          <w:rFonts w:hint="eastAsia"/>
          <w:sz w:val="24"/>
          <w14:ligatures w14:val="standardContextual"/>
        </w:rPr>
        <w:t>占总菜籽褐饼原料的</w:t>
      </w:r>
      <w:r>
        <w:rPr>
          <w:sz w:val="24"/>
          <w14:ligatures w14:val="standardContextual"/>
        </w:rPr>
        <w:t>80</w:t>
      </w:r>
      <w:r>
        <w:rPr>
          <w:rFonts w:hint="eastAsia"/>
          <w:sz w:val="24"/>
          <w14:ligatures w14:val="standardContextual"/>
        </w:rPr>
        <w:t xml:space="preserve"> </w:t>
      </w:r>
      <w:r>
        <w:rPr>
          <w:sz w:val="24"/>
          <w14:ligatures w14:val="standardContextual"/>
        </w:rPr>
        <w:t>%)</w:t>
      </w:r>
      <w:r>
        <w:rPr>
          <w:rFonts w:hint="eastAsia"/>
          <w:sz w:val="24"/>
          <w14:ligatures w14:val="standardContextual"/>
        </w:rPr>
        <w:t>加入第</w:t>
      </w:r>
      <w:r>
        <w:rPr>
          <w:sz w:val="24"/>
          <w14:ligatures w14:val="standardContextual"/>
        </w:rPr>
        <w:t>1</w:t>
      </w:r>
      <w:r>
        <w:rPr>
          <w:rFonts w:hint="eastAsia"/>
          <w:sz w:val="24"/>
          <w14:ligatures w14:val="standardContextual"/>
        </w:rPr>
        <w:t>步酶解料中</w:t>
      </w:r>
      <w:r>
        <w:rPr>
          <w:rFonts w:hint="eastAsia" w:ascii="宋体" w:hAnsi="宋体"/>
          <w:sz w:val="24"/>
          <w14:ligatures w14:val="standardContextual"/>
        </w:rPr>
        <w:t>，</w:t>
      </w:r>
      <w:r>
        <w:rPr>
          <w:rFonts w:hint="eastAsia"/>
          <w:sz w:val="24"/>
          <w14:ligatures w14:val="standardContextual"/>
        </w:rPr>
        <w:t>同时加入第</w:t>
      </w:r>
      <w:r>
        <w:rPr>
          <w:sz w:val="24"/>
          <w14:ligatures w14:val="standardContextual"/>
        </w:rPr>
        <w:t>2</w:t>
      </w:r>
      <w:r>
        <w:rPr>
          <w:rFonts w:hint="eastAsia"/>
          <w:sz w:val="24"/>
          <w14:ligatures w14:val="standardContextual"/>
        </w:rPr>
        <w:t>步中配制的活化菌液</w:t>
      </w:r>
      <w:r>
        <w:rPr>
          <w:rFonts w:hint="eastAsia" w:ascii="宋体" w:hAnsi="宋体"/>
          <w:sz w:val="24"/>
          <w14:ligatures w14:val="standardContextual"/>
        </w:rPr>
        <w:t>，</w:t>
      </w:r>
      <w:r>
        <w:rPr>
          <w:rFonts w:hint="eastAsia"/>
          <w:sz w:val="24"/>
          <w14:ligatures w14:val="standardContextual"/>
        </w:rPr>
        <w:t>充分搅拌</w:t>
      </w:r>
      <w:r>
        <w:rPr>
          <w:rFonts w:hint="eastAsia" w:ascii="宋体" w:hAnsi="宋体"/>
          <w:sz w:val="24"/>
          <w14:ligatures w14:val="standardContextual"/>
        </w:rPr>
        <w:t>，</w:t>
      </w:r>
      <w:r>
        <w:rPr>
          <w:rFonts w:hint="eastAsia"/>
          <w:sz w:val="24"/>
          <w14:ligatures w14:val="standardContextual"/>
        </w:rPr>
        <w:t>整体水分含量控制在</w:t>
      </w:r>
      <w:r>
        <w:rPr>
          <w:sz w:val="24"/>
          <w14:ligatures w14:val="standardContextual"/>
        </w:rPr>
        <w:t>45</w:t>
      </w:r>
      <w:r>
        <w:rPr>
          <w:rFonts w:hint="eastAsia"/>
          <w:sz w:val="24"/>
          <w14:ligatures w14:val="standardContextual"/>
        </w:rPr>
        <w:t xml:space="preserve"> </w:t>
      </w:r>
      <w:r>
        <w:rPr>
          <w:sz w:val="24"/>
          <w14:ligatures w14:val="standardContextual"/>
        </w:rPr>
        <w:t>%</w:t>
      </w:r>
      <w:r>
        <w:rPr>
          <w:rFonts w:hint="eastAsia"/>
          <w:sz w:val="24"/>
          <w14:ligatures w14:val="standardContextual"/>
        </w:rPr>
        <w:t>左右</w:t>
      </w:r>
      <w:r>
        <w:rPr>
          <w:rFonts w:hint="eastAsia" w:ascii="宋体" w:hAnsi="宋体"/>
          <w:sz w:val="24"/>
          <w14:ligatures w14:val="standardContextual"/>
        </w:rPr>
        <w:t>，</w:t>
      </w:r>
      <w:r>
        <w:rPr>
          <w:rFonts w:hint="eastAsia"/>
          <w:sz w:val="24"/>
          <w14:ligatures w14:val="standardContextual"/>
        </w:rPr>
        <w:t>混匀后装至发酵桶密封</w:t>
      </w:r>
      <w:r>
        <w:rPr>
          <w:rFonts w:hint="eastAsia" w:ascii="宋体" w:hAnsi="宋体"/>
          <w:sz w:val="24"/>
          <w14:ligatures w14:val="standardContextual"/>
        </w:rPr>
        <w:t>，</w:t>
      </w:r>
      <w:r>
        <w:rPr>
          <w:rFonts w:hint="eastAsia"/>
          <w:sz w:val="24"/>
          <w14:ligatures w14:val="standardContextual"/>
        </w:rPr>
        <w:t>厌氧发酵</w:t>
      </w:r>
      <w:r>
        <w:rPr>
          <w:sz w:val="24"/>
          <w14:ligatures w14:val="standardContextual"/>
        </w:rPr>
        <w:t>5</w:t>
      </w:r>
      <w:r>
        <w:rPr>
          <w:rFonts w:hint="eastAsia"/>
          <w:sz w:val="24"/>
          <w14:ligatures w14:val="standardContextual"/>
        </w:rPr>
        <w:t xml:space="preserve"> </w:t>
      </w:r>
      <w:r>
        <w:rPr>
          <w:sz w:val="24"/>
          <w14:ligatures w14:val="standardContextual"/>
        </w:rPr>
        <w:t>d</w:t>
      </w:r>
      <w:r>
        <w:rPr>
          <w:rFonts w:hint="eastAsia" w:ascii="宋体" w:hAnsi="宋体"/>
          <w:sz w:val="24"/>
          <w14:ligatures w14:val="standardContextual"/>
        </w:rPr>
        <w:t>，</w:t>
      </w:r>
      <w:r>
        <w:rPr>
          <w:rFonts w:hint="eastAsia"/>
          <w:sz w:val="24"/>
          <w14:ligatures w14:val="standardContextual"/>
        </w:rPr>
        <w:t>即得到</w:t>
      </w:r>
      <w:r>
        <w:rPr>
          <w:sz w:val="24"/>
          <w14:ligatures w14:val="standardContextual"/>
        </w:rPr>
        <w:t>FRBC</w:t>
      </w:r>
      <w:r>
        <w:rPr>
          <w:rFonts w:hint="eastAsia" w:ascii="宋体" w:hAnsi="宋体"/>
          <w:sz w:val="24"/>
          <w14:ligatures w14:val="standardContextual"/>
        </w:rPr>
        <w:t>。</w:t>
      </w:r>
      <w:r>
        <w:rPr>
          <w:rFonts w:hint="eastAsia"/>
          <w:sz w:val="24"/>
          <w14:ligatures w14:val="standardContextual"/>
        </w:rPr>
        <w:t>菜籽褐饼发酵前后营养物质和抗营养因子含量变化见表</w:t>
      </w:r>
      <w:r>
        <w:rPr>
          <w:sz w:val="24"/>
          <w14:ligatures w14:val="standardContextual"/>
        </w:rPr>
        <w:t>1</w:t>
      </w:r>
      <w:r>
        <w:rPr>
          <w:rFonts w:hint="eastAsia" w:ascii="宋体" w:hAnsi="宋体"/>
          <w:sz w:val="24"/>
          <w14:ligatures w14:val="standardContextual"/>
        </w:rPr>
        <w:t>。</w:t>
      </w:r>
    </w:p>
    <w:p w14:paraId="4187CAF1">
      <w:pPr>
        <w:spacing w:line="360" w:lineRule="auto"/>
        <w:rPr>
          <w:sz w:val="24"/>
          <w14:ligatures w14:val="standardContextual"/>
        </w:rPr>
      </w:pPr>
      <w:r>
        <w:rPr>
          <w:sz w:val="24"/>
          <w14:ligatures w14:val="standardContextual"/>
        </w:rPr>
        <w:t>1.2</w:t>
      </w:r>
      <w:r>
        <w:rPr>
          <w:rFonts w:hint="eastAsia"/>
          <w:sz w:val="24"/>
          <w14:ligatures w14:val="standardContextual"/>
        </w:rPr>
        <w:t xml:space="preserve">  试验设计</w:t>
      </w:r>
    </w:p>
    <w:p w14:paraId="15935978">
      <w:pPr>
        <w:spacing w:line="360" w:lineRule="auto"/>
        <w:ind w:firstLine="480" w:firstLineChars="200"/>
        <w:rPr>
          <w:rFonts w:ascii="宋体" w:hAnsi="宋体"/>
          <w:sz w:val="24"/>
          <w14:ligatures w14:val="standardContextual"/>
        </w:rPr>
      </w:pPr>
      <w:r>
        <w:rPr>
          <w:rFonts w:hint="eastAsia"/>
          <w:sz w:val="24"/>
          <w14:ligatures w14:val="standardContextual"/>
        </w:rPr>
        <w:t>试验饲料的主要蛋白质来源包括豆粕</w:t>
      </w:r>
      <w:r>
        <w:rPr>
          <w:rFonts w:hint="eastAsia" w:ascii="宋体" w:hAnsi="宋体" w:cs="微软雅黑"/>
          <w:sz w:val="24"/>
          <w14:ligatures w14:val="standardContextual"/>
        </w:rPr>
        <w:t>、</w:t>
      </w:r>
      <w:r>
        <w:rPr>
          <w:rFonts w:hint="eastAsia"/>
          <w:sz w:val="24"/>
          <w14:ligatures w14:val="standardContextual"/>
        </w:rPr>
        <w:t>鱼粉</w:t>
      </w:r>
      <w:r>
        <w:rPr>
          <w:rFonts w:hint="eastAsia" w:ascii="宋体" w:hAnsi="宋体" w:cs="微软雅黑"/>
          <w:sz w:val="24"/>
          <w14:ligatures w14:val="standardContextual"/>
        </w:rPr>
        <w:t>、</w:t>
      </w:r>
      <w:r>
        <w:rPr>
          <w:rFonts w:hint="eastAsia"/>
          <w:sz w:val="24"/>
          <w14:ligatures w14:val="standardContextual"/>
        </w:rPr>
        <w:t>棉籽蛋白和菜籽饼粕</w:t>
      </w:r>
      <w:r>
        <w:rPr>
          <w:rFonts w:hint="eastAsia" w:ascii="宋体" w:hAnsi="宋体"/>
          <w:sz w:val="24"/>
          <w14:ligatures w14:val="standardContextual"/>
        </w:rPr>
        <w:t>,</w:t>
      </w:r>
      <w:r>
        <w:rPr>
          <w:rFonts w:hint="eastAsia"/>
          <w:sz w:val="24"/>
          <w14:ligatures w14:val="standardContextual"/>
        </w:rPr>
        <w:t>高筋面粉作为主要的能量来源</w:t>
      </w:r>
      <w:r>
        <w:rPr>
          <w:rFonts w:hint="eastAsia" w:ascii="宋体" w:hAnsi="宋体"/>
          <w:sz w:val="24"/>
          <w14:ligatures w14:val="standardContextual"/>
        </w:rPr>
        <w:t>,</w:t>
      </w:r>
      <w:r>
        <w:rPr>
          <w:rFonts w:hint="eastAsia"/>
          <w:sz w:val="24"/>
          <w14:ligatures w14:val="standardContextual"/>
        </w:rPr>
        <w:t>大豆油则是主要的脂肪来源</w:t>
      </w:r>
      <w:r>
        <w:rPr>
          <w:rFonts w:hint="eastAsia" w:ascii="宋体" w:hAnsi="宋体"/>
          <w:sz w:val="24"/>
          <w14:ligatures w14:val="standardContextual"/>
        </w:rPr>
        <w:t>。</w:t>
      </w:r>
      <w:r>
        <w:rPr>
          <w:rFonts w:hint="eastAsia"/>
          <w:sz w:val="24"/>
          <w14:ligatures w14:val="standardContextual"/>
        </w:rPr>
        <w:t>采用等氮</w:t>
      </w:r>
      <w:r>
        <w:rPr>
          <w:sz w:val="24"/>
          <w14:ligatures w14:val="standardContextual"/>
        </w:rPr>
        <w:t>(42</w:t>
      </w:r>
      <w:r>
        <w:rPr>
          <w:rFonts w:hint="eastAsia"/>
          <w:sz w:val="24"/>
          <w14:ligatures w14:val="standardContextual"/>
        </w:rPr>
        <w:t xml:space="preserve"> </w:t>
      </w:r>
      <w:r>
        <w:rPr>
          <w:sz w:val="24"/>
          <w14:ligatures w14:val="standardContextual"/>
        </w:rPr>
        <w:t>%</w:t>
      </w:r>
      <w:r>
        <w:rPr>
          <w:rFonts w:hint="eastAsia"/>
          <w:sz w:val="24"/>
          <w14:ligatures w14:val="standardContextual"/>
        </w:rPr>
        <w:t>粗蛋白质</w:t>
      </w:r>
      <w:r>
        <w:rPr>
          <w:sz w:val="24"/>
          <w14:ligatures w14:val="standardContextual"/>
        </w:rPr>
        <w:t>)</w:t>
      </w:r>
      <w:r>
        <w:rPr>
          <w:rFonts w:hint="eastAsia"/>
          <w:sz w:val="24"/>
          <w14:ligatures w14:val="standardContextual"/>
        </w:rPr>
        <w:t>等脂</w:t>
      </w:r>
      <w:r>
        <w:rPr>
          <w:sz w:val="24"/>
          <w14:ligatures w14:val="standardContextual"/>
        </w:rPr>
        <w:t>(11</w:t>
      </w:r>
      <w:r>
        <w:rPr>
          <w:rFonts w:hint="eastAsia"/>
          <w:sz w:val="24"/>
          <w14:ligatures w14:val="standardContextual"/>
        </w:rPr>
        <w:t xml:space="preserve"> </w:t>
      </w:r>
      <w:r>
        <w:rPr>
          <w:sz w:val="24"/>
          <w14:ligatures w14:val="standardContextual"/>
        </w:rPr>
        <w:t>%</w:t>
      </w:r>
      <w:r>
        <w:rPr>
          <w:rFonts w:hint="eastAsia"/>
          <w:sz w:val="24"/>
          <w14:ligatures w14:val="standardContextual"/>
        </w:rPr>
        <w:t>粗脂肪</w:t>
      </w:r>
      <w:r>
        <w:rPr>
          <w:sz w:val="24"/>
          <w14:ligatures w14:val="standardContextual"/>
        </w:rPr>
        <w:t>)</w:t>
      </w:r>
      <w:r>
        <w:rPr>
          <w:rFonts w:hint="eastAsia"/>
          <w:sz w:val="24"/>
          <w14:ligatures w14:val="standardContextual"/>
        </w:rPr>
        <w:t>的原则</w:t>
      </w:r>
      <w:r>
        <w:rPr>
          <w:rFonts w:hint="eastAsia" w:ascii="宋体" w:hAnsi="宋体"/>
          <w:sz w:val="24"/>
          <w14:ligatures w14:val="standardContextual"/>
        </w:rPr>
        <w:t>,</w:t>
      </w:r>
      <w:r>
        <w:rPr>
          <w:rFonts w:hint="eastAsia"/>
          <w:sz w:val="24"/>
          <w14:ligatures w14:val="standardContextual"/>
        </w:rPr>
        <w:t>以含</w:t>
      </w:r>
      <w:r>
        <w:rPr>
          <w:sz w:val="24"/>
          <w14:ligatures w14:val="standardContextual"/>
        </w:rPr>
        <w:t>25</w:t>
      </w:r>
      <w:r>
        <w:rPr>
          <w:rFonts w:hint="eastAsia"/>
          <w:sz w:val="24"/>
          <w14:ligatures w14:val="standardContextual"/>
        </w:rPr>
        <w:t xml:space="preserve"> </w:t>
      </w:r>
      <w:r>
        <w:rPr>
          <w:sz w:val="24"/>
          <w14:ligatures w14:val="standardContextual"/>
        </w:rPr>
        <w:t>%</w:t>
      </w:r>
      <w:r>
        <w:rPr>
          <w:rFonts w:hint="eastAsia"/>
          <w:sz w:val="24"/>
          <w14:ligatures w14:val="standardContextual"/>
        </w:rPr>
        <w:t>豆粕的饲料为对照饲料</w:t>
      </w:r>
      <w:r>
        <w:rPr>
          <w:rFonts w:hint="eastAsia" w:ascii="宋体" w:hAnsi="宋体"/>
          <w:sz w:val="24"/>
          <w14:ligatures w14:val="standardContextual"/>
        </w:rPr>
        <w:t>,</w:t>
      </w:r>
      <w:r>
        <w:rPr>
          <w:rFonts w:hint="eastAsia"/>
          <w:sz w:val="24"/>
          <w14:ligatures w14:val="standardContextual"/>
        </w:rPr>
        <w:t>分别以</w:t>
      </w:r>
      <w:r>
        <w:rPr>
          <w:sz w:val="24"/>
          <w14:ligatures w14:val="standardContextual"/>
        </w:rPr>
        <w:t>FRBC</w:t>
      </w:r>
      <w:r>
        <w:rPr>
          <w:rFonts w:hint="eastAsia"/>
          <w:sz w:val="24"/>
          <w14:ligatures w14:val="standardContextual"/>
        </w:rPr>
        <w:t>替代</w:t>
      </w:r>
      <w:r>
        <w:rPr>
          <w:sz w:val="24"/>
          <w14:ligatures w14:val="standardContextual"/>
        </w:rPr>
        <w:t>8</w:t>
      </w:r>
      <w:r>
        <w:rPr>
          <w:rFonts w:hint="eastAsia"/>
          <w:sz w:val="24"/>
          <w14:ligatures w14:val="standardContextual"/>
        </w:rPr>
        <w:t xml:space="preserve"> </w:t>
      </w:r>
      <w:r>
        <w:rPr>
          <w:sz w:val="24"/>
          <w14:ligatures w14:val="standardContextual"/>
        </w:rPr>
        <w:t>%</w:t>
      </w:r>
      <w:r>
        <w:rPr>
          <w:rFonts w:hint="eastAsia" w:ascii="宋体" w:hAnsi="宋体" w:cs="微软雅黑"/>
          <w:sz w:val="24"/>
          <w14:ligatures w14:val="standardContextual"/>
        </w:rPr>
        <w:t>、</w:t>
      </w:r>
      <w:r>
        <w:rPr>
          <w:sz w:val="24"/>
          <w14:ligatures w14:val="standardContextual"/>
        </w:rPr>
        <w:t>18</w:t>
      </w:r>
      <w:r>
        <w:rPr>
          <w:rFonts w:hint="eastAsia"/>
          <w:sz w:val="24"/>
          <w14:ligatures w14:val="standardContextual"/>
        </w:rPr>
        <w:t xml:space="preserve"> </w:t>
      </w:r>
      <w:r>
        <w:rPr>
          <w:sz w:val="24"/>
          <w14:ligatures w14:val="standardContextual"/>
        </w:rPr>
        <w:t>%</w:t>
      </w:r>
      <w:r>
        <w:rPr>
          <w:rFonts w:hint="eastAsia" w:ascii="宋体" w:hAnsi="宋体" w:cs="微软雅黑"/>
          <w:sz w:val="24"/>
          <w14:ligatures w14:val="standardContextual"/>
        </w:rPr>
        <w:t>、</w:t>
      </w:r>
      <w:r>
        <w:rPr>
          <w:sz w:val="24"/>
          <w14:ligatures w14:val="standardContextual"/>
        </w:rPr>
        <w:t>27</w:t>
      </w:r>
      <w:r>
        <w:rPr>
          <w:rFonts w:hint="eastAsia"/>
          <w:sz w:val="24"/>
          <w14:ligatures w14:val="standardContextual"/>
        </w:rPr>
        <w:t xml:space="preserve"> </w:t>
      </w:r>
      <w:r>
        <w:rPr>
          <w:sz w:val="24"/>
          <w14:ligatures w14:val="standardContextual"/>
        </w:rPr>
        <w:t>%</w:t>
      </w:r>
      <w:r>
        <w:rPr>
          <w:rFonts w:hint="eastAsia"/>
          <w:sz w:val="24"/>
          <w14:ligatures w14:val="standardContextual"/>
        </w:rPr>
        <w:t>和</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sz w:val="24"/>
          <w14:ligatures w14:val="standardContextual"/>
        </w:rPr>
        <w:t>的豆粕</w:t>
      </w:r>
      <w:r>
        <w:rPr>
          <w:rFonts w:hint="eastAsia" w:ascii="宋体" w:hAnsi="宋体"/>
          <w:sz w:val="24"/>
          <w14:ligatures w14:val="standardContextual"/>
        </w:rPr>
        <w:t>,</w:t>
      </w:r>
      <w:r>
        <w:rPr>
          <w:rFonts w:hint="eastAsia"/>
          <w:sz w:val="24"/>
          <w14:ligatures w14:val="standardContextual"/>
        </w:rPr>
        <w:t>制备</w:t>
      </w:r>
      <w:r>
        <w:rPr>
          <w:sz w:val="24"/>
          <w14:ligatures w14:val="standardContextual"/>
        </w:rPr>
        <w:t>5</w:t>
      </w:r>
      <w:r>
        <w:rPr>
          <w:rFonts w:hint="eastAsia"/>
          <w:sz w:val="24"/>
          <w14:ligatures w14:val="standardContextual"/>
        </w:rPr>
        <w:t>种添加不同比例</w:t>
      </w:r>
      <w:r>
        <w:rPr>
          <w:sz w:val="24"/>
          <w14:ligatures w14:val="standardContextual"/>
        </w:rPr>
        <w:t>FRBC</w:t>
      </w:r>
      <w:r>
        <w:rPr>
          <w:rFonts w:hint="eastAsia"/>
          <w:sz w:val="24"/>
          <w14:ligatures w14:val="standardContextual"/>
        </w:rPr>
        <w:t>的鲤鱼试验饲料</w:t>
      </w:r>
      <w:r>
        <w:rPr>
          <w:rFonts w:hint="eastAsia" w:ascii="宋体" w:hAnsi="宋体"/>
          <w:sz w:val="24"/>
          <w14:ligatures w14:val="standardContextual"/>
        </w:rPr>
        <w:t>。</w:t>
      </w:r>
      <w:r>
        <w:rPr>
          <w:rFonts w:hint="eastAsia"/>
          <w:sz w:val="24"/>
          <w14:ligatures w14:val="standardContextual"/>
        </w:rPr>
        <w:t>试验饲料中</w:t>
      </w:r>
      <w:r>
        <w:rPr>
          <w:sz w:val="24"/>
          <w14:ligatures w14:val="standardContextual"/>
        </w:rPr>
        <w:t>FRBC</w:t>
      </w:r>
      <w:r>
        <w:rPr>
          <w:rFonts w:hint="eastAsia"/>
          <w:sz w:val="24"/>
          <w14:ligatures w14:val="standardContextual"/>
        </w:rPr>
        <w:t>的添加比例分别为</w:t>
      </w:r>
      <w:r>
        <w:rPr>
          <w:sz w:val="24"/>
          <w14:ligatures w14:val="standardContextual"/>
        </w:rPr>
        <w:t>0(FRBC0</w:t>
      </w:r>
      <w:r>
        <w:rPr>
          <w:rFonts w:hint="eastAsia"/>
          <w:sz w:val="24"/>
          <w14:ligatures w14:val="standardContextual"/>
        </w:rPr>
        <w:t>组</w:t>
      </w:r>
      <w:r>
        <w:rPr>
          <w:rFonts w:hint="eastAsia" w:ascii="宋体" w:hAnsi="宋体"/>
          <w:sz w:val="24"/>
          <w14:ligatures w14:val="standardContextual"/>
        </w:rPr>
        <w:t>,</w:t>
      </w:r>
      <w:r>
        <w:rPr>
          <w:rFonts w:hint="eastAsia"/>
          <w:sz w:val="24"/>
          <w14:ligatures w14:val="standardContextual"/>
        </w:rPr>
        <w:t>作为对照组</w:t>
      </w:r>
      <w:r>
        <w:rPr>
          <w:sz w:val="24"/>
          <w14:ligatures w14:val="standardContextual"/>
        </w:rPr>
        <w:t>)</w:t>
      </w:r>
      <w:r>
        <w:rPr>
          <w:rFonts w:hint="eastAsia" w:ascii="宋体" w:hAnsi="宋体" w:cs="微软雅黑"/>
          <w:sz w:val="24"/>
          <w14:ligatures w14:val="standardContextual"/>
        </w:rPr>
        <w:t>、</w:t>
      </w:r>
      <w:r>
        <w:rPr>
          <w:sz w:val="24"/>
          <w14:ligatures w14:val="standardContextual"/>
        </w:rPr>
        <w:t>3</w:t>
      </w:r>
      <w:r>
        <w:rPr>
          <w:rFonts w:hint="eastAsia"/>
          <w:sz w:val="24"/>
          <w14:ligatures w14:val="standardContextual"/>
        </w:rPr>
        <w:t xml:space="preserve"> </w:t>
      </w:r>
      <w:r>
        <w:rPr>
          <w:sz w:val="24"/>
          <w14:ligatures w14:val="standardContextual"/>
        </w:rPr>
        <w:t>%(FRBC3</w:t>
      </w:r>
      <w:r>
        <w:rPr>
          <w:rFonts w:hint="eastAsia"/>
          <w:sz w:val="24"/>
          <w14:ligatures w14:val="standardContextual"/>
        </w:rPr>
        <w:t>组</w:t>
      </w:r>
      <w:r>
        <w:rPr>
          <w:sz w:val="24"/>
          <w14:ligatures w14:val="standardContextual"/>
        </w:rPr>
        <w:t>)</w:t>
      </w:r>
      <w:r>
        <w:rPr>
          <w:rFonts w:hint="eastAsia" w:ascii="宋体" w:hAnsi="宋体" w:cs="微软雅黑"/>
          <w:sz w:val="24"/>
          <w14:ligatures w14:val="standardContextual"/>
        </w:rPr>
        <w:t>、</w:t>
      </w:r>
      <w:r>
        <w:rPr>
          <w:sz w:val="24"/>
          <w14:ligatures w14:val="standardContextual"/>
        </w:rPr>
        <w:t>6</w:t>
      </w:r>
      <w:r>
        <w:rPr>
          <w:rFonts w:hint="eastAsia"/>
          <w:sz w:val="24"/>
          <w14:ligatures w14:val="standardContextual"/>
        </w:rPr>
        <w:t xml:space="preserve"> </w:t>
      </w:r>
      <w:r>
        <w:rPr>
          <w:sz w:val="24"/>
          <w14:ligatures w14:val="standardContextual"/>
        </w:rPr>
        <w:t>%(FRBC6</w:t>
      </w:r>
      <w:r>
        <w:rPr>
          <w:rFonts w:hint="eastAsia"/>
          <w:sz w:val="24"/>
          <w14:ligatures w14:val="standardContextual"/>
        </w:rPr>
        <w:t>组</w:t>
      </w:r>
      <w:r>
        <w:rPr>
          <w:sz w:val="24"/>
          <w14:ligatures w14:val="standardContextual"/>
        </w:rPr>
        <w:t>)</w:t>
      </w:r>
      <w:r>
        <w:rPr>
          <w:rFonts w:hint="eastAsia" w:ascii="宋体" w:hAnsi="宋体" w:cs="微软雅黑"/>
          <w:sz w:val="24"/>
          <w14:ligatures w14:val="standardContextual"/>
        </w:rPr>
        <w:t>、</w:t>
      </w:r>
      <w:r>
        <w:rPr>
          <w:sz w:val="24"/>
          <w14:ligatures w14:val="standardContextual"/>
        </w:rPr>
        <w:t>9</w:t>
      </w:r>
      <w:r>
        <w:rPr>
          <w:rFonts w:hint="eastAsia"/>
          <w:sz w:val="24"/>
          <w14:ligatures w14:val="standardContextual"/>
        </w:rPr>
        <w:t xml:space="preserve"> </w:t>
      </w:r>
      <w:r>
        <w:rPr>
          <w:sz w:val="24"/>
          <w14:ligatures w14:val="standardContextual"/>
        </w:rPr>
        <w:t>%(FRBC9</w:t>
      </w:r>
      <w:r>
        <w:rPr>
          <w:rFonts w:hint="eastAsia"/>
          <w:sz w:val="24"/>
          <w14:ligatures w14:val="standardContextual"/>
        </w:rPr>
        <w:t>组</w:t>
      </w:r>
      <w:r>
        <w:rPr>
          <w:sz w:val="24"/>
          <w14:ligatures w14:val="standardContextual"/>
        </w:rPr>
        <w:t>)</w:t>
      </w:r>
      <w:r>
        <w:rPr>
          <w:rFonts w:hint="eastAsia" w:ascii="宋体" w:hAnsi="宋体" w:cs="微软雅黑"/>
          <w:sz w:val="24"/>
          <w14:ligatures w14:val="standardContextual"/>
        </w:rPr>
        <w:t>、</w:t>
      </w:r>
      <w:r>
        <w:rPr>
          <w:sz w:val="24"/>
          <w14:ligatures w14:val="standardContextual"/>
        </w:rPr>
        <w:t>12</w:t>
      </w:r>
      <w:r>
        <w:rPr>
          <w:rFonts w:hint="eastAsia"/>
          <w:sz w:val="24"/>
          <w14:ligatures w14:val="standardContextual"/>
        </w:rPr>
        <w:t xml:space="preserve"> </w:t>
      </w:r>
      <w:r>
        <w:rPr>
          <w:sz w:val="24"/>
          <w14:ligatures w14:val="standardContextual"/>
        </w:rPr>
        <w:t>%(FRBC12</w:t>
      </w:r>
      <w:r>
        <w:rPr>
          <w:rFonts w:hint="eastAsia"/>
          <w:sz w:val="24"/>
          <w14:ligatures w14:val="standardContextual"/>
        </w:rPr>
        <w:t>组</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通过添加晶体氨基酸来调整试验饲料中的赖氨酸含量</w:t>
      </w:r>
      <w:r>
        <w:rPr>
          <w:rFonts w:hint="eastAsia" w:ascii="宋体" w:hAnsi="宋体"/>
          <w:sz w:val="24"/>
          <w14:ligatures w14:val="standardContextual"/>
        </w:rPr>
        <w:t>,</w:t>
      </w:r>
      <w:r>
        <w:rPr>
          <w:rFonts w:hint="eastAsia"/>
          <w:sz w:val="24"/>
          <w14:ligatures w14:val="standardContextual"/>
        </w:rPr>
        <w:t>以确保基本的一致性</w:t>
      </w:r>
      <w:r>
        <w:rPr>
          <w:rFonts w:hint="eastAsia" w:ascii="宋体" w:hAnsi="宋体"/>
          <w:sz w:val="24"/>
          <w14:ligatures w14:val="standardContextual"/>
        </w:rPr>
        <w:t>。</w:t>
      </w:r>
      <w:r>
        <w:rPr>
          <w:rFonts w:hint="eastAsia"/>
          <w:sz w:val="24"/>
          <w14:ligatures w14:val="standardContextual"/>
        </w:rPr>
        <w:t>试验饲料组成及营养水平见表</w:t>
      </w:r>
      <w:r>
        <w:rPr>
          <w:sz w:val="24"/>
          <w14:ligatures w14:val="standardContextual"/>
        </w:rPr>
        <w:t>2</w:t>
      </w:r>
      <w:r>
        <w:rPr>
          <w:rFonts w:hint="eastAsia" w:ascii="宋体" w:hAnsi="宋体"/>
          <w:sz w:val="24"/>
          <w14:ligatures w14:val="standardContextual"/>
        </w:rPr>
        <w:t>。</w:t>
      </w:r>
    </w:p>
    <w:p w14:paraId="20D6A0CD">
      <w:pPr>
        <w:spacing w:line="360" w:lineRule="auto"/>
        <w:jc w:val="center"/>
        <w:rPr>
          <w:rFonts w:ascii="宋体" w:hAnsi="宋体"/>
          <w:sz w:val="24"/>
          <w14:ligatures w14:val="standardContextual"/>
        </w:rPr>
      </w:pPr>
      <w:r>
        <w:rPr>
          <w:color w:val="FF0000"/>
          <w:sz w:val="24"/>
          <w14:ligatures w14:val="standardContextual"/>
        </w:rPr>
        <w:drawing>
          <wp:inline distT="0" distB="0" distL="0" distR="0">
            <wp:extent cx="3454400" cy="3567430"/>
            <wp:effectExtent l="0" t="0" r="0" b="0"/>
            <wp:docPr id="1363789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89704"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83318" cy="3597392"/>
                    </a:xfrm>
                    <a:prstGeom prst="rect">
                      <a:avLst/>
                    </a:prstGeom>
                  </pic:spPr>
                </pic:pic>
              </a:graphicData>
            </a:graphic>
          </wp:inline>
        </w:drawing>
      </w:r>
      <w:r>
        <w:rPr>
          <w:color w:val="FF0000"/>
          <w:sz w:val="24"/>
          <w14:ligatures w14:val="standardContextual"/>
        </w:rPr>
        <w:drawing>
          <wp:inline distT="0" distB="0" distL="0" distR="0">
            <wp:extent cx="3479800" cy="1269365"/>
            <wp:effectExtent l="0" t="0" r="6350" b="6985"/>
            <wp:docPr id="11318944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4479" name="图片 2"/>
                    <pic:cNvPicPr>
                      <a:picLocks noChangeAspect="1"/>
                    </pic:cNvPicPr>
                  </pic:nvPicPr>
                  <pic:blipFill>
                    <a:blip r:embed="rId42" cstate="print">
                      <a:extLst>
                        <a:ext uri="{28A0092B-C50C-407E-A947-70E740481C1C}">
                          <a14:useLocalDpi xmlns:a14="http://schemas.microsoft.com/office/drawing/2010/main" val="0"/>
                        </a:ext>
                      </a:extLst>
                    </a:blip>
                    <a:srcRect t="44124" r="1563"/>
                    <a:stretch>
                      <a:fillRect/>
                    </a:stretch>
                  </pic:blipFill>
                  <pic:spPr>
                    <a:xfrm>
                      <a:off x="0" y="0"/>
                      <a:ext cx="3540349" cy="1291890"/>
                    </a:xfrm>
                    <a:prstGeom prst="rect">
                      <a:avLst/>
                    </a:prstGeom>
                    <a:ln>
                      <a:noFill/>
                    </a:ln>
                  </pic:spPr>
                </pic:pic>
              </a:graphicData>
            </a:graphic>
          </wp:inline>
        </w:drawing>
      </w:r>
    </w:p>
    <w:p w14:paraId="6C1E4E5F">
      <w:pPr>
        <w:spacing w:line="360" w:lineRule="auto"/>
        <w:rPr>
          <w:sz w:val="24"/>
          <w14:ligatures w14:val="standardContextual"/>
        </w:rPr>
      </w:pPr>
      <w:r>
        <w:rPr>
          <w:sz w:val="24"/>
          <w14:ligatures w14:val="standardContextual"/>
        </w:rPr>
        <w:t>1.3</w:t>
      </w:r>
      <w:r>
        <w:rPr>
          <w:rFonts w:hint="eastAsia"/>
          <w:sz w:val="24"/>
          <w14:ligatures w14:val="standardContextual"/>
        </w:rPr>
        <w:t xml:space="preserve">  饲养管理</w:t>
      </w:r>
    </w:p>
    <w:p w14:paraId="5C1341AF">
      <w:pPr>
        <w:spacing w:line="360" w:lineRule="auto"/>
        <w:ind w:firstLine="480" w:firstLineChars="200"/>
        <w:rPr>
          <w:rFonts w:ascii="宋体" w:hAnsi="宋体"/>
          <w:sz w:val="24"/>
          <w14:ligatures w14:val="standardContextual"/>
        </w:rPr>
      </w:pPr>
      <w:r>
        <w:rPr>
          <w:rFonts w:hint="eastAsia"/>
          <w:sz w:val="24"/>
          <w14:ligatures w14:val="standardContextual"/>
        </w:rPr>
        <w:t>养殖试验在新希望六和饲料研究院成都水产研发示范基地顺江渔场进行</w:t>
      </w:r>
      <w:r>
        <w:rPr>
          <w:rFonts w:hint="eastAsia" w:ascii="宋体" w:hAnsi="宋体"/>
          <w:sz w:val="24"/>
          <w14:ligatures w14:val="standardContextual"/>
        </w:rPr>
        <w:t>。</w:t>
      </w:r>
      <w:r>
        <w:rPr>
          <w:rFonts w:hint="eastAsia"/>
          <w:sz w:val="24"/>
          <w14:ligatures w14:val="standardContextual"/>
        </w:rPr>
        <w:t>选取大小均匀</w:t>
      </w:r>
      <w:r>
        <w:rPr>
          <w:rFonts w:hint="eastAsia" w:ascii="宋体" w:hAnsi="宋体" w:cs="微软雅黑"/>
          <w:sz w:val="24"/>
          <w14:ligatures w14:val="standardContextual"/>
        </w:rPr>
        <w:t>、</w:t>
      </w:r>
      <w:r>
        <w:rPr>
          <w:rFonts w:hint="eastAsia"/>
          <w:sz w:val="24"/>
          <w14:ligatures w14:val="standardContextual"/>
        </w:rPr>
        <w:t>体格健壮</w:t>
      </w:r>
      <w:r>
        <w:rPr>
          <w:rFonts w:hint="eastAsia" w:ascii="宋体" w:hAnsi="宋体" w:cs="微软雅黑"/>
          <w:sz w:val="24"/>
          <w14:ligatures w14:val="standardContextual"/>
        </w:rPr>
        <w:t>、</w:t>
      </w:r>
      <w:r>
        <w:rPr>
          <w:rFonts w:hint="eastAsia"/>
          <w:sz w:val="24"/>
          <w14:ligatures w14:val="standardContextual"/>
        </w:rPr>
        <w:t>活力好的鲤鱼幼鱼[初始平均体重为</w:t>
      </w:r>
      <w:r>
        <w:rPr>
          <w:sz w:val="24"/>
          <w14:ligatures w14:val="standardContextual"/>
        </w:rPr>
        <w:t>(99.97±1.33)</w:t>
      </w:r>
      <w:r>
        <w:rPr>
          <w:rFonts w:hint="eastAsia"/>
          <w:sz w:val="24"/>
          <w14:ligatures w14:val="standardContextual"/>
        </w:rPr>
        <w:t xml:space="preserve"> </w:t>
      </w:r>
      <w:r>
        <w:rPr>
          <w:sz w:val="24"/>
          <w14:ligatures w14:val="standardContextual"/>
        </w:rPr>
        <w:t>g</w:t>
      </w:r>
      <w:r>
        <w:rPr>
          <w:rFonts w:hint="eastAsia"/>
          <w:sz w:val="24"/>
          <w14:ligatures w14:val="standardContextual"/>
        </w:rPr>
        <w:t>]共计</w:t>
      </w:r>
      <w:r>
        <w:rPr>
          <w:sz w:val="24"/>
          <w14:ligatures w14:val="standardContextual"/>
        </w:rPr>
        <w:t>2450</w:t>
      </w:r>
      <w:r>
        <w:rPr>
          <w:rFonts w:hint="eastAsia"/>
          <w:sz w:val="24"/>
          <w14:ligatures w14:val="standardContextual"/>
        </w:rPr>
        <w:t>尾</w:t>
      </w:r>
      <w:r>
        <w:rPr>
          <w:rFonts w:hint="eastAsia" w:ascii="宋体" w:hAnsi="宋体"/>
          <w:sz w:val="24"/>
          <w14:ligatures w14:val="standardContextual"/>
        </w:rPr>
        <w:t>,</w:t>
      </w:r>
      <w:r>
        <w:rPr>
          <w:rFonts w:hint="eastAsia"/>
          <w:sz w:val="24"/>
          <w14:ligatures w14:val="standardContextual"/>
        </w:rPr>
        <w:t>随机分成</w:t>
      </w:r>
      <w:r>
        <w:rPr>
          <w:sz w:val="24"/>
          <w14:ligatures w14:val="standardContextual"/>
        </w:rPr>
        <w:t>5</w:t>
      </w:r>
      <w:r>
        <w:rPr>
          <w:rFonts w:hint="eastAsia"/>
          <w:sz w:val="24"/>
          <w14:ligatures w14:val="standardContextual"/>
        </w:rPr>
        <w:t>个组</w:t>
      </w:r>
      <w:r>
        <w:rPr>
          <w:rFonts w:hint="eastAsia" w:ascii="宋体" w:hAnsi="宋体"/>
          <w:sz w:val="24"/>
          <w14:ligatures w14:val="standardContextual"/>
        </w:rPr>
        <w:t>,</w:t>
      </w:r>
      <w:r>
        <w:rPr>
          <w:rFonts w:hint="eastAsia"/>
          <w:sz w:val="24"/>
          <w14:ligatures w14:val="standardContextual"/>
        </w:rPr>
        <w:t>每个组设有</w:t>
      </w:r>
      <w:r>
        <w:rPr>
          <w:sz w:val="24"/>
          <w14:ligatures w14:val="standardContextual"/>
        </w:rPr>
        <w:t>7</w:t>
      </w:r>
      <w:r>
        <w:rPr>
          <w:rFonts w:hint="eastAsia"/>
          <w:sz w:val="24"/>
          <w14:ligatures w14:val="standardContextual"/>
        </w:rPr>
        <w:t>个网箱</w:t>
      </w:r>
      <w:r>
        <w:rPr>
          <w:sz w:val="24"/>
          <w14:ligatures w14:val="standardContextual"/>
        </w:rPr>
        <w:t>(</w:t>
      </w:r>
      <w:r>
        <w:rPr>
          <w:rFonts w:hint="eastAsia"/>
          <w:sz w:val="24"/>
          <w14:ligatures w14:val="standardContextual"/>
        </w:rPr>
        <w:t>每个网箱</w:t>
      </w:r>
      <w:r>
        <w:rPr>
          <w:sz w:val="24"/>
          <w14:ligatures w14:val="standardContextual"/>
        </w:rPr>
        <w:t>70</w:t>
      </w:r>
      <w:r>
        <w:rPr>
          <w:rFonts w:hint="eastAsia"/>
          <w:sz w:val="24"/>
          <w14:ligatures w14:val="standardContextual"/>
        </w:rPr>
        <w:t>尾鱼</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网箱尺寸为</w:t>
      </w:r>
      <w:r>
        <w:rPr>
          <w:sz w:val="24"/>
          <w14:ligatures w14:val="standardContextual"/>
        </w:rPr>
        <w:t>2.0</w:t>
      </w:r>
      <w:r>
        <w:rPr>
          <w:rFonts w:hint="eastAsia"/>
          <w:sz w:val="24"/>
          <w14:ligatures w14:val="standardContextual"/>
        </w:rPr>
        <w:t xml:space="preserve"> </w:t>
      </w:r>
      <w:r>
        <w:rPr>
          <w:sz w:val="24"/>
          <w14:ligatures w14:val="standardContextual"/>
        </w:rPr>
        <w:t>m×2.0</w:t>
      </w:r>
      <w:r>
        <w:rPr>
          <w:rFonts w:hint="eastAsia"/>
          <w:sz w:val="24"/>
          <w14:ligatures w14:val="standardContextual"/>
        </w:rPr>
        <w:t xml:space="preserve"> </w:t>
      </w:r>
      <w:r>
        <w:rPr>
          <w:sz w:val="24"/>
          <w14:ligatures w14:val="standardContextual"/>
        </w:rPr>
        <w:t>m×1.5</w:t>
      </w:r>
      <w:r>
        <w:rPr>
          <w:rFonts w:hint="eastAsia"/>
          <w:sz w:val="24"/>
          <w14:ligatures w14:val="standardContextual"/>
        </w:rPr>
        <w:t xml:space="preserve"> </w:t>
      </w:r>
      <w:r>
        <w:rPr>
          <w:sz w:val="24"/>
          <w14:ligatures w14:val="standardContextual"/>
        </w:rPr>
        <w:t>m</w:t>
      </w:r>
      <w:r>
        <w:rPr>
          <w:rFonts w:hint="eastAsia" w:ascii="宋体" w:hAnsi="宋体"/>
          <w:sz w:val="24"/>
          <w14:ligatures w14:val="standardContextual"/>
        </w:rPr>
        <w:t>,</w:t>
      </w:r>
      <w:r>
        <w:rPr>
          <w:rFonts w:hint="eastAsia"/>
          <w:sz w:val="24"/>
          <w14:ligatures w14:val="standardContextual"/>
        </w:rPr>
        <w:t>将</w:t>
      </w:r>
      <w:r>
        <w:rPr>
          <w:sz w:val="24"/>
          <w14:ligatures w14:val="standardContextual"/>
        </w:rPr>
        <w:t>5</w:t>
      </w:r>
      <w:r>
        <w:rPr>
          <w:rFonts w:hint="eastAsia"/>
          <w:sz w:val="24"/>
          <w14:ligatures w14:val="standardContextual"/>
        </w:rPr>
        <w:t>种不同饲料分别喂给试验鲤鱼</w:t>
      </w:r>
      <w:r>
        <w:rPr>
          <w:rFonts w:hint="eastAsia" w:ascii="宋体" w:hAnsi="宋体"/>
          <w:sz w:val="24"/>
          <w14:ligatures w14:val="standardContextual"/>
        </w:rPr>
        <w:t>。</w:t>
      </w:r>
      <w:r>
        <w:rPr>
          <w:rFonts w:hint="eastAsia"/>
          <w:sz w:val="24"/>
          <w14:ligatures w14:val="standardContextual"/>
        </w:rPr>
        <w:t>试验周期为</w:t>
      </w:r>
      <w:r>
        <w:rPr>
          <w:sz w:val="24"/>
          <w14:ligatures w14:val="standardContextual"/>
        </w:rPr>
        <w:t>56</w:t>
      </w:r>
      <w:r>
        <w:rPr>
          <w:rFonts w:hint="eastAsia"/>
          <w:sz w:val="24"/>
          <w14:ligatures w14:val="standardContextual"/>
        </w:rPr>
        <w:t xml:space="preserve"> </w:t>
      </w:r>
      <w:r>
        <w:rPr>
          <w:sz w:val="24"/>
          <w14:ligatures w14:val="standardContextual"/>
        </w:rPr>
        <w:t>d</w:t>
      </w:r>
      <w:r>
        <w:rPr>
          <w:rFonts w:hint="eastAsia" w:ascii="宋体" w:hAnsi="宋体"/>
          <w:sz w:val="24"/>
          <w14:ligatures w14:val="standardContextual"/>
        </w:rPr>
        <w:t>,</w:t>
      </w:r>
      <w:r>
        <w:rPr>
          <w:rFonts w:hint="eastAsia"/>
          <w:sz w:val="24"/>
          <w14:ligatures w14:val="standardContextual"/>
        </w:rPr>
        <w:t>每天进行</w:t>
      </w:r>
      <w:r>
        <w:rPr>
          <w:sz w:val="24"/>
          <w14:ligatures w14:val="standardContextual"/>
        </w:rPr>
        <w:t>4</w:t>
      </w:r>
      <w:r>
        <w:rPr>
          <w:rFonts w:hint="eastAsia"/>
          <w:sz w:val="24"/>
          <w14:ligatures w14:val="standardContextual"/>
        </w:rPr>
        <w:t>次</w:t>
      </w:r>
      <w:r>
        <w:rPr>
          <w:sz w:val="24"/>
          <w14:ligatures w14:val="standardContextual"/>
        </w:rPr>
        <w:t>(06:00</w:t>
      </w:r>
      <w:r>
        <w:rPr>
          <w:rFonts w:hint="eastAsia" w:ascii="宋体" w:hAnsi="宋体" w:cs="微软雅黑"/>
          <w:sz w:val="24"/>
          <w14:ligatures w14:val="standardContextual"/>
        </w:rPr>
        <w:t>、</w:t>
      </w:r>
      <w:r>
        <w:rPr>
          <w:sz w:val="24"/>
          <w14:ligatures w14:val="standardContextual"/>
        </w:rPr>
        <w:t>10:00</w:t>
      </w:r>
      <w:r>
        <w:rPr>
          <w:rFonts w:hint="eastAsia" w:ascii="宋体" w:hAnsi="宋体" w:cs="微软雅黑"/>
          <w:sz w:val="24"/>
          <w14:ligatures w14:val="standardContextual"/>
        </w:rPr>
        <w:t>、</w:t>
      </w:r>
      <w:r>
        <w:rPr>
          <w:sz w:val="24"/>
          <w14:ligatures w14:val="standardContextual"/>
        </w:rPr>
        <w:t>14:00</w:t>
      </w:r>
      <w:r>
        <w:rPr>
          <w:rFonts w:hint="eastAsia" w:ascii="宋体" w:hAnsi="宋体" w:cs="微软雅黑"/>
          <w:sz w:val="24"/>
          <w14:ligatures w14:val="standardContextual"/>
        </w:rPr>
        <w:t>、</w:t>
      </w:r>
      <w:r>
        <w:rPr>
          <w:sz w:val="24"/>
          <w14:ligatures w14:val="standardContextual"/>
        </w:rPr>
        <w:t>18:00)</w:t>
      </w:r>
      <w:r>
        <w:rPr>
          <w:rFonts w:hint="eastAsia"/>
          <w:sz w:val="24"/>
          <w14:ligatures w14:val="standardContextual"/>
        </w:rPr>
        <w:t>投料</w:t>
      </w:r>
      <w:r>
        <w:rPr>
          <w:rFonts w:hint="eastAsia" w:ascii="宋体" w:hAnsi="宋体"/>
          <w:sz w:val="24"/>
          <w14:ligatures w14:val="standardContextual"/>
        </w:rPr>
        <w:t>,</w:t>
      </w:r>
      <w:r>
        <w:rPr>
          <w:rFonts w:hint="eastAsia"/>
          <w:sz w:val="24"/>
          <w14:ligatures w14:val="standardContextual"/>
        </w:rPr>
        <w:t>投喂量为鱼体重的</w:t>
      </w:r>
      <w:r>
        <w:rPr>
          <w:sz w:val="24"/>
          <w14:ligatures w14:val="standardContextual"/>
        </w:rPr>
        <w:t>1</w:t>
      </w:r>
      <w:r>
        <w:rPr>
          <w:rFonts w:hint="eastAsia"/>
          <w:sz w:val="24"/>
          <w14:ligatures w14:val="standardContextual"/>
        </w:rPr>
        <w:t xml:space="preserve"> </w:t>
      </w:r>
      <w:r>
        <w:rPr>
          <w:sz w:val="24"/>
          <w14:ligatures w14:val="standardContextual"/>
        </w:rPr>
        <w:t>%~3</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同时</w:t>
      </w:r>
      <w:r>
        <w:rPr>
          <w:rFonts w:ascii="宋体" w:hAnsi="宋体"/>
          <w:sz w:val="24"/>
          <w14:ligatures w14:val="standardContextual"/>
        </w:rPr>
        <w:t>,</w:t>
      </w:r>
      <w:r>
        <w:rPr>
          <w:rFonts w:hint="eastAsia"/>
          <w:sz w:val="24"/>
          <w14:ligatures w14:val="standardContextual"/>
        </w:rPr>
        <w:t>根据天气和鲤鱼的摄食情况</w:t>
      </w:r>
      <w:r>
        <w:rPr>
          <w:rFonts w:hint="eastAsia" w:ascii="宋体" w:hAnsi="宋体"/>
          <w:sz w:val="24"/>
          <w14:ligatures w14:val="standardContextual"/>
        </w:rPr>
        <w:t>,</w:t>
      </w:r>
      <w:r>
        <w:rPr>
          <w:rFonts w:hint="eastAsia"/>
          <w:sz w:val="24"/>
          <w14:ligatures w14:val="standardContextual"/>
        </w:rPr>
        <w:t>适时调整饲料投喂量</w:t>
      </w:r>
      <w:r>
        <w:rPr>
          <w:rFonts w:hint="eastAsia" w:ascii="宋体" w:hAnsi="宋体"/>
          <w:sz w:val="24"/>
          <w14:ligatures w14:val="standardContextual"/>
        </w:rPr>
        <w:t>,</w:t>
      </w:r>
      <w:r>
        <w:rPr>
          <w:rFonts w:hint="eastAsia"/>
          <w:sz w:val="24"/>
          <w14:ligatures w14:val="standardContextual"/>
        </w:rPr>
        <w:t>并记录饲养期间的投喂量及鲤鱼的死亡情况</w:t>
      </w:r>
      <w:r>
        <w:rPr>
          <w:rFonts w:hint="eastAsia" w:ascii="宋体" w:hAnsi="宋体"/>
          <w:sz w:val="24"/>
          <w14:ligatures w14:val="standardContextual"/>
        </w:rPr>
        <w:t>。</w:t>
      </w:r>
      <w:r>
        <w:rPr>
          <w:rFonts w:hint="eastAsia"/>
          <w:sz w:val="24"/>
          <w14:ligatures w14:val="standardContextual"/>
        </w:rPr>
        <w:t>每隔</w:t>
      </w:r>
      <w:r>
        <w:rPr>
          <w:sz w:val="24"/>
          <w14:ligatures w14:val="standardContextual"/>
        </w:rPr>
        <w:t>1</w:t>
      </w:r>
      <w:r>
        <w:rPr>
          <w:rFonts w:hint="eastAsia"/>
          <w:sz w:val="24"/>
          <w14:ligatures w14:val="standardContextual"/>
        </w:rPr>
        <w:t>周</w:t>
      </w:r>
      <w:r>
        <w:rPr>
          <w:rFonts w:hint="eastAsia" w:ascii="宋体" w:hAnsi="宋体"/>
          <w:sz w:val="24"/>
          <w14:ligatures w14:val="standardContextual"/>
        </w:rPr>
        <w:t>,</w:t>
      </w:r>
      <w:r>
        <w:rPr>
          <w:rFonts w:hint="eastAsia"/>
          <w:sz w:val="24"/>
          <w14:ligatures w14:val="standardContextual"/>
        </w:rPr>
        <w:t>投入的饲料数量增加</w:t>
      </w:r>
      <w:r>
        <w:rPr>
          <w:sz w:val="24"/>
          <w14:ligatures w14:val="standardContextual"/>
        </w:rPr>
        <w:t>10</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为确保鱼池中的溶解氧浓度不低于</w:t>
      </w:r>
      <w:r>
        <w:rPr>
          <w:sz w:val="24"/>
          <w14:ligatures w14:val="standardContextual"/>
        </w:rPr>
        <w:t>5</w:t>
      </w:r>
      <w:r>
        <w:rPr>
          <w:rFonts w:hint="eastAsia"/>
          <w:sz w:val="24"/>
          <w14:ligatures w14:val="standardContextual"/>
        </w:rPr>
        <w:t xml:space="preserve"> </w:t>
      </w:r>
      <w:r>
        <w:rPr>
          <w:sz w:val="24"/>
          <w14:ligatures w14:val="standardContextual"/>
        </w:rPr>
        <w:t>mg/L</w:t>
      </w:r>
      <w:r>
        <w:rPr>
          <w:rFonts w:hint="eastAsia" w:ascii="宋体" w:hAnsi="宋体"/>
          <w:sz w:val="24"/>
          <w14:ligatures w14:val="standardContextual"/>
        </w:rPr>
        <w:t>,</w:t>
      </w:r>
      <w:r>
        <w:rPr>
          <w:rFonts w:hint="eastAsia"/>
          <w:sz w:val="24"/>
          <w14:ligatures w14:val="standardContextual"/>
        </w:rPr>
        <w:t>在网箱水池内设置了充氧设施</w:t>
      </w:r>
      <w:r>
        <w:rPr>
          <w:rFonts w:hint="eastAsia" w:ascii="宋体" w:hAnsi="宋体"/>
          <w:sz w:val="24"/>
          <w14:ligatures w14:val="standardContextual"/>
        </w:rPr>
        <w:t>,</w:t>
      </w:r>
      <w:r>
        <w:rPr>
          <w:rFonts w:hint="eastAsia"/>
          <w:sz w:val="24"/>
          <w14:ligatures w14:val="standardContextual"/>
        </w:rPr>
        <w:t>并定期启动</w:t>
      </w:r>
      <w:r>
        <w:rPr>
          <w:rFonts w:hint="eastAsia" w:ascii="宋体" w:hAnsi="宋体"/>
          <w:sz w:val="24"/>
          <w14:ligatures w14:val="standardContextual"/>
        </w:rPr>
        <w:t>。</w:t>
      </w:r>
      <w:r>
        <w:rPr>
          <w:rFonts w:hint="eastAsia"/>
          <w:sz w:val="24"/>
          <w14:ligatures w14:val="standardContextual"/>
        </w:rPr>
        <w:t>水温保持在</w:t>
      </w:r>
      <w:r>
        <w:rPr>
          <w:sz w:val="24"/>
          <w14:ligatures w14:val="standardContextual"/>
        </w:rPr>
        <w:t>27~32</w:t>
      </w:r>
      <w:r>
        <w:rPr>
          <w:rFonts w:hint="eastAsia"/>
          <w:sz w:val="24"/>
          <w14:ligatures w14:val="standardContextual"/>
        </w:rPr>
        <w:t xml:space="preserve"> ℃</w:t>
      </w:r>
      <w:r>
        <w:rPr>
          <w:rFonts w:ascii="宋体" w:hAnsi="宋体"/>
          <w:sz w:val="24"/>
          <w14:ligatures w14:val="standardContextual"/>
        </w:rPr>
        <w:t>,</w:t>
      </w:r>
      <w:r>
        <w:rPr>
          <w:sz w:val="24"/>
          <w14:ligatures w14:val="standardContextual"/>
        </w:rPr>
        <w:t>pH</w:t>
      </w:r>
      <w:r>
        <w:rPr>
          <w:rFonts w:hint="eastAsia"/>
          <w:sz w:val="24"/>
          <w14:ligatures w14:val="standardContextual"/>
        </w:rPr>
        <w:t>保持在</w:t>
      </w:r>
      <w:r>
        <w:rPr>
          <w:sz w:val="24"/>
          <w14:ligatures w14:val="standardContextual"/>
        </w:rPr>
        <w:t>7.5~8.5</w:t>
      </w:r>
      <w:r>
        <w:rPr>
          <w:rFonts w:hint="eastAsia" w:ascii="宋体" w:hAnsi="宋体"/>
          <w:sz w:val="24"/>
          <w14:ligatures w14:val="standardContextual"/>
        </w:rPr>
        <w:t>,</w:t>
      </w:r>
      <w:r>
        <w:rPr>
          <w:rFonts w:hint="eastAsia"/>
          <w:sz w:val="24"/>
          <w14:ligatures w14:val="standardContextual"/>
        </w:rPr>
        <w:t>氨氮浓度不超过</w:t>
      </w:r>
      <w:r>
        <w:rPr>
          <w:sz w:val="24"/>
          <w14:ligatures w14:val="standardContextual"/>
        </w:rPr>
        <w:t>1.0</w:t>
      </w:r>
      <w:r>
        <w:rPr>
          <w:rFonts w:hint="eastAsia"/>
          <w:sz w:val="24"/>
          <w14:ligatures w14:val="standardContextual"/>
        </w:rPr>
        <w:t xml:space="preserve"> </w:t>
      </w:r>
      <w:r>
        <w:rPr>
          <w:sz w:val="24"/>
          <w14:ligatures w14:val="standardContextual"/>
        </w:rPr>
        <w:t>mg/L</w:t>
      </w:r>
      <w:r>
        <w:rPr>
          <w:rFonts w:hint="eastAsia" w:ascii="宋体" w:hAnsi="宋体"/>
          <w:sz w:val="24"/>
          <w14:ligatures w14:val="standardContextual"/>
        </w:rPr>
        <w:t>,</w:t>
      </w:r>
      <w:r>
        <w:rPr>
          <w:rFonts w:hint="eastAsia"/>
          <w:sz w:val="24"/>
          <w14:ligatures w14:val="standardContextual"/>
        </w:rPr>
        <w:t>亚硝酸盐浓度不超过</w:t>
      </w:r>
      <w:r>
        <w:rPr>
          <w:sz w:val="24"/>
          <w14:ligatures w14:val="standardContextual"/>
        </w:rPr>
        <w:t>0.05</w:t>
      </w:r>
      <w:r>
        <w:rPr>
          <w:rFonts w:hint="eastAsia"/>
          <w:sz w:val="24"/>
          <w14:ligatures w14:val="standardContextual"/>
        </w:rPr>
        <w:t xml:space="preserve"> </w:t>
      </w:r>
      <w:r>
        <w:rPr>
          <w:sz w:val="24"/>
          <w14:ligatures w14:val="standardContextual"/>
        </w:rPr>
        <w:t>mg/L</w:t>
      </w:r>
      <w:r>
        <w:rPr>
          <w:rFonts w:hint="eastAsia" w:ascii="宋体" w:hAnsi="宋体"/>
          <w:sz w:val="24"/>
          <w14:ligatures w14:val="standardContextual"/>
        </w:rPr>
        <w:t>。</w:t>
      </w:r>
    </w:p>
    <w:p w14:paraId="0003434A">
      <w:pPr>
        <w:spacing w:line="360" w:lineRule="auto"/>
        <w:jc w:val="center"/>
        <w:rPr>
          <w:rFonts w:ascii="宋体" w:hAnsi="宋体"/>
          <w:sz w:val="24"/>
          <w14:ligatures w14:val="standardContextual"/>
        </w:rPr>
      </w:pPr>
      <w:r>
        <w:rPr>
          <w:color w:val="FF0000"/>
          <w:sz w:val="24"/>
          <w14:ligatures w14:val="standardContextual"/>
        </w:rPr>
        <w:drawing>
          <wp:inline distT="0" distB="0" distL="0" distR="0">
            <wp:extent cx="5909945" cy="5612130"/>
            <wp:effectExtent l="0" t="0" r="0" b="7620"/>
            <wp:docPr id="4362206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20614" name="图片 4"/>
                    <pic:cNvPicPr>
                      <a:picLocks noChangeAspect="1"/>
                    </pic:cNvPicPr>
                  </pic:nvPicPr>
                  <pic:blipFill>
                    <a:blip r:embed="rId43">
                      <a:extLst>
                        <a:ext uri="{28A0092B-C50C-407E-A947-70E740481C1C}">
                          <a14:useLocalDpi xmlns:a14="http://schemas.microsoft.com/office/drawing/2010/main" val="0"/>
                        </a:ext>
                      </a:extLst>
                    </a:blip>
                    <a:srcRect t="-1" b="970"/>
                    <a:stretch>
                      <a:fillRect/>
                    </a:stretch>
                  </pic:blipFill>
                  <pic:spPr>
                    <a:xfrm>
                      <a:off x="0" y="0"/>
                      <a:ext cx="5921308" cy="5623393"/>
                    </a:xfrm>
                    <a:prstGeom prst="rect">
                      <a:avLst/>
                    </a:prstGeom>
                    <a:ln>
                      <a:noFill/>
                    </a:ln>
                  </pic:spPr>
                </pic:pic>
              </a:graphicData>
            </a:graphic>
          </wp:inline>
        </w:drawing>
      </w:r>
      <w:r>
        <w:rPr>
          <w:rFonts w:hint="eastAsia"/>
          <w:color w:val="FF0000"/>
          <w:sz w:val="24"/>
          <w14:ligatures w14:val="standardContextual"/>
        </w:rPr>
        <w:drawing>
          <wp:inline distT="0" distB="0" distL="0" distR="0">
            <wp:extent cx="5942965" cy="2085340"/>
            <wp:effectExtent l="0" t="0" r="635" b="0"/>
            <wp:docPr id="11822617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1776" name="图片 5"/>
                    <pic:cNvPicPr>
                      <a:picLocks noChangeAspect="1"/>
                    </pic:cNvPicPr>
                  </pic:nvPicPr>
                  <pic:blipFill>
                    <a:blip r:embed="rId44">
                      <a:extLst>
                        <a:ext uri="{28A0092B-C50C-407E-A947-70E740481C1C}">
                          <a14:useLocalDpi xmlns:a14="http://schemas.microsoft.com/office/drawing/2010/main" val="0"/>
                        </a:ext>
                      </a:extLst>
                    </a:blip>
                    <a:srcRect l="1057" t="25654"/>
                    <a:stretch>
                      <a:fillRect/>
                    </a:stretch>
                  </pic:blipFill>
                  <pic:spPr>
                    <a:xfrm>
                      <a:off x="0" y="0"/>
                      <a:ext cx="5968152" cy="2094072"/>
                    </a:xfrm>
                    <a:prstGeom prst="rect">
                      <a:avLst/>
                    </a:prstGeom>
                    <a:ln>
                      <a:noFill/>
                    </a:ln>
                  </pic:spPr>
                </pic:pic>
              </a:graphicData>
            </a:graphic>
          </wp:inline>
        </w:drawing>
      </w:r>
    </w:p>
    <w:p w14:paraId="3FC00842">
      <w:pPr>
        <w:spacing w:line="360" w:lineRule="auto"/>
        <w:rPr>
          <w:sz w:val="24"/>
          <w14:ligatures w14:val="standardContextual"/>
        </w:rPr>
      </w:pPr>
      <w:r>
        <w:rPr>
          <w:sz w:val="24"/>
          <w14:ligatures w14:val="standardContextual"/>
        </w:rPr>
        <w:t>1.4</w:t>
      </w:r>
      <w:r>
        <w:rPr>
          <w:rFonts w:hint="eastAsia"/>
          <w:sz w:val="24"/>
          <w14:ligatures w14:val="standardContextual"/>
        </w:rPr>
        <w:t xml:space="preserve">  样品采集</w:t>
      </w:r>
    </w:p>
    <w:p w14:paraId="60EAFCEF">
      <w:pPr>
        <w:spacing w:line="360" w:lineRule="auto"/>
        <w:ind w:firstLine="480" w:firstLineChars="200"/>
        <w:rPr>
          <w:rFonts w:ascii="宋体" w:hAnsi="宋体"/>
          <w:sz w:val="24"/>
          <w14:ligatures w14:val="standardContextual"/>
        </w:rPr>
      </w:pPr>
      <w:r>
        <w:rPr>
          <w:rFonts w:hint="eastAsia"/>
          <w:sz w:val="24"/>
          <w14:ligatures w14:val="standardContextual"/>
        </w:rPr>
        <w:t>试验结束后进行禁食</w:t>
      </w:r>
      <w:r>
        <w:rPr>
          <w:sz w:val="24"/>
          <w14:ligatures w14:val="standardContextual"/>
        </w:rPr>
        <w:t>24</w:t>
      </w:r>
      <w:r>
        <w:rPr>
          <w:rFonts w:hint="eastAsia"/>
          <w:sz w:val="24"/>
          <w14:ligatures w14:val="standardContextual"/>
        </w:rPr>
        <w:t xml:space="preserve"> </w:t>
      </w:r>
      <w:r>
        <w:rPr>
          <w:sz w:val="24"/>
          <w14:ligatures w14:val="standardContextual"/>
        </w:rPr>
        <w:t>h</w:t>
      </w:r>
      <w:r>
        <w:rPr>
          <w:rFonts w:hint="eastAsia" w:ascii="宋体" w:hAnsi="宋体"/>
          <w:sz w:val="24"/>
          <w14:ligatures w14:val="standardContextual"/>
        </w:rPr>
        <w:t>,</w:t>
      </w:r>
      <w:r>
        <w:rPr>
          <w:rFonts w:hint="eastAsia"/>
          <w:sz w:val="24"/>
          <w14:ligatures w14:val="standardContextual"/>
        </w:rPr>
        <w:t>对每个网箱的鲤鱼进行计数和称量</w:t>
      </w:r>
      <w:r>
        <w:rPr>
          <w:rFonts w:ascii="宋体" w:hAnsi="宋体"/>
          <w:sz w:val="24"/>
          <w14:ligatures w14:val="standardContextual"/>
        </w:rPr>
        <w:t>,</w:t>
      </w:r>
      <w:r>
        <w:rPr>
          <w:rFonts w:hint="eastAsia"/>
          <w:sz w:val="24"/>
          <w14:ligatures w14:val="standardContextual"/>
        </w:rPr>
        <w:t>并计算生长性能指标</w:t>
      </w:r>
      <w:r>
        <w:rPr>
          <w:rFonts w:hint="eastAsia" w:ascii="宋体" w:hAnsi="宋体"/>
          <w:sz w:val="24"/>
          <w14:ligatures w14:val="standardContextual"/>
        </w:rPr>
        <w:t>。</w:t>
      </w:r>
      <w:r>
        <w:rPr>
          <w:rFonts w:hint="eastAsia"/>
          <w:sz w:val="24"/>
          <w14:ligatures w14:val="standardContextual"/>
        </w:rPr>
        <w:t>每个网箱随机取</w:t>
      </w:r>
      <w:r>
        <w:rPr>
          <w:sz w:val="24"/>
          <w14:ligatures w14:val="standardContextual"/>
        </w:rPr>
        <w:t>6</w:t>
      </w:r>
      <w:r>
        <w:rPr>
          <w:rFonts w:hint="eastAsia"/>
          <w:sz w:val="24"/>
          <w14:ligatures w14:val="standardContextual"/>
        </w:rPr>
        <w:t>尾鱼作为全鱼样品</w:t>
      </w:r>
      <w:r>
        <w:rPr>
          <w:rFonts w:hint="eastAsia" w:ascii="宋体" w:hAnsi="宋体"/>
          <w:sz w:val="24"/>
          <w14:ligatures w14:val="standardContextual"/>
        </w:rPr>
        <w:t>,</w:t>
      </w:r>
      <w:r>
        <w:rPr>
          <w:rFonts w:hint="eastAsia"/>
          <w:sz w:val="24"/>
          <w14:ligatures w14:val="standardContextual"/>
        </w:rPr>
        <w:t>用于常规营养成分分析</w:t>
      </w:r>
      <w:r>
        <w:rPr>
          <w:rFonts w:ascii="宋体" w:hAnsi="宋体"/>
          <w:sz w:val="24"/>
          <w14:ligatures w14:val="standardContextual"/>
        </w:rPr>
        <w:t>;</w:t>
      </w:r>
      <w:r>
        <w:rPr>
          <w:rFonts w:hint="eastAsia"/>
          <w:sz w:val="24"/>
          <w14:ligatures w14:val="standardContextual"/>
        </w:rPr>
        <w:t>另外取</w:t>
      </w:r>
      <w:r>
        <w:rPr>
          <w:sz w:val="24"/>
          <w14:ligatures w14:val="standardContextual"/>
        </w:rPr>
        <w:t>6</w:t>
      </w:r>
      <w:r>
        <w:rPr>
          <w:rFonts w:hint="eastAsia"/>
          <w:sz w:val="24"/>
          <w14:ligatures w14:val="standardContextual"/>
        </w:rPr>
        <w:t>尾鱼进行称重并记录</w:t>
      </w:r>
      <w:r>
        <w:rPr>
          <w:rFonts w:hint="eastAsia" w:ascii="宋体" w:hAnsi="宋体"/>
          <w:sz w:val="24"/>
          <w14:ligatures w14:val="standardContextual"/>
        </w:rPr>
        <w:t>,</w:t>
      </w:r>
      <w:r>
        <w:rPr>
          <w:rFonts w:hint="eastAsia"/>
          <w:sz w:val="24"/>
          <w14:ligatures w14:val="standardContextual"/>
        </w:rPr>
        <w:t>用于解剖并计算形态指数</w:t>
      </w:r>
      <w:r>
        <w:rPr>
          <w:rFonts w:ascii="宋体" w:hAnsi="宋体"/>
          <w:sz w:val="24"/>
          <w14:ligatures w14:val="standardContextual"/>
        </w:rPr>
        <w:t>;</w:t>
      </w:r>
      <w:r>
        <w:rPr>
          <w:rFonts w:hint="eastAsia"/>
          <w:sz w:val="24"/>
          <w14:ligatures w14:val="standardContextual"/>
        </w:rPr>
        <w:t>称重后</w:t>
      </w:r>
      <w:r>
        <w:rPr>
          <w:rFonts w:hint="eastAsia" w:ascii="宋体" w:hAnsi="宋体"/>
          <w:sz w:val="24"/>
          <w14:ligatures w14:val="standardContextual"/>
        </w:rPr>
        <w:t>,</w:t>
      </w:r>
      <w:r>
        <w:rPr>
          <w:rFonts w:hint="eastAsia"/>
          <w:sz w:val="24"/>
          <w14:ligatures w14:val="standardContextual"/>
        </w:rPr>
        <w:t>使用</w:t>
      </w:r>
      <w:r>
        <w:rPr>
          <w:sz w:val="24"/>
          <w14:ligatures w14:val="standardContextual"/>
        </w:rPr>
        <w:t>MS-222</w:t>
      </w:r>
      <w:r>
        <w:rPr>
          <w:rFonts w:hint="eastAsia"/>
          <w:sz w:val="24"/>
          <w14:ligatures w14:val="standardContextual"/>
        </w:rPr>
        <w:t>麻醉</w:t>
      </w:r>
      <w:r>
        <w:rPr>
          <w:rFonts w:hint="eastAsia" w:ascii="宋体" w:hAnsi="宋体"/>
          <w:sz w:val="24"/>
          <w14:ligatures w14:val="standardContextual"/>
        </w:rPr>
        <w:t>,</w:t>
      </w:r>
      <w:r>
        <w:rPr>
          <w:rFonts w:hint="eastAsia"/>
          <w:sz w:val="24"/>
          <w14:ligatures w14:val="standardContextual"/>
        </w:rPr>
        <w:t>随后尾部采血</w:t>
      </w:r>
      <w:r>
        <w:rPr>
          <w:rFonts w:hint="eastAsia" w:ascii="宋体" w:hAnsi="宋体"/>
          <w:sz w:val="24"/>
          <w14:ligatures w14:val="standardContextual"/>
        </w:rPr>
        <w:t>,</w:t>
      </w:r>
      <w:r>
        <w:rPr>
          <w:rFonts w:hint="eastAsia"/>
          <w:sz w:val="24"/>
          <w14:ligatures w14:val="standardContextual"/>
        </w:rPr>
        <w:t>分离血清</w:t>
      </w:r>
      <w:r>
        <w:rPr>
          <w:rFonts w:hint="eastAsia" w:ascii="宋体" w:hAnsi="宋体"/>
          <w:sz w:val="24"/>
          <w14:ligatures w14:val="standardContextual"/>
        </w:rPr>
        <w:t>,</w:t>
      </w:r>
      <w:r>
        <w:rPr>
          <w:rFonts w:hint="eastAsia"/>
          <w:sz w:val="24"/>
          <w14:ligatures w14:val="standardContextual"/>
        </w:rPr>
        <w:t>用于血清生化指标的测定</w:t>
      </w:r>
      <w:r>
        <w:rPr>
          <w:rFonts w:ascii="宋体" w:hAnsi="宋体"/>
          <w:sz w:val="24"/>
          <w14:ligatures w14:val="standardContextual"/>
        </w:rPr>
        <w:t>;</w:t>
      </w:r>
      <w:r>
        <w:rPr>
          <w:rFonts w:hint="eastAsia"/>
          <w:sz w:val="24"/>
          <w14:ligatures w14:val="standardContextual"/>
        </w:rPr>
        <w:t>切开腹部</w:t>
      </w:r>
      <w:r>
        <w:rPr>
          <w:rFonts w:hint="eastAsia" w:ascii="宋体" w:hAnsi="宋体"/>
          <w:sz w:val="24"/>
          <w14:ligatures w14:val="standardContextual"/>
        </w:rPr>
        <w:t>,</w:t>
      </w:r>
      <w:r>
        <w:rPr>
          <w:rFonts w:hint="eastAsia"/>
          <w:sz w:val="24"/>
          <w14:ligatures w14:val="standardContextual"/>
        </w:rPr>
        <w:t>采集鲤鱼前肠样本</w:t>
      </w:r>
      <w:r>
        <w:rPr>
          <w:rFonts w:hint="eastAsia" w:ascii="宋体" w:hAnsi="宋体"/>
          <w:sz w:val="24"/>
          <w14:ligatures w14:val="standardContextual"/>
        </w:rPr>
        <w:t>,</w:t>
      </w:r>
      <w:r>
        <w:rPr>
          <w:rFonts w:hint="eastAsia"/>
          <w:sz w:val="24"/>
          <w14:ligatures w14:val="standardContextual"/>
        </w:rPr>
        <w:t>用于肠道消化酶活性</w:t>
      </w:r>
      <w:r>
        <w:rPr>
          <w:rFonts w:hint="eastAsia" w:ascii="宋体" w:hAnsi="宋体" w:cs="微软雅黑"/>
          <w:sz w:val="24"/>
          <w14:ligatures w14:val="standardContextual"/>
        </w:rPr>
        <w:t>、</w:t>
      </w:r>
      <w:r>
        <w:rPr>
          <w:rFonts w:hint="eastAsia"/>
          <w:sz w:val="24"/>
          <w14:ligatures w14:val="standardContextual"/>
        </w:rPr>
        <w:t>抗氧化指标</w:t>
      </w:r>
      <w:r>
        <w:rPr>
          <w:rFonts w:hint="eastAsia" w:ascii="宋体" w:hAnsi="宋体" w:cs="微软雅黑"/>
          <w:sz w:val="24"/>
          <w14:ligatures w14:val="standardContextual"/>
        </w:rPr>
        <w:t>、</w:t>
      </w:r>
      <w:r>
        <w:rPr>
          <w:rFonts w:hint="eastAsia"/>
          <w:sz w:val="24"/>
          <w14:ligatures w14:val="standardContextual"/>
        </w:rPr>
        <w:t>屏障功能相关基因</w:t>
      </w:r>
      <w:r>
        <w:rPr>
          <w:sz w:val="24"/>
          <w14:ligatures w14:val="standardContextual"/>
        </w:rPr>
        <w:t>mRNA</w:t>
      </w:r>
      <w:r>
        <w:rPr>
          <w:rFonts w:hint="eastAsia"/>
          <w:sz w:val="24"/>
          <w14:ligatures w14:val="standardContextual"/>
        </w:rPr>
        <w:t>相对表达量的测定及形态组织切片的制备</w:t>
      </w:r>
      <w:r>
        <w:rPr>
          <w:rFonts w:hint="eastAsia" w:ascii="宋体" w:hAnsi="宋体"/>
          <w:sz w:val="24"/>
          <w14:ligatures w14:val="standardContextual"/>
        </w:rPr>
        <w:t>。</w:t>
      </w:r>
    </w:p>
    <w:p w14:paraId="651085FA">
      <w:pPr>
        <w:spacing w:line="360" w:lineRule="auto"/>
        <w:ind w:firstLine="480" w:firstLineChars="200"/>
        <w:rPr>
          <w:rFonts w:ascii="宋体" w:hAnsi="宋体"/>
          <w:sz w:val="24"/>
          <w14:ligatures w14:val="standardContextual"/>
        </w:rPr>
      </w:pPr>
      <w:r>
        <w:rPr>
          <w:rFonts w:hint="eastAsia"/>
          <w:sz w:val="24"/>
          <w14:ligatures w14:val="standardContextual"/>
        </w:rPr>
        <w:t>血液样本处理步骤如下</w:t>
      </w:r>
      <w:r>
        <w:rPr>
          <w:sz w:val="24"/>
          <w14:ligatures w14:val="standardContextual"/>
        </w:rPr>
        <w:t>:</w:t>
      </w:r>
      <w:r>
        <w:rPr>
          <w:rFonts w:hint="eastAsia"/>
          <w:sz w:val="24"/>
          <w14:ligatures w14:val="standardContextual"/>
        </w:rPr>
        <w:t>将采集到的血液样本放置于</w:t>
      </w:r>
      <w:r>
        <w:rPr>
          <w:sz w:val="24"/>
          <w14:ligatures w14:val="standardContextual"/>
        </w:rPr>
        <w:t>25</w:t>
      </w:r>
      <w:r>
        <w:rPr>
          <w:rFonts w:hint="eastAsia"/>
          <w:sz w:val="24"/>
          <w14:ligatures w14:val="standardContextual"/>
        </w:rPr>
        <w:t xml:space="preserve"> ℃恒温培养箱中</w:t>
      </w:r>
      <w:r>
        <w:rPr>
          <w:sz w:val="24"/>
          <w14:ligatures w14:val="standardContextual"/>
        </w:rPr>
        <w:t>5</w:t>
      </w:r>
      <w:r>
        <w:rPr>
          <w:rFonts w:hint="eastAsia"/>
          <w:sz w:val="24"/>
          <w14:ligatures w14:val="standardContextual"/>
        </w:rPr>
        <w:t xml:space="preserve"> </w:t>
      </w:r>
      <w:r>
        <w:rPr>
          <w:sz w:val="24"/>
          <w14:ligatures w14:val="standardContextual"/>
        </w:rPr>
        <w:t>h</w:t>
      </w:r>
      <w:r>
        <w:rPr>
          <w:rFonts w:hint="eastAsia" w:ascii="宋体" w:hAnsi="宋体"/>
          <w:sz w:val="24"/>
          <w14:ligatures w14:val="standardContextual"/>
        </w:rPr>
        <w:t>,</w:t>
      </w:r>
      <w:r>
        <w:rPr>
          <w:rFonts w:hint="eastAsia"/>
          <w:sz w:val="24"/>
          <w14:ligatures w14:val="standardContextual"/>
        </w:rPr>
        <w:t>然后放置于4 ℃冰箱中过夜</w:t>
      </w:r>
      <w:r>
        <w:rPr>
          <w:rFonts w:hint="eastAsia" w:ascii="宋体" w:hAnsi="宋体"/>
          <w:sz w:val="24"/>
          <w14:ligatures w14:val="standardContextual"/>
        </w:rPr>
        <w:t>,</w:t>
      </w:r>
      <w:r>
        <w:rPr>
          <w:rFonts w:hint="eastAsia"/>
          <w:sz w:val="24"/>
          <w14:ligatures w14:val="standardContextual"/>
        </w:rPr>
        <w:t>在4 ℃条件下以</w:t>
      </w:r>
      <w:r>
        <w:rPr>
          <w:sz w:val="24"/>
          <w14:ligatures w14:val="standardContextual"/>
        </w:rPr>
        <w:t>17888×</w:t>
      </w:r>
      <w:r>
        <w:rPr>
          <w:rFonts w:hint="eastAsia"/>
          <w:sz w:val="24"/>
          <w14:ligatures w14:val="standardContextual"/>
        </w:rPr>
        <w:t xml:space="preserve"> </w:t>
      </w:r>
      <w:r>
        <w:rPr>
          <w:sz w:val="24"/>
          <w14:ligatures w14:val="standardContextual"/>
        </w:rPr>
        <w:t>g</w:t>
      </w:r>
      <w:r>
        <w:rPr>
          <w:rFonts w:hint="eastAsia"/>
          <w:sz w:val="24"/>
          <w14:ligatures w14:val="standardContextual"/>
        </w:rPr>
        <w:t>离心</w:t>
      </w:r>
      <w:r>
        <w:rPr>
          <w:sz w:val="24"/>
          <w14:ligatures w14:val="standardContextual"/>
        </w:rPr>
        <w:t>10</w:t>
      </w:r>
      <w:r>
        <w:rPr>
          <w:rFonts w:hint="eastAsia"/>
          <w:sz w:val="24"/>
          <w14:ligatures w14:val="standardContextual"/>
        </w:rPr>
        <w:t xml:space="preserve"> </w:t>
      </w:r>
      <w:r>
        <w:rPr>
          <w:sz w:val="24"/>
          <w14:ligatures w14:val="standardContextual"/>
        </w:rPr>
        <w:t>min</w:t>
      </w:r>
      <w:r>
        <w:rPr>
          <w:rFonts w:hint="eastAsia" w:ascii="宋体" w:hAnsi="宋体"/>
          <w:sz w:val="24"/>
          <w14:ligatures w14:val="standardContextual"/>
        </w:rPr>
        <w:t>,</w:t>
      </w:r>
      <w:r>
        <w:rPr>
          <w:rFonts w:hint="eastAsia"/>
          <w:sz w:val="24"/>
          <w14:ligatures w14:val="standardContextual"/>
        </w:rPr>
        <w:t>取出上层血清</w:t>
      </w:r>
      <w:r>
        <w:rPr>
          <w:rFonts w:hint="eastAsia" w:ascii="宋体" w:hAnsi="宋体"/>
          <w:sz w:val="24"/>
          <w14:ligatures w14:val="standardContextual"/>
        </w:rPr>
        <w:t>,</w:t>
      </w:r>
      <w:r>
        <w:rPr>
          <w:rFonts w:hint="eastAsia"/>
          <w:sz w:val="24"/>
          <w14:ligatures w14:val="standardContextual"/>
        </w:rPr>
        <w:t xml:space="preserve">分装后存放于- </w:t>
      </w:r>
      <w:r>
        <w:rPr>
          <w:sz w:val="24"/>
          <w14:ligatures w14:val="standardContextual"/>
        </w:rPr>
        <w:t>80</w:t>
      </w:r>
      <w:r>
        <w:rPr>
          <w:rFonts w:hint="eastAsia"/>
          <w:sz w:val="24"/>
          <w14:ligatures w14:val="standardContextual"/>
        </w:rPr>
        <w:t>℃备用</w:t>
      </w:r>
      <w:r>
        <w:rPr>
          <w:rFonts w:hint="eastAsia" w:ascii="宋体" w:hAnsi="宋体"/>
          <w:sz w:val="24"/>
          <w14:ligatures w14:val="standardContextual"/>
        </w:rPr>
        <w:t>。</w:t>
      </w:r>
    </w:p>
    <w:p w14:paraId="7F2C644C">
      <w:pPr>
        <w:spacing w:line="360" w:lineRule="auto"/>
        <w:ind w:firstLine="480" w:firstLineChars="200"/>
        <w:rPr>
          <w:rFonts w:ascii="宋体" w:hAnsi="宋体"/>
          <w:sz w:val="24"/>
          <w14:ligatures w14:val="standardContextual"/>
        </w:rPr>
      </w:pPr>
      <w:r>
        <w:rPr>
          <w:rFonts w:hint="eastAsia"/>
          <w:sz w:val="24"/>
          <w14:ligatures w14:val="standardContextual"/>
        </w:rPr>
        <w:t>肠道样本处理：无菌取出鲤鱼前肠</w:t>
      </w:r>
      <w:r>
        <w:rPr>
          <w:rFonts w:hint="eastAsia" w:ascii="宋体" w:hAnsi="宋体"/>
          <w:sz w:val="24"/>
          <w14:ligatures w14:val="standardContextual"/>
        </w:rPr>
        <w:t>，</w:t>
      </w:r>
      <w:r>
        <w:rPr>
          <w:rFonts w:hint="eastAsia"/>
          <w:sz w:val="24"/>
          <w14:ligatures w14:val="standardContextual"/>
        </w:rPr>
        <w:t>使用生理盐水冲洗并剔除表面脂肪</w:t>
      </w:r>
      <w:r>
        <w:rPr>
          <w:rFonts w:hint="eastAsia" w:ascii="宋体" w:hAnsi="宋体"/>
          <w:sz w:val="24"/>
          <w14:ligatures w14:val="standardContextual"/>
        </w:rPr>
        <w:t>，</w:t>
      </w:r>
      <w:r>
        <w:rPr>
          <w:rFonts w:hint="eastAsia"/>
          <w:sz w:val="24"/>
          <w14:ligatures w14:val="standardContextual"/>
        </w:rPr>
        <w:t>将肠道等分为</w:t>
      </w:r>
      <w:r>
        <w:rPr>
          <w:sz w:val="24"/>
          <w14:ligatures w14:val="standardContextual"/>
        </w:rPr>
        <w:t>2</w:t>
      </w:r>
      <w:r>
        <w:rPr>
          <w:rFonts w:hint="eastAsia"/>
          <w:sz w:val="24"/>
          <w14:ligatures w14:val="standardContextual"/>
        </w:rPr>
        <w:t>份</w:t>
      </w:r>
      <w:r>
        <w:rPr>
          <w:rFonts w:hint="eastAsia" w:ascii="宋体" w:hAnsi="宋体"/>
          <w:sz w:val="24"/>
          <w14:ligatures w14:val="standardContextual"/>
        </w:rPr>
        <w:t>，</w:t>
      </w:r>
      <w:r>
        <w:rPr>
          <w:rFonts w:hint="eastAsia"/>
          <w:sz w:val="24"/>
          <w14:ligatures w14:val="standardContextual"/>
        </w:rPr>
        <w:t>其中一份装入含有</w:t>
      </w:r>
      <w:r>
        <w:rPr>
          <w:sz w:val="24"/>
          <w14:ligatures w14:val="standardContextual"/>
        </w:rPr>
        <w:t>4</w:t>
      </w:r>
      <w:r>
        <w:rPr>
          <w:rFonts w:hint="eastAsia"/>
          <w:sz w:val="24"/>
          <w14:ligatures w14:val="standardContextual"/>
        </w:rPr>
        <w:t xml:space="preserve"> </w:t>
      </w:r>
      <w:r>
        <w:rPr>
          <w:sz w:val="24"/>
          <w14:ligatures w14:val="standardContextual"/>
        </w:rPr>
        <w:t>%</w:t>
      </w:r>
      <w:r>
        <w:rPr>
          <w:rFonts w:hint="eastAsia"/>
          <w:sz w:val="24"/>
          <w14:ligatures w14:val="standardContextual"/>
        </w:rPr>
        <w:t>中性甲醛固定液的离心管中室温保存</w:t>
      </w:r>
      <w:r>
        <w:rPr>
          <w:rFonts w:hint="eastAsia" w:ascii="宋体" w:hAnsi="宋体"/>
          <w:sz w:val="24"/>
          <w14:ligatures w14:val="standardContextual"/>
        </w:rPr>
        <w:t>，</w:t>
      </w:r>
      <w:r>
        <w:rPr>
          <w:rFonts w:hint="eastAsia"/>
          <w:sz w:val="24"/>
          <w14:ligatures w14:val="standardContextual"/>
        </w:rPr>
        <w:t>用于制备石蜡切片</w:t>
      </w:r>
      <w:r>
        <w:rPr>
          <w:rFonts w:hint="eastAsia" w:ascii="宋体" w:hAnsi="宋体"/>
          <w:sz w:val="24"/>
          <w14:ligatures w14:val="standardContextual"/>
        </w:rPr>
        <w:t>；</w:t>
      </w:r>
      <w:r>
        <w:rPr>
          <w:rFonts w:hint="eastAsia"/>
          <w:sz w:val="24"/>
          <w14:ligatures w14:val="standardContextual"/>
        </w:rPr>
        <w:t>另一份装入无菌</w:t>
      </w:r>
      <w:r>
        <w:rPr>
          <w:sz w:val="24"/>
          <w14:ligatures w14:val="standardContextual"/>
        </w:rPr>
        <w:t>2</w:t>
      </w:r>
      <w:r>
        <w:rPr>
          <w:rFonts w:hint="eastAsia"/>
          <w:sz w:val="24"/>
          <w14:ligatures w14:val="standardContextual"/>
        </w:rPr>
        <w:t xml:space="preserve"> </w:t>
      </w:r>
      <w:r>
        <w:rPr>
          <w:sz w:val="24"/>
          <w14:ligatures w14:val="standardContextual"/>
        </w:rPr>
        <w:t>mL</w:t>
      </w:r>
      <w:r>
        <w:rPr>
          <w:rFonts w:hint="eastAsia"/>
          <w:sz w:val="24"/>
          <w14:ligatures w14:val="standardContextual"/>
        </w:rPr>
        <w:t>样品管中</w:t>
      </w:r>
      <w:r>
        <w:rPr>
          <w:rFonts w:hint="eastAsia" w:ascii="宋体" w:hAnsi="宋体"/>
          <w:sz w:val="24"/>
          <w14:ligatures w14:val="standardContextual"/>
        </w:rPr>
        <w:t>，</w:t>
      </w:r>
      <w:r>
        <w:rPr>
          <w:rFonts w:hint="eastAsia"/>
          <w:sz w:val="24"/>
          <w14:ligatures w14:val="standardContextual"/>
        </w:rPr>
        <w:t>置于液氮中</w:t>
      </w:r>
      <w:r>
        <w:rPr>
          <w:rFonts w:hint="eastAsia" w:ascii="宋体" w:hAnsi="宋体"/>
          <w:sz w:val="24"/>
          <w14:ligatures w14:val="standardContextual"/>
        </w:rPr>
        <w:t>，</w:t>
      </w:r>
      <w:r>
        <w:rPr>
          <w:rFonts w:hint="eastAsia"/>
          <w:sz w:val="24"/>
          <w14:ligatures w14:val="standardContextual"/>
        </w:rPr>
        <w:t xml:space="preserve">然后存放于- </w:t>
      </w:r>
      <w:r>
        <w:rPr>
          <w:sz w:val="24"/>
          <w14:ligatures w14:val="standardContextual"/>
        </w:rPr>
        <w:t>80</w:t>
      </w:r>
      <w:r>
        <w:rPr>
          <w:rFonts w:hint="eastAsia"/>
          <w:sz w:val="24"/>
          <w14:ligatures w14:val="standardContextual"/>
        </w:rPr>
        <w:t>℃</w:t>
      </w:r>
      <w:r>
        <w:rPr>
          <w:rFonts w:hint="eastAsia" w:ascii="宋体" w:hAnsi="宋体"/>
          <w:sz w:val="24"/>
          <w14:ligatures w14:val="standardContextual"/>
        </w:rPr>
        <w:t>，</w:t>
      </w:r>
      <w:r>
        <w:rPr>
          <w:rFonts w:hint="eastAsia"/>
          <w:sz w:val="24"/>
          <w14:ligatures w14:val="standardContextual"/>
        </w:rPr>
        <w:t>用于分析抗氧化指标和消化酶活性</w:t>
      </w:r>
      <w:r>
        <w:rPr>
          <w:rFonts w:hint="eastAsia" w:ascii="宋体" w:hAnsi="宋体"/>
          <w:sz w:val="24"/>
          <w14:ligatures w14:val="standardContextual"/>
        </w:rPr>
        <w:t>。</w:t>
      </w:r>
    </w:p>
    <w:p w14:paraId="3E34ED74">
      <w:pPr>
        <w:spacing w:line="360" w:lineRule="auto"/>
        <w:ind w:firstLine="480" w:firstLineChars="200"/>
        <w:rPr>
          <w:rFonts w:ascii="宋体" w:hAnsi="宋体"/>
          <w:sz w:val="24"/>
          <w14:ligatures w14:val="standardContextual"/>
        </w:rPr>
      </w:pPr>
      <w:r>
        <w:rPr>
          <w:rFonts w:hint="eastAsia"/>
          <w:sz w:val="24"/>
          <w14:ligatures w14:val="standardContextual"/>
        </w:rPr>
        <w:t>全鱼和肌肉样本处理</w:t>
      </w:r>
      <w:r>
        <w:rPr>
          <w:sz w:val="24"/>
          <w14:ligatures w14:val="standardContextual"/>
        </w:rPr>
        <w:t>:</w:t>
      </w:r>
      <w:r>
        <w:rPr>
          <w:rFonts w:hint="eastAsia"/>
          <w:sz w:val="24"/>
          <w14:ligatures w14:val="standardContextual"/>
        </w:rPr>
        <w:t>采集后存放于-</w:t>
      </w:r>
      <w:r>
        <w:rPr>
          <w:sz w:val="24"/>
          <w14:ligatures w14:val="standardContextual"/>
        </w:rPr>
        <w:t>80</w:t>
      </w:r>
      <w:r>
        <w:rPr>
          <w:rFonts w:hint="eastAsia"/>
          <w:sz w:val="24"/>
          <w14:ligatures w14:val="standardContextual"/>
        </w:rPr>
        <w:t xml:space="preserve"> ℃保存</w:t>
      </w:r>
      <w:r>
        <w:rPr>
          <w:rFonts w:hint="eastAsia" w:ascii="宋体" w:hAnsi="宋体"/>
          <w:sz w:val="24"/>
          <w14:ligatures w14:val="standardContextual"/>
        </w:rPr>
        <w:t>,</w:t>
      </w:r>
      <w:r>
        <w:rPr>
          <w:rFonts w:hint="eastAsia"/>
          <w:sz w:val="24"/>
          <w14:ligatures w14:val="standardContextual"/>
        </w:rPr>
        <w:t>测定前将全鱼或肌肉样本切成小段</w:t>
      </w:r>
      <w:r>
        <w:rPr>
          <w:rFonts w:hint="eastAsia" w:ascii="宋体" w:hAnsi="宋体"/>
          <w:sz w:val="24"/>
          <w14:ligatures w14:val="standardContextual"/>
        </w:rPr>
        <w:t>,</w:t>
      </w:r>
      <w:r>
        <w:rPr>
          <w:rFonts w:hint="eastAsia"/>
          <w:sz w:val="24"/>
          <w14:ligatures w14:val="standardContextual"/>
        </w:rPr>
        <w:t>进行冷冻干燥处理</w:t>
      </w:r>
      <w:r>
        <w:rPr>
          <w:sz w:val="24"/>
          <w14:ligatures w14:val="standardContextual"/>
        </w:rPr>
        <w:t>(christalpha1-2LDplus</w:t>
      </w:r>
      <w:r>
        <w:rPr>
          <w:rFonts w:hint="eastAsia" w:ascii="宋体" w:hAnsi="宋体"/>
          <w:sz w:val="24"/>
          <w14:ligatures w14:val="standardContextual"/>
        </w:rPr>
        <w:t>,</w:t>
      </w:r>
      <w:r>
        <w:rPr>
          <w:rFonts w:hint="eastAsia"/>
          <w:sz w:val="24"/>
          <w14:ligatures w14:val="standardContextual"/>
        </w:rPr>
        <w:t>德国</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每个网箱的</w:t>
      </w:r>
      <w:r>
        <w:rPr>
          <w:sz w:val="24"/>
          <w14:ligatures w14:val="standardContextual"/>
        </w:rPr>
        <w:t>6</w:t>
      </w:r>
      <w:r>
        <w:rPr>
          <w:rFonts w:hint="eastAsia"/>
          <w:sz w:val="24"/>
          <w14:ligatures w14:val="standardContextual"/>
        </w:rPr>
        <w:t>尾鱼样本粉碎后充分混匀</w:t>
      </w:r>
      <w:r>
        <w:rPr>
          <w:rFonts w:hint="eastAsia" w:ascii="宋体" w:hAnsi="宋体"/>
          <w:sz w:val="24"/>
          <w14:ligatures w14:val="standardContextual"/>
        </w:rPr>
        <w:t>,</w:t>
      </w:r>
      <w:r>
        <w:rPr>
          <w:rFonts w:hint="eastAsia"/>
          <w:sz w:val="24"/>
          <w14:ligatures w14:val="standardContextual"/>
        </w:rPr>
        <w:t>用于营养成分分析</w:t>
      </w:r>
      <w:r>
        <w:rPr>
          <w:rFonts w:hint="eastAsia" w:ascii="宋体" w:hAnsi="宋体"/>
          <w:sz w:val="24"/>
          <w14:ligatures w14:val="standardContextual"/>
        </w:rPr>
        <w:t>。</w:t>
      </w:r>
    </w:p>
    <w:p w14:paraId="36D68A0E">
      <w:pPr>
        <w:spacing w:line="360" w:lineRule="auto"/>
        <w:rPr>
          <w:sz w:val="24"/>
          <w14:ligatures w14:val="standardContextual"/>
        </w:rPr>
      </w:pPr>
      <w:r>
        <w:rPr>
          <w:sz w:val="24"/>
          <w14:ligatures w14:val="standardContextual"/>
        </w:rPr>
        <w:t>1.5</w:t>
      </w:r>
      <w:r>
        <w:rPr>
          <w:rFonts w:hint="eastAsia"/>
          <w:sz w:val="24"/>
          <w14:ligatures w14:val="standardContextual"/>
        </w:rPr>
        <w:t xml:space="preserve">  测定指标及方法</w:t>
      </w:r>
    </w:p>
    <w:p w14:paraId="5406AA36">
      <w:pPr>
        <w:spacing w:line="360" w:lineRule="auto"/>
        <w:rPr>
          <w:sz w:val="24"/>
          <w14:ligatures w14:val="standardContextual"/>
        </w:rPr>
      </w:pPr>
      <w:r>
        <w:rPr>
          <w:sz w:val="24"/>
          <w14:ligatures w14:val="standardContextual"/>
        </w:rPr>
        <w:t>1.5.1</w:t>
      </w:r>
      <w:r>
        <w:rPr>
          <w:rFonts w:hint="eastAsia"/>
          <w:sz w:val="24"/>
          <w14:ligatures w14:val="standardContextual"/>
        </w:rPr>
        <w:t xml:space="preserve">  生长性能</w:t>
      </w:r>
    </w:p>
    <w:p w14:paraId="03F58351">
      <w:pPr>
        <w:spacing w:line="360" w:lineRule="auto"/>
        <w:ind w:firstLine="480" w:firstLineChars="200"/>
        <w:rPr>
          <w:sz w:val="24"/>
          <w14:ligatures w14:val="standardContextual"/>
        </w:rPr>
      </w:pPr>
      <w:r>
        <w:rPr>
          <w:rFonts w:hint="eastAsia"/>
          <w:sz w:val="24"/>
          <w14:ligatures w14:val="standardContextual"/>
        </w:rPr>
        <w:t>鲤鱼生长性能指标计算公式如下</w:t>
      </w:r>
      <w:r>
        <w:rPr>
          <w:sz w:val="24"/>
          <w14:ligatures w14:val="standardContextual"/>
        </w:rPr>
        <w:t>:</w:t>
      </w:r>
    </w:p>
    <w:p w14:paraId="3B2650AC">
      <w:pPr>
        <w:spacing w:line="360" w:lineRule="auto"/>
        <w:ind w:firstLine="480" w:firstLineChars="200"/>
        <w:rPr>
          <w:sz w:val="24"/>
          <w14:ligatures w14:val="standardContextual"/>
        </w:rPr>
      </w:pPr>
      <w:r>
        <w:rPr>
          <w:rFonts w:hint="eastAsia"/>
          <w:sz w:val="24"/>
          <w14:ligatures w14:val="standardContextual"/>
        </w:rPr>
        <w:t>增重率</w:t>
      </w:r>
      <w:r>
        <w:rPr>
          <w:sz w:val="24"/>
          <w14:ligatures w14:val="standardContextual"/>
        </w:rPr>
        <w:t>(weight</w:t>
      </w:r>
      <w:r>
        <w:rPr>
          <w:rFonts w:hint="eastAsia"/>
          <w:sz w:val="24"/>
          <w14:ligatures w14:val="standardContextual"/>
        </w:rPr>
        <w:t xml:space="preserve"> </w:t>
      </w:r>
      <w:r>
        <w:rPr>
          <w:sz w:val="24"/>
          <w14:ligatures w14:val="standardContextual"/>
        </w:rPr>
        <w:t>gain</w:t>
      </w:r>
      <w:r>
        <w:rPr>
          <w:rFonts w:hint="eastAsia"/>
          <w:sz w:val="24"/>
          <w14:ligatures w14:val="standardContextual"/>
        </w:rPr>
        <w:t xml:space="preserve"> </w:t>
      </w:r>
      <w:r>
        <w:rPr>
          <w:sz w:val="24"/>
          <w14:ligatures w14:val="standardContextual"/>
        </w:rPr>
        <w:t>rate</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WGR</w:t>
      </w:r>
      <w:r>
        <w:rPr>
          <w:rFonts w:ascii="宋体" w:hAnsi="宋体"/>
          <w:sz w:val="24"/>
          <w14:ligatures w14:val="standardContextual"/>
        </w:rPr>
        <w:t>,</w:t>
      </w:r>
      <w:r>
        <w:rPr>
          <w:sz w:val="24"/>
          <w14:ligatures w14:val="standardContextual"/>
        </w:rPr>
        <w:t>%)=100×(</w:t>
      </w:r>
      <w:r>
        <w:rPr>
          <w:rFonts w:hint="eastAsia"/>
          <w:sz w:val="24"/>
          <w14:ligatures w14:val="standardContextual"/>
        </w:rPr>
        <w:t>末均重-初均重</w:t>
      </w:r>
      <w:r>
        <w:rPr>
          <w:sz w:val="24"/>
          <w14:ligatures w14:val="standardContextual"/>
        </w:rPr>
        <w:t>)/</w:t>
      </w:r>
      <w:r>
        <w:rPr>
          <w:rFonts w:hint="eastAsia"/>
          <w:sz w:val="24"/>
          <w14:ligatures w14:val="standardContextual"/>
        </w:rPr>
        <w:t>初均重</w:t>
      </w:r>
      <w:r>
        <w:rPr>
          <w:rFonts w:ascii="宋体" w:hAnsi="宋体"/>
          <w:sz w:val="24"/>
          <w14:ligatures w14:val="standardContextual"/>
        </w:rPr>
        <w:t>;</w:t>
      </w:r>
    </w:p>
    <w:p w14:paraId="70B96C4E">
      <w:pPr>
        <w:spacing w:line="360" w:lineRule="auto"/>
        <w:ind w:firstLine="480" w:firstLineChars="200"/>
        <w:rPr>
          <w:sz w:val="24"/>
          <w14:ligatures w14:val="standardContextual"/>
        </w:rPr>
      </w:pPr>
      <w:r>
        <w:rPr>
          <w:rFonts w:hint="eastAsia"/>
          <w:sz w:val="24"/>
          <w14:ligatures w14:val="standardContextual"/>
        </w:rPr>
        <w:t>特定生长率</w:t>
      </w:r>
      <w:r>
        <w:rPr>
          <w:sz w:val="24"/>
          <w14:ligatures w14:val="standardContextual"/>
        </w:rPr>
        <w:t>(specific</w:t>
      </w:r>
      <w:r>
        <w:rPr>
          <w:rFonts w:hint="eastAsia"/>
          <w:sz w:val="24"/>
          <w14:ligatures w14:val="standardContextual"/>
        </w:rPr>
        <w:t xml:space="preserve"> </w:t>
      </w:r>
      <w:r>
        <w:rPr>
          <w:sz w:val="24"/>
          <w14:ligatures w14:val="standardContextual"/>
        </w:rPr>
        <w:t>growth</w:t>
      </w:r>
      <w:r>
        <w:rPr>
          <w:rFonts w:hint="eastAsia"/>
          <w:sz w:val="24"/>
          <w14:ligatures w14:val="standardContextual"/>
        </w:rPr>
        <w:t xml:space="preserve"> </w:t>
      </w:r>
      <w:r>
        <w:rPr>
          <w:sz w:val="24"/>
          <w14:ligatures w14:val="standardContextual"/>
        </w:rPr>
        <w:t>rate</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SGR</w:t>
      </w:r>
      <w:r>
        <w:rPr>
          <w:rFonts w:ascii="宋体" w:hAnsi="宋体"/>
          <w:sz w:val="24"/>
          <w14:ligatures w14:val="standardContextual"/>
        </w:rPr>
        <w:t>,</w:t>
      </w:r>
      <w:r>
        <w:rPr>
          <w:sz w:val="24"/>
          <w14:ligatures w14:val="standardContextual"/>
        </w:rPr>
        <w:t>%/d)=100×(ln</w:t>
      </w:r>
      <w:r>
        <w:rPr>
          <w:rFonts w:hint="eastAsia"/>
          <w:sz w:val="24"/>
          <w14:ligatures w14:val="standardContextual"/>
        </w:rPr>
        <w:t>末均重-</w:t>
      </w:r>
      <w:r>
        <w:rPr>
          <w:sz w:val="24"/>
          <w14:ligatures w14:val="standardContextual"/>
        </w:rPr>
        <w:t>ln</w:t>
      </w:r>
      <w:r>
        <w:rPr>
          <w:rFonts w:hint="eastAsia"/>
          <w:sz w:val="24"/>
          <w14:ligatures w14:val="standardContextual"/>
        </w:rPr>
        <w:t>初均重</w:t>
      </w:r>
      <w:r>
        <w:rPr>
          <w:sz w:val="24"/>
          <w14:ligatures w14:val="standardContextual"/>
        </w:rPr>
        <w:t>)/</w:t>
      </w:r>
      <w:r>
        <w:rPr>
          <w:rFonts w:hint="eastAsia"/>
          <w:sz w:val="24"/>
          <w14:ligatures w14:val="standardContextual"/>
        </w:rPr>
        <w:t>试验天数</w:t>
      </w:r>
      <w:r>
        <w:rPr>
          <w:rFonts w:ascii="宋体" w:hAnsi="宋体"/>
          <w:sz w:val="24"/>
          <w14:ligatures w14:val="standardContextual"/>
        </w:rPr>
        <w:t>;</w:t>
      </w:r>
    </w:p>
    <w:p w14:paraId="7E98F034">
      <w:pPr>
        <w:spacing w:line="360" w:lineRule="auto"/>
        <w:ind w:firstLine="480" w:firstLineChars="200"/>
        <w:rPr>
          <w:sz w:val="24"/>
          <w14:ligatures w14:val="standardContextual"/>
        </w:rPr>
      </w:pPr>
      <w:r>
        <w:rPr>
          <w:rFonts w:hint="eastAsia"/>
          <w:sz w:val="24"/>
          <w14:ligatures w14:val="standardContextual"/>
        </w:rPr>
        <w:t>存活率</w:t>
      </w:r>
      <w:r>
        <w:rPr>
          <w:sz w:val="24"/>
          <w14:ligatures w14:val="standardContextual"/>
        </w:rPr>
        <w:t>(survival</w:t>
      </w:r>
      <w:r>
        <w:rPr>
          <w:rFonts w:hint="eastAsia"/>
          <w:sz w:val="24"/>
          <w14:ligatures w14:val="standardContextual"/>
        </w:rPr>
        <w:t xml:space="preserve"> </w:t>
      </w:r>
      <w:r>
        <w:rPr>
          <w:sz w:val="24"/>
          <w14:ligatures w14:val="standardContextual"/>
        </w:rPr>
        <w:t>rate</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SR</w:t>
      </w:r>
      <w:r>
        <w:rPr>
          <w:rFonts w:ascii="宋体" w:hAnsi="宋体"/>
          <w:sz w:val="24"/>
          <w14:ligatures w14:val="standardContextual"/>
        </w:rPr>
        <w:t>,</w:t>
      </w:r>
      <w:r>
        <w:rPr>
          <w:sz w:val="24"/>
          <w14:ligatures w14:val="standardContextual"/>
        </w:rPr>
        <w:t>%)=100×</w:t>
      </w:r>
      <w:r>
        <w:rPr>
          <w:rFonts w:hint="eastAsia"/>
          <w:sz w:val="24"/>
          <w14:ligatures w14:val="standardContextual"/>
        </w:rPr>
        <w:t>初始尾数</w:t>
      </w:r>
      <w:r>
        <w:rPr>
          <w:sz w:val="24"/>
          <w14:ligatures w14:val="standardContextual"/>
        </w:rPr>
        <w:t>/</w:t>
      </w:r>
      <w:r>
        <w:rPr>
          <w:rFonts w:hint="eastAsia"/>
          <w:sz w:val="24"/>
          <w14:ligatures w14:val="standardContextual"/>
        </w:rPr>
        <w:t>结束尾数</w:t>
      </w:r>
      <w:r>
        <w:rPr>
          <w:rFonts w:ascii="宋体" w:hAnsi="宋体"/>
          <w:sz w:val="24"/>
          <w14:ligatures w14:val="standardContextual"/>
        </w:rPr>
        <w:t>;</w:t>
      </w:r>
    </w:p>
    <w:p w14:paraId="48BB7A78">
      <w:pPr>
        <w:spacing w:line="360" w:lineRule="auto"/>
        <w:ind w:firstLine="480" w:firstLineChars="200"/>
        <w:rPr>
          <w:sz w:val="24"/>
          <w14:ligatures w14:val="standardContextual"/>
        </w:rPr>
      </w:pPr>
      <w:r>
        <w:rPr>
          <w:rFonts w:hint="eastAsia"/>
          <w:sz w:val="24"/>
          <w14:ligatures w14:val="standardContextual"/>
        </w:rPr>
        <w:t>摄食率</w:t>
      </w:r>
      <w:r>
        <w:rPr>
          <w:sz w:val="24"/>
          <w14:ligatures w14:val="standardContextual"/>
        </w:rPr>
        <w:t>(feeding</w:t>
      </w:r>
      <w:r>
        <w:rPr>
          <w:rFonts w:hint="eastAsia"/>
          <w:sz w:val="24"/>
          <w14:ligatures w14:val="standardContextual"/>
        </w:rPr>
        <w:t xml:space="preserve"> </w:t>
      </w:r>
      <w:r>
        <w:rPr>
          <w:sz w:val="24"/>
          <w14:ligatures w14:val="standardContextual"/>
        </w:rPr>
        <w:t>rate</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FR</w:t>
      </w:r>
      <w:r>
        <w:rPr>
          <w:rFonts w:ascii="宋体" w:hAnsi="宋体"/>
          <w:sz w:val="24"/>
          <w14:ligatures w14:val="standardContextual"/>
        </w:rPr>
        <w:t>,</w:t>
      </w:r>
      <w:r>
        <w:rPr>
          <w:sz w:val="24"/>
          <w14:ligatures w14:val="standardContextual"/>
        </w:rPr>
        <w:t>%/d)=100×</w:t>
      </w:r>
      <w:r>
        <w:rPr>
          <w:rFonts w:hint="eastAsia"/>
          <w:sz w:val="24"/>
          <w14:ligatures w14:val="standardContextual"/>
        </w:rPr>
        <w:t>干物质总摄入量</w:t>
      </w:r>
      <w:r>
        <w:rPr>
          <w:sz w:val="24"/>
          <w14:ligatures w14:val="standardContextual"/>
        </w:rPr>
        <w:t>/</w:t>
      </w:r>
      <w:r>
        <w:rPr>
          <w:rFonts w:hint="eastAsia"/>
          <w:sz w:val="24"/>
          <w14:ligatures w14:val="standardContextual"/>
        </w:rPr>
        <w:t>[试验天数</w:t>
      </w:r>
      <w:r>
        <w:rPr>
          <w:sz w:val="24"/>
          <w14:ligatures w14:val="standardContextual"/>
        </w:rPr>
        <w:t>×(</w:t>
      </w:r>
      <w:r>
        <w:rPr>
          <w:rFonts w:hint="eastAsia"/>
          <w:sz w:val="24"/>
          <w14:ligatures w14:val="standardContextual"/>
        </w:rPr>
        <w:t>初均重</w:t>
      </w:r>
      <w:r>
        <w:rPr>
          <w:sz w:val="24"/>
          <w14:ligatures w14:val="standardContextual"/>
        </w:rPr>
        <w:t>+</w:t>
      </w:r>
      <w:r>
        <w:rPr>
          <w:rFonts w:hint="eastAsia"/>
          <w:sz w:val="24"/>
          <w14:ligatures w14:val="standardContextual"/>
        </w:rPr>
        <w:t>末均重</w:t>
      </w:r>
      <w:r>
        <w:rPr>
          <w:sz w:val="24"/>
          <w14:ligatures w14:val="standardContextual"/>
        </w:rPr>
        <w:t>)/2]</w:t>
      </w:r>
      <w:r>
        <w:rPr>
          <w:rFonts w:ascii="宋体" w:hAnsi="宋体"/>
          <w:sz w:val="24"/>
          <w14:ligatures w14:val="standardContextual"/>
        </w:rPr>
        <w:t>;</w:t>
      </w:r>
    </w:p>
    <w:p w14:paraId="19086A1B">
      <w:pPr>
        <w:spacing w:line="360" w:lineRule="auto"/>
        <w:ind w:firstLine="480" w:firstLineChars="200"/>
        <w:rPr>
          <w:sz w:val="24"/>
          <w14:ligatures w14:val="standardContextual"/>
        </w:rPr>
      </w:pPr>
      <w:r>
        <w:rPr>
          <w:rFonts w:hint="eastAsia"/>
          <w:sz w:val="24"/>
          <w14:ligatures w14:val="standardContextual"/>
        </w:rPr>
        <w:t>饲料系数</w:t>
      </w:r>
      <w:r>
        <w:rPr>
          <w:sz w:val="24"/>
          <w14:ligatures w14:val="standardContextual"/>
        </w:rPr>
        <w:t>(feed</w:t>
      </w:r>
      <w:r>
        <w:rPr>
          <w:rFonts w:hint="eastAsia"/>
          <w:sz w:val="24"/>
          <w14:ligatures w14:val="standardContextual"/>
        </w:rPr>
        <w:t xml:space="preserve"> </w:t>
      </w:r>
      <w:r>
        <w:rPr>
          <w:sz w:val="24"/>
          <w14:ligatures w14:val="standardContextual"/>
        </w:rPr>
        <w:t>conversion</w:t>
      </w:r>
      <w:r>
        <w:rPr>
          <w:rFonts w:hint="eastAsia"/>
          <w:sz w:val="24"/>
          <w14:ligatures w14:val="standardContextual"/>
        </w:rPr>
        <w:t xml:space="preserve"> </w:t>
      </w:r>
      <w:r>
        <w:rPr>
          <w:sz w:val="24"/>
          <w14:ligatures w14:val="standardContextual"/>
        </w:rPr>
        <w:t>ratio</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FCR)=</w:t>
      </w:r>
      <w:r>
        <w:rPr>
          <w:rFonts w:hint="eastAsia"/>
          <w:sz w:val="24"/>
          <w14:ligatures w14:val="standardContextual"/>
        </w:rPr>
        <w:t>摄入饲料量</w:t>
      </w:r>
      <w:r>
        <w:rPr>
          <w:sz w:val="24"/>
          <w14:ligatures w14:val="standardContextual"/>
        </w:rPr>
        <w:t>/(</w:t>
      </w:r>
      <w:r>
        <w:rPr>
          <w:rFonts w:hint="eastAsia"/>
          <w:sz w:val="24"/>
          <w14:ligatures w14:val="standardContextual"/>
        </w:rPr>
        <w:t>末均重-初均重</w:t>
      </w:r>
      <w:r>
        <w:rPr>
          <w:sz w:val="24"/>
          <w14:ligatures w14:val="standardContextual"/>
        </w:rPr>
        <w:t>)</w:t>
      </w:r>
      <w:r>
        <w:rPr>
          <w:rFonts w:ascii="宋体" w:hAnsi="宋体"/>
          <w:sz w:val="24"/>
          <w14:ligatures w14:val="standardContextual"/>
        </w:rPr>
        <w:t>;</w:t>
      </w:r>
    </w:p>
    <w:p w14:paraId="6619B7E4">
      <w:pPr>
        <w:spacing w:line="360" w:lineRule="auto"/>
        <w:ind w:firstLine="480" w:firstLineChars="200"/>
        <w:rPr>
          <w:sz w:val="24"/>
          <w14:ligatures w14:val="standardContextual"/>
        </w:rPr>
      </w:pPr>
      <w:r>
        <w:rPr>
          <w:rFonts w:hint="eastAsia"/>
          <w:sz w:val="24"/>
          <w14:ligatures w14:val="standardContextual"/>
        </w:rPr>
        <w:t>蛋白质效率</w:t>
      </w:r>
      <w:r>
        <w:rPr>
          <w:sz w:val="24"/>
          <w14:ligatures w14:val="standardContextual"/>
        </w:rPr>
        <w:t>(protein</w:t>
      </w:r>
      <w:r>
        <w:rPr>
          <w:rFonts w:hint="eastAsia"/>
          <w:sz w:val="24"/>
          <w14:ligatures w14:val="standardContextual"/>
        </w:rPr>
        <w:t xml:space="preserve"> </w:t>
      </w:r>
      <w:r>
        <w:rPr>
          <w:sz w:val="24"/>
          <w14:ligatures w14:val="standardContextual"/>
        </w:rPr>
        <w:t>efficiency</w:t>
      </w:r>
      <w:r>
        <w:rPr>
          <w:rFonts w:hint="eastAsia"/>
          <w:sz w:val="24"/>
          <w14:ligatures w14:val="standardContextual"/>
        </w:rPr>
        <w:t xml:space="preserve"> </w:t>
      </w:r>
      <w:r>
        <w:rPr>
          <w:sz w:val="24"/>
          <w14:ligatures w14:val="standardContextual"/>
        </w:rPr>
        <w:t>ratio</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PER)=(</w:t>
      </w:r>
      <w:r>
        <w:rPr>
          <w:rFonts w:hint="eastAsia"/>
          <w:sz w:val="24"/>
          <w14:ligatures w14:val="standardContextual"/>
        </w:rPr>
        <w:t>末均重-初均重</w:t>
      </w:r>
      <w:r>
        <w:rPr>
          <w:sz w:val="24"/>
          <w14:ligatures w14:val="standardContextual"/>
        </w:rPr>
        <w:t>)/(</w:t>
      </w:r>
      <w:r>
        <w:rPr>
          <w:rFonts w:hint="eastAsia"/>
          <w:sz w:val="24"/>
          <w14:ligatures w14:val="standardContextual"/>
        </w:rPr>
        <w:t>摄入饲料量</w:t>
      </w:r>
      <w:r>
        <w:rPr>
          <w:sz w:val="24"/>
          <w14:ligatures w14:val="standardContextual"/>
        </w:rPr>
        <w:t>×</w:t>
      </w:r>
      <w:r>
        <w:rPr>
          <w:rFonts w:hint="eastAsia"/>
          <w:sz w:val="24"/>
          <w14:ligatures w14:val="standardContextual"/>
        </w:rPr>
        <w:t>饲料粗蛋白质含量</w:t>
      </w:r>
      <w:r>
        <w:rPr>
          <w:sz w:val="24"/>
          <w14:ligatures w14:val="standardContextual"/>
        </w:rPr>
        <w:t>)</w:t>
      </w:r>
      <w:r>
        <w:rPr>
          <w:rFonts w:ascii="宋体" w:hAnsi="宋体"/>
          <w:sz w:val="24"/>
          <w14:ligatures w14:val="standardContextual"/>
        </w:rPr>
        <w:t>;</w:t>
      </w:r>
    </w:p>
    <w:p w14:paraId="6ABDCF1D">
      <w:pPr>
        <w:spacing w:line="360" w:lineRule="auto"/>
        <w:ind w:firstLine="480" w:firstLineChars="200"/>
        <w:rPr>
          <w:sz w:val="24"/>
          <w14:ligatures w14:val="standardContextual"/>
        </w:rPr>
      </w:pPr>
      <w:r>
        <w:rPr>
          <w:rFonts w:hint="eastAsia"/>
          <w:sz w:val="24"/>
          <w14:ligatures w14:val="standardContextual"/>
        </w:rPr>
        <w:t>脏体比</w:t>
      </w:r>
      <w:r>
        <w:rPr>
          <w:sz w:val="24"/>
          <w14:ligatures w14:val="standardContextual"/>
        </w:rPr>
        <w:t>(viscerosomatic</w:t>
      </w:r>
      <w:r>
        <w:rPr>
          <w:rFonts w:hint="eastAsia"/>
          <w:sz w:val="24"/>
          <w14:ligatures w14:val="standardContextual"/>
        </w:rPr>
        <w:t xml:space="preserve"> </w:t>
      </w:r>
      <w:r>
        <w:rPr>
          <w:sz w:val="24"/>
          <w14:ligatures w14:val="standardContextual"/>
        </w:rPr>
        <w:t>index</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VSI</w:t>
      </w:r>
      <w:r>
        <w:rPr>
          <w:rFonts w:ascii="宋体" w:hAnsi="宋体"/>
          <w:sz w:val="24"/>
          <w14:ligatures w14:val="standardContextual"/>
        </w:rPr>
        <w:t>,</w:t>
      </w:r>
      <w:r>
        <w:rPr>
          <w:sz w:val="24"/>
          <w14:ligatures w14:val="standardContextual"/>
        </w:rPr>
        <w:t>%)=100×</w:t>
      </w:r>
      <w:r>
        <w:rPr>
          <w:rFonts w:hint="eastAsia"/>
          <w:sz w:val="24"/>
          <w14:ligatures w14:val="standardContextual"/>
        </w:rPr>
        <w:t>内脏重量</w:t>
      </w:r>
      <w:r>
        <w:rPr>
          <w:sz w:val="24"/>
          <w14:ligatures w14:val="standardContextual"/>
        </w:rPr>
        <w:t>/</w:t>
      </w:r>
      <w:r>
        <w:rPr>
          <w:rFonts w:hint="eastAsia"/>
          <w:sz w:val="24"/>
          <w14:ligatures w14:val="standardContextual"/>
        </w:rPr>
        <w:t>鱼体重量</w:t>
      </w:r>
      <w:r>
        <w:rPr>
          <w:rFonts w:ascii="宋体" w:hAnsi="宋体"/>
          <w:sz w:val="24"/>
          <w14:ligatures w14:val="standardContextual"/>
        </w:rPr>
        <w:t>;</w:t>
      </w:r>
    </w:p>
    <w:p w14:paraId="03781F9F">
      <w:pPr>
        <w:spacing w:line="360" w:lineRule="auto"/>
        <w:ind w:firstLine="480" w:firstLineChars="200"/>
        <w:rPr>
          <w:sz w:val="24"/>
          <w14:ligatures w14:val="standardContextual"/>
        </w:rPr>
      </w:pPr>
      <w:r>
        <w:rPr>
          <w:rFonts w:hint="eastAsia"/>
          <w:sz w:val="24"/>
          <w14:ligatures w14:val="standardContextual"/>
        </w:rPr>
        <w:t>肝体比</w:t>
      </w:r>
      <w:r>
        <w:rPr>
          <w:sz w:val="24"/>
          <w14:ligatures w14:val="standardContextual"/>
        </w:rPr>
        <w:t>(hepatosomatic</w:t>
      </w:r>
      <w:r>
        <w:rPr>
          <w:rFonts w:hint="eastAsia"/>
          <w:sz w:val="24"/>
          <w14:ligatures w14:val="standardContextual"/>
        </w:rPr>
        <w:t xml:space="preserve"> </w:t>
      </w:r>
      <w:r>
        <w:rPr>
          <w:sz w:val="24"/>
          <w14:ligatures w14:val="standardContextual"/>
        </w:rPr>
        <w:t>index</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HSI</w:t>
      </w:r>
      <w:r>
        <w:rPr>
          <w:rFonts w:ascii="宋体" w:hAnsi="宋体"/>
          <w:sz w:val="24"/>
          <w14:ligatures w14:val="standardContextual"/>
        </w:rPr>
        <w:t>,</w:t>
      </w:r>
      <w:r>
        <w:rPr>
          <w:sz w:val="24"/>
          <w14:ligatures w14:val="standardContextual"/>
        </w:rPr>
        <w:t>%)=100×</w:t>
      </w:r>
      <w:r>
        <w:rPr>
          <w:rFonts w:hint="eastAsia"/>
          <w:sz w:val="24"/>
          <w14:ligatures w14:val="standardContextual"/>
        </w:rPr>
        <w:t>肝脏重量</w:t>
      </w:r>
      <w:r>
        <w:rPr>
          <w:sz w:val="24"/>
          <w14:ligatures w14:val="standardContextual"/>
        </w:rPr>
        <w:t>/</w:t>
      </w:r>
      <w:r>
        <w:rPr>
          <w:rFonts w:hint="eastAsia"/>
          <w:sz w:val="24"/>
          <w14:ligatures w14:val="standardContextual"/>
        </w:rPr>
        <w:t>鱼体重量</w:t>
      </w:r>
      <w:r>
        <w:rPr>
          <w:rFonts w:ascii="宋体" w:hAnsi="宋体"/>
          <w:sz w:val="24"/>
          <w14:ligatures w14:val="standardContextual"/>
        </w:rPr>
        <w:t>;</w:t>
      </w:r>
    </w:p>
    <w:p w14:paraId="5EBCE866">
      <w:pPr>
        <w:spacing w:line="360" w:lineRule="auto"/>
        <w:ind w:firstLine="480" w:firstLineChars="200"/>
        <w:rPr>
          <w:rFonts w:ascii="宋体" w:hAnsi="宋体"/>
          <w:sz w:val="24"/>
          <w14:ligatures w14:val="standardContextual"/>
        </w:rPr>
      </w:pPr>
      <w:r>
        <w:rPr>
          <w:rFonts w:hint="eastAsia"/>
          <w:sz w:val="24"/>
          <w14:ligatures w14:val="standardContextual"/>
        </w:rPr>
        <w:t>肥满度</w:t>
      </w:r>
      <w:r>
        <w:rPr>
          <w:sz w:val="24"/>
          <w14:ligatures w14:val="standardContextual"/>
        </w:rPr>
        <w:t>(condition</w:t>
      </w:r>
      <w:r>
        <w:rPr>
          <w:rFonts w:hint="eastAsia"/>
          <w:sz w:val="24"/>
          <w14:ligatures w14:val="standardContextual"/>
        </w:rPr>
        <w:t xml:space="preserve"> </w:t>
      </w:r>
      <w:r>
        <w:rPr>
          <w:sz w:val="24"/>
          <w14:ligatures w14:val="standardContextual"/>
        </w:rPr>
        <w:t>factor</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CF</w:t>
      </w:r>
      <w:r>
        <w:rPr>
          <w:rFonts w:ascii="宋体" w:hAnsi="宋体"/>
          <w:sz w:val="24"/>
          <w14:ligatures w14:val="standardContextual"/>
        </w:rPr>
        <w:t>,</w:t>
      </w:r>
      <w:r>
        <w:rPr>
          <w:rFonts w:hint="eastAsia" w:ascii="宋体" w:hAnsi="宋体"/>
          <w:sz w:val="24"/>
          <w14:ligatures w14:val="standardContextual"/>
        </w:rPr>
        <w:t xml:space="preserve"> </w:t>
      </w:r>
      <w:r>
        <w:rPr>
          <w:sz w:val="24"/>
          <w14:ligatures w14:val="standardContextual"/>
        </w:rPr>
        <w:t>g/cm</w:t>
      </w:r>
      <w:r>
        <w:rPr>
          <w:sz w:val="24"/>
          <w:vertAlign w:val="superscript"/>
          <w14:ligatures w14:val="standardContextual"/>
        </w:rPr>
        <w:t>3</w:t>
      </w:r>
      <w:r>
        <w:rPr>
          <w:sz w:val="24"/>
          <w14:ligatures w14:val="standardContextual"/>
        </w:rPr>
        <w:t>)=100×</w:t>
      </w:r>
      <w:r>
        <w:rPr>
          <w:rFonts w:hint="eastAsia"/>
          <w:sz w:val="24"/>
          <w14:ligatures w14:val="standardContextual"/>
        </w:rPr>
        <w:t>鱼体重量</w:t>
      </w:r>
      <w:r>
        <w:rPr>
          <w:sz w:val="24"/>
          <w14:ligatures w14:val="standardContextual"/>
        </w:rPr>
        <w:t>/</w:t>
      </w:r>
      <w:r>
        <w:rPr>
          <w:rFonts w:hint="eastAsia"/>
          <w:sz w:val="24"/>
          <w14:ligatures w14:val="standardContextual"/>
        </w:rPr>
        <w:t>鱼体长</w:t>
      </w:r>
      <w:r>
        <w:rPr>
          <w:sz w:val="24"/>
          <w:vertAlign w:val="superscript"/>
          <w14:ligatures w14:val="standardContextual"/>
        </w:rPr>
        <w:t>3</w:t>
      </w:r>
      <w:r>
        <w:rPr>
          <w:rFonts w:hint="eastAsia" w:ascii="宋体" w:hAnsi="宋体"/>
          <w:sz w:val="24"/>
          <w14:ligatures w14:val="standardContextual"/>
        </w:rPr>
        <w:t>。</w:t>
      </w:r>
    </w:p>
    <w:p w14:paraId="2962D0EC">
      <w:pPr>
        <w:spacing w:line="360" w:lineRule="auto"/>
        <w:rPr>
          <w:sz w:val="24"/>
          <w14:ligatures w14:val="standardContextual"/>
        </w:rPr>
      </w:pPr>
      <w:r>
        <w:rPr>
          <w:sz w:val="24"/>
          <w14:ligatures w14:val="standardContextual"/>
        </w:rPr>
        <w:t>1.5.2</w:t>
      </w:r>
      <w:r>
        <w:rPr>
          <w:rFonts w:hint="eastAsia"/>
          <w:sz w:val="24"/>
          <w14:ligatures w14:val="standardContextual"/>
        </w:rPr>
        <w:t xml:space="preserve">  常规营养成分</w:t>
      </w:r>
    </w:p>
    <w:p w14:paraId="690A7590">
      <w:pPr>
        <w:spacing w:line="360" w:lineRule="auto"/>
        <w:ind w:firstLine="480" w:firstLineChars="200"/>
        <w:rPr>
          <w:rFonts w:ascii="宋体" w:hAnsi="宋体"/>
          <w:sz w:val="24"/>
          <w14:ligatures w14:val="standardContextual"/>
        </w:rPr>
      </w:pPr>
      <w:r>
        <w:rPr>
          <w:rFonts w:hint="eastAsia"/>
          <w:sz w:val="24"/>
          <w14:ligatures w14:val="standardContextual"/>
        </w:rPr>
        <w:t>鱼体</w:t>
      </w:r>
      <w:r>
        <w:rPr>
          <w:rFonts w:hint="eastAsia" w:ascii="宋体" w:hAnsi="宋体" w:cs="微软雅黑"/>
          <w:sz w:val="24"/>
          <w14:ligatures w14:val="standardContextual"/>
        </w:rPr>
        <w:t>、</w:t>
      </w:r>
      <w:r>
        <w:rPr>
          <w:rFonts w:hint="eastAsia"/>
          <w:sz w:val="24"/>
          <w14:ligatures w14:val="standardContextual"/>
        </w:rPr>
        <w:t>肌肉以及饲料的常规营养成分均按照以下方法进行测定</w:t>
      </w:r>
      <w:r>
        <w:rPr>
          <w:rFonts w:hint="eastAsia" w:ascii="宋体" w:hAnsi="宋体"/>
          <w:sz w:val="24"/>
          <w14:ligatures w14:val="standardContextual"/>
        </w:rPr>
        <w:t>。</w:t>
      </w:r>
      <w:r>
        <w:rPr>
          <w:rFonts w:hint="eastAsia"/>
          <w:sz w:val="24"/>
          <w14:ligatures w14:val="standardContextual"/>
        </w:rPr>
        <w:t>参照</w:t>
      </w:r>
      <w:r>
        <w:rPr>
          <w:sz w:val="24"/>
          <w14:ligatures w14:val="standardContextual"/>
        </w:rPr>
        <w:t>GB/T6435—2014</w:t>
      </w:r>
      <w:r>
        <w:rPr>
          <w:rFonts w:hint="eastAsia"/>
          <w:sz w:val="24"/>
          <w14:ligatures w14:val="standardContextual"/>
        </w:rPr>
        <w:t>的规定采用</w:t>
      </w:r>
      <w:r>
        <w:rPr>
          <w:sz w:val="24"/>
          <w14:ligatures w14:val="standardContextual"/>
        </w:rPr>
        <w:t>105</w:t>
      </w:r>
      <w:r>
        <w:rPr>
          <w:rFonts w:hint="eastAsia"/>
          <w:sz w:val="24"/>
          <w14:ligatures w14:val="standardContextual"/>
        </w:rPr>
        <w:t>℃恒重干燥法测定水分含量</w:t>
      </w:r>
      <w:r>
        <w:rPr>
          <w:rFonts w:hint="eastAsia" w:ascii="宋体" w:hAnsi="宋体"/>
          <w:sz w:val="24"/>
          <w14:ligatures w14:val="standardContextual"/>
        </w:rPr>
        <w:t>,</w:t>
      </w:r>
      <w:r>
        <w:rPr>
          <w:rFonts w:hint="eastAsia"/>
          <w:sz w:val="24"/>
          <w14:ligatures w14:val="standardContextual"/>
        </w:rPr>
        <w:t>根据水分含量得出干物质含量</w:t>
      </w:r>
      <w:r>
        <w:rPr>
          <w:rFonts w:ascii="宋体" w:hAnsi="宋体"/>
          <w:sz w:val="24"/>
          <w14:ligatures w14:val="standardContextual"/>
        </w:rPr>
        <w:t>;</w:t>
      </w:r>
      <w:r>
        <w:rPr>
          <w:rFonts w:hint="eastAsia"/>
          <w:sz w:val="24"/>
          <w14:ligatures w14:val="standardContextual"/>
        </w:rPr>
        <w:t>粗蛋白质含量的测定则参照</w:t>
      </w:r>
      <w:r>
        <w:rPr>
          <w:sz w:val="24"/>
          <w14:ligatures w14:val="standardContextual"/>
        </w:rPr>
        <w:t>GB/T6432—2018</w:t>
      </w:r>
      <w:r>
        <w:rPr>
          <w:rFonts w:hint="eastAsia"/>
          <w:sz w:val="24"/>
          <w14:ligatures w14:val="standardContextual"/>
        </w:rPr>
        <w:t>方法</w:t>
      </w:r>
      <w:r>
        <w:rPr>
          <w:rFonts w:hint="eastAsia" w:ascii="宋体" w:hAnsi="宋体"/>
          <w:sz w:val="24"/>
          <w14:ligatures w14:val="standardContextual"/>
        </w:rPr>
        <w:t>,</w:t>
      </w:r>
      <w:r>
        <w:rPr>
          <w:rFonts w:hint="eastAsia"/>
          <w:sz w:val="24"/>
          <w14:ligatures w14:val="standardContextual"/>
        </w:rPr>
        <w:t>使用全自动凯氏定氮仪</w:t>
      </w:r>
      <w:r>
        <w:rPr>
          <w:sz w:val="24"/>
          <w14:ligatures w14:val="standardContextual"/>
        </w:rPr>
        <w:t>(Foss2300)</w:t>
      </w:r>
      <w:r>
        <w:rPr>
          <w:rFonts w:hint="eastAsia"/>
          <w:sz w:val="24"/>
          <w14:ligatures w14:val="standardContextual"/>
        </w:rPr>
        <w:t>进行测定</w:t>
      </w:r>
      <w:r>
        <w:rPr>
          <w:rFonts w:ascii="宋体" w:hAnsi="宋体"/>
          <w:sz w:val="24"/>
          <w14:ligatures w14:val="standardContextual"/>
        </w:rPr>
        <w:t>;</w:t>
      </w:r>
      <w:r>
        <w:rPr>
          <w:rFonts w:hint="eastAsia"/>
          <w:sz w:val="24"/>
          <w14:ligatures w14:val="standardContextual"/>
        </w:rPr>
        <w:t>根据</w:t>
      </w:r>
      <w:r>
        <w:rPr>
          <w:sz w:val="24"/>
          <w14:ligatures w14:val="standardContextual"/>
        </w:rPr>
        <w:t>GB/T6433—2006</w:t>
      </w:r>
      <w:r>
        <w:rPr>
          <w:rFonts w:hint="eastAsia"/>
          <w:sz w:val="24"/>
          <w14:ligatures w14:val="standardContextual"/>
        </w:rPr>
        <w:t>索氏抽提法测定粗脂肪含量</w:t>
      </w:r>
      <w:r>
        <w:rPr>
          <w:rFonts w:ascii="宋体" w:hAnsi="宋体"/>
          <w:sz w:val="24"/>
          <w14:ligatures w14:val="standardContextual"/>
        </w:rPr>
        <w:t>;</w:t>
      </w:r>
      <w:r>
        <w:rPr>
          <w:rFonts w:hint="eastAsia"/>
          <w:sz w:val="24"/>
          <w14:ligatures w14:val="standardContextual"/>
        </w:rPr>
        <w:t>粗灰分含量则是根据</w:t>
      </w:r>
      <w:r>
        <w:rPr>
          <w:sz w:val="24"/>
          <w14:ligatures w14:val="standardContextual"/>
        </w:rPr>
        <w:t>GB/T6438—2007</w:t>
      </w:r>
      <w:r>
        <w:rPr>
          <w:rFonts w:hint="eastAsia"/>
          <w:sz w:val="24"/>
          <w14:ligatures w14:val="standardContextual"/>
        </w:rPr>
        <w:t>方法进行测定的</w:t>
      </w:r>
      <w:r>
        <w:rPr>
          <w:rFonts w:ascii="宋体" w:hAnsi="宋体"/>
          <w:sz w:val="24"/>
          <w14:ligatures w14:val="standardContextual"/>
        </w:rPr>
        <w:t>;</w:t>
      </w:r>
      <w:r>
        <w:rPr>
          <w:rFonts w:hint="eastAsia"/>
          <w:sz w:val="24"/>
          <w14:ligatures w14:val="standardContextual"/>
        </w:rPr>
        <w:t>利用氨基酸分析仪</w:t>
      </w:r>
      <w:r>
        <w:rPr>
          <w:sz w:val="24"/>
          <w14:ligatures w14:val="standardContextual"/>
        </w:rPr>
        <w:t>(Biochrom30)</w:t>
      </w:r>
      <w:r>
        <w:rPr>
          <w:rFonts w:hint="eastAsia"/>
          <w:sz w:val="24"/>
          <w14:ligatures w14:val="standardContextual"/>
        </w:rPr>
        <w:t>测定氨基酸含量</w:t>
      </w:r>
      <w:r>
        <w:rPr>
          <w:rFonts w:ascii="宋体" w:hAnsi="宋体"/>
          <w:sz w:val="24"/>
          <w14:ligatures w14:val="standardContextual"/>
        </w:rPr>
        <w:t>;</w:t>
      </w:r>
      <w:r>
        <w:rPr>
          <w:rFonts w:hint="eastAsia"/>
          <w:sz w:val="24"/>
          <w14:ligatures w14:val="standardContextual"/>
        </w:rPr>
        <w:t>使用</w:t>
      </w:r>
      <w:r>
        <w:rPr>
          <w:sz w:val="24"/>
          <w14:ligatures w14:val="standardContextual"/>
        </w:rPr>
        <w:t>IKA</w:t>
      </w:r>
      <w:r>
        <w:rPr>
          <w:rFonts w:hint="eastAsia"/>
          <w:sz w:val="24"/>
          <w14:ligatures w14:val="standardContextual"/>
        </w:rPr>
        <w:t xml:space="preserve"> </w:t>
      </w:r>
      <w:r>
        <w:rPr>
          <w:sz w:val="24"/>
          <w14:ligatures w14:val="standardContextual"/>
        </w:rPr>
        <w:t>C6000isoperibol</w:t>
      </w:r>
      <w:r>
        <w:rPr>
          <w:rFonts w:hint="eastAsia"/>
          <w:sz w:val="24"/>
          <w14:ligatures w14:val="standardContextual"/>
        </w:rPr>
        <w:t>氧弹式能量仪测定总能值</w:t>
      </w:r>
      <w:r>
        <w:rPr>
          <w:rFonts w:ascii="宋体" w:hAnsi="宋体"/>
          <w:sz w:val="24"/>
          <w14:ligatures w14:val="standardContextual"/>
        </w:rPr>
        <w:t>;</w:t>
      </w:r>
      <w:r>
        <w:rPr>
          <w:rFonts w:hint="eastAsia"/>
          <w:sz w:val="24"/>
          <w14:ligatures w14:val="standardContextual"/>
        </w:rPr>
        <w:t>根据</w:t>
      </w:r>
      <w:r>
        <w:rPr>
          <w:sz w:val="24"/>
          <w14:ligatures w14:val="standardContextual"/>
        </w:rPr>
        <w:t>GB/T6436—2018</w:t>
      </w:r>
      <w:r>
        <w:rPr>
          <w:rFonts w:hint="eastAsia"/>
          <w:sz w:val="24"/>
          <w14:ligatures w14:val="standardContextual"/>
        </w:rPr>
        <w:t>测定钙含量</w:t>
      </w:r>
      <w:r>
        <w:rPr>
          <w:rFonts w:ascii="宋体" w:hAnsi="宋体"/>
          <w:sz w:val="24"/>
          <w14:ligatures w14:val="standardContextual"/>
        </w:rPr>
        <w:t>;</w:t>
      </w:r>
      <w:r>
        <w:rPr>
          <w:rFonts w:hint="eastAsia"/>
          <w:sz w:val="24"/>
          <w14:ligatures w14:val="standardContextual"/>
        </w:rPr>
        <w:t>采用仿生消化系统</w:t>
      </w:r>
      <w:r>
        <w:rPr>
          <w:sz w:val="24"/>
          <w14:ligatures w14:val="standardContextual"/>
        </w:rPr>
        <w:t>(</w:t>
      </w:r>
      <w:r>
        <w:rPr>
          <w:rFonts w:hint="eastAsia"/>
          <w:sz w:val="24"/>
          <w14:ligatures w14:val="standardContextual"/>
        </w:rPr>
        <w:t>单胃动物仿生消化系统</w:t>
      </w:r>
      <w:r>
        <w:rPr>
          <w:rFonts w:hint="eastAsia" w:ascii="宋体" w:hAnsi="宋体"/>
          <w:sz w:val="24"/>
          <w14:ligatures w14:val="standardContextual"/>
        </w:rPr>
        <w:t>,</w:t>
      </w:r>
      <w:r>
        <w:rPr>
          <w:rFonts w:hint="eastAsia"/>
          <w:sz w:val="24"/>
          <w14:ligatures w14:val="standardContextual"/>
        </w:rPr>
        <w:t>SDS-Ⅲ)测定总磷和有效磷含量</w:t>
      </w:r>
      <w:r>
        <w:rPr>
          <w:rFonts w:hint="eastAsia" w:ascii="宋体" w:hAnsi="宋体"/>
          <w:sz w:val="24"/>
          <w14:ligatures w14:val="standardContextual"/>
        </w:rPr>
        <w:t>。</w:t>
      </w:r>
      <w:r>
        <w:rPr>
          <w:rFonts w:hint="eastAsia"/>
          <w:sz w:val="24"/>
          <w14:ligatures w14:val="standardContextual"/>
        </w:rPr>
        <w:t>总磷和有效磷含量的测定方法</w:t>
      </w:r>
      <w:r>
        <w:rPr>
          <w:sz w:val="24"/>
          <w14:ligatures w14:val="standardContextual"/>
        </w:rPr>
        <w:t>:</w:t>
      </w:r>
      <w:r>
        <w:rPr>
          <w:rFonts w:hint="eastAsia"/>
          <w:sz w:val="24"/>
          <w14:ligatures w14:val="standardContextual"/>
        </w:rPr>
        <w:t>首先启动仿生消化系统程序</w:t>
      </w:r>
      <w:r>
        <w:rPr>
          <w:rFonts w:hint="eastAsia" w:ascii="宋体" w:hAnsi="宋体"/>
          <w:sz w:val="24"/>
          <w14:ligatures w14:val="standardContextual"/>
        </w:rPr>
        <w:t>,</w:t>
      </w:r>
      <w:r>
        <w:rPr>
          <w:rFonts w:hint="eastAsia"/>
          <w:sz w:val="24"/>
          <w14:ligatures w14:val="standardContextual"/>
        </w:rPr>
        <w:t>称取约</w:t>
      </w:r>
      <w:r>
        <w:rPr>
          <w:sz w:val="24"/>
          <w14:ligatures w14:val="standardContextual"/>
        </w:rPr>
        <w:t>0.5</w:t>
      </w:r>
      <w:r>
        <w:rPr>
          <w:rFonts w:hint="eastAsia"/>
          <w:sz w:val="24"/>
          <w14:ligatures w14:val="standardContextual"/>
        </w:rPr>
        <w:t xml:space="preserve"> </w:t>
      </w:r>
      <w:r>
        <w:rPr>
          <w:sz w:val="24"/>
          <w14:ligatures w14:val="standardContextual"/>
        </w:rPr>
        <w:t>g</w:t>
      </w:r>
      <w:r>
        <w:rPr>
          <w:rFonts w:hint="eastAsia"/>
          <w:sz w:val="24"/>
          <w14:ligatures w14:val="standardContextual"/>
        </w:rPr>
        <w:t>粒径</w:t>
      </w:r>
      <w:r>
        <w:rPr>
          <w:sz w:val="24"/>
          <w14:ligatures w14:val="standardContextual"/>
        </w:rPr>
        <w:t>0.30</w:t>
      </w:r>
      <w:r>
        <w:rPr>
          <w:rFonts w:hint="eastAsia"/>
          <w:sz w:val="24"/>
          <w14:ligatures w14:val="standardContextual"/>
        </w:rPr>
        <w:t xml:space="preserve"> </w:t>
      </w:r>
      <w:r>
        <w:rPr>
          <w:sz w:val="24"/>
          <w14:ligatures w14:val="standardContextual"/>
        </w:rPr>
        <w:t>mm</w:t>
      </w:r>
      <w:r>
        <w:rPr>
          <w:rFonts w:hint="eastAsia"/>
          <w:sz w:val="24"/>
          <w14:ligatures w14:val="standardContextual"/>
        </w:rPr>
        <w:t>的样品于玻璃模拟消化管</w:t>
      </w:r>
      <w:r>
        <w:rPr>
          <w:rFonts w:hint="eastAsia" w:ascii="宋体" w:hAnsi="宋体"/>
          <w:sz w:val="24"/>
          <w14:ligatures w14:val="standardContextual"/>
        </w:rPr>
        <w:t>,</w:t>
      </w:r>
      <w:r>
        <w:rPr>
          <w:rFonts w:hint="eastAsia"/>
          <w:sz w:val="24"/>
          <w14:ligatures w14:val="standardContextual"/>
        </w:rPr>
        <w:t>加入</w:t>
      </w:r>
      <w:r>
        <w:rPr>
          <w:sz w:val="24"/>
          <w14:ligatures w14:val="standardContextual"/>
        </w:rPr>
        <w:t>6</w:t>
      </w:r>
      <w:r>
        <w:rPr>
          <w:rFonts w:hint="eastAsia"/>
          <w:sz w:val="24"/>
          <w14:ligatures w14:val="standardContextual"/>
        </w:rPr>
        <w:t xml:space="preserve"> </w:t>
      </w:r>
      <w:r>
        <w:rPr>
          <w:sz w:val="24"/>
          <w14:ligatures w14:val="standardContextual"/>
        </w:rPr>
        <w:t>mL</w:t>
      </w:r>
      <w:r>
        <w:rPr>
          <w:rFonts w:hint="eastAsia"/>
          <w:sz w:val="24"/>
          <w14:ligatures w14:val="standardContextual"/>
        </w:rPr>
        <w:t>胃缓冲液</w:t>
      </w:r>
      <w:r>
        <w:rPr>
          <w:sz w:val="24"/>
          <w14:ligatures w14:val="standardContextual"/>
        </w:rPr>
        <w:t>(pH2.5)</w:t>
      </w:r>
      <w:r>
        <w:rPr>
          <w:rFonts w:ascii="宋体" w:hAnsi="宋体"/>
          <w:sz w:val="24"/>
          <w14:ligatures w14:val="standardContextual"/>
        </w:rPr>
        <w:t>,</w:t>
      </w:r>
      <w:r>
        <w:rPr>
          <w:sz w:val="24"/>
          <w14:ligatures w14:val="standardContextual"/>
        </w:rPr>
        <w:t>4</w:t>
      </w:r>
      <w:r>
        <w:rPr>
          <w:rFonts w:hint="eastAsia"/>
          <w:sz w:val="24"/>
          <w14:ligatures w14:val="standardContextual"/>
        </w:rPr>
        <w:t xml:space="preserve"> </w:t>
      </w:r>
      <w:r>
        <w:rPr>
          <w:sz w:val="24"/>
          <w14:ligatures w14:val="standardContextual"/>
        </w:rPr>
        <w:t>mL</w:t>
      </w:r>
      <w:r>
        <w:rPr>
          <w:rFonts w:hint="eastAsia"/>
          <w:sz w:val="24"/>
          <w14:ligatures w14:val="standardContextual"/>
        </w:rPr>
        <w:t>胃消化液</w:t>
      </w:r>
      <w:r>
        <w:rPr>
          <w:sz w:val="24"/>
          <w14:ligatures w14:val="standardContextual"/>
        </w:rPr>
        <w:t>(Sigma</w:t>
      </w:r>
      <w:r>
        <w:rPr>
          <w:rFonts w:hint="eastAsia"/>
          <w:sz w:val="24"/>
          <w14:ligatures w14:val="standardContextual"/>
        </w:rPr>
        <w:t xml:space="preserve"> </w:t>
      </w:r>
      <w:r>
        <w:rPr>
          <w:sz w:val="24"/>
          <w14:ligatures w14:val="standardContextual"/>
        </w:rPr>
        <w:t>P7000</w:t>
      </w:r>
      <w:r>
        <w:rPr>
          <w:rFonts w:ascii="宋体" w:hAnsi="宋体"/>
          <w:sz w:val="24"/>
          <w14:ligatures w14:val="standardContextual"/>
        </w:rPr>
        <w:t>,</w:t>
      </w:r>
      <w:r>
        <w:rPr>
          <w:sz w:val="24"/>
          <w14:ligatures w14:val="standardContextual"/>
        </w:rPr>
        <w:t>720</w:t>
      </w:r>
      <w:r>
        <w:rPr>
          <w:rFonts w:hint="eastAsia"/>
          <w:sz w:val="24"/>
          <w14:ligatures w14:val="standardContextual"/>
        </w:rPr>
        <w:t xml:space="preserve"> </w:t>
      </w:r>
      <w:r>
        <w:rPr>
          <w:sz w:val="24"/>
          <w14:ligatures w14:val="standardContextual"/>
        </w:rPr>
        <w:t>U/mL)</w:t>
      </w:r>
      <w:r>
        <w:rPr>
          <w:rFonts w:hint="eastAsia" w:ascii="宋体" w:hAnsi="宋体"/>
          <w:sz w:val="24"/>
          <w14:ligatures w14:val="standardContextual"/>
        </w:rPr>
        <w:t>,</w:t>
      </w:r>
      <w:r>
        <w:rPr>
          <w:rFonts w:hint="eastAsia"/>
          <w:sz w:val="24"/>
          <w14:ligatures w14:val="standardContextual"/>
        </w:rPr>
        <w:t>调节仿生消化系统参数为温度</w:t>
      </w:r>
      <w:r>
        <w:rPr>
          <w:sz w:val="24"/>
          <w14:ligatures w14:val="standardContextual"/>
        </w:rPr>
        <w:t>37</w:t>
      </w:r>
      <w:r>
        <w:rPr>
          <w:rFonts w:hint="eastAsia"/>
          <w:sz w:val="24"/>
          <w14:ligatures w14:val="standardContextual"/>
        </w:rPr>
        <w:t xml:space="preserve"> ℃</w:t>
      </w:r>
      <w:r>
        <w:rPr>
          <w:rFonts w:hint="eastAsia" w:ascii="宋体" w:hAnsi="宋体"/>
          <w:sz w:val="24"/>
          <w14:ligatures w14:val="standardContextual"/>
        </w:rPr>
        <w:t>,</w:t>
      </w:r>
      <w:r>
        <w:rPr>
          <w:rFonts w:hint="eastAsia"/>
          <w:sz w:val="24"/>
          <w14:ligatures w14:val="standardContextual"/>
        </w:rPr>
        <w:t>泵转速</w:t>
      </w:r>
      <w:r>
        <w:rPr>
          <w:sz w:val="24"/>
          <w14:ligatures w14:val="standardContextual"/>
        </w:rPr>
        <w:t>180</w:t>
      </w:r>
      <w:r>
        <w:rPr>
          <w:rFonts w:hint="eastAsia"/>
          <w:sz w:val="24"/>
          <w14:ligatures w14:val="standardContextual"/>
        </w:rPr>
        <w:t xml:space="preserve"> </w:t>
      </w:r>
      <w:r>
        <w:rPr>
          <w:sz w:val="24"/>
          <w14:ligatures w14:val="standardContextual"/>
        </w:rPr>
        <w:t>r/min</w:t>
      </w:r>
      <w:r>
        <w:rPr>
          <w:rFonts w:hint="eastAsia" w:ascii="宋体" w:hAnsi="宋体"/>
          <w:sz w:val="24"/>
          <w14:ligatures w14:val="standardContextual"/>
        </w:rPr>
        <w:t>,</w:t>
      </w:r>
      <w:r>
        <w:rPr>
          <w:rFonts w:hint="eastAsia"/>
          <w:sz w:val="24"/>
          <w14:ligatures w14:val="standardContextual"/>
        </w:rPr>
        <w:t>消化时长</w:t>
      </w:r>
      <w:r>
        <w:rPr>
          <w:sz w:val="24"/>
          <w14:ligatures w14:val="standardContextual"/>
        </w:rPr>
        <w:t>3</w:t>
      </w:r>
      <w:r>
        <w:rPr>
          <w:rFonts w:hint="eastAsia"/>
          <w:sz w:val="24"/>
          <w14:ligatures w14:val="standardContextual"/>
        </w:rPr>
        <w:t xml:space="preserve"> </w:t>
      </w:r>
      <w:r>
        <w:rPr>
          <w:sz w:val="24"/>
          <w14:ligatures w14:val="standardContextual"/>
        </w:rPr>
        <w:t>h</w:t>
      </w:r>
      <w:r>
        <w:rPr>
          <w:rFonts w:ascii="宋体" w:hAnsi="宋体"/>
          <w:sz w:val="24"/>
          <w14:ligatures w14:val="standardContextual"/>
        </w:rPr>
        <w:t>;</w:t>
      </w:r>
      <w:r>
        <w:rPr>
          <w:rFonts w:hint="eastAsia"/>
          <w:sz w:val="24"/>
          <w14:ligatures w14:val="standardContextual"/>
        </w:rPr>
        <w:t>然后加入</w:t>
      </w:r>
      <w:r>
        <w:rPr>
          <w:sz w:val="24"/>
          <w14:ligatures w14:val="standardContextual"/>
        </w:rPr>
        <w:t>6</w:t>
      </w:r>
      <w:r>
        <w:rPr>
          <w:rFonts w:hint="eastAsia"/>
          <w:sz w:val="24"/>
          <w14:ligatures w14:val="standardContextual"/>
        </w:rPr>
        <w:t xml:space="preserve"> </w:t>
      </w:r>
      <w:r>
        <w:rPr>
          <w:sz w:val="24"/>
          <w14:ligatures w14:val="standardContextual"/>
        </w:rPr>
        <w:t>mL</w:t>
      </w:r>
      <w:r>
        <w:rPr>
          <w:rFonts w:hint="eastAsia"/>
          <w:sz w:val="24"/>
          <w14:ligatures w14:val="standardContextual"/>
        </w:rPr>
        <w:t>小肠缓冲液</w:t>
      </w:r>
      <w:r>
        <w:rPr>
          <w:sz w:val="24"/>
          <w14:ligatures w14:val="standardContextual"/>
        </w:rPr>
        <w:t>(pH6.8)</w:t>
      </w:r>
      <w:r>
        <w:rPr>
          <w:rFonts w:hint="eastAsia"/>
          <w:sz w:val="24"/>
          <w14:ligatures w14:val="standardContextual"/>
        </w:rPr>
        <w:t>和</w:t>
      </w:r>
      <w:r>
        <w:rPr>
          <w:sz w:val="24"/>
          <w14:ligatures w14:val="standardContextual"/>
        </w:rPr>
        <w:t>2</w:t>
      </w:r>
      <w:r>
        <w:rPr>
          <w:rFonts w:hint="eastAsia"/>
          <w:sz w:val="24"/>
          <w14:ligatures w14:val="standardContextual"/>
        </w:rPr>
        <w:t xml:space="preserve"> </w:t>
      </w:r>
      <w:r>
        <w:rPr>
          <w:sz w:val="24"/>
          <w14:ligatures w14:val="standardContextual"/>
        </w:rPr>
        <w:t>mL</w:t>
      </w:r>
      <w:r>
        <w:rPr>
          <w:rFonts w:hint="eastAsia"/>
          <w:sz w:val="24"/>
          <w14:ligatures w14:val="standardContextual"/>
        </w:rPr>
        <w:t>小肠液</w:t>
      </w:r>
      <w:r>
        <w:rPr>
          <w:sz w:val="24"/>
          <w14:ligatures w14:val="standardContextual"/>
        </w:rPr>
        <w:t>(SigmaP-1750</w:t>
      </w:r>
      <w:r>
        <w:rPr>
          <w:rFonts w:ascii="宋体" w:hAnsi="宋体"/>
          <w:sz w:val="24"/>
          <w14:ligatures w14:val="standardContextual"/>
        </w:rPr>
        <w:t>,</w:t>
      </w:r>
      <w:r>
        <w:rPr>
          <w:sz w:val="24"/>
          <w14:ligatures w14:val="standardContextual"/>
        </w:rPr>
        <w:t>4</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调节仿生消化系统参数为温度</w:t>
      </w:r>
      <w:r>
        <w:rPr>
          <w:sz w:val="24"/>
          <w14:ligatures w14:val="standardContextual"/>
        </w:rPr>
        <w:t>37</w:t>
      </w:r>
      <w:r>
        <w:rPr>
          <w:rFonts w:hint="eastAsia"/>
          <w:sz w:val="24"/>
          <w14:ligatures w14:val="standardContextual"/>
        </w:rPr>
        <w:t xml:space="preserve"> ℃</w:t>
      </w:r>
      <w:r>
        <w:rPr>
          <w:rFonts w:hint="eastAsia" w:ascii="宋体" w:hAnsi="宋体" w:cs="微软雅黑"/>
          <w:sz w:val="24"/>
          <w14:ligatures w14:val="standardContextual"/>
        </w:rPr>
        <w:t>、</w:t>
      </w:r>
      <w:r>
        <w:rPr>
          <w:rFonts w:hint="eastAsia"/>
          <w:sz w:val="24"/>
          <w14:ligatures w14:val="standardContextual"/>
        </w:rPr>
        <w:t>泵转速</w:t>
      </w:r>
      <w:r>
        <w:rPr>
          <w:sz w:val="24"/>
          <w14:ligatures w14:val="standardContextual"/>
        </w:rPr>
        <w:t>180</w:t>
      </w:r>
      <w:r>
        <w:rPr>
          <w:rFonts w:hint="eastAsia"/>
          <w:sz w:val="24"/>
          <w14:ligatures w14:val="standardContextual"/>
        </w:rPr>
        <w:t xml:space="preserve"> </w:t>
      </w:r>
      <w:r>
        <w:rPr>
          <w:sz w:val="24"/>
          <w14:ligatures w14:val="standardContextual"/>
        </w:rPr>
        <w:t>r/min</w:t>
      </w:r>
      <w:r>
        <w:rPr>
          <w:rFonts w:hint="eastAsia" w:ascii="宋体" w:hAnsi="宋体"/>
          <w:sz w:val="24"/>
          <w14:ligatures w14:val="standardContextual"/>
        </w:rPr>
        <w:t>,</w:t>
      </w:r>
      <w:r>
        <w:rPr>
          <w:rFonts w:hint="eastAsia"/>
          <w:sz w:val="24"/>
          <w14:ligatures w14:val="standardContextual"/>
        </w:rPr>
        <w:t>消化时长</w:t>
      </w:r>
      <w:r>
        <w:rPr>
          <w:sz w:val="24"/>
          <w14:ligatures w14:val="standardContextual"/>
        </w:rPr>
        <w:t>16</w:t>
      </w:r>
      <w:r>
        <w:rPr>
          <w:rFonts w:hint="eastAsia"/>
          <w:sz w:val="24"/>
          <w14:ligatures w14:val="standardContextual"/>
        </w:rPr>
        <w:t xml:space="preserve"> </w:t>
      </w:r>
      <w:r>
        <w:rPr>
          <w:sz w:val="24"/>
          <w14:ligatures w14:val="standardContextual"/>
        </w:rPr>
        <w:t>h</w:t>
      </w:r>
      <w:r>
        <w:rPr>
          <w:rFonts w:hint="eastAsia" w:ascii="宋体" w:hAnsi="宋体"/>
          <w:sz w:val="24"/>
          <w14:ligatures w14:val="standardContextual"/>
        </w:rPr>
        <w:t>。</w:t>
      </w:r>
      <w:r>
        <w:rPr>
          <w:rFonts w:hint="eastAsia"/>
          <w:sz w:val="24"/>
          <w14:ligatures w14:val="standardContextual"/>
        </w:rPr>
        <w:t>仿生消化结束后将消化管内液体无损转移至</w:t>
      </w:r>
      <w:r>
        <w:rPr>
          <w:sz w:val="24"/>
          <w14:ligatures w14:val="standardContextual"/>
        </w:rPr>
        <w:t>100</w:t>
      </w:r>
      <w:r>
        <w:rPr>
          <w:rFonts w:hint="eastAsia"/>
          <w:sz w:val="24"/>
          <w14:ligatures w14:val="standardContextual"/>
        </w:rPr>
        <w:t xml:space="preserve"> </w:t>
      </w:r>
      <w:r>
        <w:rPr>
          <w:sz w:val="24"/>
          <w14:ligatures w14:val="standardContextual"/>
        </w:rPr>
        <w:t>mL</w:t>
      </w:r>
      <w:r>
        <w:rPr>
          <w:rFonts w:hint="eastAsia"/>
          <w:sz w:val="24"/>
          <w14:ligatures w14:val="standardContextual"/>
        </w:rPr>
        <w:t>容量瓶定容待测</w:t>
      </w:r>
      <w:r>
        <w:rPr>
          <w:rFonts w:hint="eastAsia" w:ascii="宋体" w:hAnsi="宋体"/>
          <w:sz w:val="24"/>
          <w14:ligatures w14:val="standardContextual"/>
        </w:rPr>
        <w:t>。</w:t>
      </w:r>
      <w:r>
        <w:rPr>
          <w:rFonts w:hint="eastAsia"/>
          <w:sz w:val="24"/>
          <w14:ligatures w14:val="standardContextual"/>
        </w:rPr>
        <w:t>按照</w:t>
      </w:r>
      <w:r>
        <w:rPr>
          <w:sz w:val="24"/>
          <w14:ligatures w14:val="standardContextual"/>
        </w:rPr>
        <w:t>GB/T6437—2018</w:t>
      </w:r>
      <w:r>
        <w:rPr>
          <w:rFonts w:hint="eastAsia"/>
          <w:sz w:val="24"/>
          <w14:ligatures w14:val="standardContextual"/>
        </w:rPr>
        <w:t>方法</w:t>
      </w:r>
      <w:r>
        <w:rPr>
          <w:rFonts w:hint="eastAsia" w:ascii="宋体" w:hAnsi="宋体"/>
          <w:sz w:val="24"/>
          <w14:ligatures w14:val="standardContextual"/>
        </w:rPr>
        <w:t>,</w:t>
      </w:r>
      <w:r>
        <w:rPr>
          <w:rFonts w:hint="eastAsia"/>
          <w:sz w:val="24"/>
          <w14:ligatures w14:val="standardContextual"/>
        </w:rPr>
        <w:t>采用紫外分光光度计</w:t>
      </w:r>
      <w:r>
        <w:rPr>
          <w:sz w:val="24"/>
          <w14:ligatures w14:val="standardContextual"/>
        </w:rPr>
        <w:t>(</w:t>
      </w:r>
      <w:r>
        <w:rPr>
          <w:rFonts w:hint="eastAsia"/>
          <w:sz w:val="24"/>
          <w14:ligatures w14:val="standardContextual"/>
        </w:rPr>
        <w:t>美国</w:t>
      </w:r>
      <w:r>
        <w:rPr>
          <w:sz w:val="24"/>
          <w14:ligatures w14:val="standardContextual"/>
        </w:rPr>
        <w:t>Thermo</w:t>
      </w:r>
      <w:r>
        <w:rPr>
          <w:rFonts w:ascii="宋体" w:hAnsi="宋体"/>
          <w:sz w:val="24"/>
          <w14:ligatures w14:val="standardContextual"/>
        </w:rPr>
        <w:t>,</w:t>
      </w:r>
      <w:r>
        <w:rPr>
          <w:sz w:val="24"/>
          <w14:ligatures w14:val="standardContextual"/>
        </w:rPr>
        <w:t>Evolution200)</w:t>
      </w:r>
      <w:r>
        <w:rPr>
          <w:rFonts w:hint="eastAsia"/>
          <w:sz w:val="24"/>
          <w14:ligatures w14:val="standardContextual"/>
        </w:rPr>
        <w:t>在</w:t>
      </w:r>
      <w:r>
        <w:rPr>
          <w:sz w:val="24"/>
          <w14:ligatures w14:val="standardContextual"/>
        </w:rPr>
        <w:t>415</w:t>
      </w:r>
      <w:r>
        <w:rPr>
          <w:rFonts w:hint="eastAsia"/>
          <w:sz w:val="24"/>
          <w14:ligatures w14:val="standardContextual"/>
        </w:rPr>
        <w:t xml:space="preserve"> </w:t>
      </w:r>
      <w:r>
        <w:rPr>
          <w:sz w:val="24"/>
          <w14:ligatures w14:val="standardContextual"/>
        </w:rPr>
        <w:t>nm</w:t>
      </w:r>
      <w:r>
        <w:rPr>
          <w:rFonts w:hint="eastAsia"/>
          <w:sz w:val="24"/>
          <w14:ligatures w14:val="standardContextual"/>
        </w:rPr>
        <w:t>波长处测定仿生消化样品</w:t>
      </w:r>
      <w:r>
        <w:rPr>
          <w:rFonts w:hint="eastAsia" w:ascii="宋体" w:hAnsi="宋体" w:cs="微软雅黑"/>
          <w:sz w:val="24"/>
          <w14:ligatures w14:val="standardContextual"/>
        </w:rPr>
        <w:t>、</w:t>
      </w:r>
      <w:r>
        <w:rPr>
          <w:rFonts w:hint="eastAsia"/>
          <w:sz w:val="24"/>
          <w14:ligatures w14:val="standardContextual"/>
        </w:rPr>
        <w:t>样品以及空白的吸光值</w:t>
      </w:r>
      <w:r>
        <w:rPr>
          <w:rFonts w:hint="eastAsia" w:ascii="宋体" w:hAnsi="宋体"/>
          <w:sz w:val="24"/>
          <w14:ligatures w14:val="standardContextual"/>
        </w:rPr>
        <w:t>,</w:t>
      </w:r>
      <w:r>
        <w:rPr>
          <w:rFonts w:hint="eastAsia"/>
          <w:sz w:val="24"/>
          <w14:ligatures w14:val="standardContextual"/>
        </w:rPr>
        <w:t>根据标准工作曲线计算有效磷和总磷的含量</w:t>
      </w:r>
      <w:r>
        <w:rPr>
          <w:rFonts w:hint="eastAsia" w:ascii="宋体" w:hAnsi="宋体"/>
          <w:sz w:val="24"/>
          <w14:ligatures w14:val="standardContextual"/>
        </w:rPr>
        <w:t>。</w:t>
      </w:r>
    </w:p>
    <w:p w14:paraId="7CCD9764">
      <w:pPr>
        <w:spacing w:line="360" w:lineRule="auto"/>
        <w:rPr>
          <w:sz w:val="24"/>
          <w14:ligatures w14:val="standardContextual"/>
        </w:rPr>
      </w:pPr>
      <w:r>
        <w:rPr>
          <w:sz w:val="24"/>
          <w14:ligatures w14:val="standardContextual"/>
        </w:rPr>
        <w:t>1.5.3</w:t>
      </w:r>
      <w:r>
        <w:rPr>
          <w:rFonts w:hint="eastAsia"/>
          <w:sz w:val="24"/>
          <w14:ligatures w14:val="standardContextual"/>
        </w:rPr>
        <w:t xml:space="preserve">  营养物质沉积率</w:t>
      </w:r>
    </w:p>
    <w:p w14:paraId="7782B8D8">
      <w:pPr>
        <w:spacing w:line="360" w:lineRule="auto"/>
        <w:ind w:firstLine="480" w:firstLineChars="200"/>
        <w:rPr>
          <w:rFonts w:ascii="宋体" w:hAnsi="宋体"/>
          <w:sz w:val="24"/>
          <w14:ligatures w14:val="standardContextual"/>
        </w:rPr>
      </w:pPr>
      <w:r>
        <w:rPr>
          <w:rFonts w:hint="eastAsia"/>
          <w:sz w:val="24"/>
          <w14:ligatures w14:val="standardContextual"/>
        </w:rPr>
        <w:t>根据</w:t>
      </w:r>
      <w:r>
        <w:rPr>
          <w:sz w:val="24"/>
          <w14:ligatures w14:val="standardContextual"/>
        </w:rPr>
        <w:t>Dumas</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14</w:t>
      </w:r>
      <w:r>
        <w:rPr>
          <w:rFonts w:hint="eastAsia"/>
          <w:sz w:val="24"/>
          <w:vertAlign w:val="superscript"/>
          <w14:ligatures w14:val="standardContextual"/>
        </w:rPr>
        <w:t>]</w:t>
      </w:r>
      <w:r>
        <w:rPr>
          <w:rFonts w:hint="eastAsia"/>
          <w:sz w:val="24"/>
          <w14:ligatures w14:val="standardContextual"/>
        </w:rPr>
        <w:t>的报道</w:t>
      </w:r>
      <w:r>
        <w:rPr>
          <w:rFonts w:hint="eastAsia" w:ascii="宋体" w:hAnsi="宋体"/>
          <w:sz w:val="24"/>
          <w14:ligatures w14:val="standardContextual"/>
        </w:rPr>
        <w:t>,</w:t>
      </w:r>
      <w:r>
        <w:rPr>
          <w:rFonts w:hint="eastAsia"/>
          <w:sz w:val="24"/>
          <w14:ligatures w14:val="standardContextual"/>
        </w:rPr>
        <w:t>按照如下公式计算营养物质</w:t>
      </w:r>
      <w:r>
        <w:rPr>
          <w:sz w:val="24"/>
          <w14:ligatures w14:val="standardContextual"/>
        </w:rPr>
        <w:t>(</w:t>
      </w:r>
      <w:r>
        <w:rPr>
          <w:rFonts w:hint="eastAsia"/>
          <w:sz w:val="24"/>
          <w14:ligatures w14:val="standardContextual"/>
        </w:rPr>
        <w:t>包括蛋白质</w:t>
      </w:r>
      <w:r>
        <w:rPr>
          <w:rFonts w:hint="eastAsia" w:ascii="宋体" w:hAnsi="宋体" w:cs="微软雅黑"/>
          <w:sz w:val="24"/>
          <w14:ligatures w14:val="standardContextual"/>
        </w:rPr>
        <w:t>、</w:t>
      </w:r>
      <w:r>
        <w:rPr>
          <w:rFonts w:hint="eastAsia"/>
          <w:sz w:val="24"/>
          <w14:ligatures w14:val="standardContextual"/>
        </w:rPr>
        <w:t>脂肪和氨基酸</w:t>
      </w:r>
      <w:r>
        <w:rPr>
          <w:sz w:val="24"/>
          <w14:ligatures w14:val="standardContextual"/>
        </w:rPr>
        <w:t>)</w:t>
      </w:r>
      <w:r>
        <w:rPr>
          <w:rFonts w:hint="eastAsia"/>
          <w:sz w:val="24"/>
          <w14:ligatures w14:val="standardContextual"/>
        </w:rPr>
        <w:t>的沉积率</w:t>
      </w:r>
      <w:r>
        <w:rPr>
          <w:sz w:val="24"/>
          <w14:ligatures w14:val="standardContextual"/>
        </w:rPr>
        <w:t>:NRE(%)=100×(FW×C</w:t>
      </w:r>
      <w:r>
        <w:rPr>
          <w:sz w:val="24"/>
          <w:vertAlign w:val="subscript"/>
          <w14:ligatures w14:val="standardContextual"/>
        </w:rPr>
        <w:t>Nt</w:t>
      </w:r>
      <w:r>
        <w:rPr>
          <w:sz w:val="24"/>
          <w14:ligatures w14:val="standardContextual"/>
        </w:rPr>
        <w:t>-IW×C</w:t>
      </w:r>
      <w:r>
        <w:rPr>
          <w:sz w:val="24"/>
          <w:vertAlign w:val="subscript"/>
          <w14:ligatures w14:val="standardContextual"/>
        </w:rPr>
        <w:t>N0</w:t>
      </w:r>
      <w:r>
        <w:rPr>
          <w:sz w:val="24"/>
          <w14:ligatures w14:val="standardContextual"/>
        </w:rPr>
        <w:t>+W</w:t>
      </w:r>
      <w:r>
        <w:rPr>
          <w:sz w:val="24"/>
          <w:vertAlign w:val="subscript"/>
          <w14:ligatures w14:val="standardContextual"/>
        </w:rPr>
        <w:t>d</w:t>
      </w:r>
      <w:r>
        <w:rPr>
          <w:sz w:val="24"/>
          <w14:ligatures w14:val="standardContextual"/>
        </w:rPr>
        <w:t>×C</w:t>
      </w:r>
      <w:r>
        <w:rPr>
          <w:sz w:val="24"/>
          <w:vertAlign w:val="subscript"/>
          <w14:ligatures w14:val="standardContextual"/>
        </w:rPr>
        <w:t>Nd</w:t>
      </w:r>
      <w:r>
        <w:rPr>
          <w:sz w:val="24"/>
          <w14:ligatures w14:val="standardContextual"/>
        </w:rPr>
        <w:t>)/(I×C</w:t>
      </w:r>
      <w:r>
        <w:rPr>
          <w:sz w:val="24"/>
          <w:vertAlign w:val="subscript"/>
          <w14:ligatures w14:val="standardContextual"/>
        </w:rPr>
        <w:t>Nf</w:t>
      </w:r>
      <w:r>
        <w:rPr>
          <w:sz w:val="24"/>
          <w14:ligatures w14:val="standardContextual"/>
        </w:rPr>
        <w:t>)</w:t>
      </w:r>
      <w:r>
        <w:rPr>
          <w:rFonts w:hint="eastAsia" w:ascii="宋体" w:hAnsi="宋体"/>
          <w:sz w:val="24"/>
          <w14:ligatures w14:val="standardContextual"/>
        </w:rPr>
        <w:t>。</w:t>
      </w:r>
    </w:p>
    <w:p w14:paraId="5A61FD53">
      <w:pPr>
        <w:spacing w:line="360" w:lineRule="auto"/>
        <w:ind w:firstLine="480" w:firstLineChars="200"/>
        <w:rPr>
          <w:rFonts w:ascii="宋体" w:hAnsi="宋体"/>
          <w:sz w:val="24"/>
          <w14:ligatures w14:val="standardContextual"/>
        </w:rPr>
      </w:pPr>
      <w:r>
        <w:rPr>
          <w:rFonts w:hint="eastAsia"/>
          <w:sz w:val="24"/>
          <w14:ligatures w14:val="standardContextual"/>
        </w:rPr>
        <w:t>式中</w:t>
      </w:r>
      <w:r>
        <w:rPr>
          <w:sz w:val="24"/>
          <w14:ligatures w14:val="standardContextual"/>
        </w:rPr>
        <w:t>:NRE</w:t>
      </w:r>
      <w:r>
        <w:rPr>
          <w:rFonts w:hint="eastAsia"/>
          <w:sz w:val="24"/>
          <w14:ligatures w14:val="standardContextual"/>
        </w:rPr>
        <w:t>代表营养物质沉积率</w:t>
      </w:r>
      <w:r>
        <w:rPr>
          <w:sz w:val="24"/>
          <w14:ligatures w14:val="standardContextual"/>
        </w:rPr>
        <w:t>(%)</w:t>
      </w:r>
      <w:r>
        <w:rPr>
          <w:rFonts w:ascii="宋体" w:hAnsi="宋体"/>
          <w:sz w:val="24"/>
          <w14:ligatures w14:val="standardContextual"/>
        </w:rPr>
        <w:t>;</w:t>
      </w:r>
      <w:r>
        <w:rPr>
          <w:sz w:val="24"/>
          <w14:ligatures w14:val="standardContextual"/>
        </w:rPr>
        <w:t>I</w:t>
      </w:r>
      <w:r>
        <w:rPr>
          <w:rFonts w:hint="eastAsia"/>
          <w:sz w:val="24"/>
          <w14:ligatures w14:val="standardContextual"/>
        </w:rPr>
        <w:t>代表每个网箱内投喂的饲料干物质重量</w:t>
      </w:r>
      <w:r>
        <w:rPr>
          <w:sz w:val="24"/>
          <w14:ligatures w14:val="standardContextual"/>
        </w:rPr>
        <w:t>(g)</w:t>
      </w:r>
      <w:r>
        <w:rPr>
          <w:rFonts w:ascii="宋体" w:hAnsi="宋体"/>
          <w:sz w:val="24"/>
          <w14:ligatures w14:val="standardContextual"/>
        </w:rPr>
        <w:t>;</w:t>
      </w:r>
      <w:r>
        <w:rPr>
          <w:sz w:val="24"/>
          <w14:ligatures w14:val="standardContextual"/>
        </w:rPr>
        <w:t>FW</w:t>
      </w:r>
      <w:r>
        <w:rPr>
          <w:rFonts w:hint="eastAsia"/>
          <w:sz w:val="24"/>
          <w14:ligatures w14:val="standardContextual"/>
        </w:rPr>
        <w:t>和</w:t>
      </w:r>
      <w:r>
        <w:rPr>
          <w:sz w:val="24"/>
          <w14:ligatures w14:val="standardContextual"/>
        </w:rPr>
        <w:t>IW</w:t>
      </w:r>
      <w:r>
        <w:rPr>
          <w:rFonts w:hint="eastAsia"/>
          <w:sz w:val="24"/>
          <w14:ligatures w14:val="standardContextual"/>
        </w:rPr>
        <w:t>分别代表试验开始和结束时每个网箱内鱼的总重量</w:t>
      </w:r>
      <w:r>
        <w:rPr>
          <w:sz w:val="24"/>
          <w14:ligatures w14:val="standardContextual"/>
        </w:rPr>
        <w:t>(g)</w:t>
      </w:r>
      <w:r>
        <w:rPr>
          <w:rFonts w:ascii="宋体" w:hAnsi="宋体"/>
          <w:sz w:val="24"/>
          <w14:ligatures w14:val="standardContextual"/>
        </w:rPr>
        <w:t>;</w:t>
      </w:r>
      <w:r>
        <w:rPr>
          <w:sz w:val="24"/>
          <w14:ligatures w14:val="standardContextual"/>
        </w:rPr>
        <w:t>W</w:t>
      </w:r>
      <w:r>
        <w:rPr>
          <w:sz w:val="24"/>
          <w:vertAlign w:val="subscript"/>
          <w14:ligatures w14:val="standardContextual"/>
        </w:rPr>
        <w:t>d</w:t>
      </w:r>
      <w:r>
        <w:rPr>
          <w:rFonts w:hint="eastAsia"/>
          <w:sz w:val="24"/>
          <w14:ligatures w14:val="standardContextual"/>
        </w:rPr>
        <w:t>代表每个网箱内死鱼的重量</w:t>
      </w:r>
      <w:r>
        <w:rPr>
          <w:sz w:val="24"/>
          <w14:ligatures w14:val="standardContextual"/>
        </w:rPr>
        <w:t>(g)</w:t>
      </w:r>
      <w:r>
        <w:rPr>
          <w:rFonts w:ascii="宋体" w:hAnsi="宋体"/>
          <w:sz w:val="24"/>
          <w14:ligatures w14:val="standardContextual"/>
        </w:rPr>
        <w:t>;</w:t>
      </w:r>
      <w:r>
        <w:rPr>
          <w:sz w:val="24"/>
          <w14:ligatures w14:val="standardContextual"/>
        </w:rPr>
        <w:t>C</w:t>
      </w:r>
      <w:r>
        <w:rPr>
          <w:sz w:val="24"/>
          <w:vertAlign w:val="subscript"/>
          <w14:ligatures w14:val="standardContextual"/>
        </w:rPr>
        <w:t>Nt</w:t>
      </w:r>
      <w:r>
        <w:rPr>
          <w:rFonts w:hint="eastAsia"/>
          <w:sz w:val="24"/>
          <w14:ligatures w14:val="standardContextual"/>
        </w:rPr>
        <w:t>和</w:t>
      </w:r>
      <w:r>
        <w:rPr>
          <w:sz w:val="24"/>
          <w14:ligatures w14:val="standardContextual"/>
        </w:rPr>
        <w:t>C</w:t>
      </w:r>
      <w:r>
        <w:rPr>
          <w:sz w:val="24"/>
          <w:vertAlign w:val="subscript"/>
          <w14:ligatures w14:val="standardContextual"/>
        </w:rPr>
        <w:t>N0</w:t>
      </w:r>
      <w:r>
        <w:rPr>
          <w:rFonts w:hint="eastAsia"/>
          <w:sz w:val="24"/>
          <w14:ligatures w14:val="standardContextual"/>
        </w:rPr>
        <w:t>分别代表试验开始和结束时全鱼中营养物质含量</w:t>
      </w:r>
      <w:r>
        <w:rPr>
          <w:sz w:val="24"/>
          <w14:ligatures w14:val="standardContextual"/>
        </w:rPr>
        <w:t>(%)</w:t>
      </w:r>
      <w:r>
        <w:rPr>
          <w:rFonts w:ascii="宋体" w:hAnsi="宋体"/>
          <w:sz w:val="24"/>
          <w14:ligatures w14:val="standardContextual"/>
        </w:rPr>
        <w:t>;</w:t>
      </w:r>
      <w:r>
        <w:rPr>
          <w:sz w:val="24"/>
          <w14:ligatures w14:val="standardContextual"/>
        </w:rPr>
        <w:t>C</w:t>
      </w:r>
      <w:r>
        <w:rPr>
          <w:sz w:val="24"/>
          <w:vertAlign w:val="subscript"/>
          <w14:ligatures w14:val="standardContextual"/>
        </w:rPr>
        <w:t>Nd</w:t>
      </w:r>
      <w:r>
        <w:rPr>
          <w:rFonts w:hint="eastAsia"/>
          <w:sz w:val="24"/>
          <w14:ligatures w14:val="standardContextual"/>
        </w:rPr>
        <w:t>代表死鱼体中营养物质含量</w:t>
      </w:r>
      <w:r>
        <w:rPr>
          <w:sz w:val="24"/>
          <w14:ligatures w14:val="standardContextual"/>
        </w:rPr>
        <w:t>(%)</w:t>
      </w:r>
      <w:r>
        <w:rPr>
          <w:rFonts w:ascii="宋体" w:hAnsi="宋体"/>
          <w:sz w:val="24"/>
          <w14:ligatures w14:val="standardContextual"/>
        </w:rPr>
        <w:t>;</w:t>
      </w:r>
      <w:r>
        <w:rPr>
          <w:sz w:val="24"/>
          <w14:ligatures w14:val="standardContextual"/>
        </w:rPr>
        <w:t>C</w:t>
      </w:r>
      <w:r>
        <w:rPr>
          <w:sz w:val="24"/>
          <w:vertAlign w:val="subscript"/>
          <w14:ligatures w14:val="standardContextual"/>
        </w:rPr>
        <w:t>Nf</w:t>
      </w:r>
      <w:r>
        <w:rPr>
          <w:rFonts w:hint="eastAsia"/>
          <w:sz w:val="24"/>
          <w14:ligatures w14:val="standardContextual"/>
        </w:rPr>
        <w:t>代表饲料中营养物质的含量</w:t>
      </w:r>
      <w:r>
        <w:rPr>
          <w:sz w:val="24"/>
          <w14:ligatures w14:val="standardContextual"/>
        </w:rPr>
        <w:t>(%)</w:t>
      </w:r>
      <w:r>
        <w:rPr>
          <w:rFonts w:hint="eastAsia" w:ascii="宋体" w:hAnsi="宋体"/>
          <w:sz w:val="24"/>
          <w14:ligatures w14:val="standardContextual"/>
        </w:rPr>
        <w:t>。</w:t>
      </w:r>
    </w:p>
    <w:p w14:paraId="37E44C90">
      <w:pPr>
        <w:spacing w:line="360" w:lineRule="auto"/>
        <w:rPr>
          <w:sz w:val="24"/>
          <w14:ligatures w14:val="standardContextual"/>
        </w:rPr>
      </w:pPr>
      <w:r>
        <w:rPr>
          <w:sz w:val="24"/>
          <w14:ligatures w14:val="standardContextual"/>
        </w:rPr>
        <w:t>1.5.4</w:t>
      </w:r>
      <w:r>
        <w:rPr>
          <w:rFonts w:hint="eastAsia"/>
          <w:sz w:val="24"/>
          <w14:ligatures w14:val="standardContextual"/>
        </w:rPr>
        <w:t xml:space="preserve">  血清生化指标</w:t>
      </w:r>
    </w:p>
    <w:p w14:paraId="5AB3A660">
      <w:pPr>
        <w:spacing w:line="360" w:lineRule="auto"/>
        <w:ind w:firstLine="480" w:firstLineChars="200"/>
        <w:rPr>
          <w:rFonts w:ascii="宋体" w:hAnsi="宋体"/>
          <w:sz w:val="24"/>
          <w14:ligatures w14:val="standardContextual"/>
        </w:rPr>
      </w:pPr>
      <w:r>
        <w:rPr>
          <w:rFonts w:hint="eastAsia"/>
          <w:sz w:val="24"/>
          <w14:ligatures w14:val="standardContextual"/>
        </w:rPr>
        <w:t>使用南京建成生物工程研究所生产的试剂盒检测血清中谷草转氨酶</w:t>
      </w:r>
      <w:r>
        <w:rPr>
          <w:sz w:val="24"/>
          <w14:ligatures w14:val="standardContextual"/>
        </w:rPr>
        <w:t>(AST)</w:t>
      </w:r>
      <w:r>
        <w:rPr>
          <w:rFonts w:hint="eastAsia" w:ascii="宋体" w:hAnsi="宋体" w:cs="微软雅黑"/>
          <w:sz w:val="24"/>
          <w14:ligatures w14:val="standardContextual"/>
        </w:rPr>
        <w:t>、</w:t>
      </w:r>
      <w:r>
        <w:rPr>
          <w:rFonts w:hint="eastAsia"/>
          <w:sz w:val="24"/>
          <w14:ligatures w14:val="standardContextual"/>
        </w:rPr>
        <w:t>谷丙转氨酶</w:t>
      </w:r>
      <w:r>
        <w:rPr>
          <w:sz w:val="24"/>
          <w14:ligatures w14:val="standardContextual"/>
        </w:rPr>
        <w:t>(ALT)</w:t>
      </w:r>
      <w:r>
        <w:rPr>
          <w:rFonts w:hint="eastAsia"/>
          <w:sz w:val="24"/>
          <w14:ligatures w14:val="standardContextual"/>
        </w:rPr>
        <w:t>活性以及总胆固醇</w:t>
      </w:r>
      <w:r>
        <w:rPr>
          <w:sz w:val="24"/>
          <w14:ligatures w14:val="standardContextual"/>
        </w:rPr>
        <w:t>(TC)</w:t>
      </w:r>
      <w:r>
        <w:rPr>
          <w:rFonts w:hint="eastAsia" w:ascii="宋体" w:hAnsi="宋体" w:cs="微软雅黑"/>
          <w:sz w:val="24"/>
          <w14:ligatures w14:val="standardContextual"/>
        </w:rPr>
        <w:t>、</w:t>
      </w:r>
      <w:r>
        <w:rPr>
          <w:rFonts w:hint="eastAsia"/>
          <w:sz w:val="24"/>
          <w14:ligatures w14:val="standardContextual"/>
        </w:rPr>
        <w:t>甘油三酯</w:t>
      </w:r>
      <w:r>
        <w:rPr>
          <w:sz w:val="24"/>
          <w14:ligatures w14:val="standardContextual"/>
        </w:rPr>
        <w:t>(TG)</w:t>
      </w:r>
      <w:r>
        <w:rPr>
          <w:rFonts w:hint="eastAsia"/>
          <w:sz w:val="24"/>
          <w14:ligatures w14:val="standardContextual"/>
        </w:rPr>
        <w:t>和葡萄糖</w:t>
      </w:r>
      <w:r>
        <w:rPr>
          <w:sz w:val="24"/>
          <w14:ligatures w14:val="standardContextual"/>
        </w:rPr>
        <w:t>(Glu)</w:t>
      </w:r>
      <w:r>
        <w:rPr>
          <w:rFonts w:hint="eastAsia"/>
          <w:sz w:val="24"/>
          <w14:ligatures w14:val="standardContextual"/>
        </w:rPr>
        <w:t>含量</w:t>
      </w:r>
      <w:r>
        <w:rPr>
          <w:rFonts w:hint="eastAsia" w:ascii="宋体" w:hAnsi="宋体"/>
          <w:sz w:val="24"/>
          <w14:ligatures w14:val="standardContextual"/>
        </w:rPr>
        <w:t>。</w:t>
      </w:r>
    </w:p>
    <w:p w14:paraId="423EBD22">
      <w:pPr>
        <w:spacing w:line="360" w:lineRule="auto"/>
        <w:rPr>
          <w:sz w:val="24"/>
          <w14:ligatures w14:val="standardContextual"/>
        </w:rPr>
      </w:pPr>
      <w:r>
        <w:rPr>
          <w:sz w:val="24"/>
          <w14:ligatures w14:val="standardContextual"/>
        </w:rPr>
        <w:t>1.5.5</w:t>
      </w:r>
      <w:r>
        <w:rPr>
          <w:rFonts w:hint="eastAsia"/>
          <w:sz w:val="24"/>
          <w14:ligatures w14:val="standardContextual"/>
        </w:rPr>
        <w:t xml:space="preserve">  肠道黏膜抗氧化指标及消化酶活性</w:t>
      </w:r>
    </w:p>
    <w:p w14:paraId="581470B1">
      <w:pPr>
        <w:spacing w:line="360" w:lineRule="auto"/>
        <w:ind w:firstLine="480" w:firstLineChars="200"/>
        <w:rPr>
          <w:rFonts w:ascii="宋体" w:hAnsi="宋体"/>
          <w:sz w:val="24"/>
          <w14:ligatures w14:val="standardContextual"/>
        </w:rPr>
      </w:pPr>
      <w:r>
        <w:rPr>
          <w:rFonts w:hint="eastAsia"/>
          <w:sz w:val="24"/>
          <w14:ligatures w14:val="standardContextual"/>
        </w:rPr>
        <w:t>采用南京建成生物工程研究所生产的试剂盒测定肠道黏膜中</w:t>
      </w:r>
      <w:r>
        <w:rPr>
          <w:sz w:val="24"/>
          <w14:ligatures w14:val="standardContextual"/>
        </w:rPr>
        <w:t>α</w:t>
      </w:r>
      <w:r>
        <w:rPr>
          <w:rFonts w:hint="eastAsia"/>
          <w:sz w:val="24"/>
          <w14:ligatures w14:val="standardContextual"/>
        </w:rPr>
        <w:t>-淀粉酶（</w:t>
      </w:r>
      <w:r>
        <w:rPr>
          <w:sz w:val="24"/>
          <w14:ligatures w14:val="standardContextual"/>
        </w:rPr>
        <w:t>α-AMS</w:t>
      </w:r>
      <w:r>
        <w:rPr>
          <w:rFonts w:hint="eastAsia"/>
          <w:sz w:val="24"/>
          <w14:ligatures w14:val="standardContextual"/>
        </w:rPr>
        <w:t>）</w:t>
      </w:r>
      <w:r>
        <w:rPr>
          <w:rFonts w:hint="eastAsia" w:ascii="宋体" w:hAnsi="宋体" w:cs="微软雅黑"/>
          <w:sz w:val="24"/>
          <w14:ligatures w14:val="standardContextual"/>
        </w:rPr>
        <w:t>、</w:t>
      </w:r>
      <w:r>
        <w:rPr>
          <w:rFonts w:hint="eastAsia"/>
          <w:sz w:val="24"/>
          <w14:ligatures w14:val="standardContextual"/>
        </w:rPr>
        <w:t>胰蛋白酶（</w:t>
      </w:r>
      <w:r>
        <w:rPr>
          <w:sz w:val="24"/>
          <w14:ligatures w14:val="standardContextual"/>
        </w:rPr>
        <w:t>TPS</w:t>
      </w:r>
      <w:r>
        <w:rPr>
          <w:rFonts w:hint="eastAsia"/>
          <w:sz w:val="24"/>
          <w14:ligatures w14:val="standardContextual"/>
        </w:rPr>
        <w:t>）</w:t>
      </w:r>
      <w:r>
        <w:rPr>
          <w:rFonts w:hint="eastAsia" w:ascii="宋体" w:hAnsi="宋体" w:cs="微软雅黑"/>
          <w:sz w:val="24"/>
          <w14:ligatures w14:val="standardContextual"/>
        </w:rPr>
        <w:t>、</w:t>
      </w:r>
      <w:r>
        <w:rPr>
          <w:rFonts w:hint="eastAsia"/>
          <w:sz w:val="24"/>
          <w14:ligatures w14:val="standardContextual"/>
        </w:rPr>
        <w:t>脂肪酶（</w:t>
      </w:r>
      <w:r>
        <w:rPr>
          <w:sz w:val="24"/>
          <w14:ligatures w14:val="standardContextual"/>
        </w:rPr>
        <w:t>LPS</w:t>
      </w:r>
      <w:r>
        <w:rPr>
          <w:rFonts w:hint="eastAsia"/>
          <w:sz w:val="24"/>
          <w14:ligatures w14:val="standardContextual"/>
        </w:rPr>
        <w:t>）</w:t>
      </w:r>
      <w:r>
        <w:rPr>
          <w:rFonts w:hint="eastAsia" w:ascii="宋体" w:hAnsi="宋体" w:cs="微软雅黑"/>
          <w:sz w:val="24"/>
          <w14:ligatures w14:val="standardContextual"/>
        </w:rPr>
        <w:t>、</w:t>
      </w:r>
      <w:r>
        <w:rPr>
          <w:rFonts w:hint="eastAsia"/>
          <w:sz w:val="24"/>
          <w14:ligatures w14:val="standardContextual"/>
        </w:rPr>
        <w:t>总超氧化物歧化酶（</w:t>
      </w:r>
      <w:r>
        <w:rPr>
          <w:sz w:val="24"/>
          <w14:ligatures w14:val="standardContextual"/>
        </w:rPr>
        <w:t>SOD</w:t>
      </w:r>
      <w:r>
        <w:rPr>
          <w:rFonts w:hint="eastAsia"/>
          <w:sz w:val="24"/>
          <w14:ligatures w14:val="standardContextual"/>
        </w:rPr>
        <w:t>）</w:t>
      </w:r>
      <w:r>
        <w:rPr>
          <w:rFonts w:hint="eastAsia" w:ascii="宋体" w:hAnsi="宋体" w:cs="微软雅黑"/>
          <w:sz w:val="24"/>
          <w14:ligatures w14:val="standardContextual"/>
        </w:rPr>
        <w:t>、</w:t>
      </w:r>
      <w:r>
        <w:rPr>
          <w:rFonts w:hint="eastAsia"/>
          <w:sz w:val="24"/>
          <w14:ligatures w14:val="standardContextual"/>
        </w:rPr>
        <w:t>过氧化氢酶（</w:t>
      </w:r>
      <w:r>
        <w:rPr>
          <w:sz w:val="24"/>
          <w14:ligatures w14:val="standardContextual"/>
        </w:rPr>
        <w:t>CAT</w:t>
      </w:r>
      <w:r>
        <w:rPr>
          <w:rFonts w:hint="eastAsia"/>
          <w:sz w:val="24"/>
          <w14:ligatures w14:val="standardContextual"/>
        </w:rPr>
        <w:t>）活性与总抗氧化能力（</w:t>
      </w:r>
      <w:r>
        <w:rPr>
          <w:sz w:val="24"/>
          <w14:ligatures w14:val="standardContextual"/>
        </w:rPr>
        <w:t>T-AOC</w:t>
      </w:r>
      <w:r>
        <w:rPr>
          <w:rFonts w:hint="eastAsia"/>
          <w:sz w:val="24"/>
          <w14:ligatures w14:val="standardContextual"/>
        </w:rPr>
        <w:t>）</w:t>
      </w:r>
      <w:r>
        <w:rPr>
          <w:rFonts w:hint="eastAsia" w:ascii="宋体" w:hAnsi="宋体"/>
          <w:sz w:val="24"/>
          <w14:ligatures w14:val="standardContextual"/>
        </w:rPr>
        <w:t>。</w:t>
      </w:r>
    </w:p>
    <w:p w14:paraId="7AF79D42">
      <w:pPr>
        <w:spacing w:line="360" w:lineRule="auto"/>
        <w:rPr>
          <w:sz w:val="24"/>
          <w14:ligatures w14:val="standardContextual"/>
        </w:rPr>
      </w:pPr>
      <w:r>
        <w:rPr>
          <w:sz w:val="24"/>
          <w14:ligatures w14:val="standardContextual"/>
        </w:rPr>
        <w:t>1.5.6</w:t>
      </w:r>
      <w:r>
        <w:rPr>
          <w:rFonts w:hint="eastAsia"/>
          <w:sz w:val="24"/>
          <w14:ligatures w14:val="standardContextual"/>
        </w:rPr>
        <w:t xml:space="preserve">  肠道屏障功能相关基因</w:t>
      </w:r>
      <w:r>
        <w:rPr>
          <w:sz w:val="24"/>
          <w14:ligatures w14:val="standardContextual"/>
        </w:rPr>
        <w:t>mRNA</w:t>
      </w:r>
      <w:r>
        <w:rPr>
          <w:rFonts w:hint="eastAsia"/>
          <w:sz w:val="24"/>
          <w14:ligatures w14:val="standardContextual"/>
        </w:rPr>
        <w:t>的相对表达量</w:t>
      </w:r>
    </w:p>
    <w:p w14:paraId="51E7AE99">
      <w:pPr>
        <w:spacing w:line="360" w:lineRule="auto"/>
        <w:ind w:firstLine="480" w:firstLineChars="200"/>
        <w:rPr>
          <w:rFonts w:ascii="宋体" w:hAnsi="宋体"/>
          <w:sz w:val="24"/>
          <w14:ligatures w14:val="standardContextual"/>
        </w:rPr>
      </w:pPr>
      <w:r>
        <w:rPr>
          <w:rFonts w:hint="eastAsia"/>
          <w:sz w:val="24"/>
          <w14:ligatures w14:val="standardContextual"/>
        </w:rPr>
        <w:t>采用</w:t>
      </w:r>
      <w:r>
        <w:rPr>
          <w:sz w:val="24"/>
          <w14:ligatures w14:val="standardContextual"/>
        </w:rPr>
        <w:t>MagaBio</w:t>
      </w:r>
      <w:r>
        <w:rPr>
          <w:rFonts w:hint="eastAsia"/>
          <w:sz w:val="24"/>
          <w14:ligatures w14:val="standardContextual"/>
        </w:rPr>
        <w:t xml:space="preserve"> </w:t>
      </w:r>
      <w:r>
        <w:rPr>
          <w:sz w:val="24"/>
          <w14:ligatures w14:val="standardContextual"/>
        </w:rPr>
        <w:t>plus</w:t>
      </w:r>
      <w:r>
        <w:rPr>
          <w:rFonts w:hint="eastAsia"/>
          <w:sz w:val="24"/>
          <w14:ligatures w14:val="standardContextual"/>
        </w:rPr>
        <w:t>总R</w:t>
      </w:r>
      <w:r>
        <w:rPr>
          <w:sz w:val="24"/>
          <w14:ligatures w14:val="standardContextual"/>
        </w:rPr>
        <w:t>NA</w:t>
      </w:r>
      <w:r>
        <w:rPr>
          <w:rFonts w:hint="eastAsia"/>
          <w:sz w:val="24"/>
          <w14:ligatures w14:val="standardContextual"/>
        </w:rPr>
        <w:t>纯化试剂盒Ⅱ(来自杭州景杰</w:t>
      </w:r>
      <w:r>
        <w:rPr>
          <w:sz w:val="24"/>
          <w14:ligatures w14:val="standardContextual"/>
        </w:rPr>
        <w:t>)</w:t>
      </w:r>
      <w:r>
        <w:rPr>
          <w:rFonts w:hint="eastAsia"/>
          <w:sz w:val="24"/>
          <w14:ligatures w14:val="standardContextual"/>
        </w:rPr>
        <w:t>提取肠道黏膜样本的总</w:t>
      </w:r>
      <w:r>
        <w:rPr>
          <w:sz w:val="24"/>
          <w14:ligatures w14:val="standardContextual"/>
        </w:rPr>
        <w:t>RNA</w:t>
      </w:r>
      <w:r>
        <w:rPr>
          <w:rFonts w:hint="eastAsia" w:ascii="宋体" w:hAnsi="宋体"/>
          <w:sz w:val="24"/>
          <w14:ligatures w14:val="standardContextual"/>
        </w:rPr>
        <w:t>,</w:t>
      </w:r>
      <w:r>
        <w:rPr>
          <w:rFonts w:hint="eastAsia"/>
          <w:sz w:val="24"/>
          <w14:ligatures w14:val="standardContextual"/>
        </w:rPr>
        <w:t>并使用</w:t>
      </w:r>
      <w:r>
        <w:rPr>
          <w:sz w:val="24"/>
          <w14:ligatures w14:val="standardContextual"/>
        </w:rPr>
        <w:t>1.0</w:t>
      </w:r>
      <w:r>
        <w:rPr>
          <w:rFonts w:hint="eastAsia"/>
          <w:sz w:val="24"/>
          <w14:ligatures w14:val="standardContextual"/>
        </w:rPr>
        <w:t xml:space="preserve"> </w:t>
      </w:r>
      <w:r>
        <w:rPr>
          <w:sz w:val="24"/>
          <w14:ligatures w14:val="standardContextual"/>
        </w:rPr>
        <w:t>%</w:t>
      </w:r>
      <w:r>
        <w:rPr>
          <w:rFonts w:hint="eastAsia"/>
          <w:sz w:val="24"/>
          <w14:ligatures w14:val="standardContextual"/>
        </w:rPr>
        <w:t>的琼脂糖凝胶电泳来评估</w:t>
      </w:r>
      <w:r>
        <w:rPr>
          <w:sz w:val="24"/>
          <w14:ligatures w14:val="standardContextual"/>
        </w:rPr>
        <w:t>RNA</w:t>
      </w:r>
      <w:r>
        <w:rPr>
          <w:rFonts w:hint="eastAsia"/>
          <w:sz w:val="24"/>
          <w14:ligatures w14:val="standardContextual"/>
        </w:rPr>
        <w:t>的质量</w:t>
      </w:r>
      <w:r>
        <w:rPr>
          <w:rFonts w:hint="eastAsia" w:ascii="宋体" w:hAnsi="宋体"/>
          <w:sz w:val="24"/>
          <w14:ligatures w14:val="standardContextual"/>
        </w:rPr>
        <w:t>。</w:t>
      </w:r>
      <w:r>
        <w:rPr>
          <w:rFonts w:hint="eastAsia"/>
          <w:sz w:val="24"/>
          <w14:ligatures w14:val="standardContextual"/>
        </w:rPr>
        <w:t>根据</w:t>
      </w:r>
      <w:r>
        <w:rPr>
          <w:sz w:val="24"/>
          <w14:ligatures w14:val="standardContextual"/>
        </w:rPr>
        <w:t>HiScript</w:t>
      </w:r>
      <w:r>
        <w:rPr>
          <w:rFonts w:hint="eastAsia"/>
          <w:sz w:val="24"/>
          <w14:ligatures w14:val="standardContextual"/>
        </w:rPr>
        <w:t xml:space="preserve"> Ⅱ1st </w:t>
      </w:r>
      <w:r>
        <w:rPr>
          <w:sz w:val="24"/>
          <w14:ligatures w14:val="standardContextual"/>
        </w:rPr>
        <w:t>Strand</w:t>
      </w:r>
      <w:r>
        <w:rPr>
          <w:rFonts w:hint="eastAsia"/>
          <w:sz w:val="24"/>
          <w14:ligatures w14:val="standardContextual"/>
        </w:rPr>
        <w:t xml:space="preserve"> </w:t>
      </w:r>
      <w:r>
        <w:rPr>
          <w:sz w:val="24"/>
          <w14:ligatures w14:val="standardContextual"/>
        </w:rPr>
        <w:t>cDNA</w:t>
      </w:r>
      <w:r>
        <w:rPr>
          <w:rFonts w:hint="eastAsia"/>
          <w:sz w:val="24"/>
          <w14:ligatures w14:val="standardContextual"/>
        </w:rPr>
        <w:t xml:space="preserve"> </w:t>
      </w:r>
      <w:r>
        <w:rPr>
          <w:sz w:val="24"/>
          <w14:ligatures w14:val="standardContextual"/>
        </w:rPr>
        <w:t>Synthesis</w:t>
      </w:r>
      <w:r>
        <w:rPr>
          <w:rFonts w:hint="eastAsia"/>
          <w:sz w:val="24"/>
          <w14:ligatures w14:val="standardContextual"/>
        </w:rPr>
        <w:t xml:space="preserve"> </w:t>
      </w:r>
      <w:r>
        <w:rPr>
          <w:sz w:val="24"/>
          <w14:ligatures w14:val="standardContextual"/>
        </w:rPr>
        <w:t>Kit(</w:t>
      </w:r>
      <w:r>
        <w:rPr>
          <w:rFonts w:hint="eastAsia"/>
          <w:sz w:val="24"/>
          <w14:ligatures w14:val="standardContextual"/>
        </w:rPr>
        <w:t>南京诺唯赞生物科技股份有限公司</w:t>
      </w:r>
      <w:r>
        <w:rPr>
          <w:sz w:val="24"/>
          <w14:ligatures w14:val="standardContextual"/>
        </w:rPr>
        <w:t>)</w:t>
      </w:r>
      <w:r>
        <w:rPr>
          <w:rFonts w:hint="eastAsia"/>
          <w:sz w:val="24"/>
          <w14:ligatures w14:val="standardContextual"/>
        </w:rPr>
        <w:t>说明书</w:t>
      </w:r>
      <w:r>
        <w:rPr>
          <w:rFonts w:hint="eastAsia" w:ascii="宋体" w:hAnsi="宋体"/>
          <w:sz w:val="24"/>
          <w14:ligatures w14:val="standardContextual"/>
        </w:rPr>
        <w:t>,</w:t>
      </w:r>
      <w:r>
        <w:rPr>
          <w:rFonts w:hint="eastAsia"/>
          <w:sz w:val="24"/>
          <w14:ligatures w14:val="standardContextual"/>
        </w:rPr>
        <w:t>按照配制体系进行反转录</w:t>
      </w:r>
      <w:r>
        <w:rPr>
          <w:rFonts w:hint="eastAsia" w:ascii="宋体" w:hAnsi="宋体"/>
          <w:sz w:val="24"/>
          <w14:ligatures w14:val="standardContextual"/>
        </w:rPr>
        <w:t>。</w:t>
      </w:r>
      <w:r>
        <w:rPr>
          <w:rFonts w:hint="eastAsia"/>
          <w:sz w:val="24"/>
          <w14:ligatures w14:val="standardContextual"/>
        </w:rPr>
        <w:t>完成反转录后</w:t>
      </w:r>
      <w:r>
        <w:rPr>
          <w:rFonts w:ascii="宋体" w:hAnsi="宋体"/>
          <w:sz w:val="24"/>
          <w14:ligatures w14:val="standardContextual"/>
        </w:rPr>
        <w:t>,</w:t>
      </w:r>
      <w:r>
        <w:rPr>
          <w:rFonts w:hint="eastAsia"/>
          <w:sz w:val="24"/>
          <w14:ligatures w14:val="standardContextual"/>
        </w:rPr>
        <w:t>将</w:t>
      </w:r>
      <w:r>
        <w:rPr>
          <w:sz w:val="24"/>
          <w14:ligatures w14:val="standardContextual"/>
        </w:rPr>
        <w:t>cDNA</w:t>
      </w:r>
      <w:r>
        <w:rPr>
          <w:rFonts w:hint="eastAsia"/>
          <w:sz w:val="24"/>
          <w14:ligatures w14:val="standardContextual"/>
        </w:rPr>
        <w:t>存储于-</w:t>
      </w:r>
      <w:r>
        <w:rPr>
          <w:sz w:val="24"/>
          <w14:ligatures w14:val="standardContextual"/>
        </w:rPr>
        <w:t>80</w:t>
      </w:r>
      <w:r>
        <w:rPr>
          <w:rFonts w:hint="eastAsia"/>
          <w:sz w:val="24"/>
          <w14:ligatures w14:val="standardContextual"/>
        </w:rPr>
        <w:t>℃备用</w:t>
      </w:r>
      <w:r>
        <w:rPr>
          <w:rFonts w:hint="eastAsia" w:ascii="宋体" w:hAnsi="宋体"/>
          <w:sz w:val="24"/>
          <w14:ligatures w14:val="standardContextual"/>
        </w:rPr>
        <w:t>。</w:t>
      </w:r>
      <w:r>
        <w:rPr>
          <w:rFonts w:hint="eastAsia"/>
          <w:sz w:val="24"/>
          <w14:ligatures w14:val="standardContextual"/>
        </w:rPr>
        <w:t>通过实时荧光定量</w:t>
      </w:r>
      <w:r>
        <w:rPr>
          <w:sz w:val="24"/>
          <w14:ligatures w14:val="standardContextual"/>
        </w:rPr>
        <w:t>PCR(RT</w:t>
      </w:r>
      <w:r>
        <w:rPr>
          <w:rFonts w:hint="eastAsia"/>
          <w:sz w:val="24"/>
          <w14:ligatures w14:val="standardContextual"/>
        </w:rPr>
        <w:t>-</w:t>
      </w:r>
      <w:r>
        <w:rPr>
          <w:sz w:val="24"/>
          <w14:ligatures w14:val="standardContextual"/>
        </w:rPr>
        <w:t>qPCR)(</w:t>
      </w:r>
      <w:r>
        <w:rPr>
          <w:rFonts w:hint="eastAsia"/>
          <w:sz w:val="24"/>
          <w14:ligatures w14:val="standardContextual"/>
        </w:rPr>
        <w:t>赛默飞的实时荧光定量</w:t>
      </w:r>
      <w:r>
        <w:rPr>
          <w:sz w:val="24"/>
          <w14:ligatures w14:val="standardContextual"/>
        </w:rPr>
        <w:t>PC</w:t>
      </w:r>
      <w:r>
        <w:rPr>
          <w:rFonts w:hint="eastAsia"/>
          <w:sz w:val="24"/>
          <w14:ligatures w14:val="standardContextual"/>
        </w:rPr>
        <w:t>R仪</w:t>
      </w:r>
      <w:r>
        <w:rPr>
          <w:rFonts w:hint="eastAsia" w:ascii="宋体" w:hAnsi="宋体"/>
          <w:sz w:val="24"/>
          <w14:ligatures w14:val="standardContextual"/>
        </w:rPr>
        <w:t>,</w:t>
      </w:r>
      <w:r>
        <w:rPr>
          <w:sz w:val="24"/>
          <w14:ligatures w14:val="standardContextual"/>
        </w:rPr>
        <w:t>QuantStudio3</w:t>
      </w:r>
      <w:r>
        <w:rPr>
          <w:rFonts w:hint="eastAsia" w:ascii="宋体" w:hAnsi="宋体"/>
          <w:sz w:val="24"/>
          <w14:ligatures w14:val="standardContextual"/>
        </w:rPr>
        <w:t>,</w:t>
      </w:r>
      <w:r>
        <w:rPr>
          <w:rFonts w:hint="eastAsia"/>
          <w:sz w:val="24"/>
          <w14:ligatures w14:val="standardContextual"/>
        </w:rPr>
        <w:t>美国</w:t>
      </w:r>
      <w:r>
        <w:rPr>
          <w:sz w:val="24"/>
          <w14:ligatures w14:val="standardContextual"/>
        </w:rPr>
        <w:t>)</w:t>
      </w:r>
      <w:r>
        <w:rPr>
          <w:rFonts w:hint="eastAsia"/>
          <w:sz w:val="24"/>
          <w14:ligatures w14:val="standardContextual"/>
        </w:rPr>
        <w:t>对</w:t>
      </w:r>
      <w:r>
        <w:rPr>
          <w:sz w:val="24"/>
          <w14:ligatures w14:val="standardContextual"/>
        </w:rPr>
        <w:t>cDNA</w:t>
      </w:r>
      <w:r>
        <w:rPr>
          <w:rFonts w:hint="eastAsia"/>
          <w:sz w:val="24"/>
          <w14:ligatures w14:val="standardContextual"/>
        </w:rPr>
        <w:t>进行检测</w:t>
      </w:r>
      <w:r>
        <w:rPr>
          <w:rFonts w:hint="eastAsia" w:ascii="宋体" w:hAnsi="宋体"/>
          <w:sz w:val="24"/>
          <w14:ligatures w14:val="standardContextual"/>
        </w:rPr>
        <w:t>,</w:t>
      </w:r>
      <w:r>
        <w:rPr>
          <w:rFonts w:hint="eastAsia"/>
          <w:sz w:val="24"/>
          <w14:ligatures w14:val="standardContextual"/>
        </w:rPr>
        <w:t>每个样品重复</w:t>
      </w:r>
      <w:r>
        <w:rPr>
          <w:sz w:val="24"/>
          <w14:ligatures w14:val="standardContextual"/>
        </w:rPr>
        <w:t>3</w:t>
      </w:r>
      <w:r>
        <w:rPr>
          <w:rFonts w:hint="eastAsia"/>
          <w:sz w:val="24"/>
          <w14:ligatures w14:val="standardContextual"/>
        </w:rPr>
        <w:t>次</w:t>
      </w:r>
      <w:r>
        <w:rPr>
          <w:rFonts w:hint="eastAsia" w:ascii="宋体" w:hAnsi="宋体"/>
          <w:sz w:val="24"/>
          <w14:ligatures w14:val="standardContextual"/>
        </w:rPr>
        <w:t>。</w:t>
      </w:r>
      <w:r>
        <w:rPr>
          <w:sz w:val="24"/>
          <w14:ligatures w14:val="standardContextual"/>
        </w:rPr>
        <w:t>RT-qPC</w:t>
      </w:r>
      <w:r>
        <w:rPr>
          <w:rFonts w:hint="eastAsia"/>
          <w:sz w:val="24"/>
          <w14:ligatures w14:val="standardContextual"/>
        </w:rPr>
        <w:t>R反应体系</w:t>
      </w:r>
      <w:r>
        <w:rPr>
          <w:sz w:val="24"/>
          <w14:ligatures w14:val="standardContextual"/>
        </w:rPr>
        <w:t>(20μL)</w:t>
      </w:r>
      <w:r>
        <w:rPr>
          <w:rFonts w:hint="eastAsia"/>
          <w:sz w:val="24"/>
          <w14:ligatures w14:val="standardContextual"/>
        </w:rPr>
        <w:t>和反应程序参照</w:t>
      </w:r>
      <w:r>
        <w:rPr>
          <w:sz w:val="24"/>
          <w14:ligatures w14:val="standardContextual"/>
        </w:rPr>
        <w:t>SYBR</w:t>
      </w:r>
      <w:r>
        <w:rPr>
          <w:rFonts w:hint="eastAsia"/>
          <w:sz w:val="24"/>
          <w14:ligatures w14:val="standardContextual"/>
        </w:rPr>
        <w:t xml:space="preserve"> </w:t>
      </w:r>
      <w:r>
        <w:rPr>
          <w:sz w:val="24"/>
          <w14:ligatures w14:val="standardContextual"/>
        </w:rPr>
        <w:t>qPCR</w:t>
      </w:r>
      <w:r>
        <w:rPr>
          <w:rFonts w:hint="eastAsia"/>
          <w:sz w:val="24"/>
          <w14:ligatures w14:val="standardContextual"/>
        </w:rPr>
        <w:t xml:space="preserve"> </w:t>
      </w:r>
      <w:r>
        <w:rPr>
          <w:sz w:val="24"/>
          <w14:ligatures w14:val="standardContextual"/>
        </w:rPr>
        <w:t>Master</w:t>
      </w:r>
      <w:r>
        <w:rPr>
          <w:rFonts w:hint="eastAsia"/>
          <w:sz w:val="24"/>
          <w14:ligatures w14:val="standardContextual"/>
        </w:rPr>
        <w:t xml:space="preserve"> </w:t>
      </w:r>
      <w:r>
        <w:rPr>
          <w:sz w:val="24"/>
          <w14:ligatures w14:val="standardContextual"/>
        </w:rPr>
        <w:t>Mix(</w:t>
      </w:r>
      <w:r>
        <w:rPr>
          <w:rFonts w:hint="eastAsia"/>
          <w:sz w:val="24"/>
          <w14:ligatures w14:val="standardContextual"/>
        </w:rPr>
        <w:t>南京诺唯赞生物科技股份有限公司</w:t>
      </w:r>
      <w:r>
        <w:rPr>
          <w:sz w:val="24"/>
          <w14:ligatures w14:val="standardContextual"/>
        </w:rPr>
        <w:t>)</w:t>
      </w:r>
      <w:r>
        <w:rPr>
          <w:rFonts w:hint="eastAsia"/>
          <w:sz w:val="24"/>
          <w14:ligatures w14:val="standardContextual"/>
        </w:rPr>
        <w:t>说明书进行操作</w:t>
      </w:r>
      <w:r>
        <w:rPr>
          <w:rFonts w:hint="eastAsia" w:ascii="宋体" w:hAnsi="宋体"/>
          <w:sz w:val="24"/>
          <w14:ligatures w14:val="standardContextual"/>
        </w:rPr>
        <w:t>。</w:t>
      </w:r>
      <w:r>
        <w:rPr>
          <w:rFonts w:hint="eastAsia"/>
          <w:sz w:val="24"/>
          <w14:ligatures w14:val="standardContextual"/>
        </w:rPr>
        <w:t>以甘油醛</w:t>
      </w:r>
      <w:r>
        <w:rPr>
          <w:sz w:val="24"/>
          <w14:ligatures w14:val="standardContextual"/>
        </w:rPr>
        <w:t>-3</w:t>
      </w:r>
      <w:r>
        <w:rPr>
          <w:rFonts w:hint="eastAsia"/>
          <w:sz w:val="24"/>
          <w14:ligatures w14:val="standardContextual"/>
        </w:rPr>
        <w:t>-磷酸脱氢酶</w:t>
      </w:r>
      <w:r>
        <w:rPr>
          <w:sz w:val="24"/>
          <w14:ligatures w14:val="standardContextual"/>
        </w:rPr>
        <w:t>(</w:t>
      </w:r>
      <w:r>
        <w:rPr>
          <w:i/>
          <w:iCs/>
          <w:sz w:val="24"/>
          <w14:ligatures w14:val="standardContextual"/>
        </w:rPr>
        <w:t>GAPDH</w:t>
      </w:r>
      <w:r>
        <w:rPr>
          <w:sz w:val="24"/>
          <w14:ligatures w14:val="standardContextual"/>
        </w:rPr>
        <w:t>)</w:t>
      </w:r>
      <w:r>
        <w:rPr>
          <w:rFonts w:hint="eastAsia"/>
          <w:sz w:val="24"/>
          <w14:ligatures w14:val="standardContextual"/>
        </w:rPr>
        <w:t>为内参基因</w:t>
      </w:r>
      <w:r>
        <w:rPr>
          <w:rFonts w:hint="eastAsia" w:ascii="宋体" w:hAnsi="宋体"/>
          <w:sz w:val="24"/>
          <w14:ligatures w14:val="standardContextual"/>
        </w:rPr>
        <w:t>,</w:t>
      </w:r>
      <w:r>
        <w:rPr>
          <w:rFonts w:hint="eastAsia"/>
          <w:sz w:val="24"/>
          <w14:ligatures w14:val="standardContextual"/>
        </w:rPr>
        <w:t>根据</w:t>
      </w:r>
      <w:r>
        <w:rPr>
          <w:sz w:val="24"/>
          <w14:ligatures w14:val="standardContextual"/>
        </w:rPr>
        <w:t>Livak</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15</w:t>
      </w:r>
      <w:r>
        <w:rPr>
          <w:rFonts w:hint="eastAsia"/>
          <w:sz w:val="24"/>
          <w:vertAlign w:val="superscript"/>
          <w14:ligatures w14:val="standardContextual"/>
        </w:rPr>
        <w:t>]</w:t>
      </w:r>
      <w:r>
        <w:rPr>
          <w:rFonts w:hint="eastAsia"/>
          <w:sz w:val="24"/>
          <w14:ligatures w14:val="standardContextual"/>
        </w:rPr>
        <w:t>报道的</w:t>
      </w:r>
      <w:r>
        <w:rPr>
          <w:sz w:val="24"/>
          <w14:ligatures w14:val="standardContextual"/>
        </w:rPr>
        <w:t>2</w:t>
      </w:r>
      <w:r>
        <w:rPr>
          <w:sz w:val="24"/>
          <w:vertAlign w:val="superscript"/>
          <w14:ligatures w14:val="standardContextual"/>
        </w:rPr>
        <w:t>-ΔΔCt</w:t>
      </w:r>
      <w:r>
        <w:rPr>
          <w:rFonts w:hint="eastAsia"/>
          <w:sz w:val="24"/>
          <w14:ligatures w14:val="standardContextual"/>
        </w:rPr>
        <w:t>法计算目的基因闭锁小带蛋白-</w:t>
      </w:r>
      <w:r>
        <w:rPr>
          <w:sz w:val="24"/>
          <w14:ligatures w14:val="standardContextual"/>
        </w:rPr>
        <w:t>1(</w:t>
      </w:r>
      <w:r>
        <w:rPr>
          <w:i/>
          <w:iCs/>
          <w:sz w:val="24"/>
          <w14:ligatures w14:val="standardContextual"/>
        </w:rPr>
        <w:t>ZO</w:t>
      </w:r>
      <w:r>
        <w:rPr>
          <w:sz w:val="24"/>
          <w14:ligatures w14:val="standardContextual"/>
        </w:rPr>
        <w:t>-1)</w:t>
      </w:r>
      <w:r>
        <w:rPr>
          <w:rFonts w:hint="eastAsia" w:ascii="宋体" w:hAnsi="宋体" w:cs="微软雅黑"/>
          <w:sz w:val="24"/>
          <w14:ligatures w14:val="standardContextual"/>
        </w:rPr>
        <w:t>、</w:t>
      </w:r>
      <w:r>
        <w:rPr>
          <w:rFonts w:hint="eastAsia"/>
          <w:sz w:val="24"/>
          <w14:ligatures w14:val="standardContextual"/>
        </w:rPr>
        <w:t>闭合蛋白</w:t>
      </w:r>
      <w:r>
        <w:rPr>
          <w:sz w:val="24"/>
          <w14:ligatures w14:val="standardContextual"/>
        </w:rPr>
        <w:t>(</w:t>
      </w:r>
      <w:r>
        <w:rPr>
          <w:i/>
          <w:iCs/>
          <w:sz w:val="24"/>
          <w14:ligatures w14:val="standardContextual"/>
        </w:rPr>
        <w:t>Occlidin</w:t>
      </w:r>
      <w:r>
        <w:rPr>
          <w:sz w:val="24"/>
          <w14:ligatures w14:val="standardContextual"/>
        </w:rPr>
        <w:t>)</w:t>
      </w:r>
      <w:r>
        <w:rPr>
          <w:rFonts w:hint="eastAsia"/>
          <w:sz w:val="24"/>
          <w14:ligatures w14:val="standardContextual"/>
        </w:rPr>
        <w:t>和封闭蛋白-</w:t>
      </w:r>
      <w:r>
        <w:rPr>
          <w:sz w:val="24"/>
          <w14:ligatures w14:val="standardContextual"/>
        </w:rPr>
        <w:t>1(</w:t>
      </w:r>
      <w:r>
        <w:rPr>
          <w:i/>
          <w:iCs/>
          <w:sz w:val="24"/>
          <w14:ligatures w14:val="standardContextual"/>
        </w:rPr>
        <w:t>Claudin</w:t>
      </w:r>
      <w:r>
        <w:rPr>
          <w:sz w:val="24"/>
          <w14:ligatures w14:val="standardContextual"/>
        </w:rPr>
        <w:t>-1)</w:t>
      </w:r>
      <w:r>
        <w:rPr>
          <w:rFonts w:hint="eastAsia"/>
          <w:sz w:val="24"/>
          <w14:ligatures w14:val="standardContextual"/>
        </w:rPr>
        <w:t>的</w:t>
      </w:r>
      <w:r>
        <w:rPr>
          <w:sz w:val="24"/>
          <w14:ligatures w14:val="standardContextual"/>
        </w:rPr>
        <w:t>mRNA</w:t>
      </w:r>
      <w:r>
        <w:rPr>
          <w:rFonts w:hint="eastAsia"/>
          <w:sz w:val="24"/>
          <w14:ligatures w14:val="standardContextual"/>
        </w:rPr>
        <w:t>相对表达量</w:t>
      </w:r>
      <w:r>
        <w:rPr>
          <w:rFonts w:hint="eastAsia" w:ascii="宋体" w:hAnsi="宋体"/>
          <w:sz w:val="24"/>
          <w14:ligatures w14:val="standardContextual"/>
        </w:rPr>
        <w:t>。</w:t>
      </w:r>
      <w:r>
        <w:rPr>
          <w:rFonts w:hint="eastAsia"/>
          <w:sz w:val="24"/>
          <w14:ligatures w14:val="standardContextual"/>
        </w:rPr>
        <w:t>引物信息见表</w:t>
      </w:r>
      <w:r>
        <w:rPr>
          <w:sz w:val="24"/>
          <w14:ligatures w14:val="standardContextual"/>
        </w:rPr>
        <w:t>3</w:t>
      </w:r>
      <w:r>
        <w:rPr>
          <w:rFonts w:hint="eastAsia" w:ascii="宋体" w:hAnsi="宋体"/>
          <w:sz w:val="24"/>
          <w14:ligatures w14:val="standardContextual"/>
        </w:rPr>
        <w:t>。</w:t>
      </w:r>
    </w:p>
    <w:p w14:paraId="138B6A2F">
      <w:pPr>
        <w:spacing w:line="360" w:lineRule="auto"/>
        <w:rPr>
          <w:sz w:val="24"/>
          <w14:ligatures w14:val="standardContextual"/>
        </w:rPr>
      </w:pPr>
      <w:r>
        <w:rPr>
          <w:sz w:val="24"/>
          <w14:ligatures w14:val="standardContextual"/>
        </w:rPr>
        <w:t>1.5.7</w:t>
      </w:r>
      <w:r>
        <w:rPr>
          <w:rFonts w:hint="eastAsia"/>
          <w:sz w:val="24"/>
          <w14:ligatures w14:val="standardContextual"/>
        </w:rPr>
        <w:t xml:space="preserve">  肠道组织形态结构</w:t>
      </w:r>
    </w:p>
    <w:p w14:paraId="25DB0C29">
      <w:pPr>
        <w:spacing w:line="360" w:lineRule="auto"/>
        <w:ind w:firstLine="480" w:firstLineChars="200"/>
        <w:rPr>
          <w:rFonts w:ascii="宋体" w:hAnsi="宋体"/>
          <w:sz w:val="24"/>
          <w14:ligatures w14:val="standardContextual"/>
        </w:rPr>
      </w:pPr>
      <w:r>
        <w:rPr>
          <w:rFonts w:hint="eastAsia"/>
          <w:sz w:val="24"/>
          <w14:ligatures w14:val="standardContextual"/>
        </w:rPr>
        <w:t>每个组随机选取</w:t>
      </w:r>
      <w:r>
        <w:rPr>
          <w:sz w:val="24"/>
          <w14:ligatures w14:val="standardContextual"/>
        </w:rPr>
        <w:t>7</w:t>
      </w:r>
      <w:r>
        <w:rPr>
          <w:rFonts w:hint="eastAsia"/>
          <w:sz w:val="24"/>
          <w14:ligatures w14:val="standardContextual"/>
        </w:rPr>
        <w:t>尾试验鱼的肠道用于组织学分析</w:t>
      </w:r>
      <w:r>
        <w:rPr>
          <w:rFonts w:hint="eastAsia" w:ascii="宋体" w:hAnsi="宋体"/>
          <w:sz w:val="24"/>
          <w14:ligatures w14:val="standardContextual"/>
        </w:rPr>
        <w:t>。</w:t>
      </w:r>
      <w:r>
        <w:rPr>
          <w:rFonts w:hint="eastAsia"/>
          <w:sz w:val="24"/>
          <w14:ligatures w14:val="standardContextual"/>
        </w:rPr>
        <w:t>将固定后的肠道组织送至成都里来生物科技有限公司生物医学实验中心病理部进行石蜡包埋</w:t>
      </w:r>
      <w:r>
        <w:rPr>
          <w:rFonts w:ascii="宋体" w:hAnsi="宋体"/>
          <w:sz w:val="24"/>
          <w14:ligatures w14:val="standardContextual"/>
        </w:rPr>
        <w:t>,</w:t>
      </w:r>
      <w:r>
        <w:rPr>
          <w:rFonts w:hint="eastAsia"/>
          <w:sz w:val="24"/>
          <w14:ligatures w14:val="standardContextual"/>
        </w:rPr>
        <w:t>制作切片</w:t>
      </w:r>
      <w:r>
        <w:rPr>
          <w:rFonts w:hint="eastAsia" w:ascii="宋体" w:hAnsi="宋体"/>
          <w:sz w:val="24"/>
          <w14:ligatures w14:val="standardContextual"/>
        </w:rPr>
        <w:t>。</w:t>
      </w:r>
      <w:r>
        <w:rPr>
          <w:rFonts w:hint="eastAsia"/>
          <w:sz w:val="24"/>
          <w14:ligatures w14:val="standardContextual"/>
        </w:rPr>
        <w:t>使用苏木精</w:t>
      </w:r>
      <w:r>
        <w:rPr>
          <w:sz w:val="24"/>
          <w14:ligatures w14:val="standardContextual"/>
        </w:rPr>
        <w:t>-</w:t>
      </w:r>
      <w:r>
        <w:rPr>
          <w:rFonts w:hint="eastAsia"/>
          <w:sz w:val="24"/>
          <w14:ligatures w14:val="standardContextual"/>
        </w:rPr>
        <w:t>伊红</w:t>
      </w:r>
      <w:r>
        <w:rPr>
          <w:sz w:val="24"/>
          <w14:ligatures w14:val="standardContextual"/>
        </w:rPr>
        <w:t>(HE)</w:t>
      </w:r>
      <w:r>
        <w:rPr>
          <w:rFonts w:hint="eastAsia"/>
          <w:sz w:val="24"/>
          <w14:ligatures w14:val="standardContextual"/>
        </w:rPr>
        <w:t>染色后</w:t>
      </w:r>
      <w:r>
        <w:rPr>
          <w:rFonts w:hint="eastAsia" w:ascii="宋体" w:hAnsi="宋体"/>
          <w:sz w:val="24"/>
          <w14:ligatures w14:val="standardContextual"/>
        </w:rPr>
        <w:t>,</w:t>
      </w:r>
      <w:r>
        <w:rPr>
          <w:rFonts w:hint="eastAsia"/>
          <w:sz w:val="24"/>
          <w14:ligatures w14:val="standardContextual"/>
        </w:rPr>
        <w:t>通过麦克奥迪数码三目摄像显微镜</w:t>
      </w:r>
      <w:r>
        <w:rPr>
          <w:sz w:val="24"/>
          <w14:ligatures w14:val="standardContextual"/>
        </w:rPr>
        <w:t>(BA210Digital)</w:t>
      </w:r>
      <w:r>
        <w:rPr>
          <w:rFonts w:hint="eastAsia"/>
          <w:sz w:val="24"/>
          <w14:ligatures w14:val="standardContextual"/>
        </w:rPr>
        <w:t>对切片进行观察</w:t>
      </w:r>
      <w:r>
        <w:rPr>
          <w:rFonts w:hint="eastAsia" w:ascii="宋体" w:hAnsi="宋体"/>
          <w:sz w:val="24"/>
          <w14:ligatures w14:val="standardContextual"/>
        </w:rPr>
        <w:t>。</w:t>
      </w:r>
      <w:r>
        <w:rPr>
          <w:rFonts w:hint="eastAsia"/>
          <w:sz w:val="24"/>
          <w14:ligatures w14:val="standardContextual"/>
        </w:rPr>
        <w:t>采用</w:t>
      </w:r>
      <w:r>
        <w:rPr>
          <w:sz w:val="24"/>
          <w14:ligatures w14:val="standardContextual"/>
        </w:rPr>
        <w:t>Nis-Elements</w:t>
      </w:r>
      <w:r>
        <w:rPr>
          <w:rFonts w:hint="eastAsia"/>
          <w:sz w:val="24"/>
          <w14:ligatures w14:val="standardContextual"/>
        </w:rPr>
        <w:t xml:space="preserve"> </w:t>
      </w:r>
      <w:r>
        <w:rPr>
          <w:sz w:val="24"/>
          <w14:ligatures w14:val="standardContextual"/>
        </w:rPr>
        <w:t>F</w:t>
      </w:r>
      <w:r>
        <w:rPr>
          <w:rFonts w:hint="eastAsia"/>
          <w:sz w:val="24"/>
          <w14:ligatures w14:val="standardContextual"/>
        </w:rPr>
        <w:t xml:space="preserve"> </w:t>
      </w:r>
      <w:r>
        <w:rPr>
          <w:sz w:val="24"/>
          <w14:ligatures w14:val="standardContextual"/>
        </w:rPr>
        <w:t>package</w:t>
      </w:r>
      <w:r>
        <w:rPr>
          <w:rFonts w:hint="eastAsia"/>
          <w:sz w:val="24"/>
          <w14:ligatures w14:val="standardContextual"/>
        </w:rPr>
        <w:t xml:space="preserve"> </w:t>
      </w:r>
      <w:r>
        <w:rPr>
          <w:sz w:val="24"/>
          <w14:ligatures w14:val="standardContextual"/>
        </w:rPr>
        <w:t>version4.6</w:t>
      </w:r>
      <w:r>
        <w:rPr>
          <w:rFonts w:hint="eastAsia"/>
          <w:sz w:val="24"/>
          <w14:ligatures w14:val="standardContextual"/>
        </w:rPr>
        <w:t>图像分析软件</w:t>
      </w:r>
      <w:r>
        <w:rPr>
          <w:rFonts w:hint="eastAsia" w:ascii="宋体" w:hAnsi="宋体"/>
          <w:sz w:val="24"/>
          <w14:ligatures w14:val="standardContextual"/>
        </w:rPr>
        <w:t>,</w:t>
      </w:r>
      <w:r>
        <w:rPr>
          <w:rFonts w:hint="eastAsia"/>
          <w:sz w:val="24"/>
          <w14:ligatures w14:val="standardContextual"/>
        </w:rPr>
        <w:t>对肠壁厚度和绒毛高度进行图片采集</w:t>
      </w:r>
      <w:r>
        <w:rPr>
          <w:rFonts w:hint="eastAsia" w:ascii="宋体" w:hAnsi="宋体"/>
          <w:sz w:val="24"/>
          <w14:ligatures w14:val="standardContextual"/>
        </w:rPr>
        <w:t>,</w:t>
      </w:r>
      <w:r>
        <w:rPr>
          <w:rFonts w:hint="eastAsia"/>
          <w:sz w:val="24"/>
          <w14:ligatures w14:val="standardContextual"/>
        </w:rPr>
        <w:t>然后将采集到的图片导入</w:t>
      </w:r>
      <w:r>
        <w:rPr>
          <w:sz w:val="24"/>
          <w14:ligatures w14:val="standardContextual"/>
        </w:rPr>
        <w:t>Motic</w:t>
      </w:r>
      <w:r>
        <w:rPr>
          <w:rFonts w:hint="eastAsia"/>
          <w:sz w:val="24"/>
          <w14:ligatures w14:val="standardContextual"/>
        </w:rPr>
        <w:t xml:space="preserve"> </w:t>
      </w:r>
      <w:r>
        <w:rPr>
          <w:sz w:val="24"/>
          <w14:ligatures w14:val="standardContextual"/>
        </w:rPr>
        <w:t>Images</w:t>
      </w:r>
      <w:r>
        <w:rPr>
          <w:rFonts w:hint="eastAsia"/>
          <w:sz w:val="24"/>
          <w14:ligatures w14:val="standardContextual"/>
        </w:rPr>
        <w:t xml:space="preserve"> </w:t>
      </w:r>
      <w:r>
        <w:rPr>
          <w:sz w:val="24"/>
          <w14:ligatures w14:val="standardContextual"/>
        </w:rPr>
        <w:t>Advanced3.2</w:t>
      </w:r>
      <w:r>
        <w:rPr>
          <w:rFonts w:hint="eastAsia"/>
          <w:sz w:val="24"/>
          <w14:ligatures w14:val="standardContextual"/>
        </w:rPr>
        <w:t>进行测量</w:t>
      </w:r>
      <w:r>
        <w:rPr>
          <w:rFonts w:hint="eastAsia" w:ascii="宋体" w:hAnsi="宋体"/>
          <w:sz w:val="24"/>
          <w14:ligatures w14:val="standardContextual"/>
        </w:rPr>
        <w:t>。</w:t>
      </w:r>
      <w:r>
        <w:rPr>
          <w:rFonts w:hint="eastAsia"/>
          <w:sz w:val="24"/>
          <w14:ligatures w14:val="standardContextual"/>
        </w:rPr>
        <w:t>对于每个组</w:t>
      </w:r>
      <w:r>
        <w:rPr>
          <w:rFonts w:ascii="宋体" w:hAnsi="宋体"/>
          <w:sz w:val="24"/>
          <w14:ligatures w14:val="standardContextual"/>
        </w:rPr>
        <w:t>,</w:t>
      </w:r>
      <w:r>
        <w:rPr>
          <w:rFonts w:hint="eastAsia"/>
          <w:sz w:val="24"/>
          <w14:ligatures w14:val="standardContextual"/>
        </w:rPr>
        <w:t>从肠道切片中选择</w:t>
      </w:r>
      <w:r>
        <w:rPr>
          <w:sz w:val="24"/>
          <w14:ligatures w14:val="standardContextual"/>
        </w:rPr>
        <w:t>10</w:t>
      </w:r>
      <w:r>
        <w:rPr>
          <w:rFonts w:hint="eastAsia"/>
          <w:sz w:val="24"/>
          <w14:ligatures w14:val="standardContextual"/>
        </w:rPr>
        <w:t>个特定的位点</w:t>
      </w:r>
      <w:r>
        <w:rPr>
          <w:rFonts w:hint="eastAsia" w:ascii="宋体" w:hAnsi="宋体"/>
          <w:sz w:val="24"/>
          <w14:ligatures w14:val="standardContextual"/>
        </w:rPr>
        <w:t>。</w:t>
      </w:r>
    </w:p>
    <w:p w14:paraId="1369B2DA">
      <w:pPr>
        <w:spacing w:line="360" w:lineRule="auto"/>
        <w:jc w:val="center"/>
        <w:rPr>
          <w:color w:val="FF0000"/>
          <w:sz w:val="24"/>
          <w14:ligatures w14:val="standardContextual"/>
        </w:rPr>
      </w:pPr>
      <w:r>
        <w:rPr>
          <w:color w:val="FF0000"/>
          <w:sz w:val="24"/>
          <w14:ligatures w14:val="standardContextual"/>
        </w:rPr>
        <w:drawing>
          <wp:inline distT="0" distB="0" distL="0" distR="0">
            <wp:extent cx="5989320" cy="2095500"/>
            <wp:effectExtent l="0" t="0" r="0" b="0"/>
            <wp:docPr id="20156231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3174" name="图片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09265" cy="2102477"/>
                    </a:xfrm>
                    <a:prstGeom prst="rect">
                      <a:avLst/>
                    </a:prstGeom>
                  </pic:spPr>
                </pic:pic>
              </a:graphicData>
            </a:graphic>
          </wp:inline>
        </w:drawing>
      </w:r>
    </w:p>
    <w:p w14:paraId="0E7DC421">
      <w:pPr>
        <w:spacing w:line="360" w:lineRule="auto"/>
        <w:rPr>
          <w:sz w:val="24"/>
          <w14:ligatures w14:val="standardContextual"/>
        </w:rPr>
      </w:pPr>
      <w:r>
        <w:rPr>
          <w:sz w:val="24"/>
          <w14:ligatures w14:val="standardContextual"/>
        </w:rPr>
        <w:t>1.6</w:t>
      </w:r>
      <w:r>
        <w:rPr>
          <w:rFonts w:hint="eastAsia"/>
          <w:sz w:val="24"/>
          <w14:ligatures w14:val="standardContextual"/>
        </w:rPr>
        <w:t xml:space="preserve">  数据统计分析</w:t>
      </w:r>
    </w:p>
    <w:p w14:paraId="22B1F10B">
      <w:pPr>
        <w:spacing w:line="360" w:lineRule="auto"/>
        <w:ind w:firstLine="480" w:firstLineChars="200"/>
        <w:rPr>
          <w:rFonts w:ascii="宋体" w:hAnsi="宋体"/>
          <w:sz w:val="24"/>
          <w14:ligatures w14:val="standardContextual"/>
        </w:rPr>
      </w:pPr>
      <w:r>
        <w:rPr>
          <w:rFonts w:hint="eastAsia"/>
          <w:sz w:val="24"/>
          <w14:ligatures w14:val="standardContextual"/>
        </w:rPr>
        <w:t>采用</w:t>
      </w:r>
      <w:r>
        <w:rPr>
          <w:sz w:val="24"/>
          <w14:ligatures w14:val="standardContextual"/>
        </w:rPr>
        <w:t>SAS9.2</w:t>
      </w:r>
      <w:r>
        <w:rPr>
          <w:rFonts w:hint="eastAsia"/>
          <w:sz w:val="24"/>
          <w14:ligatures w14:val="standardContextual"/>
        </w:rPr>
        <w:t>软件对数据进行单因素方差分析</w:t>
      </w:r>
      <w:r>
        <w:rPr>
          <w:sz w:val="24"/>
          <w14:ligatures w14:val="standardContextual"/>
        </w:rPr>
        <w:t>(one-way</w:t>
      </w:r>
      <w:r>
        <w:rPr>
          <w:rFonts w:hint="eastAsia"/>
          <w:sz w:val="24"/>
          <w14:ligatures w14:val="standardContextual"/>
        </w:rPr>
        <w:t xml:space="preserve"> </w:t>
      </w:r>
      <w:r>
        <w:rPr>
          <w:sz w:val="24"/>
          <w14:ligatures w14:val="standardContextual"/>
        </w:rPr>
        <w:t>ANOVA)</w:t>
      </w:r>
      <w:r>
        <w:rPr>
          <w:rFonts w:hint="eastAsia"/>
          <w:sz w:val="24"/>
          <w14:ligatures w14:val="standardContextual"/>
        </w:rPr>
        <w:t>和多重比较</w:t>
      </w:r>
      <w:r>
        <w:rPr>
          <w:sz w:val="24"/>
          <w14:ligatures w14:val="standardContextual"/>
        </w:rPr>
        <w:t>(LSD</w:t>
      </w:r>
      <w:r>
        <w:rPr>
          <w:rFonts w:hint="eastAsia"/>
          <w:sz w:val="24"/>
          <w14:ligatures w14:val="standardContextual"/>
        </w:rPr>
        <w:t>法</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数据结果以</w:t>
      </w:r>
      <w:r>
        <w:rPr>
          <w:sz w:val="24"/>
          <w14:ligatures w14:val="standardContextual"/>
        </w:rPr>
        <w:t>“</w:t>
      </w:r>
      <w:r>
        <w:rPr>
          <w:rFonts w:hint="eastAsia"/>
          <w:sz w:val="24"/>
          <w14:ligatures w14:val="standardContextual"/>
        </w:rPr>
        <w:t>平均值</w:t>
      </w:r>
      <w:r>
        <w:rPr>
          <w:sz w:val="24"/>
          <w14:ligatures w14:val="standardContextual"/>
        </w:rPr>
        <w:t>±</w:t>
      </w:r>
      <w:r>
        <w:rPr>
          <w:rFonts w:hint="eastAsia"/>
          <w:sz w:val="24"/>
          <w14:ligatures w14:val="standardContextual"/>
        </w:rPr>
        <w:t>标准差</w:t>
      </w:r>
      <w:r>
        <w:rPr>
          <w:sz w:val="24"/>
          <w14:ligatures w14:val="standardContextual"/>
        </w:rPr>
        <w:t>(mean±SD)”</w:t>
      </w:r>
      <w:r>
        <w:rPr>
          <w:rFonts w:hint="eastAsia"/>
          <w:sz w:val="24"/>
          <w14:ligatures w14:val="standardContextual"/>
        </w:rPr>
        <w:t>表示</w:t>
      </w:r>
      <w:r>
        <w:rPr>
          <w:rFonts w:hint="eastAsia" w:ascii="宋体" w:hAnsi="宋体"/>
          <w:sz w:val="24"/>
          <w14:ligatures w14:val="standardContextual"/>
        </w:rPr>
        <w:t>,</w:t>
      </w:r>
      <w:r>
        <w:rPr>
          <w:i/>
          <w:iCs/>
          <w:sz w:val="24"/>
          <w14:ligatures w14:val="standardContextual"/>
        </w:rPr>
        <w:t>P</w:t>
      </w:r>
      <w:r>
        <w:rPr>
          <w:sz w:val="24"/>
          <w14:ligatures w14:val="standardContextual"/>
        </w:rPr>
        <w:t>&lt;0.05</w:t>
      </w:r>
      <w:r>
        <w:rPr>
          <w:rFonts w:hint="eastAsia"/>
          <w:sz w:val="24"/>
          <w14:ligatures w14:val="standardContextual"/>
        </w:rPr>
        <w:t>表示差异显著</w:t>
      </w:r>
      <w:r>
        <w:rPr>
          <w:rFonts w:hint="eastAsia" w:ascii="宋体" w:hAnsi="宋体"/>
          <w:sz w:val="24"/>
          <w14:ligatures w14:val="standardContextual"/>
        </w:rPr>
        <w:t>。</w:t>
      </w:r>
    </w:p>
    <w:p w14:paraId="35674E9D">
      <w:pPr>
        <w:spacing w:line="360" w:lineRule="auto"/>
        <w:rPr>
          <w:sz w:val="24"/>
          <w14:ligatures w14:val="standardContextual"/>
        </w:rPr>
      </w:pPr>
      <w:r>
        <w:rPr>
          <w:sz w:val="24"/>
          <w14:ligatures w14:val="standardContextual"/>
        </w:rPr>
        <w:t>2</w:t>
      </w:r>
      <w:r>
        <w:rPr>
          <w:rFonts w:hint="eastAsia"/>
          <w:sz w:val="24"/>
          <w14:ligatures w14:val="standardContextual"/>
        </w:rPr>
        <w:t xml:space="preserve">  结果与分析</w:t>
      </w:r>
    </w:p>
    <w:p w14:paraId="6BABD013">
      <w:pPr>
        <w:spacing w:line="360" w:lineRule="auto"/>
        <w:rPr>
          <w:sz w:val="24"/>
          <w14:ligatures w14:val="standardContextual"/>
        </w:rPr>
      </w:pPr>
      <w:r>
        <w:rPr>
          <w:sz w:val="24"/>
          <w14:ligatures w14:val="standardContextual"/>
        </w:rPr>
        <w:t>2.1</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对鲤鱼生长性能的影响</w:t>
      </w:r>
    </w:p>
    <w:p w14:paraId="68B61672">
      <w:pPr>
        <w:spacing w:line="360" w:lineRule="auto"/>
        <w:ind w:firstLine="480" w:firstLineChars="200"/>
        <w:rPr>
          <w:rFonts w:ascii="宋体" w:hAnsi="宋体"/>
          <w:sz w:val="24"/>
          <w14:ligatures w14:val="standardContextual"/>
        </w:rPr>
      </w:pPr>
      <w:r>
        <w:rPr>
          <w:rFonts w:hint="eastAsia"/>
          <w:sz w:val="24"/>
          <w14:ligatures w14:val="standardContextual"/>
        </w:rPr>
        <w:t>由表</w:t>
      </w:r>
      <w:r>
        <w:rPr>
          <w:sz w:val="24"/>
          <w14:ligatures w14:val="standardContextual"/>
        </w:rPr>
        <w:t>4</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各组鲤鱼均保持了较高的存活率</w:t>
      </w:r>
      <w:r>
        <w:rPr>
          <w:sz w:val="24"/>
          <w14:ligatures w14:val="standardContextual"/>
        </w:rPr>
        <w:t>(99.59</w:t>
      </w:r>
      <w:r>
        <w:rPr>
          <w:rFonts w:hint="eastAsia"/>
          <w:sz w:val="24"/>
          <w14:ligatures w14:val="standardContextual"/>
        </w:rPr>
        <w:t xml:space="preserve"> </w:t>
      </w:r>
      <w:r>
        <w:rPr>
          <w:sz w:val="24"/>
          <w14:ligatures w14:val="standardContextual"/>
        </w:rPr>
        <w:t>%~100.00</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sz w:val="24"/>
          <w14:ligatures w14:val="standardContextual"/>
        </w:rPr>
        <w:t>FRBC9</w:t>
      </w:r>
      <w:r>
        <w:rPr>
          <w:rFonts w:hint="eastAsia"/>
          <w:sz w:val="24"/>
          <w14:ligatures w14:val="standardContextual"/>
        </w:rPr>
        <w:t>和</w:t>
      </w:r>
      <w:r>
        <w:rPr>
          <w:sz w:val="24"/>
          <w14:ligatures w14:val="standardContextual"/>
        </w:rPr>
        <w:t>FRBC12</w:t>
      </w:r>
      <w:r>
        <w:rPr>
          <w:rFonts w:hint="eastAsia"/>
          <w:sz w:val="24"/>
          <w14:ligatures w14:val="standardContextual"/>
        </w:rPr>
        <w:t>组末均重</w:t>
      </w:r>
      <w:r>
        <w:rPr>
          <w:rFonts w:hint="eastAsia" w:ascii="宋体" w:hAnsi="宋体" w:cs="微软雅黑"/>
          <w:sz w:val="24"/>
          <w14:ligatures w14:val="standardContextual"/>
        </w:rPr>
        <w:t>、</w:t>
      </w:r>
      <w:r>
        <w:rPr>
          <w:rFonts w:hint="eastAsia"/>
          <w:sz w:val="24"/>
          <w14:ligatures w14:val="standardContextual"/>
        </w:rPr>
        <w:t>增重率</w:t>
      </w:r>
      <w:r>
        <w:rPr>
          <w:rFonts w:hint="eastAsia" w:ascii="宋体" w:hAnsi="宋体" w:cs="微软雅黑"/>
          <w:sz w:val="24"/>
          <w14:ligatures w14:val="standardContextual"/>
        </w:rPr>
        <w:t>、</w:t>
      </w:r>
      <w:r>
        <w:rPr>
          <w:rFonts w:hint="eastAsia"/>
          <w:sz w:val="24"/>
          <w14:ligatures w14:val="standardContextual"/>
        </w:rPr>
        <w:t>特定生长率</w:t>
      </w:r>
      <w:r>
        <w:rPr>
          <w:rFonts w:hint="eastAsia" w:ascii="宋体" w:hAnsi="宋体" w:cs="微软雅黑"/>
          <w:sz w:val="24"/>
          <w14:ligatures w14:val="standardContextual"/>
        </w:rPr>
        <w:t>、</w:t>
      </w:r>
      <w:r>
        <w:rPr>
          <w:rFonts w:hint="eastAsia"/>
          <w:sz w:val="24"/>
          <w14:ligatures w14:val="standardContextual"/>
        </w:rPr>
        <w:t>蛋白质效率均显著高于对照组</w:t>
      </w:r>
      <w:r>
        <w:rPr>
          <w:sz w:val="24"/>
          <w14:ligatures w14:val="standardContextual"/>
        </w:rPr>
        <w:t>(FRBC0</w:t>
      </w:r>
      <w:r>
        <w:rPr>
          <w:rFonts w:hint="eastAsia"/>
          <w:sz w:val="24"/>
          <w14:ligatures w14:val="standardContextual"/>
        </w:rPr>
        <w:t>组</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摄食率和饲料系数均显著低于对照组</w:t>
      </w:r>
      <w:r>
        <w:rPr>
          <w:sz w:val="24"/>
          <w14:ligatures w14:val="standardContextual"/>
        </w:rPr>
        <w:t>(</w:t>
      </w:r>
      <w:r>
        <w:rPr>
          <w:i/>
          <w:iCs/>
          <w:sz w:val="24"/>
          <w14:ligatures w14:val="standardContextual"/>
        </w:rPr>
        <w:t>P</w:t>
      </w:r>
      <w:r>
        <w:rPr>
          <w:sz w:val="24"/>
          <w14:ligatures w14:val="standardContextual"/>
        </w:rPr>
        <w:t>&lt;0.05)</w:t>
      </w:r>
      <w:r>
        <w:rPr>
          <w:rFonts w:hint="eastAsia" w:ascii="宋体" w:hAnsi="宋体"/>
          <w:sz w:val="24"/>
          <w14:ligatures w14:val="standardContextual"/>
        </w:rPr>
        <w:t>。</w:t>
      </w:r>
      <w:r>
        <w:rPr>
          <w:rFonts w:hint="eastAsia"/>
          <w:sz w:val="24"/>
          <w14:ligatures w14:val="standardContextual"/>
        </w:rPr>
        <w:t>各组间形体指标包括肥满度</w:t>
      </w:r>
      <w:r>
        <w:rPr>
          <w:rFonts w:hint="eastAsia" w:ascii="宋体" w:hAnsi="宋体" w:cs="微软雅黑"/>
          <w:sz w:val="24"/>
          <w14:ligatures w14:val="standardContextual"/>
        </w:rPr>
        <w:t>、</w:t>
      </w:r>
      <w:r>
        <w:rPr>
          <w:rFonts w:hint="eastAsia"/>
          <w:sz w:val="24"/>
          <w14:ligatures w14:val="standardContextual"/>
        </w:rPr>
        <w:t>肝体比</w:t>
      </w:r>
      <w:r>
        <w:rPr>
          <w:rFonts w:hint="eastAsia" w:ascii="宋体" w:hAnsi="宋体" w:cs="微软雅黑"/>
          <w:sz w:val="24"/>
          <w14:ligatures w14:val="standardContextual"/>
        </w:rPr>
        <w:t>、</w:t>
      </w:r>
      <w:r>
        <w:rPr>
          <w:rFonts w:hint="eastAsia"/>
          <w:sz w:val="24"/>
          <w14:ligatures w14:val="standardContextual"/>
        </w:rPr>
        <w:t>脏体比均无显著差异</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p>
    <w:p w14:paraId="30E03917">
      <w:pPr>
        <w:spacing w:line="360" w:lineRule="auto"/>
        <w:rPr>
          <w:sz w:val="24"/>
          <w14:ligatures w14:val="standardContextual"/>
        </w:rPr>
      </w:pPr>
      <w:r>
        <w:rPr>
          <w:sz w:val="24"/>
          <w14:ligatures w14:val="standardContextual"/>
        </w:rPr>
        <w:t>2.2</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对鲤鱼全鱼和肌肉营养组成的影响</w:t>
      </w:r>
    </w:p>
    <w:p w14:paraId="6810D4D5">
      <w:pPr>
        <w:spacing w:line="360" w:lineRule="auto"/>
        <w:ind w:firstLine="480" w:firstLineChars="200"/>
        <w:rPr>
          <w:rFonts w:ascii="宋体" w:hAnsi="宋体"/>
          <w:sz w:val="24"/>
          <w14:ligatures w14:val="standardContextual"/>
        </w:rPr>
      </w:pPr>
      <w:r>
        <w:rPr>
          <w:rFonts w:hint="eastAsia"/>
          <w:sz w:val="24"/>
          <w14:ligatures w14:val="standardContextual"/>
        </w:rPr>
        <w:t>由表</w:t>
      </w:r>
      <w:r>
        <w:rPr>
          <w:sz w:val="24"/>
          <w14:ligatures w14:val="standardContextual"/>
        </w:rPr>
        <w:t>5</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饲料中添加不同比例的</w:t>
      </w:r>
      <w:r>
        <w:rPr>
          <w:sz w:val="24"/>
          <w14:ligatures w14:val="standardContextual"/>
        </w:rPr>
        <w:t>FRBC</w:t>
      </w:r>
      <w:r>
        <w:rPr>
          <w:rFonts w:hint="eastAsia"/>
          <w:sz w:val="24"/>
          <w14:ligatures w14:val="standardContextual"/>
        </w:rPr>
        <w:t>对全鱼营养组成如水分</w:t>
      </w:r>
      <w:r>
        <w:rPr>
          <w:rFonts w:hint="eastAsia" w:ascii="宋体" w:hAnsi="宋体" w:cs="微软雅黑"/>
          <w:sz w:val="24"/>
          <w14:ligatures w14:val="standardContextual"/>
        </w:rPr>
        <w:t>、</w:t>
      </w:r>
      <w:r>
        <w:rPr>
          <w:rFonts w:hint="eastAsia"/>
          <w:sz w:val="24"/>
          <w14:ligatures w14:val="standardContextual"/>
        </w:rPr>
        <w:t>粗蛋白质</w:t>
      </w:r>
      <w:r>
        <w:rPr>
          <w:rFonts w:hint="eastAsia" w:ascii="宋体" w:hAnsi="宋体" w:cs="微软雅黑"/>
          <w:sz w:val="24"/>
          <w14:ligatures w14:val="standardContextual"/>
        </w:rPr>
        <w:t>、</w:t>
      </w:r>
      <w:r>
        <w:rPr>
          <w:rFonts w:hint="eastAsia"/>
          <w:sz w:val="24"/>
          <w14:ligatures w14:val="standardContextual"/>
        </w:rPr>
        <w:t>粗脂肪</w:t>
      </w:r>
      <w:r>
        <w:rPr>
          <w:rFonts w:hint="eastAsia" w:ascii="宋体" w:hAnsi="宋体" w:cs="微软雅黑"/>
          <w:sz w:val="24"/>
          <w14:ligatures w14:val="standardContextual"/>
        </w:rPr>
        <w:t>、</w:t>
      </w:r>
      <w:r>
        <w:rPr>
          <w:rFonts w:hint="eastAsia"/>
          <w:sz w:val="24"/>
          <w14:ligatures w14:val="standardContextual"/>
        </w:rPr>
        <w:t>粗灰分及氨基酸含量均没有产生显著影响</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p>
    <w:p w14:paraId="7BD8FC1D">
      <w:pPr>
        <w:spacing w:line="360" w:lineRule="auto"/>
        <w:jc w:val="center"/>
        <w:rPr>
          <w:color w:val="FF0000"/>
          <w:sz w:val="24"/>
          <w14:ligatures w14:val="standardContextual"/>
        </w:rPr>
      </w:pPr>
      <w:r>
        <w:rPr>
          <w:color w:val="FF0000"/>
          <w:sz w:val="24"/>
          <w14:ligatures w14:val="standardContextual"/>
        </w:rPr>
        <w:drawing>
          <wp:inline distT="0" distB="0" distL="0" distR="0">
            <wp:extent cx="6006465" cy="3162300"/>
            <wp:effectExtent l="0" t="0" r="0" b="0"/>
            <wp:docPr id="20992567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56760" name="图片 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16064" cy="3167190"/>
                    </a:xfrm>
                    <a:prstGeom prst="rect">
                      <a:avLst/>
                    </a:prstGeom>
                  </pic:spPr>
                </pic:pic>
              </a:graphicData>
            </a:graphic>
          </wp:inline>
        </w:drawing>
      </w:r>
    </w:p>
    <w:p w14:paraId="64A2FDE3">
      <w:pPr>
        <w:spacing w:line="360" w:lineRule="auto"/>
        <w:ind w:firstLine="480" w:firstLineChars="200"/>
        <w:rPr>
          <w:rFonts w:ascii="宋体" w:hAnsi="宋体"/>
          <w:sz w:val="24"/>
          <w14:ligatures w14:val="standardContextual"/>
        </w:rPr>
      </w:pPr>
      <w:r>
        <w:rPr>
          <w:rFonts w:hint="eastAsia"/>
          <w:sz w:val="24"/>
          <w14:ligatures w14:val="standardContextual"/>
        </w:rPr>
        <w:t>由表</w:t>
      </w:r>
      <w:r>
        <w:rPr>
          <w:sz w:val="24"/>
          <w14:ligatures w14:val="standardContextual"/>
        </w:rPr>
        <w:t>6</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与对照组相比</w:t>
      </w:r>
      <w:r>
        <w:rPr>
          <w:rFonts w:hint="eastAsia" w:ascii="宋体" w:hAnsi="宋体"/>
          <w:sz w:val="24"/>
          <w14:ligatures w14:val="standardContextual"/>
        </w:rPr>
        <w:t>,</w:t>
      </w:r>
      <w:r>
        <w:rPr>
          <w:rFonts w:hint="eastAsia"/>
          <w:sz w:val="24"/>
          <w14:ligatures w14:val="standardContextual"/>
        </w:rPr>
        <w:t>饲料中添加不同比例</w:t>
      </w:r>
      <w:r>
        <w:rPr>
          <w:sz w:val="24"/>
          <w14:ligatures w14:val="standardContextual"/>
        </w:rPr>
        <w:t>FRBC</w:t>
      </w:r>
      <w:r>
        <w:rPr>
          <w:rFonts w:hint="eastAsia"/>
          <w:sz w:val="24"/>
          <w14:ligatures w14:val="standardContextual"/>
        </w:rPr>
        <w:t>均可显著提高鲤鱼肌肉中钙含量</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sz w:val="24"/>
          <w14:ligatures w14:val="standardContextual"/>
        </w:rPr>
        <w:t>FRBC9</w:t>
      </w:r>
      <w:r>
        <w:rPr>
          <w:rFonts w:hint="eastAsia"/>
          <w:sz w:val="24"/>
          <w14:ligatures w14:val="standardContextual"/>
        </w:rPr>
        <w:t>组肌肉中粗灰分含量显著提高</w:t>
      </w:r>
      <w:r>
        <w:rPr>
          <w:sz w:val="24"/>
          <w14:ligatures w14:val="standardContextual"/>
        </w:rPr>
        <w:t>(</w:t>
      </w:r>
      <w:r>
        <w:rPr>
          <w:i/>
          <w:iCs/>
          <w:sz w:val="24"/>
          <w14:ligatures w14:val="standardContextual"/>
        </w:rPr>
        <w:t>P</w:t>
      </w:r>
      <w:r>
        <w:rPr>
          <w:sz w:val="24"/>
          <w14:ligatures w14:val="standardContextual"/>
        </w:rPr>
        <w:t>&lt;0.05)</w:t>
      </w:r>
      <w:r>
        <w:rPr>
          <w:rFonts w:hint="eastAsia" w:ascii="宋体" w:hAnsi="宋体"/>
          <w:sz w:val="24"/>
          <w14:ligatures w14:val="standardContextual"/>
        </w:rPr>
        <w:t>,</w:t>
      </w:r>
      <w:r>
        <w:rPr>
          <w:rFonts w:hint="eastAsia"/>
          <w:sz w:val="24"/>
          <w14:ligatures w14:val="standardContextual"/>
        </w:rPr>
        <w:t>而蛋氨酸含量则显著降低</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rFonts w:hint="eastAsia"/>
          <w:sz w:val="24"/>
          <w14:ligatures w14:val="standardContextual"/>
        </w:rPr>
        <w:t>其余氨基酸及常规营养成分的含量各组间均没有显著差异</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p>
    <w:p w14:paraId="73EA5D86">
      <w:pPr>
        <w:spacing w:line="360" w:lineRule="auto"/>
        <w:jc w:val="center"/>
        <w:rPr>
          <w:color w:val="FF0000"/>
          <w:sz w:val="24"/>
          <w14:ligatures w14:val="standardContextual"/>
        </w:rPr>
      </w:pPr>
      <w:r>
        <w:rPr>
          <w:color w:val="FF0000"/>
          <w:sz w:val="24"/>
          <w14:ligatures w14:val="standardContextual"/>
        </w:rPr>
        <w:drawing>
          <wp:inline distT="0" distB="0" distL="0" distR="0">
            <wp:extent cx="5988685" cy="2717800"/>
            <wp:effectExtent l="0" t="0" r="0" b="6350"/>
            <wp:docPr id="20176299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29960" name="图片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97709" cy="2721655"/>
                    </a:xfrm>
                    <a:prstGeom prst="rect">
                      <a:avLst/>
                    </a:prstGeom>
                  </pic:spPr>
                </pic:pic>
              </a:graphicData>
            </a:graphic>
          </wp:inline>
        </w:drawing>
      </w:r>
      <w:r>
        <w:rPr>
          <w:color w:val="FF0000"/>
          <w:sz w:val="24"/>
          <w14:ligatures w14:val="standardContextual"/>
        </w:rPr>
        <w:drawing>
          <wp:inline distT="0" distB="0" distL="0" distR="0">
            <wp:extent cx="5953760" cy="2984500"/>
            <wp:effectExtent l="0" t="0" r="8890" b="6350"/>
            <wp:docPr id="5342436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43605" name="图片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93441" cy="3004362"/>
                    </a:xfrm>
                    <a:prstGeom prst="rect">
                      <a:avLst/>
                    </a:prstGeom>
                  </pic:spPr>
                </pic:pic>
              </a:graphicData>
            </a:graphic>
          </wp:inline>
        </w:drawing>
      </w:r>
    </w:p>
    <w:p w14:paraId="4FF7D0DF">
      <w:pPr>
        <w:spacing w:line="360" w:lineRule="auto"/>
        <w:rPr>
          <w:sz w:val="24"/>
          <w14:ligatures w14:val="standardContextual"/>
        </w:rPr>
      </w:pPr>
      <w:r>
        <w:rPr>
          <w:sz w:val="24"/>
          <w14:ligatures w14:val="standardContextual"/>
        </w:rPr>
        <w:t>2.3</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对鲤鱼营养物质沉积率的影响</w:t>
      </w:r>
    </w:p>
    <w:p w14:paraId="4A766262">
      <w:pPr>
        <w:spacing w:line="360" w:lineRule="auto"/>
        <w:ind w:firstLine="480" w:firstLineChars="200"/>
        <w:rPr>
          <w:rFonts w:ascii="宋体" w:hAnsi="宋体"/>
          <w:sz w:val="24"/>
          <w14:ligatures w14:val="standardContextual"/>
        </w:rPr>
      </w:pPr>
      <w:r>
        <w:rPr>
          <w:rFonts w:hint="eastAsia"/>
          <w:sz w:val="24"/>
          <w14:ligatures w14:val="standardContextual"/>
        </w:rPr>
        <w:t>由表</w:t>
      </w:r>
      <w:r>
        <w:rPr>
          <w:sz w:val="24"/>
          <w14:ligatures w14:val="standardContextual"/>
        </w:rPr>
        <w:t>7</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与对照组相比</w:t>
      </w:r>
      <w:r>
        <w:rPr>
          <w:rFonts w:hint="eastAsia" w:ascii="宋体" w:hAnsi="宋体"/>
          <w:sz w:val="24"/>
          <w14:ligatures w14:val="standardContextual"/>
        </w:rPr>
        <w:t>,</w:t>
      </w:r>
      <w:r>
        <w:rPr>
          <w:rFonts w:hint="eastAsia"/>
          <w:sz w:val="24"/>
          <w14:ligatures w14:val="standardContextual"/>
        </w:rPr>
        <w:t>饲料中添加不同比例</w:t>
      </w:r>
      <w:r>
        <w:rPr>
          <w:sz w:val="24"/>
          <w14:ligatures w14:val="standardContextual"/>
        </w:rPr>
        <w:t>FRBC</w:t>
      </w:r>
      <w:r>
        <w:rPr>
          <w:rFonts w:hint="eastAsia"/>
          <w:sz w:val="24"/>
          <w14:ligatures w14:val="standardContextual"/>
        </w:rPr>
        <w:t>均显著提高了蛋白质</w:t>
      </w:r>
      <w:r>
        <w:rPr>
          <w:rFonts w:hint="eastAsia" w:ascii="宋体" w:hAnsi="宋体" w:cs="微软雅黑"/>
          <w:sz w:val="24"/>
          <w14:ligatures w14:val="standardContextual"/>
        </w:rPr>
        <w:t>、</w:t>
      </w:r>
      <w:r>
        <w:rPr>
          <w:rFonts w:hint="eastAsia"/>
          <w:sz w:val="24"/>
          <w14:ligatures w14:val="standardContextual"/>
        </w:rPr>
        <w:t>赖氨酸和苏氨酸沉积率</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sz w:val="24"/>
          <w14:ligatures w14:val="standardContextual"/>
        </w:rPr>
        <w:t>FRBC3</w:t>
      </w:r>
      <w:r>
        <w:rPr>
          <w:rFonts w:hint="eastAsia"/>
          <w:sz w:val="24"/>
          <w14:ligatures w14:val="standardContextual"/>
        </w:rPr>
        <w:t>和</w:t>
      </w:r>
      <w:r>
        <w:rPr>
          <w:sz w:val="24"/>
          <w14:ligatures w14:val="standardContextual"/>
        </w:rPr>
        <w:t>FRBC12</w:t>
      </w:r>
      <w:r>
        <w:rPr>
          <w:rFonts w:hint="eastAsia"/>
          <w:sz w:val="24"/>
          <w14:ligatures w14:val="standardContextual"/>
        </w:rPr>
        <w:t>组蛋氨酸沉积率显著提高</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sz w:val="24"/>
          <w14:ligatures w14:val="standardContextual"/>
        </w:rPr>
        <w:t>FRBC3</w:t>
      </w:r>
      <w:r>
        <w:rPr>
          <w:rFonts w:hint="eastAsia" w:ascii="宋体" w:hAnsi="宋体" w:cs="微软雅黑"/>
          <w:sz w:val="24"/>
          <w14:ligatures w14:val="standardContextual"/>
        </w:rPr>
        <w:t>、</w:t>
      </w:r>
      <w:r>
        <w:rPr>
          <w:sz w:val="24"/>
          <w14:ligatures w14:val="standardContextual"/>
        </w:rPr>
        <w:t>FRBC9</w:t>
      </w:r>
      <w:r>
        <w:rPr>
          <w:rFonts w:hint="eastAsia"/>
          <w:sz w:val="24"/>
          <w14:ligatures w14:val="standardContextual"/>
        </w:rPr>
        <w:t>和</w:t>
      </w:r>
      <w:r>
        <w:rPr>
          <w:sz w:val="24"/>
          <w14:ligatures w14:val="standardContextual"/>
        </w:rPr>
        <w:t>FRBC12</w:t>
      </w:r>
      <w:r>
        <w:rPr>
          <w:rFonts w:hint="eastAsia"/>
          <w:sz w:val="24"/>
          <w14:ligatures w14:val="standardContextual"/>
        </w:rPr>
        <w:t>组脂肪沉积率显著降低</w:t>
      </w:r>
      <w:r>
        <w:rPr>
          <w:sz w:val="24"/>
          <w14:ligatures w14:val="standardContextual"/>
        </w:rPr>
        <w:t>(</w:t>
      </w:r>
      <w:r>
        <w:rPr>
          <w:i/>
          <w:iCs/>
          <w:sz w:val="24"/>
          <w14:ligatures w14:val="standardContextual"/>
        </w:rPr>
        <w:t>P</w:t>
      </w:r>
      <w:r>
        <w:rPr>
          <w:sz w:val="24"/>
          <w14:ligatures w14:val="standardContextual"/>
        </w:rPr>
        <w:t>&lt;0.05)</w:t>
      </w:r>
      <w:r>
        <w:rPr>
          <w:rFonts w:hint="eastAsia" w:ascii="宋体" w:hAnsi="宋体"/>
          <w:sz w:val="24"/>
          <w14:ligatures w14:val="standardContextual"/>
        </w:rPr>
        <w:t>。</w:t>
      </w:r>
    </w:p>
    <w:p w14:paraId="2EA623FF">
      <w:pPr>
        <w:spacing w:line="360" w:lineRule="auto"/>
        <w:jc w:val="center"/>
        <w:rPr>
          <w:color w:val="FF0000"/>
          <w:sz w:val="24"/>
          <w14:ligatures w14:val="standardContextual"/>
        </w:rPr>
      </w:pPr>
      <w:r>
        <w:rPr>
          <w:color w:val="FF0000"/>
          <w:sz w:val="24"/>
          <w14:ligatures w14:val="standardContextual"/>
        </w:rPr>
        <w:drawing>
          <wp:inline distT="0" distB="0" distL="0" distR="0">
            <wp:extent cx="5443220" cy="1488440"/>
            <wp:effectExtent l="0" t="0" r="5080" b="0"/>
            <wp:docPr id="1329880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80134" name="图片 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43724" cy="1488753"/>
                    </a:xfrm>
                    <a:prstGeom prst="rect">
                      <a:avLst/>
                    </a:prstGeom>
                  </pic:spPr>
                </pic:pic>
              </a:graphicData>
            </a:graphic>
          </wp:inline>
        </w:drawing>
      </w:r>
    </w:p>
    <w:p w14:paraId="4E6C7828">
      <w:pPr>
        <w:spacing w:line="360" w:lineRule="auto"/>
        <w:rPr>
          <w:sz w:val="24"/>
          <w14:ligatures w14:val="standardContextual"/>
        </w:rPr>
      </w:pPr>
      <w:r>
        <w:rPr>
          <w:sz w:val="24"/>
          <w14:ligatures w14:val="standardContextual"/>
        </w:rPr>
        <w:t>2.4</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对鲤鱼血清生化指标的影响</w:t>
      </w:r>
    </w:p>
    <w:p w14:paraId="67C0E828">
      <w:pPr>
        <w:spacing w:line="360" w:lineRule="auto"/>
        <w:ind w:firstLine="480" w:firstLineChars="200"/>
        <w:rPr>
          <w:sz w:val="24"/>
          <w14:ligatures w14:val="standardContextual"/>
        </w:rPr>
      </w:pPr>
      <w:r>
        <w:rPr>
          <w:rFonts w:hint="eastAsia"/>
          <w:sz w:val="24"/>
          <w14:ligatures w14:val="standardContextual"/>
        </w:rPr>
        <w:t>由表</w:t>
      </w:r>
      <w:r>
        <w:rPr>
          <w:sz w:val="24"/>
          <w14:ligatures w14:val="standardContextual"/>
        </w:rPr>
        <w:t>8</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与对照组相比</w:t>
      </w:r>
      <w:r>
        <w:rPr>
          <w:rFonts w:hint="eastAsia" w:ascii="宋体" w:hAnsi="宋体"/>
          <w:sz w:val="24"/>
          <w14:ligatures w14:val="standardContextual"/>
        </w:rPr>
        <w:t>,</w:t>
      </w:r>
      <w:r>
        <w:rPr>
          <w:rFonts w:hint="eastAsia"/>
          <w:sz w:val="24"/>
          <w14:ligatures w14:val="standardContextual"/>
        </w:rPr>
        <w:t>饲料中添加不同比例</w:t>
      </w:r>
      <w:r>
        <w:rPr>
          <w:sz w:val="24"/>
          <w14:ligatures w14:val="standardContextual"/>
        </w:rPr>
        <w:t>FRBC</w:t>
      </w:r>
      <w:r>
        <w:rPr>
          <w:rFonts w:hint="eastAsia"/>
          <w:sz w:val="24"/>
          <w14:ligatures w14:val="standardContextual"/>
        </w:rPr>
        <w:t>均显著降低了</w:t>
      </w:r>
      <w:r>
        <w:rPr>
          <w:sz w:val="24"/>
          <w14:ligatures w14:val="standardContextual"/>
        </w:rPr>
        <w:t>TC</w:t>
      </w:r>
      <w:r>
        <w:rPr>
          <w:rFonts w:hint="eastAsia"/>
          <w:sz w:val="24"/>
          <w14:ligatures w14:val="standardContextual"/>
        </w:rPr>
        <w:t>含量</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rFonts w:hint="eastAsia"/>
          <w:sz w:val="24"/>
          <w14:ligatures w14:val="standardContextual"/>
        </w:rPr>
        <w:t>饲料中添加</w:t>
      </w:r>
      <w:r>
        <w:rPr>
          <w:sz w:val="24"/>
          <w14:ligatures w14:val="standardContextual"/>
        </w:rPr>
        <w:t>12%FRBC(FRBC12</w:t>
      </w:r>
      <w:r>
        <w:rPr>
          <w:rFonts w:hint="eastAsia"/>
          <w:sz w:val="24"/>
          <w14:ligatures w14:val="standardContextual"/>
        </w:rPr>
        <w:t>组</w:t>
      </w:r>
      <w:r>
        <w:rPr>
          <w:sz w:val="24"/>
          <w14:ligatures w14:val="standardContextual"/>
        </w:rPr>
        <w:t>)</w:t>
      </w:r>
      <w:r>
        <w:rPr>
          <w:rFonts w:hint="eastAsia"/>
          <w:sz w:val="24"/>
          <w14:ligatures w14:val="standardContextual"/>
        </w:rPr>
        <w:t>显著降低了</w:t>
      </w:r>
      <w:r>
        <w:rPr>
          <w:sz w:val="24"/>
          <w14:ligatures w14:val="standardContextual"/>
        </w:rPr>
        <w:t>ALT</w:t>
      </w:r>
      <w:r>
        <w:rPr>
          <w:rFonts w:hint="eastAsia"/>
          <w:sz w:val="24"/>
          <w14:ligatures w14:val="standardContextual"/>
        </w:rPr>
        <w:t>和</w:t>
      </w:r>
      <w:r>
        <w:rPr>
          <w:sz w:val="24"/>
          <w14:ligatures w14:val="standardContextual"/>
        </w:rPr>
        <w:t>AST</w:t>
      </w:r>
      <w:r>
        <w:rPr>
          <w:rFonts w:hint="eastAsia"/>
          <w:sz w:val="24"/>
          <w14:ligatures w14:val="standardContextual"/>
        </w:rPr>
        <w:t>活性</w:t>
      </w:r>
      <w:r>
        <w:rPr>
          <w:sz w:val="24"/>
          <w14:ligatures w14:val="standardContextual"/>
        </w:rPr>
        <w:t>(</w:t>
      </w:r>
      <w:r>
        <w:rPr>
          <w:i/>
          <w:iCs/>
          <w:sz w:val="24"/>
          <w14:ligatures w14:val="standardContextual"/>
        </w:rPr>
        <w:t>P</w:t>
      </w:r>
      <w:r>
        <w:rPr>
          <w:sz w:val="24"/>
          <w14:ligatures w14:val="standardContextual"/>
        </w:rPr>
        <w:t>&lt;0.05)</w:t>
      </w:r>
      <w:r>
        <w:rPr>
          <w:rFonts w:hint="eastAsia" w:ascii="宋体" w:hAnsi="宋体"/>
          <w:sz w:val="24"/>
          <w14:ligatures w14:val="standardContextual"/>
        </w:rPr>
        <w:t>,</w:t>
      </w:r>
      <w:r>
        <w:rPr>
          <w:rFonts w:hint="eastAsia"/>
          <w:sz w:val="24"/>
          <w14:ligatures w14:val="standardContextual"/>
        </w:rPr>
        <w:t>而对</w:t>
      </w:r>
      <w:r>
        <w:rPr>
          <w:sz w:val="24"/>
          <w14:ligatures w14:val="standardContextual"/>
        </w:rPr>
        <w:t>Glu</w:t>
      </w:r>
      <w:r>
        <w:rPr>
          <w:rFonts w:hint="eastAsia"/>
          <w:sz w:val="24"/>
          <w14:ligatures w14:val="standardContextual"/>
        </w:rPr>
        <w:t>和</w:t>
      </w:r>
      <w:r>
        <w:rPr>
          <w:sz w:val="24"/>
          <w14:ligatures w14:val="standardContextual"/>
        </w:rPr>
        <w:t>TG</w:t>
      </w:r>
      <w:r>
        <w:rPr>
          <w:rFonts w:hint="eastAsia"/>
          <w:sz w:val="24"/>
          <w14:ligatures w14:val="standardContextual"/>
        </w:rPr>
        <w:t>含量没有显著影响</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p>
    <w:p w14:paraId="6DEEF987">
      <w:pPr>
        <w:spacing w:line="360" w:lineRule="auto"/>
        <w:jc w:val="center"/>
        <w:rPr>
          <w:color w:val="FF0000"/>
          <w:sz w:val="24"/>
          <w14:ligatures w14:val="standardContextual"/>
        </w:rPr>
      </w:pPr>
      <w:r>
        <w:rPr>
          <w:color w:val="FF0000"/>
          <w:sz w:val="24"/>
          <w14:ligatures w14:val="standardContextual"/>
        </w:rPr>
        <w:drawing>
          <wp:inline distT="0" distB="0" distL="0" distR="0">
            <wp:extent cx="5040630" cy="1513205"/>
            <wp:effectExtent l="0" t="0" r="7620" b="0"/>
            <wp:docPr id="12205316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31665" name="图片 1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53264" cy="1517268"/>
                    </a:xfrm>
                    <a:prstGeom prst="rect">
                      <a:avLst/>
                    </a:prstGeom>
                  </pic:spPr>
                </pic:pic>
              </a:graphicData>
            </a:graphic>
          </wp:inline>
        </w:drawing>
      </w:r>
    </w:p>
    <w:p w14:paraId="70E84AF3">
      <w:pPr>
        <w:spacing w:line="360" w:lineRule="auto"/>
        <w:rPr>
          <w:sz w:val="24"/>
          <w14:ligatures w14:val="standardContextual"/>
        </w:rPr>
      </w:pPr>
      <w:r>
        <w:rPr>
          <w:sz w:val="24"/>
          <w14:ligatures w14:val="standardContextual"/>
        </w:rPr>
        <w:t>2.5</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对鲤鱼肠道黏膜抗氧化指标和消化酶活性的影响</w:t>
      </w:r>
    </w:p>
    <w:p w14:paraId="0E41EACC">
      <w:pPr>
        <w:spacing w:line="360" w:lineRule="auto"/>
        <w:ind w:firstLine="480" w:firstLineChars="200"/>
        <w:rPr>
          <w:rFonts w:ascii="宋体" w:hAnsi="宋体"/>
          <w:sz w:val="24"/>
          <w14:ligatures w14:val="standardContextual"/>
        </w:rPr>
      </w:pPr>
      <w:r>
        <w:rPr>
          <w:rFonts w:hint="eastAsia"/>
          <w:sz w:val="24"/>
          <w14:ligatures w14:val="standardContextual"/>
        </w:rPr>
        <w:t>由表</w:t>
      </w:r>
      <w:r>
        <w:rPr>
          <w:sz w:val="24"/>
          <w14:ligatures w14:val="standardContextual"/>
        </w:rPr>
        <w:t>9</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与对照组相比</w:t>
      </w:r>
      <w:r>
        <w:rPr>
          <w:rFonts w:hint="eastAsia" w:ascii="宋体" w:hAnsi="宋体"/>
          <w:sz w:val="24"/>
          <w14:ligatures w14:val="standardContextual"/>
        </w:rPr>
        <w:t>,</w:t>
      </w:r>
      <w:r>
        <w:rPr>
          <w:rFonts w:hint="eastAsia"/>
          <w:sz w:val="24"/>
          <w14:ligatures w14:val="standardContextual"/>
        </w:rPr>
        <w:t>饲料中添加</w:t>
      </w:r>
      <w:r>
        <w:rPr>
          <w:sz w:val="24"/>
          <w14:ligatures w14:val="standardContextual"/>
        </w:rPr>
        <w:t>6</w:t>
      </w:r>
      <w:r>
        <w:rPr>
          <w:rFonts w:hint="eastAsia"/>
          <w:sz w:val="24"/>
          <w14:ligatures w14:val="standardContextual"/>
        </w:rPr>
        <w:t xml:space="preserve"> </w:t>
      </w:r>
      <w:r>
        <w:rPr>
          <w:sz w:val="24"/>
          <w14:ligatures w14:val="standardContextual"/>
        </w:rPr>
        <w:t>%FRBC(FRBC6</w:t>
      </w:r>
      <w:r>
        <w:rPr>
          <w:rFonts w:hint="eastAsia"/>
          <w:sz w:val="24"/>
          <w14:ligatures w14:val="standardContextual"/>
        </w:rPr>
        <w:t>组</w:t>
      </w:r>
      <w:r>
        <w:rPr>
          <w:sz w:val="24"/>
          <w14:ligatures w14:val="standardContextual"/>
        </w:rPr>
        <w:t>)</w:t>
      </w:r>
      <w:r>
        <w:rPr>
          <w:rFonts w:hint="eastAsia"/>
          <w:sz w:val="24"/>
          <w14:ligatures w14:val="standardContextual"/>
        </w:rPr>
        <w:t>时</w:t>
      </w:r>
      <w:r>
        <w:rPr>
          <w:sz w:val="24"/>
          <w14:ligatures w14:val="standardContextual"/>
        </w:rPr>
        <w:t>T-AOC</w:t>
      </w:r>
      <w:r>
        <w:rPr>
          <w:rFonts w:hint="eastAsia"/>
          <w:sz w:val="24"/>
          <w14:ligatures w14:val="standardContextual"/>
        </w:rPr>
        <w:t>显著提高</w:t>
      </w:r>
      <w:r>
        <w:rPr>
          <w:sz w:val="24"/>
          <w14:ligatures w14:val="standardContextual"/>
        </w:rPr>
        <w:t>(</w:t>
      </w:r>
      <w:r>
        <w:rPr>
          <w:i/>
          <w:iCs/>
          <w:sz w:val="24"/>
          <w14:ligatures w14:val="standardContextual"/>
        </w:rPr>
        <w:t>P</w:t>
      </w:r>
      <w:r>
        <w:rPr>
          <w:sz w:val="24"/>
          <w14:ligatures w14:val="standardContextual"/>
        </w:rPr>
        <w:t>&lt;0.05)</w:t>
      </w:r>
      <w:r>
        <w:rPr>
          <w:rFonts w:hint="eastAsia" w:ascii="宋体" w:hAnsi="宋体"/>
          <w:sz w:val="24"/>
          <w14:ligatures w14:val="standardContextual"/>
        </w:rPr>
        <w:t>,</w:t>
      </w:r>
      <w:r>
        <w:rPr>
          <w:rFonts w:hint="eastAsia"/>
          <w:sz w:val="24"/>
          <w14:ligatures w14:val="standardContextual"/>
        </w:rPr>
        <w:t>而</w:t>
      </w:r>
      <w:r>
        <w:rPr>
          <w:sz w:val="24"/>
          <w14:ligatures w14:val="standardContextual"/>
        </w:rPr>
        <w:t>FRBC</w:t>
      </w:r>
      <w:r>
        <w:rPr>
          <w:rFonts w:hint="eastAsia"/>
          <w:sz w:val="24"/>
          <w14:ligatures w14:val="standardContextual"/>
        </w:rPr>
        <w:t>添加比例增加至</w:t>
      </w:r>
      <w:r>
        <w:rPr>
          <w:sz w:val="24"/>
          <w14:ligatures w14:val="standardContextual"/>
        </w:rPr>
        <w:t>9</w:t>
      </w:r>
      <w:r>
        <w:rPr>
          <w:rFonts w:hint="eastAsia"/>
          <w:sz w:val="24"/>
          <w14:ligatures w14:val="standardContextual"/>
        </w:rPr>
        <w:t xml:space="preserve"> </w:t>
      </w:r>
      <w:r>
        <w:rPr>
          <w:sz w:val="24"/>
          <w14:ligatures w14:val="standardContextual"/>
        </w:rPr>
        <w:t>%~12</w:t>
      </w:r>
      <w:r>
        <w:rPr>
          <w:rFonts w:hint="eastAsia"/>
          <w:sz w:val="24"/>
          <w14:ligatures w14:val="standardContextual"/>
        </w:rPr>
        <w:t xml:space="preserve"> </w:t>
      </w:r>
      <w:r>
        <w:rPr>
          <w:sz w:val="24"/>
          <w14:ligatures w14:val="standardContextual"/>
        </w:rPr>
        <w:t>%(FRBC9</w:t>
      </w:r>
      <w:r>
        <w:rPr>
          <w:rFonts w:hint="eastAsia"/>
          <w:sz w:val="24"/>
          <w14:ligatures w14:val="standardContextual"/>
        </w:rPr>
        <w:t>和</w:t>
      </w:r>
      <w:r>
        <w:rPr>
          <w:sz w:val="24"/>
          <w14:ligatures w14:val="standardContextual"/>
        </w:rPr>
        <w:t>FRBC12</w:t>
      </w:r>
      <w:r>
        <w:rPr>
          <w:rFonts w:hint="eastAsia"/>
          <w:sz w:val="24"/>
          <w14:ligatures w14:val="standardContextual"/>
        </w:rPr>
        <w:t>组</w:t>
      </w:r>
      <w:r>
        <w:rPr>
          <w:sz w:val="24"/>
          <w14:ligatures w14:val="standardContextual"/>
        </w:rPr>
        <w:t>)</w:t>
      </w:r>
      <w:r>
        <w:rPr>
          <w:rFonts w:hint="eastAsia"/>
          <w:sz w:val="24"/>
          <w14:ligatures w14:val="standardContextual"/>
        </w:rPr>
        <w:t>时</w:t>
      </w:r>
      <w:r>
        <w:rPr>
          <w:sz w:val="24"/>
          <w14:ligatures w14:val="standardContextual"/>
        </w:rPr>
        <w:t>T-AOC</w:t>
      </w:r>
      <w:r>
        <w:rPr>
          <w:rFonts w:hint="eastAsia"/>
          <w:sz w:val="24"/>
          <w14:ligatures w14:val="standardContextual"/>
        </w:rPr>
        <w:t>显著降低</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rFonts w:hint="eastAsia"/>
          <w:sz w:val="24"/>
          <w14:ligatures w14:val="standardContextual"/>
        </w:rPr>
        <w:t>各组间</w:t>
      </w:r>
      <w:r>
        <w:rPr>
          <w:sz w:val="24"/>
          <w14:ligatures w14:val="standardContextual"/>
        </w:rPr>
        <w:t>SOD</w:t>
      </w:r>
      <w:r>
        <w:rPr>
          <w:rFonts w:hint="eastAsia"/>
          <w:sz w:val="24"/>
          <w14:ligatures w14:val="standardContextual"/>
        </w:rPr>
        <w:t>和</w:t>
      </w:r>
      <w:r>
        <w:rPr>
          <w:sz w:val="24"/>
          <w14:ligatures w14:val="standardContextual"/>
        </w:rPr>
        <w:t>CAT</w:t>
      </w:r>
      <w:r>
        <w:rPr>
          <w:rFonts w:hint="eastAsia"/>
          <w:sz w:val="24"/>
          <w14:ligatures w14:val="standardContextual"/>
        </w:rPr>
        <w:t>活性差异不显著</w:t>
      </w:r>
      <w:r>
        <w:rPr>
          <w:sz w:val="24"/>
          <w14:ligatures w14:val="standardContextual"/>
        </w:rPr>
        <w:t>(</w:t>
      </w:r>
      <w:r>
        <w:rPr>
          <w:i/>
          <w:iCs/>
          <w:sz w:val="24"/>
          <w14:ligatures w14:val="standardContextual"/>
        </w:rPr>
        <w:t>P</w:t>
      </w:r>
      <w:r>
        <w:rPr>
          <w:sz w:val="24"/>
          <w14:ligatures w14:val="standardContextual"/>
        </w:rPr>
        <w:t>&gt;0.05)</w:t>
      </w:r>
      <w:r>
        <w:rPr>
          <w:rFonts w:ascii="宋体" w:hAnsi="宋体"/>
          <w:sz w:val="24"/>
          <w14:ligatures w14:val="standardContextual"/>
        </w:rPr>
        <w:t>;</w:t>
      </w:r>
      <w:r>
        <w:rPr>
          <w:sz w:val="24"/>
          <w14:ligatures w14:val="standardContextual"/>
        </w:rPr>
        <w:t>FRBC6</w:t>
      </w:r>
      <w:r>
        <w:rPr>
          <w:rFonts w:hint="eastAsia" w:ascii="宋体" w:hAnsi="宋体" w:cs="微软雅黑"/>
          <w:sz w:val="24"/>
          <w14:ligatures w14:val="standardContextual"/>
        </w:rPr>
        <w:t>、</w:t>
      </w:r>
      <w:r>
        <w:rPr>
          <w:sz w:val="24"/>
          <w14:ligatures w14:val="standardContextual"/>
        </w:rPr>
        <w:t>FRBC9</w:t>
      </w:r>
      <w:r>
        <w:rPr>
          <w:rFonts w:hint="eastAsia"/>
          <w:sz w:val="24"/>
          <w14:ligatures w14:val="standardContextual"/>
        </w:rPr>
        <w:t>和</w:t>
      </w:r>
      <w:r>
        <w:rPr>
          <w:sz w:val="24"/>
          <w14:ligatures w14:val="standardContextual"/>
        </w:rPr>
        <w:t>FRBC12</w:t>
      </w:r>
      <w:r>
        <w:rPr>
          <w:rFonts w:hint="eastAsia"/>
          <w:sz w:val="24"/>
          <w14:ligatures w14:val="standardContextual"/>
        </w:rPr>
        <w:t>组</w:t>
      </w:r>
      <w:r>
        <w:rPr>
          <w:sz w:val="24"/>
          <w14:ligatures w14:val="standardContextual"/>
        </w:rPr>
        <w:t>TPS</w:t>
      </w:r>
      <w:r>
        <w:rPr>
          <w:rFonts w:hint="eastAsia"/>
          <w:sz w:val="24"/>
          <w14:ligatures w14:val="standardContextual"/>
        </w:rPr>
        <w:t>活性显著高于对照组</w:t>
      </w:r>
      <w:r>
        <w:rPr>
          <w:sz w:val="24"/>
          <w14:ligatures w14:val="standardContextual"/>
        </w:rPr>
        <w:t>(</w:t>
      </w:r>
      <w:r>
        <w:rPr>
          <w:i/>
          <w:iCs/>
          <w:sz w:val="24"/>
          <w14:ligatures w14:val="standardContextual"/>
        </w:rPr>
        <w:t>P</w:t>
      </w:r>
      <w:r>
        <w:rPr>
          <w:sz w:val="24"/>
          <w14:ligatures w14:val="standardContextual"/>
        </w:rPr>
        <w:t>&lt;0.05)</w:t>
      </w:r>
      <w:r>
        <w:rPr>
          <w:rFonts w:ascii="宋体" w:hAnsi="宋体"/>
          <w:sz w:val="24"/>
          <w14:ligatures w14:val="standardContextual"/>
        </w:rPr>
        <w:t>;</w:t>
      </w:r>
      <w:r>
        <w:rPr>
          <w:rFonts w:hint="eastAsia"/>
          <w:sz w:val="24"/>
          <w14:ligatures w14:val="standardContextual"/>
        </w:rPr>
        <w:t>各组间</w:t>
      </w:r>
      <w:r>
        <w:rPr>
          <w:sz w:val="24"/>
          <w14:ligatures w14:val="standardContextual"/>
        </w:rPr>
        <w:t>α-AMS</w:t>
      </w:r>
      <w:r>
        <w:rPr>
          <w:rFonts w:hint="eastAsia"/>
          <w:sz w:val="24"/>
          <w14:ligatures w14:val="standardContextual"/>
        </w:rPr>
        <w:t>和</w:t>
      </w:r>
      <w:r>
        <w:rPr>
          <w:sz w:val="24"/>
          <w14:ligatures w14:val="standardContextual"/>
        </w:rPr>
        <w:t>LPS</w:t>
      </w:r>
      <w:r>
        <w:rPr>
          <w:rFonts w:hint="eastAsia"/>
          <w:sz w:val="24"/>
          <w14:ligatures w14:val="standardContextual"/>
        </w:rPr>
        <w:t>活性没有显著差异</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p>
    <w:p w14:paraId="29064F56">
      <w:pPr>
        <w:spacing w:line="360" w:lineRule="auto"/>
        <w:jc w:val="center"/>
        <w:rPr>
          <w:color w:val="FF0000"/>
          <w:sz w:val="24"/>
          <w14:ligatures w14:val="standardContextual"/>
        </w:rPr>
      </w:pPr>
      <w:r>
        <w:rPr>
          <w:color w:val="FF0000"/>
          <w:sz w:val="24"/>
          <w14:ligatures w14:val="standardContextual"/>
        </w:rPr>
        <w:drawing>
          <wp:inline distT="0" distB="0" distL="0" distR="0">
            <wp:extent cx="5894705" cy="1849120"/>
            <wp:effectExtent l="0" t="0" r="0" b="0"/>
            <wp:docPr id="20218942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94202" name="图片 1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4833" cy="1855768"/>
                    </a:xfrm>
                    <a:prstGeom prst="rect">
                      <a:avLst/>
                    </a:prstGeom>
                  </pic:spPr>
                </pic:pic>
              </a:graphicData>
            </a:graphic>
          </wp:inline>
        </w:drawing>
      </w:r>
    </w:p>
    <w:p w14:paraId="79DC36CE">
      <w:pPr>
        <w:spacing w:line="360" w:lineRule="auto"/>
        <w:rPr>
          <w:sz w:val="24"/>
          <w14:ligatures w14:val="standardContextual"/>
        </w:rPr>
      </w:pPr>
      <w:r>
        <w:rPr>
          <w:sz w:val="24"/>
          <w14:ligatures w14:val="standardContextual"/>
        </w:rPr>
        <w:t>2.6</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对鲤鱼肠道黏膜屏障功能相关基因</w:t>
      </w:r>
      <w:r>
        <w:rPr>
          <w:sz w:val="24"/>
          <w14:ligatures w14:val="standardContextual"/>
        </w:rPr>
        <w:t>mRNA</w:t>
      </w:r>
      <w:r>
        <w:rPr>
          <w:rFonts w:hint="eastAsia"/>
          <w:sz w:val="24"/>
          <w14:ligatures w14:val="standardContextual"/>
        </w:rPr>
        <w:t>相对表达量的影响</w:t>
      </w:r>
    </w:p>
    <w:p w14:paraId="698BBF16">
      <w:pPr>
        <w:spacing w:line="360" w:lineRule="auto"/>
        <w:ind w:firstLine="480" w:firstLineChars="200"/>
        <w:rPr>
          <w:rFonts w:ascii="宋体" w:hAnsi="宋体"/>
          <w:sz w:val="24"/>
          <w14:ligatures w14:val="standardContextual"/>
        </w:rPr>
      </w:pPr>
      <w:r>
        <w:rPr>
          <w:rFonts w:hint="eastAsia"/>
          <w:sz w:val="24"/>
          <w14:ligatures w14:val="standardContextual"/>
        </w:rPr>
        <w:t>由图</w:t>
      </w:r>
      <w:r>
        <w:rPr>
          <w:sz w:val="24"/>
          <w14:ligatures w14:val="standardContextual"/>
        </w:rPr>
        <w:t>1</w:t>
      </w:r>
      <w:r>
        <w:rPr>
          <w:rFonts w:hint="eastAsia"/>
          <w:sz w:val="24"/>
          <w14:ligatures w14:val="standardContextual"/>
        </w:rPr>
        <w:t>可知</w:t>
      </w:r>
      <w:r>
        <w:rPr>
          <w:rFonts w:hint="eastAsia" w:ascii="宋体" w:hAnsi="宋体"/>
          <w:sz w:val="24"/>
          <w14:ligatures w14:val="standardContextual"/>
        </w:rPr>
        <w:t>,</w:t>
      </w:r>
      <w:r>
        <w:rPr>
          <w:i/>
          <w:iCs/>
          <w:sz w:val="24"/>
          <w14:ligatures w14:val="standardContextual"/>
        </w:rPr>
        <w:t>ZO</w:t>
      </w:r>
      <w:r>
        <w:rPr>
          <w:sz w:val="24"/>
          <w14:ligatures w14:val="standardContextual"/>
        </w:rPr>
        <w:t>-1</w:t>
      </w:r>
      <w:r>
        <w:rPr>
          <w:rFonts w:hint="eastAsia"/>
          <w:sz w:val="24"/>
          <w14:ligatures w14:val="standardContextual"/>
        </w:rPr>
        <w:t>和</w:t>
      </w:r>
      <w:r>
        <w:rPr>
          <w:i/>
          <w:iCs/>
          <w:sz w:val="24"/>
          <w14:ligatures w14:val="standardContextual"/>
        </w:rPr>
        <w:t>Occlidin</w:t>
      </w:r>
      <w:r>
        <w:rPr>
          <w:rFonts w:hint="eastAsia"/>
          <w:sz w:val="24"/>
          <w14:ligatures w14:val="standardContextual"/>
        </w:rPr>
        <w:t>的</w:t>
      </w:r>
      <w:r>
        <w:rPr>
          <w:sz w:val="24"/>
          <w14:ligatures w14:val="standardContextual"/>
        </w:rPr>
        <w:t>mRNA</w:t>
      </w:r>
      <w:r>
        <w:rPr>
          <w:rFonts w:hint="eastAsia"/>
          <w:sz w:val="24"/>
          <w14:ligatures w14:val="standardContextual"/>
        </w:rPr>
        <w:t>相对表达量在各组间无显著差异</w:t>
      </w:r>
      <w:r>
        <w:rPr>
          <w:sz w:val="24"/>
          <w14:ligatures w14:val="standardContextual"/>
        </w:rPr>
        <w:t>(</w:t>
      </w:r>
      <w:r>
        <w:rPr>
          <w:i/>
          <w:iCs/>
          <w:sz w:val="24"/>
          <w14:ligatures w14:val="standardContextual"/>
        </w:rPr>
        <w:t>P</w:t>
      </w:r>
      <w:r>
        <w:rPr>
          <w:sz w:val="24"/>
          <w14:ligatures w14:val="standardContextual"/>
        </w:rPr>
        <w:t>&gt;0.05)</w:t>
      </w:r>
      <w:r>
        <w:rPr>
          <w:rFonts w:ascii="宋体" w:hAnsi="宋体"/>
          <w:sz w:val="24"/>
          <w14:ligatures w14:val="standardContextual"/>
        </w:rPr>
        <w:t>;</w:t>
      </w:r>
      <w:r>
        <w:rPr>
          <w:rFonts w:hint="eastAsia"/>
          <w:sz w:val="24"/>
          <w14:ligatures w14:val="standardContextual"/>
        </w:rPr>
        <w:t>与对照组相比</w:t>
      </w:r>
      <w:r>
        <w:rPr>
          <w:rFonts w:hint="eastAsia" w:ascii="宋体" w:hAnsi="宋体"/>
          <w:sz w:val="24"/>
          <w14:ligatures w14:val="standardContextual"/>
        </w:rPr>
        <w:t>,</w:t>
      </w:r>
      <w:r>
        <w:rPr>
          <w:sz w:val="24"/>
          <w14:ligatures w14:val="standardContextual"/>
        </w:rPr>
        <w:t>FRBC9</w:t>
      </w:r>
      <w:r>
        <w:rPr>
          <w:rFonts w:hint="eastAsia"/>
          <w:sz w:val="24"/>
          <w14:ligatures w14:val="standardContextual"/>
        </w:rPr>
        <w:t>组</w:t>
      </w:r>
      <w:r>
        <w:rPr>
          <w:i/>
          <w:iCs/>
          <w:sz w:val="24"/>
          <w14:ligatures w14:val="standardContextual"/>
        </w:rPr>
        <w:t>Claudin</w:t>
      </w:r>
      <w:r>
        <w:rPr>
          <w:sz w:val="24"/>
          <w14:ligatures w14:val="standardContextual"/>
        </w:rPr>
        <w:t>-1</w:t>
      </w:r>
      <w:r>
        <w:rPr>
          <w:rFonts w:hint="eastAsia"/>
          <w:sz w:val="24"/>
          <w14:ligatures w14:val="standardContextual"/>
        </w:rPr>
        <w:t>的</w:t>
      </w:r>
      <w:r>
        <w:rPr>
          <w:sz w:val="24"/>
          <w14:ligatures w14:val="standardContextual"/>
        </w:rPr>
        <w:t>mRNA</w:t>
      </w:r>
      <w:r>
        <w:rPr>
          <w:rFonts w:hint="eastAsia"/>
          <w:sz w:val="24"/>
          <w14:ligatures w14:val="standardContextual"/>
        </w:rPr>
        <w:t>相对表达量显著下调</w:t>
      </w:r>
      <w:r>
        <w:rPr>
          <w:sz w:val="24"/>
          <w14:ligatures w14:val="standardContextual"/>
        </w:rPr>
        <w:t>(</w:t>
      </w:r>
      <w:r>
        <w:rPr>
          <w:i/>
          <w:iCs/>
          <w:sz w:val="24"/>
          <w14:ligatures w14:val="standardContextual"/>
        </w:rPr>
        <w:t>P</w:t>
      </w:r>
      <w:r>
        <w:rPr>
          <w:sz w:val="24"/>
          <w14:ligatures w14:val="standardContextual"/>
        </w:rPr>
        <w:t>&lt;0.05)</w:t>
      </w:r>
      <w:r>
        <w:rPr>
          <w:rFonts w:hint="eastAsia" w:ascii="宋体" w:hAnsi="宋体"/>
          <w:sz w:val="24"/>
          <w14:ligatures w14:val="standardContextual"/>
        </w:rPr>
        <w:t>,</w:t>
      </w:r>
      <w:r>
        <w:rPr>
          <w:rFonts w:hint="eastAsia"/>
          <w:sz w:val="24"/>
          <w14:ligatures w14:val="standardContextual"/>
        </w:rPr>
        <w:t>其余</w:t>
      </w:r>
      <w:r>
        <w:rPr>
          <w:sz w:val="24"/>
          <w14:ligatures w14:val="standardContextual"/>
        </w:rPr>
        <w:t>3</w:t>
      </w:r>
      <w:r>
        <w:rPr>
          <w:rFonts w:hint="eastAsia"/>
          <w:sz w:val="24"/>
          <w14:ligatures w14:val="standardContextual"/>
        </w:rPr>
        <w:t>个添加</w:t>
      </w:r>
      <w:r>
        <w:rPr>
          <w:sz w:val="24"/>
          <w14:ligatures w14:val="standardContextual"/>
        </w:rPr>
        <w:t>FRBC</w:t>
      </w:r>
      <w:r>
        <w:rPr>
          <w:rFonts w:hint="eastAsia"/>
          <w:sz w:val="24"/>
          <w14:ligatures w14:val="standardContextual"/>
        </w:rPr>
        <w:t>组则没有显著变化</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p>
    <w:p w14:paraId="438E98F2">
      <w:pPr>
        <w:spacing w:line="360" w:lineRule="auto"/>
        <w:rPr>
          <w:sz w:val="24"/>
          <w14:ligatures w14:val="standardContextual"/>
        </w:rPr>
      </w:pPr>
      <w:r>
        <w:rPr>
          <w:sz w:val="24"/>
          <w14:ligatures w14:val="standardContextual"/>
        </w:rPr>
        <w:t>2.7</w:t>
      </w:r>
      <w:r>
        <w:rPr>
          <w:rFonts w:hint="eastAsia"/>
          <w:sz w:val="24"/>
          <w14:ligatures w14:val="standardContextual"/>
        </w:rPr>
        <w:t>nn</w:t>
      </w:r>
      <w:r>
        <w:rPr>
          <w:sz w:val="24"/>
          <w14:ligatures w14:val="standardContextual"/>
        </w:rPr>
        <w:t>FRBC</w:t>
      </w:r>
      <w:r>
        <w:rPr>
          <w:rFonts w:hint="eastAsia"/>
          <w:sz w:val="24"/>
          <w14:ligatures w14:val="standardContextual"/>
        </w:rPr>
        <w:t>对鲤鱼肠道组织形态结构的影响</w:t>
      </w:r>
    </w:p>
    <w:p w14:paraId="1998163B">
      <w:pPr>
        <w:spacing w:line="360" w:lineRule="auto"/>
        <w:ind w:firstLine="480" w:firstLineChars="200"/>
        <w:rPr>
          <w:rFonts w:ascii="宋体" w:hAnsi="宋体"/>
          <w:sz w:val="24"/>
          <w14:ligatures w14:val="standardContextual"/>
        </w:rPr>
      </w:pPr>
      <w:r>
        <w:rPr>
          <w:rFonts w:hint="eastAsia"/>
          <w:sz w:val="24"/>
          <w14:ligatures w14:val="standardContextual"/>
        </w:rPr>
        <w:t>由表</w:t>
      </w:r>
      <w:r>
        <w:rPr>
          <w:sz w:val="24"/>
          <w14:ligatures w14:val="standardContextual"/>
        </w:rPr>
        <w:t>10</w:t>
      </w:r>
      <w:r>
        <w:rPr>
          <w:rFonts w:hint="eastAsia"/>
          <w:sz w:val="24"/>
          <w14:ligatures w14:val="standardContextual"/>
        </w:rPr>
        <w:t>可知</w:t>
      </w:r>
      <w:r>
        <w:rPr>
          <w:rFonts w:hint="eastAsia" w:ascii="宋体" w:hAnsi="宋体"/>
          <w:sz w:val="24"/>
          <w14:ligatures w14:val="standardContextual"/>
        </w:rPr>
        <w:t>,</w:t>
      </w:r>
      <w:r>
        <w:rPr>
          <w:rFonts w:hint="eastAsia"/>
          <w:sz w:val="24"/>
          <w14:ligatures w14:val="standardContextual"/>
        </w:rPr>
        <w:t>饲料中添加不同比例的</w:t>
      </w:r>
      <w:r>
        <w:rPr>
          <w:sz w:val="24"/>
          <w14:ligatures w14:val="standardContextual"/>
        </w:rPr>
        <w:t>FRBC</w:t>
      </w:r>
      <w:r>
        <w:rPr>
          <w:rFonts w:hint="eastAsia"/>
          <w:sz w:val="24"/>
          <w14:ligatures w14:val="standardContextual"/>
        </w:rPr>
        <w:t>对鲤鱼肠道绒毛高度和肠壁厚度均无显著影响</w:t>
      </w:r>
      <w:r>
        <w:rPr>
          <w:sz w:val="24"/>
          <w14:ligatures w14:val="standardContextual"/>
        </w:rPr>
        <w:t>(</w:t>
      </w:r>
      <w:r>
        <w:rPr>
          <w:i/>
          <w:iCs/>
          <w:sz w:val="24"/>
          <w14:ligatures w14:val="standardContextual"/>
        </w:rPr>
        <w:t>P</w:t>
      </w:r>
      <w:r>
        <w:rPr>
          <w:sz w:val="24"/>
          <w14:ligatures w14:val="standardContextual"/>
        </w:rPr>
        <w:t>&gt;0.05)</w:t>
      </w:r>
      <w:r>
        <w:rPr>
          <w:rFonts w:hint="eastAsia" w:ascii="宋体" w:hAnsi="宋体"/>
          <w:sz w:val="24"/>
          <w14:ligatures w14:val="standardContextual"/>
        </w:rPr>
        <w:t>,</w:t>
      </w:r>
      <w:r>
        <w:rPr>
          <w:rFonts w:hint="eastAsia"/>
          <w:sz w:val="24"/>
          <w14:ligatures w14:val="standardContextual"/>
        </w:rPr>
        <w:t>但</w:t>
      </w:r>
      <w:r>
        <w:rPr>
          <w:sz w:val="24"/>
          <w14:ligatures w14:val="standardContextual"/>
        </w:rPr>
        <w:t>FRBC6</w:t>
      </w:r>
      <w:r>
        <w:rPr>
          <w:rFonts w:hint="eastAsia"/>
          <w:sz w:val="24"/>
          <w14:ligatures w14:val="standardContextual"/>
        </w:rPr>
        <w:t>和</w:t>
      </w:r>
      <w:r>
        <w:rPr>
          <w:sz w:val="24"/>
          <w14:ligatures w14:val="standardContextual"/>
        </w:rPr>
        <w:t>FRBC12</w:t>
      </w:r>
      <w:r>
        <w:rPr>
          <w:rFonts w:hint="eastAsia"/>
          <w:sz w:val="24"/>
          <w14:ligatures w14:val="standardContextual"/>
        </w:rPr>
        <w:t>组与对照组相比在数值上有所增加</w:t>
      </w:r>
      <w:r>
        <w:rPr>
          <w:rFonts w:hint="eastAsia" w:ascii="宋体" w:hAnsi="宋体"/>
          <w:sz w:val="24"/>
          <w14:ligatures w14:val="standardContextual"/>
        </w:rPr>
        <w:t>。</w:t>
      </w:r>
      <w:r>
        <w:rPr>
          <w:rFonts w:hint="eastAsia"/>
          <w:sz w:val="24"/>
          <w14:ligatures w14:val="standardContextual"/>
        </w:rPr>
        <w:t>各组肠道组织结构整体来看是正常的</w:t>
      </w:r>
      <w:r>
        <w:rPr>
          <w:rFonts w:ascii="宋体" w:hAnsi="宋体"/>
          <w:sz w:val="24"/>
          <w14:ligatures w14:val="standardContextual"/>
        </w:rPr>
        <w:t>,</w:t>
      </w:r>
      <w:r>
        <w:rPr>
          <w:rFonts w:hint="eastAsia"/>
          <w:sz w:val="24"/>
          <w14:ligatures w14:val="standardContextual"/>
        </w:rPr>
        <w:t>主要表现为上皮细胞排列有序</w:t>
      </w:r>
      <w:r>
        <w:rPr>
          <w:rFonts w:ascii="宋体" w:hAnsi="宋体"/>
          <w:sz w:val="24"/>
          <w14:ligatures w14:val="standardContextual"/>
        </w:rPr>
        <w:t>,</w:t>
      </w:r>
      <w:r>
        <w:rPr>
          <w:rFonts w:hint="eastAsia"/>
          <w:sz w:val="24"/>
          <w14:ligatures w14:val="standardContextual"/>
        </w:rPr>
        <w:t>浆膜</w:t>
      </w:r>
      <w:r>
        <w:rPr>
          <w:rFonts w:hint="eastAsia" w:ascii="宋体" w:hAnsi="宋体" w:cs="微软雅黑"/>
          <w:sz w:val="24"/>
          <w14:ligatures w14:val="standardContextual"/>
        </w:rPr>
        <w:t>、</w:t>
      </w:r>
      <w:r>
        <w:rPr>
          <w:rFonts w:hint="eastAsia"/>
          <w:sz w:val="24"/>
          <w14:ligatures w14:val="standardContextual"/>
        </w:rPr>
        <w:t>肌层</w:t>
      </w:r>
      <w:r>
        <w:rPr>
          <w:rFonts w:hint="eastAsia" w:ascii="宋体" w:hAnsi="宋体" w:cs="微软雅黑"/>
          <w:sz w:val="24"/>
          <w14:ligatures w14:val="standardContextual"/>
        </w:rPr>
        <w:t>、</w:t>
      </w:r>
      <w:r>
        <w:rPr>
          <w:rFonts w:hint="eastAsia"/>
          <w:sz w:val="24"/>
          <w14:ligatures w14:val="standardContextual"/>
        </w:rPr>
        <w:t>黏膜层以及黏膜下层等结构均清晰可见</w:t>
      </w:r>
      <w:r>
        <w:rPr>
          <w:sz w:val="24"/>
          <w14:ligatures w14:val="standardContextual"/>
        </w:rPr>
        <w:t>(</w:t>
      </w:r>
      <w:r>
        <w:rPr>
          <w:rFonts w:hint="eastAsia"/>
          <w:sz w:val="24"/>
          <w14:ligatures w14:val="standardContextual"/>
        </w:rPr>
        <w:t>图</w:t>
      </w:r>
      <w:r>
        <w:rPr>
          <w:sz w:val="24"/>
          <w14:ligatures w14:val="standardContextual"/>
        </w:rPr>
        <w:t>2)</w:t>
      </w:r>
      <w:r>
        <w:rPr>
          <w:rFonts w:hint="eastAsia" w:ascii="宋体" w:hAnsi="宋体"/>
          <w:sz w:val="24"/>
          <w14:ligatures w14:val="standardContextual"/>
        </w:rPr>
        <w:t>。</w:t>
      </w:r>
    </w:p>
    <w:p w14:paraId="406C99A9">
      <w:pPr>
        <w:spacing w:line="360" w:lineRule="auto"/>
        <w:rPr>
          <w:sz w:val="24"/>
          <w14:ligatures w14:val="standardContextual"/>
        </w:rPr>
      </w:pPr>
      <w:r>
        <w:rPr>
          <w:sz w:val="24"/>
          <w14:ligatures w14:val="standardContextual"/>
        </w:rPr>
        <w:t>3</w:t>
      </w:r>
      <w:r>
        <w:rPr>
          <w:rFonts w:hint="eastAsia"/>
          <w:sz w:val="24"/>
          <w14:ligatures w14:val="standardContextual"/>
        </w:rPr>
        <w:t>讨论</w:t>
      </w:r>
    </w:p>
    <w:p w14:paraId="4905D832">
      <w:pPr>
        <w:spacing w:line="360" w:lineRule="auto"/>
        <w:rPr>
          <w:sz w:val="24"/>
          <w14:ligatures w14:val="standardContextual"/>
        </w:rPr>
      </w:pPr>
      <w:r>
        <w:rPr>
          <w:sz w:val="24"/>
          <w14:ligatures w14:val="standardContextual"/>
        </w:rPr>
        <w:t>3.1FRBC</w:t>
      </w:r>
      <w:r>
        <w:rPr>
          <w:rFonts w:hint="eastAsia"/>
          <w:sz w:val="24"/>
          <w14:ligatures w14:val="standardContextual"/>
        </w:rPr>
        <w:t>对鲤鱼生长性能的影响</w:t>
      </w:r>
    </w:p>
    <w:p w14:paraId="1ACA928B">
      <w:pPr>
        <w:spacing w:line="360" w:lineRule="auto"/>
        <w:ind w:firstLine="480" w:firstLineChars="200"/>
        <w:rPr>
          <w:rFonts w:ascii="宋体" w:hAnsi="宋体"/>
          <w:sz w:val="24"/>
          <w14:ligatures w14:val="standardContextual"/>
        </w:rPr>
      </w:pPr>
      <w:r>
        <w:rPr>
          <w:rFonts w:hint="eastAsia"/>
          <w:sz w:val="24"/>
          <w14:ligatures w14:val="standardContextual"/>
        </w:rPr>
        <w:t>在鱼类营养领域</w:t>
      </w:r>
      <w:r>
        <w:rPr>
          <w:rFonts w:hint="eastAsia" w:ascii="宋体" w:hAnsi="宋体"/>
          <w:sz w:val="24"/>
          <w14:ligatures w14:val="standardContextual"/>
        </w:rPr>
        <w:t>,</w:t>
      </w:r>
      <w:r>
        <w:rPr>
          <w:rFonts w:hint="eastAsia"/>
          <w:sz w:val="24"/>
          <w14:ligatures w14:val="standardContextual"/>
        </w:rPr>
        <w:t>菜籽饼粕的应用研究日益增多</w:t>
      </w:r>
      <w:r>
        <w:rPr>
          <w:rFonts w:hint="eastAsia" w:ascii="宋体" w:hAnsi="宋体"/>
          <w:sz w:val="24"/>
          <w14:ligatures w14:val="standardContextual"/>
        </w:rPr>
        <w:t>,</w:t>
      </w:r>
      <w:r>
        <w:rPr>
          <w:rFonts w:hint="eastAsia"/>
          <w:sz w:val="24"/>
          <w14:ligatures w14:val="standardContextual"/>
        </w:rPr>
        <w:t>但对其效果的评估存在差异</w:t>
      </w:r>
      <w:r>
        <w:rPr>
          <w:rFonts w:hint="eastAsia" w:ascii="宋体" w:hAnsi="宋体"/>
          <w:sz w:val="24"/>
          <w14:ligatures w14:val="standardContextual"/>
        </w:rPr>
        <w:t>。</w:t>
      </w:r>
      <w:r>
        <w:rPr>
          <w:rFonts w:hint="eastAsia"/>
          <w:sz w:val="24"/>
          <w14:ligatures w14:val="standardContextual"/>
        </w:rPr>
        <w:t>本研究对</w:t>
      </w:r>
      <w:r>
        <w:rPr>
          <w:sz w:val="24"/>
          <w14:ligatures w14:val="standardContextual"/>
        </w:rPr>
        <w:t>FRBC</w:t>
      </w:r>
      <w:r>
        <w:rPr>
          <w:rFonts w:hint="eastAsia"/>
          <w:sz w:val="24"/>
          <w14:ligatures w14:val="standardContextual"/>
        </w:rPr>
        <w:t>替代豆粕对鲤鱼生长性能</w:t>
      </w:r>
      <w:r>
        <w:rPr>
          <w:rFonts w:hint="eastAsia" w:ascii="宋体" w:hAnsi="宋体" w:cs="微软雅黑"/>
          <w:sz w:val="24"/>
          <w14:ligatures w14:val="standardContextual"/>
        </w:rPr>
        <w:t>、</w:t>
      </w:r>
      <w:r>
        <w:rPr>
          <w:rFonts w:hint="eastAsia"/>
          <w:sz w:val="24"/>
          <w14:ligatures w14:val="standardContextual"/>
        </w:rPr>
        <w:t>营养物质沉积率</w:t>
      </w:r>
      <w:r>
        <w:rPr>
          <w:rFonts w:hint="eastAsia" w:ascii="宋体" w:hAnsi="宋体" w:cs="微软雅黑"/>
          <w:sz w:val="24"/>
          <w14:ligatures w14:val="standardContextual"/>
        </w:rPr>
        <w:t>、</w:t>
      </w:r>
      <w:r>
        <w:rPr>
          <w:rFonts w:hint="eastAsia"/>
          <w:sz w:val="24"/>
          <w14:ligatures w14:val="standardContextual"/>
        </w:rPr>
        <w:t>抗氧化能力</w:t>
      </w:r>
      <w:r>
        <w:rPr>
          <w:rFonts w:hint="eastAsia" w:ascii="宋体" w:hAnsi="宋体" w:cs="微软雅黑"/>
          <w:sz w:val="24"/>
          <w14:ligatures w14:val="standardContextual"/>
        </w:rPr>
        <w:t>、</w:t>
      </w:r>
      <w:r>
        <w:rPr>
          <w:rFonts w:hint="eastAsia"/>
          <w:sz w:val="24"/>
          <w14:ligatures w14:val="standardContextual"/>
        </w:rPr>
        <w:t>血清生化指标及肠道健康的影响进行了评估</w:t>
      </w:r>
      <w:r>
        <w:rPr>
          <w:rFonts w:hint="eastAsia" w:ascii="宋体" w:hAnsi="宋体"/>
          <w:sz w:val="24"/>
          <w14:ligatures w14:val="standardContextual"/>
        </w:rPr>
        <w:t>,</w:t>
      </w:r>
      <w:r>
        <w:rPr>
          <w:rFonts w:hint="eastAsia"/>
          <w:sz w:val="24"/>
          <w14:ligatures w14:val="standardContextual"/>
        </w:rPr>
        <w:t>结果表明</w:t>
      </w:r>
      <w:r>
        <w:rPr>
          <w:rFonts w:hint="eastAsia" w:ascii="宋体" w:hAnsi="宋体"/>
          <w:sz w:val="24"/>
          <w14:ligatures w14:val="standardContextual"/>
        </w:rPr>
        <w:t>,</w:t>
      </w:r>
      <w:r>
        <w:rPr>
          <w:rFonts w:hint="eastAsia"/>
          <w:sz w:val="24"/>
          <w14:ligatures w14:val="standardContextual"/>
        </w:rPr>
        <w:t>饲料中添加</w:t>
      </w:r>
      <w:r>
        <w:rPr>
          <w:sz w:val="24"/>
          <w14:ligatures w14:val="standardContextual"/>
        </w:rPr>
        <w:t>FRBC</w:t>
      </w:r>
      <w:r>
        <w:rPr>
          <w:rFonts w:hint="eastAsia"/>
          <w:sz w:val="24"/>
          <w14:ligatures w14:val="standardContextual"/>
        </w:rPr>
        <w:t>替代部分豆粕能够提高鲤鱼的生长性能和饲料利用率</w:t>
      </w:r>
      <w:r>
        <w:rPr>
          <w:rFonts w:hint="eastAsia" w:ascii="宋体" w:hAnsi="宋体"/>
          <w:sz w:val="24"/>
          <w14:ligatures w14:val="standardContextual"/>
        </w:rPr>
        <w:t>,</w:t>
      </w:r>
      <w:r>
        <w:rPr>
          <w:rFonts w:hint="eastAsia"/>
          <w:sz w:val="24"/>
          <w14:ligatures w14:val="standardContextual"/>
        </w:rPr>
        <w:t>最佳添加比例可达</w:t>
      </w:r>
      <w:r>
        <w:rPr>
          <w:sz w:val="24"/>
          <w14:ligatures w14:val="standardContextual"/>
        </w:rPr>
        <w:t>12</w:t>
      </w:r>
      <w:r>
        <w:rPr>
          <w:rFonts w:hint="eastAsia"/>
          <w:sz w:val="24"/>
          <w14:ligatures w14:val="standardContextual"/>
        </w:rPr>
        <w:t xml:space="preserve"> </w:t>
      </w:r>
      <w:r>
        <w:rPr>
          <w:sz w:val="24"/>
          <w14:ligatures w14:val="standardContextual"/>
        </w:rPr>
        <w:t>%(</w:t>
      </w:r>
      <w:r>
        <w:rPr>
          <w:rFonts w:hint="eastAsia"/>
          <w:sz w:val="24"/>
          <w14:ligatures w14:val="standardContextual"/>
        </w:rPr>
        <w:t>相当于替代豆粕的</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r>
        <w:rPr>
          <w:rFonts w:hint="eastAsia"/>
          <w:sz w:val="24"/>
          <w14:ligatures w14:val="standardContextual"/>
        </w:rPr>
        <w:t>这一结果与前人的研究结果相符</w:t>
      </w:r>
      <w:r>
        <w:rPr>
          <w:rFonts w:ascii="宋体" w:hAnsi="宋体"/>
          <w:sz w:val="24"/>
          <w14:ligatures w14:val="standardContextual"/>
        </w:rPr>
        <w:t>,</w:t>
      </w:r>
      <w:r>
        <w:rPr>
          <w:rFonts w:hint="eastAsia"/>
          <w:sz w:val="24"/>
          <w14:ligatures w14:val="standardContextual"/>
        </w:rPr>
        <w:t>即在饲料中添加处理后的菜籽粕并不会对鱼类的生长性能和饲料利用率产生不利影响</w:t>
      </w:r>
      <w:r>
        <w:rPr>
          <w:rFonts w:hint="eastAsia" w:ascii="宋体" w:hAnsi="宋体"/>
          <w:sz w:val="24"/>
          <w14:ligatures w14:val="standardContextual"/>
        </w:rPr>
        <w:t>,</w:t>
      </w:r>
      <w:r>
        <w:rPr>
          <w:rFonts w:hint="eastAsia"/>
          <w:sz w:val="24"/>
          <w14:ligatures w14:val="standardContextual"/>
        </w:rPr>
        <w:t>例如在尼罗罗非鱼</w:t>
      </w:r>
      <w:r>
        <w:rPr>
          <w:sz w:val="24"/>
          <w14:ligatures w14:val="standardContextual"/>
        </w:rPr>
        <w:t>(</w:t>
      </w:r>
      <w:r>
        <w:rPr>
          <w:rFonts w:hint="eastAsia"/>
          <w:sz w:val="24"/>
          <w14:ligatures w14:val="standardContextual"/>
        </w:rPr>
        <w:t>以发酵菜籽粕替代</w:t>
      </w:r>
      <w:r>
        <w:rPr>
          <w:sz w:val="24"/>
          <w14:ligatures w14:val="standardContextual"/>
        </w:rPr>
        <w:t>50</w:t>
      </w:r>
      <w:r>
        <w:rPr>
          <w:rFonts w:hint="eastAsia"/>
          <w:sz w:val="24"/>
          <w14:ligatures w14:val="standardContextual"/>
        </w:rPr>
        <w:t xml:space="preserve"> </w:t>
      </w:r>
      <w:r>
        <w:rPr>
          <w:sz w:val="24"/>
          <w14:ligatures w14:val="standardContextual"/>
        </w:rPr>
        <w:t>%</w:t>
      </w:r>
      <w:r>
        <w:rPr>
          <w:rFonts w:hint="eastAsia"/>
          <w:sz w:val="24"/>
          <w14:ligatures w14:val="standardContextual"/>
        </w:rPr>
        <w:t>豆粕</w:t>
      </w:r>
      <w:r>
        <w:rPr>
          <w:sz w:val="24"/>
          <w14:ligatures w14:val="standardContextual"/>
        </w:rPr>
        <w:t>)</w:t>
      </w:r>
      <w:r>
        <w:rPr>
          <w:sz w:val="24"/>
          <w:vertAlign w:val="superscript"/>
          <w14:ligatures w14:val="standardContextual"/>
        </w:rPr>
        <w:t>[16]</w:t>
      </w:r>
      <w:r>
        <w:rPr>
          <w:rFonts w:hint="eastAsia" w:ascii="宋体" w:hAnsi="宋体" w:cs="微软雅黑"/>
          <w:sz w:val="24"/>
          <w14:ligatures w14:val="standardContextual"/>
        </w:rPr>
        <w:t>、</w:t>
      </w:r>
      <w:r>
        <w:rPr>
          <w:rFonts w:hint="eastAsia"/>
          <w:sz w:val="24"/>
          <w14:ligatures w14:val="standardContextual"/>
        </w:rPr>
        <w:t>红鲷鱼</w:t>
      </w:r>
      <w:r>
        <w:rPr>
          <w:sz w:val="24"/>
          <w14:ligatures w14:val="standardContextual"/>
        </w:rPr>
        <w:t>(</w:t>
      </w:r>
      <w:r>
        <w:rPr>
          <w:rFonts w:hint="eastAsia"/>
          <w:sz w:val="24"/>
          <w14:ligatures w14:val="standardContextual"/>
        </w:rPr>
        <w:t>添加</w:t>
      </w:r>
      <w:r>
        <w:rPr>
          <w:sz w:val="24"/>
          <w14:ligatures w14:val="standardContextual"/>
        </w:rPr>
        <w:t>28.5</w:t>
      </w:r>
      <w:r>
        <w:rPr>
          <w:rFonts w:hint="eastAsia"/>
          <w:sz w:val="24"/>
          <w14:ligatures w14:val="standardContextual"/>
        </w:rPr>
        <w:t xml:space="preserve"> </w:t>
      </w:r>
      <w:r>
        <w:rPr>
          <w:sz w:val="24"/>
          <w14:ligatures w14:val="standardContextual"/>
        </w:rPr>
        <w:t>%</w:t>
      </w:r>
      <w:r>
        <w:rPr>
          <w:rFonts w:hint="eastAsia"/>
          <w:sz w:val="24"/>
          <w14:ligatures w14:val="standardContextual"/>
        </w:rPr>
        <w:t>发酵菜籽粕</w:t>
      </w:r>
      <w:r>
        <w:rPr>
          <w:sz w:val="24"/>
          <w14:ligatures w14:val="standardContextual"/>
        </w:rPr>
        <w:t>)</w:t>
      </w:r>
      <w:r>
        <w:rPr>
          <w:sz w:val="24"/>
          <w:vertAlign w:val="superscript"/>
          <w14:ligatures w14:val="standardContextual"/>
        </w:rPr>
        <w:t>[13]</w:t>
      </w:r>
      <w:r>
        <w:rPr>
          <w:rFonts w:hint="eastAsia" w:ascii="宋体" w:hAnsi="宋体" w:cs="微软雅黑"/>
          <w:sz w:val="24"/>
          <w14:ligatures w14:val="standardContextual"/>
        </w:rPr>
        <w:t>、</w:t>
      </w:r>
      <w:r>
        <w:rPr>
          <w:rFonts w:hint="eastAsia"/>
          <w:sz w:val="24"/>
          <w14:ligatures w14:val="standardContextual"/>
        </w:rPr>
        <w:t>红鲷鱼</w:t>
      </w:r>
      <w:r>
        <w:rPr>
          <w:sz w:val="24"/>
          <w14:ligatures w14:val="standardContextual"/>
        </w:rPr>
        <w:t>(</w:t>
      </w:r>
      <w:r>
        <w:rPr>
          <w:rFonts w:hint="eastAsia"/>
          <w:sz w:val="24"/>
          <w14:ligatures w14:val="standardContextual"/>
        </w:rPr>
        <w:t>添加</w:t>
      </w:r>
      <w:r>
        <w:rPr>
          <w:sz w:val="24"/>
          <w14:ligatures w14:val="standardContextual"/>
        </w:rPr>
        <w:t>30</w:t>
      </w:r>
      <w:r>
        <w:rPr>
          <w:rFonts w:hint="eastAsia"/>
          <w:sz w:val="24"/>
          <w14:ligatures w14:val="standardContextual"/>
        </w:rPr>
        <w:t xml:space="preserve"> </w:t>
      </w:r>
      <w:r>
        <w:rPr>
          <w:sz w:val="24"/>
          <w14:ligatures w14:val="standardContextual"/>
        </w:rPr>
        <w:t>%</w:t>
      </w:r>
      <w:r>
        <w:rPr>
          <w:rFonts w:hint="eastAsia"/>
          <w:sz w:val="24"/>
          <w14:ligatures w14:val="standardContextual"/>
        </w:rPr>
        <w:t>萃取菜籽粕</w:t>
      </w:r>
      <w:r>
        <w:rPr>
          <w:sz w:val="24"/>
          <w14:ligatures w14:val="standardContextual"/>
        </w:rPr>
        <w:t>)</w:t>
      </w:r>
      <w:r>
        <w:rPr>
          <w:sz w:val="24"/>
          <w:vertAlign w:val="superscript"/>
          <w14:ligatures w14:val="standardContextual"/>
        </w:rPr>
        <w:t>[17</w:t>
      </w:r>
      <w:r>
        <w:rPr>
          <w:rFonts w:hint="eastAsia"/>
          <w:sz w:val="24"/>
          <w:vertAlign w:val="superscript"/>
          <w14:ligatures w14:val="standardContextual"/>
        </w:rPr>
        <w:t>]</w:t>
      </w:r>
      <w:r>
        <w:rPr>
          <w:rFonts w:hint="eastAsia"/>
          <w:sz w:val="24"/>
          <w14:ligatures w14:val="standardContextual"/>
        </w:rPr>
        <w:t>和</w:t>
      </w:r>
      <w:r>
        <w:rPr>
          <w:rFonts w:hint="eastAsia"/>
          <w:sz w:val="24"/>
          <w:lang w:eastAsia="zh-CN"/>
          <w14:ligatures w14:val="standardContextual"/>
        </w:rPr>
        <w:t>大洋</w:t>
      </w:r>
      <w:r>
        <w:rPr>
          <w:rFonts w:hint="eastAsia"/>
          <w:sz w:val="24"/>
          <w14:ligatures w14:val="standardContextual"/>
        </w:rPr>
        <w:t>洲肺鱼</w:t>
      </w:r>
      <w:r>
        <w:rPr>
          <w:sz w:val="24"/>
          <w14:ligatures w14:val="standardContextual"/>
        </w:rPr>
        <w:t>(</w:t>
      </w:r>
      <w:r>
        <w:rPr>
          <w:rFonts w:hint="eastAsia"/>
          <w:sz w:val="24"/>
          <w14:ligatures w14:val="standardContextual"/>
        </w:rPr>
        <w:t>添加</w:t>
      </w:r>
      <w:r>
        <w:rPr>
          <w:sz w:val="24"/>
          <w14:ligatures w14:val="standardContextual"/>
        </w:rPr>
        <w:t>30</w:t>
      </w:r>
      <w:r>
        <w:rPr>
          <w:rFonts w:hint="eastAsia"/>
          <w:sz w:val="24"/>
          <w14:ligatures w14:val="standardContextual"/>
        </w:rPr>
        <w:t xml:space="preserve"> </w:t>
      </w:r>
      <w:r>
        <w:rPr>
          <w:sz w:val="24"/>
          <w14:ligatures w14:val="standardContextual"/>
        </w:rPr>
        <w:t>%</w:t>
      </w:r>
      <w:r>
        <w:rPr>
          <w:rFonts w:hint="eastAsia"/>
          <w:sz w:val="24"/>
          <w14:ligatures w14:val="standardContextual"/>
        </w:rPr>
        <w:t>溶剂萃取菜粕</w:t>
      </w:r>
      <w:r>
        <w:rPr>
          <w:sz w:val="24"/>
          <w14:ligatures w14:val="standardContextual"/>
        </w:rPr>
        <w:t>)</w:t>
      </w:r>
      <w:r>
        <w:rPr>
          <w:sz w:val="24"/>
          <w:vertAlign w:val="superscript"/>
          <w14:ligatures w14:val="standardContextual"/>
        </w:rPr>
        <w:t>[18]</w:t>
      </w:r>
      <w:r>
        <w:rPr>
          <w:rFonts w:hint="eastAsia"/>
          <w:sz w:val="24"/>
          <w14:ligatures w14:val="standardContextual"/>
        </w:rPr>
        <w:t>的研究中观察到了相似的结果</w:t>
      </w:r>
      <w:r>
        <w:rPr>
          <w:rFonts w:hint="eastAsia" w:ascii="宋体" w:hAnsi="宋体"/>
          <w:sz w:val="24"/>
          <w14:ligatures w14:val="standardContextual"/>
        </w:rPr>
        <w:t>。</w:t>
      </w:r>
      <w:r>
        <w:rPr>
          <w:rFonts w:hint="eastAsia"/>
          <w:sz w:val="24"/>
          <w14:ligatures w14:val="standardContextual"/>
        </w:rPr>
        <w:t>生物预处理可以提高菜籽饼粕的营养价值</w:t>
      </w:r>
      <w:r>
        <w:rPr>
          <w:rFonts w:hint="eastAsia" w:ascii="宋体" w:hAnsi="宋体"/>
          <w:sz w:val="24"/>
          <w14:ligatures w14:val="standardContextual"/>
        </w:rPr>
        <w:t>,</w:t>
      </w:r>
      <w:r>
        <w:rPr>
          <w:rFonts w:hint="eastAsia"/>
          <w:sz w:val="24"/>
          <w14:ligatures w14:val="standardContextual"/>
        </w:rPr>
        <w:t>为水产饲料中替代豆粕提供了一种可替代原料</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以往的研究也表明微生物发酵粕类能够调节鱼类的生长性能</w:t>
      </w:r>
      <w:r>
        <w:rPr>
          <w:rFonts w:hint="eastAsia" w:ascii="宋体" w:hAnsi="宋体" w:cs="微软雅黑"/>
          <w:sz w:val="24"/>
          <w14:ligatures w14:val="standardContextual"/>
        </w:rPr>
        <w:t>、</w:t>
      </w:r>
      <w:r>
        <w:rPr>
          <w:rFonts w:hint="eastAsia"/>
          <w:sz w:val="24"/>
          <w14:ligatures w14:val="standardContextual"/>
        </w:rPr>
        <w:t>饲料利用率和消化功能</w:t>
      </w:r>
      <w:r>
        <w:rPr>
          <w:sz w:val="24"/>
          <w:vertAlign w:val="superscript"/>
          <w14:ligatures w14:val="standardContextual"/>
        </w:rPr>
        <w:t>[19-21]</w:t>
      </w:r>
      <w:r>
        <w:rPr>
          <w:rFonts w:hint="eastAsia" w:ascii="宋体" w:hAnsi="宋体"/>
          <w:sz w:val="24"/>
          <w14:ligatures w14:val="standardContextual"/>
        </w:rPr>
        <w:t>。</w:t>
      </w:r>
      <w:r>
        <w:rPr>
          <w:rFonts w:hint="eastAsia"/>
          <w:sz w:val="24"/>
          <w14:ligatures w14:val="standardContextual"/>
        </w:rPr>
        <w:t>因此</w:t>
      </w:r>
      <w:r>
        <w:rPr>
          <w:rFonts w:ascii="宋体" w:hAnsi="宋体"/>
          <w:sz w:val="24"/>
          <w14:ligatures w14:val="standardContextual"/>
        </w:rPr>
        <w:t>,</w:t>
      </w:r>
      <w:r>
        <w:rPr>
          <w:rFonts w:hint="eastAsia"/>
          <w:sz w:val="24"/>
          <w14:ligatures w14:val="standardContextual"/>
        </w:rPr>
        <w:t>本研究中</w:t>
      </w:r>
      <w:r>
        <w:rPr>
          <w:sz w:val="24"/>
          <w14:ligatures w14:val="standardContextual"/>
        </w:rPr>
        <w:t>FRBC</w:t>
      </w:r>
      <w:r>
        <w:rPr>
          <w:rFonts w:hint="eastAsia"/>
          <w:sz w:val="24"/>
          <w14:ligatures w14:val="standardContextual"/>
        </w:rPr>
        <w:t>能够促进鲤鱼的生长可能是由于菌酶协同发酵处理提高了菜籽褐饼中蛋白质等营养成分的生物利用度</w:t>
      </w:r>
      <w:r>
        <w:rPr>
          <w:rFonts w:ascii="宋体" w:hAnsi="宋体"/>
          <w:sz w:val="24"/>
          <w14:ligatures w14:val="standardContextual"/>
        </w:rPr>
        <w:t>,</w:t>
      </w:r>
      <w:r>
        <w:rPr>
          <w:rFonts w:hint="eastAsia"/>
          <w:sz w:val="24"/>
          <w14:ligatures w14:val="standardContextual"/>
        </w:rPr>
        <w:t>改善了其生物学价值</w:t>
      </w:r>
      <w:r>
        <w:rPr>
          <w:rFonts w:hint="eastAsia" w:ascii="宋体" w:hAnsi="宋体"/>
          <w:sz w:val="24"/>
          <w14:ligatures w14:val="standardContextual"/>
        </w:rPr>
        <w:t>。</w:t>
      </w:r>
      <w:r>
        <w:rPr>
          <w:rFonts w:hint="eastAsia"/>
          <w:sz w:val="24"/>
          <w14:ligatures w14:val="standardContextual"/>
        </w:rPr>
        <w:t>这在本研究中饲料利用率</w:t>
      </w:r>
      <w:r>
        <w:rPr>
          <w:rFonts w:hint="eastAsia" w:ascii="宋体" w:hAnsi="宋体" w:cs="微软雅黑"/>
          <w:sz w:val="24"/>
          <w14:ligatures w14:val="standardContextual"/>
        </w:rPr>
        <w:t>、</w:t>
      </w:r>
      <w:r>
        <w:rPr>
          <w:rFonts w:hint="eastAsia"/>
          <w:sz w:val="24"/>
          <w14:ligatures w14:val="standardContextual"/>
        </w:rPr>
        <w:t>营养物质沉积率等指标中得到了一定程度的体现</w:t>
      </w:r>
      <w:r>
        <w:rPr>
          <w:rFonts w:hint="eastAsia" w:ascii="宋体" w:hAnsi="宋体"/>
          <w:sz w:val="24"/>
          <w14:ligatures w14:val="standardContextual"/>
        </w:rPr>
        <w:t>。</w:t>
      </w:r>
      <w:r>
        <w:rPr>
          <w:rFonts w:hint="eastAsia"/>
          <w:sz w:val="24"/>
          <w14:ligatures w14:val="standardContextual"/>
        </w:rPr>
        <w:t>然而</w:t>
      </w:r>
      <w:r>
        <w:rPr>
          <w:rFonts w:ascii="宋体" w:hAnsi="宋体"/>
          <w:sz w:val="24"/>
          <w14:ligatures w14:val="standardContextual"/>
        </w:rPr>
        <w:t>,</w:t>
      </w:r>
      <w:r>
        <w:rPr>
          <w:sz w:val="24"/>
          <w14:ligatures w14:val="standardContextual"/>
        </w:rPr>
        <w:t>Dossou</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22</w:t>
      </w:r>
      <w:r>
        <w:rPr>
          <w:rFonts w:hint="eastAsia"/>
          <w:sz w:val="24"/>
          <w:vertAlign w:val="superscript"/>
          <w14:ligatures w14:val="standardContextual"/>
        </w:rPr>
        <w:t>]</w:t>
      </w:r>
      <w:r>
        <w:rPr>
          <w:rFonts w:hint="eastAsia"/>
          <w:sz w:val="24"/>
          <w14:ligatures w14:val="standardContextual"/>
        </w:rPr>
        <w:t>的研究结果表明</w:t>
      </w:r>
      <w:r>
        <w:rPr>
          <w:rFonts w:hint="eastAsia" w:ascii="宋体" w:hAnsi="宋体"/>
          <w:sz w:val="24"/>
          <w14:ligatures w14:val="standardContextual"/>
        </w:rPr>
        <w:t>,</w:t>
      </w:r>
      <w:r>
        <w:rPr>
          <w:rFonts w:hint="eastAsia"/>
          <w:sz w:val="24"/>
          <w14:ligatures w14:val="standardContextual"/>
        </w:rPr>
        <w:t>在饲料中添加</w:t>
      </w:r>
      <w:r>
        <w:rPr>
          <w:sz w:val="24"/>
          <w14:ligatures w14:val="standardContextual"/>
        </w:rPr>
        <w:t>55.88</w:t>
      </w:r>
      <w:r>
        <w:rPr>
          <w:rFonts w:hint="eastAsia"/>
          <w:sz w:val="24"/>
          <w14:ligatures w14:val="standardContextual"/>
        </w:rPr>
        <w:t xml:space="preserve"> </w:t>
      </w:r>
      <w:r>
        <w:rPr>
          <w:sz w:val="24"/>
          <w14:ligatures w14:val="standardContextual"/>
        </w:rPr>
        <w:t>%</w:t>
      </w:r>
      <w:r>
        <w:rPr>
          <w:rFonts w:hint="eastAsia"/>
          <w:sz w:val="24"/>
          <w14:ligatures w14:val="standardContextual"/>
        </w:rPr>
        <w:t>的发酵菜籽粕会显著降低红鲷幼鱼的生长性能</w:t>
      </w:r>
      <w:r>
        <w:rPr>
          <w:rFonts w:hint="eastAsia" w:ascii="宋体" w:hAnsi="宋体"/>
          <w:sz w:val="24"/>
          <w14:ligatures w14:val="standardContextual"/>
        </w:rPr>
        <w:t>。</w:t>
      </w:r>
      <w:r>
        <w:rPr>
          <w:rFonts w:hint="eastAsia"/>
          <w:sz w:val="24"/>
          <w14:ligatures w14:val="standardContextual"/>
        </w:rPr>
        <w:t>这可能是因为添加高比例的发酵菜籽粕会使饲料中含有较多的抗营养因子</w:t>
      </w:r>
      <w:r>
        <w:rPr>
          <w:rFonts w:hint="eastAsia" w:ascii="宋体" w:hAnsi="宋体"/>
          <w:sz w:val="24"/>
          <w14:ligatures w14:val="standardContextual"/>
        </w:rPr>
        <w:t>,</w:t>
      </w:r>
      <w:r>
        <w:rPr>
          <w:rFonts w:hint="eastAsia"/>
          <w:sz w:val="24"/>
          <w14:ligatures w14:val="standardContextual"/>
        </w:rPr>
        <w:t>甚至超过了鱼类的耐受水平</w:t>
      </w:r>
      <w:r>
        <w:rPr>
          <w:rFonts w:hint="eastAsia" w:ascii="宋体" w:hAnsi="宋体"/>
          <w:sz w:val="24"/>
          <w14:ligatures w14:val="standardContextual"/>
        </w:rPr>
        <w:t>,</w:t>
      </w:r>
      <w:r>
        <w:rPr>
          <w:rFonts w:hint="eastAsia"/>
          <w:sz w:val="24"/>
          <w14:ligatures w14:val="standardContextual"/>
        </w:rPr>
        <w:t>从而影响试验鱼的采食和营养物质利用率</w:t>
      </w:r>
      <w:r>
        <w:rPr>
          <w:rFonts w:hint="eastAsia"/>
          <w:sz w:val="24"/>
          <w:vertAlign w:val="superscript"/>
          <w14:ligatures w14:val="standardContextual"/>
        </w:rPr>
        <w:t>[</w:t>
      </w:r>
      <w:r>
        <w:rPr>
          <w:sz w:val="24"/>
          <w:vertAlign w:val="superscript"/>
          <w14:ligatures w14:val="standardContextual"/>
        </w:rPr>
        <w:t>23-24]</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本研究中各组的存活率相近</w:t>
      </w:r>
      <w:r>
        <w:rPr>
          <w:rFonts w:hint="eastAsia" w:ascii="宋体" w:hAnsi="宋体"/>
          <w:sz w:val="24"/>
          <w14:ligatures w14:val="standardContextual"/>
        </w:rPr>
        <w:t>,</w:t>
      </w:r>
      <w:r>
        <w:rPr>
          <w:rFonts w:hint="eastAsia"/>
          <w:sz w:val="24"/>
          <w14:ligatures w14:val="standardContextual"/>
        </w:rPr>
        <w:t>表明饲料中添加</w:t>
      </w:r>
      <w:r>
        <w:rPr>
          <w:sz w:val="24"/>
          <w14:ligatures w14:val="standardContextual"/>
        </w:rPr>
        <w:t>FRBC</w:t>
      </w:r>
      <w:r>
        <w:rPr>
          <w:rFonts w:hint="eastAsia"/>
          <w:sz w:val="24"/>
          <w14:ligatures w14:val="standardContextual"/>
        </w:rPr>
        <w:t>替代部分豆粕对鲤鱼的存活没有产生负面影响</w:t>
      </w:r>
      <w:r>
        <w:rPr>
          <w:rFonts w:hint="eastAsia" w:ascii="宋体" w:hAnsi="宋体"/>
          <w:sz w:val="24"/>
          <w14:ligatures w14:val="standardContextual"/>
        </w:rPr>
        <w:t>。</w:t>
      </w:r>
    </w:p>
    <w:p w14:paraId="2C6216EF">
      <w:pPr>
        <w:spacing w:line="360" w:lineRule="auto"/>
        <w:jc w:val="center"/>
        <w:rPr>
          <w:color w:val="FF0000"/>
          <w:sz w:val="24"/>
          <w14:ligatures w14:val="standardContextual"/>
        </w:rPr>
      </w:pPr>
      <w:r>
        <w:rPr>
          <w:color w:val="FF0000"/>
          <w:sz w:val="24"/>
          <w14:ligatures w14:val="standardContextual"/>
        </w:rPr>
        <w:drawing>
          <wp:inline distT="0" distB="0" distL="0" distR="0">
            <wp:extent cx="5688330" cy="3049270"/>
            <wp:effectExtent l="0" t="0" r="7620" b="0"/>
            <wp:docPr id="15800014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01426" name="图片 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91330" cy="3051259"/>
                    </a:xfrm>
                    <a:prstGeom prst="rect">
                      <a:avLst/>
                    </a:prstGeom>
                  </pic:spPr>
                </pic:pic>
              </a:graphicData>
            </a:graphic>
          </wp:inline>
        </w:drawing>
      </w:r>
      <w:r>
        <w:rPr>
          <w:color w:val="FF0000"/>
          <w:sz w:val="24"/>
          <w14:ligatures w14:val="standardContextual"/>
        </w:rPr>
        <w:drawing>
          <wp:inline distT="0" distB="0" distL="0" distR="0">
            <wp:extent cx="5715635" cy="1603375"/>
            <wp:effectExtent l="0" t="0" r="0" b="0"/>
            <wp:docPr id="1289115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1500" name="图片 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9815" cy="1604975"/>
                    </a:xfrm>
                    <a:prstGeom prst="rect">
                      <a:avLst/>
                    </a:prstGeom>
                  </pic:spPr>
                </pic:pic>
              </a:graphicData>
            </a:graphic>
          </wp:inline>
        </w:drawing>
      </w:r>
    </w:p>
    <w:p w14:paraId="391FD637">
      <w:pPr>
        <w:spacing w:line="360" w:lineRule="auto"/>
        <w:rPr>
          <w:sz w:val="24"/>
          <w14:ligatures w14:val="standardContextual"/>
        </w:rPr>
      </w:pPr>
      <w:r>
        <w:rPr>
          <w:sz w:val="24"/>
          <w14:ligatures w14:val="standardContextual"/>
        </w:rPr>
        <w:t>3.2</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对鲤鱼全鱼和肌肉营养组成的影响</w:t>
      </w:r>
    </w:p>
    <w:p w14:paraId="14340C7F">
      <w:pPr>
        <w:spacing w:line="360" w:lineRule="auto"/>
        <w:ind w:firstLine="480" w:firstLineChars="200"/>
        <w:rPr>
          <w:rFonts w:ascii="宋体" w:hAnsi="宋体"/>
          <w:sz w:val="24"/>
          <w14:ligatures w14:val="standardContextual"/>
        </w:rPr>
      </w:pPr>
      <w:r>
        <w:rPr>
          <w:rFonts w:hint="eastAsia"/>
          <w:sz w:val="24"/>
          <w14:ligatures w14:val="standardContextual"/>
        </w:rPr>
        <w:t>全鱼营养组成是评价鱼类营养和生长状况的重要指标</w:t>
      </w:r>
      <w:r>
        <w:rPr>
          <w:rFonts w:ascii="宋体" w:hAnsi="宋体"/>
          <w:sz w:val="24"/>
          <w14:ligatures w14:val="standardContextual"/>
        </w:rPr>
        <w:t>,</w:t>
      </w:r>
      <w:r>
        <w:rPr>
          <w:rFonts w:hint="eastAsia"/>
          <w:sz w:val="24"/>
          <w14:ligatures w14:val="standardContextual"/>
        </w:rPr>
        <w:t>也是鱼类营养研究的主要内容之一</w:t>
      </w:r>
      <w:r>
        <w:rPr>
          <w:rFonts w:hint="eastAsia" w:ascii="宋体" w:hAnsi="宋体"/>
          <w:sz w:val="24"/>
          <w14:ligatures w14:val="standardContextual"/>
        </w:rPr>
        <w:t>。</w:t>
      </w:r>
      <w:r>
        <w:rPr>
          <w:rFonts w:hint="eastAsia"/>
          <w:sz w:val="24"/>
          <w14:ligatures w14:val="standardContextual"/>
        </w:rPr>
        <w:t>本研究发现</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对全鱼水分</w:t>
      </w:r>
      <w:r>
        <w:rPr>
          <w:rFonts w:hint="eastAsia" w:ascii="宋体" w:hAnsi="宋体" w:cs="微软雅黑"/>
          <w:sz w:val="24"/>
          <w14:ligatures w14:val="standardContextual"/>
        </w:rPr>
        <w:t>、</w:t>
      </w:r>
      <w:r>
        <w:rPr>
          <w:rFonts w:hint="eastAsia"/>
          <w:sz w:val="24"/>
          <w14:ligatures w14:val="standardContextual"/>
        </w:rPr>
        <w:t>粗蛋白质</w:t>
      </w:r>
      <w:r>
        <w:rPr>
          <w:rFonts w:hint="eastAsia" w:ascii="宋体" w:hAnsi="宋体" w:cs="微软雅黑"/>
          <w:sz w:val="24"/>
          <w14:ligatures w14:val="standardContextual"/>
        </w:rPr>
        <w:t>、</w:t>
      </w:r>
      <w:r>
        <w:rPr>
          <w:rFonts w:hint="eastAsia"/>
          <w:sz w:val="24"/>
          <w14:ligatures w14:val="standardContextual"/>
        </w:rPr>
        <w:t>粗脂肪</w:t>
      </w:r>
      <w:r>
        <w:rPr>
          <w:rFonts w:hint="eastAsia" w:ascii="宋体" w:hAnsi="宋体" w:cs="微软雅黑"/>
          <w:sz w:val="24"/>
          <w14:ligatures w14:val="standardContextual"/>
        </w:rPr>
        <w:t>、</w:t>
      </w:r>
      <w:r>
        <w:rPr>
          <w:rFonts w:hint="eastAsia"/>
          <w:sz w:val="24"/>
          <w14:ligatures w14:val="standardContextual"/>
        </w:rPr>
        <w:t>氨基酸和粗灰分含量均没有产生显著影响</w:t>
      </w:r>
      <w:r>
        <w:rPr>
          <w:rFonts w:ascii="宋体" w:hAnsi="宋体"/>
          <w:sz w:val="24"/>
          <w14:ligatures w14:val="standardContextual"/>
        </w:rPr>
        <w:t>,</w:t>
      </w:r>
      <w:r>
        <w:rPr>
          <w:rFonts w:hint="eastAsia"/>
          <w:sz w:val="24"/>
          <w14:ligatures w14:val="standardContextual"/>
        </w:rPr>
        <w:t>这与</w:t>
      </w:r>
      <w:r>
        <w:rPr>
          <w:sz w:val="24"/>
          <w14:ligatures w14:val="standardContextual"/>
        </w:rPr>
        <w:t>Dossou</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25</w:t>
      </w:r>
      <w:r>
        <w:rPr>
          <w:rFonts w:hint="eastAsia"/>
          <w:sz w:val="24"/>
          <w:vertAlign w:val="superscript"/>
          <w14:ligatures w14:val="standardContextual"/>
        </w:rPr>
        <w:t>]</w:t>
      </w:r>
      <w:r>
        <w:rPr>
          <w:rFonts w:hint="eastAsia"/>
          <w:sz w:val="24"/>
          <w14:ligatures w14:val="standardContextual"/>
        </w:rPr>
        <w:t>关于发酵菜粕应用于红鲷鱼的研究结果一致</w:t>
      </w:r>
      <w:r>
        <w:rPr>
          <w:rFonts w:hint="eastAsia" w:ascii="宋体" w:hAnsi="宋体"/>
          <w:sz w:val="24"/>
          <w14:ligatures w14:val="standardContextual"/>
        </w:rPr>
        <w:t>。</w:t>
      </w:r>
      <w:r>
        <w:rPr>
          <w:rFonts w:hint="eastAsia"/>
          <w:sz w:val="24"/>
          <w14:ligatures w14:val="standardContextual"/>
        </w:rPr>
        <w:t>这支持了以往的研究观点</w:t>
      </w:r>
      <w:r>
        <w:rPr>
          <w:rFonts w:ascii="宋体" w:hAnsi="宋体"/>
          <w:sz w:val="24"/>
          <w14:ligatures w14:val="standardContextual"/>
        </w:rPr>
        <w:t>,</w:t>
      </w:r>
      <w:r>
        <w:rPr>
          <w:rFonts w:hint="eastAsia"/>
          <w:sz w:val="24"/>
          <w14:ligatures w14:val="standardContextual"/>
        </w:rPr>
        <w:t>即全鱼蛋白质和氨基酸含量主要受内源因素调节</w:t>
      </w:r>
      <w:r>
        <w:rPr>
          <w:rFonts w:hint="eastAsia" w:ascii="宋体" w:hAnsi="宋体"/>
          <w:sz w:val="24"/>
          <w14:ligatures w14:val="standardContextual"/>
        </w:rPr>
        <w:t>,</w:t>
      </w:r>
      <w:r>
        <w:rPr>
          <w:rFonts w:hint="eastAsia"/>
          <w:sz w:val="24"/>
          <w14:ligatures w14:val="standardContextual"/>
        </w:rPr>
        <w:t>在典型条件下相对稳定</w:t>
      </w:r>
      <w:r>
        <w:rPr>
          <w:rFonts w:hint="eastAsia" w:ascii="宋体" w:hAnsi="宋体"/>
          <w:sz w:val="24"/>
          <w14:ligatures w14:val="standardContextual"/>
        </w:rPr>
        <w:t>,</w:t>
      </w:r>
      <w:r>
        <w:rPr>
          <w:rFonts w:hint="eastAsia"/>
          <w:sz w:val="24"/>
          <w14:ligatures w14:val="standardContextual"/>
        </w:rPr>
        <w:t>不易受饲料的影响</w:t>
      </w:r>
      <w:r>
        <w:rPr>
          <w:rFonts w:hint="eastAsia"/>
          <w:sz w:val="24"/>
          <w:vertAlign w:val="superscript"/>
          <w14:ligatures w14:val="standardContextual"/>
        </w:rPr>
        <w:t>[</w:t>
      </w:r>
      <w:r>
        <w:rPr>
          <w:sz w:val="24"/>
          <w:vertAlign w:val="superscript"/>
          <w14:ligatures w14:val="standardContextual"/>
        </w:rPr>
        <w:t>8]</w:t>
      </w:r>
      <w:r>
        <w:rPr>
          <w:rFonts w:hint="eastAsia" w:ascii="宋体" w:hAnsi="宋体"/>
          <w:sz w:val="24"/>
          <w14:ligatures w14:val="standardContextual"/>
        </w:rPr>
        <w:t>。</w:t>
      </w:r>
      <w:r>
        <w:rPr>
          <w:rFonts w:hint="eastAsia"/>
          <w:sz w:val="24"/>
          <w14:ligatures w14:val="standardContextual"/>
        </w:rPr>
        <w:t>然而</w:t>
      </w:r>
      <w:r>
        <w:rPr>
          <w:rFonts w:ascii="宋体" w:hAnsi="宋体"/>
          <w:sz w:val="24"/>
          <w14:ligatures w14:val="standardContextual"/>
        </w:rPr>
        <w:t>,</w:t>
      </w:r>
      <w:r>
        <w:rPr>
          <w:sz w:val="24"/>
          <w14:ligatures w14:val="standardContextual"/>
        </w:rPr>
        <w:t>Iqbal</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26</w:t>
      </w:r>
      <w:r>
        <w:rPr>
          <w:rFonts w:hint="eastAsia"/>
          <w:sz w:val="24"/>
          <w:vertAlign w:val="superscript"/>
          <w14:ligatures w14:val="standardContextual"/>
        </w:rPr>
        <w:t>]</w:t>
      </w:r>
      <w:r>
        <w:rPr>
          <w:rFonts w:hint="eastAsia"/>
          <w:sz w:val="24"/>
          <w14:ligatures w14:val="standardContextual"/>
        </w:rPr>
        <w:t>研究发现</w:t>
      </w:r>
      <w:r>
        <w:rPr>
          <w:rFonts w:hint="eastAsia" w:ascii="宋体" w:hAnsi="宋体"/>
          <w:sz w:val="24"/>
          <w14:ligatures w14:val="standardContextual"/>
        </w:rPr>
        <w:t>,</w:t>
      </w:r>
      <w:r>
        <w:rPr>
          <w:rFonts w:hint="eastAsia"/>
          <w:sz w:val="24"/>
          <w14:ligatures w14:val="standardContextual"/>
        </w:rPr>
        <w:t>菜籽粕高比例替代豆粕显著降低了罗非鱼全鱼粗蛋白质含量</w:t>
      </w:r>
      <w:r>
        <w:rPr>
          <w:rFonts w:hint="eastAsia" w:ascii="宋体" w:hAnsi="宋体"/>
          <w:sz w:val="24"/>
          <w14:ligatures w14:val="standardContextual"/>
        </w:rPr>
        <w:t>,</w:t>
      </w:r>
      <w:r>
        <w:rPr>
          <w:rFonts w:hint="eastAsia"/>
          <w:sz w:val="24"/>
          <w14:ligatures w14:val="standardContextual"/>
        </w:rPr>
        <w:t>并提高了粗脂肪含量</w:t>
      </w:r>
      <w:r>
        <w:rPr>
          <w:rFonts w:hint="eastAsia" w:ascii="宋体" w:hAnsi="宋体"/>
          <w:sz w:val="24"/>
          <w14:ligatures w14:val="standardContextual"/>
        </w:rPr>
        <w:t>。</w:t>
      </w:r>
      <w:r>
        <w:rPr>
          <w:rFonts w:hint="eastAsia"/>
          <w:sz w:val="24"/>
          <w14:ligatures w14:val="standardContextual"/>
        </w:rPr>
        <w:t>类似的情况在大口黑鲈</w:t>
      </w:r>
      <w:r>
        <w:rPr>
          <w:sz w:val="24"/>
          <w:vertAlign w:val="superscript"/>
          <w14:ligatures w14:val="standardContextual"/>
        </w:rPr>
        <w:t>[27</w:t>
      </w:r>
      <w:r>
        <w:rPr>
          <w:rFonts w:hint="eastAsia"/>
          <w:sz w:val="24"/>
          <w:vertAlign w:val="superscript"/>
          <w14:ligatures w14:val="standardContextual"/>
        </w:rPr>
        <w:t>]</w:t>
      </w:r>
      <w:r>
        <w:rPr>
          <w:rFonts w:hint="eastAsia"/>
          <w:sz w:val="24"/>
          <w14:ligatures w14:val="standardContextual"/>
        </w:rPr>
        <w:t>和尼罗非洲鲫鱼</w:t>
      </w:r>
      <w:r>
        <w:rPr>
          <w:rFonts w:hint="eastAsia"/>
          <w:sz w:val="24"/>
          <w:vertAlign w:val="superscript"/>
          <w14:ligatures w14:val="standardContextual"/>
        </w:rPr>
        <w:t>[</w:t>
      </w:r>
      <w:r>
        <w:rPr>
          <w:sz w:val="24"/>
          <w:vertAlign w:val="superscript"/>
          <w14:ligatures w14:val="standardContextual"/>
        </w:rPr>
        <w:t>16]</w:t>
      </w:r>
      <w:r>
        <w:rPr>
          <w:rFonts w:hint="eastAsia"/>
          <w:sz w:val="24"/>
          <w14:ligatures w14:val="standardContextual"/>
        </w:rPr>
        <w:t>的研究中也有描述</w:t>
      </w:r>
      <w:r>
        <w:rPr>
          <w:rFonts w:hint="eastAsia" w:ascii="宋体" w:hAnsi="宋体"/>
          <w:sz w:val="24"/>
          <w14:ligatures w14:val="standardContextual"/>
        </w:rPr>
        <w:t>。</w:t>
      </w:r>
      <w:r>
        <w:rPr>
          <w:rFonts w:hint="eastAsia"/>
          <w:sz w:val="24"/>
          <w14:ligatures w14:val="standardContextual"/>
        </w:rPr>
        <w:t>这些研究结果不一致可能与发酵菌种</w:t>
      </w:r>
      <w:r>
        <w:rPr>
          <w:rFonts w:hint="eastAsia" w:ascii="宋体" w:hAnsi="宋体" w:cs="微软雅黑"/>
          <w:sz w:val="24"/>
          <w14:ligatures w14:val="standardContextual"/>
        </w:rPr>
        <w:t>、</w:t>
      </w:r>
      <w:r>
        <w:rPr>
          <w:rFonts w:hint="eastAsia"/>
          <w:sz w:val="24"/>
          <w14:ligatures w14:val="standardContextual"/>
        </w:rPr>
        <w:t>饲料组成</w:t>
      </w:r>
      <w:r>
        <w:rPr>
          <w:rFonts w:hint="eastAsia" w:ascii="宋体" w:hAnsi="宋体" w:cs="微软雅黑"/>
          <w:sz w:val="24"/>
          <w14:ligatures w14:val="standardContextual"/>
        </w:rPr>
        <w:t>、</w:t>
      </w:r>
      <w:r>
        <w:rPr>
          <w:rFonts w:hint="eastAsia"/>
          <w:sz w:val="24"/>
          <w14:ligatures w14:val="standardContextual"/>
        </w:rPr>
        <w:t>水生动物种类和发育阶段等因素有关</w:t>
      </w:r>
      <w:r>
        <w:rPr>
          <w:rFonts w:hint="eastAsia" w:ascii="宋体" w:hAnsi="宋体"/>
          <w:sz w:val="24"/>
          <w14:ligatures w14:val="standardContextual"/>
        </w:rPr>
        <w:t>。</w:t>
      </w:r>
      <w:r>
        <w:rPr>
          <w:rFonts w:hint="eastAsia"/>
          <w:sz w:val="24"/>
          <w14:ligatures w14:val="standardContextual"/>
        </w:rPr>
        <w:t>另外</w:t>
      </w:r>
      <w:r>
        <w:rPr>
          <w:rFonts w:ascii="宋体" w:hAnsi="宋体"/>
          <w:sz w:val="24"/>
          <w14:ligatures w14:val="standardContextual"/>
        </w:rPr>
        <w:t>,</w:t>
      </w:r>
      <w:r>
        <w:rPr>
          <w:rFonts w:hint="eastAsia"/>
          <w:sz w:val="24"/>
          <w14:ligatures w14:val="standardContextual"/>
        </w:rPr>
        <w:t>从鲤鱼肌肉营养组成分析结果来看</w:t>
      </w:r>
      <w:r>
        <w:rPr>
          <w:rFonts w:hint="eastAsia" w:ascii="宋体" w:hAnsi="宋体"/>
          <w:sz w:val="24"/>
          <w14:ligatures w14:val="standardContextual"/>
        </w:rPr>
        <w:t>,</w:t>
      </w:r>
      <w:r>
        <w:rPr>
          <w:rFonts w:hint="eastAsia"/>
          <w:sz w:val="24"/>
          <w14:ligatures w14:val="standardContextual"/>
        </w:rPr>
        <w:t>饲料中添加</w:t>
      </w:r>
      <w:r>
        <w:rPr>
          <w:sz w:val="24"/>
          <w14:ligatures w14:val="standardContextual"/>
        </w:rPr>
        <w:t>FRBC</w:t>
      </w:r>
      <w:r>
        <w:rPr>
          <w:rFonts w:hint="eastAsia"/>
          <w:sz w:val="24"/>
          <w14:ligatures w14:val="standardContextual"/>
        </w:rPr>
        <w:t>对肌肉粗蛋白质和粗脂肪含量没有产生显著影响</w:t>
      </w:r>
      <w:r>
        <w:rPr>
          <w:rFonts w:hint="eastAsia" w:ascii="宋体" w:hAnsi="宋体"/>
          <w:sz w:val="24"/>
          <w14:ligatures w14:val="standardContextual"/>
        </w:rPr>
        <w:t>,</w:t>
      </w:r>
      <w:r>
        <w:rPr>
          <w:rFonts w:hint="eastAsia"/>
          <w:sz w:val="24"/>
          <w14:ligatures w14:val="standardContextual"/>
        </w:rPr>
        <w:t>但提高了肌肉中钙含量</w:t>
      </w:r>
      <w:r>
        <w:rPr>
          <w:rFonts w:hint="eastAsia" w:ascii="宋体" w:hAnsi="宋体"/>
          <w:sz w:val="24"/>
          <w14:ligatures w14:val="standardContextual"/>
        </w:rPr>
        <w:t>,</w:t>
      </w:r>
      <w:r>
        <w:rPr>
          <w:rFonts w:hint="eastAsia"/>
          <w:sz w:val="24"/>
          <w14:ligatures w14:val="standardContextual"/>
        </w:rPr>
        <w:t>这可能是由于菜籽饼粕钙含量要高于豆粕</w:t>
      </w:r>
      <w:r>
        <w:rPr>
          <w:rFonts w:hint="eastAsia"/>
          <w:sz w:val="24"/>
          <w:vertAlign w:val="superscript"/>
          <w14:ligatures w14:val="standardContextual"/>
        </w:rPr>
        <w:t>[</w:t>
      </w:r>
      <w:r>
        <w:rPr>
          <w:sz w:val="24"/>
          <w:vertAlign w:val="superscript"/>
          <w14:ligatures w14:val="standardContextual"/>
        </w:rPr>
        <w:t>28</w:t>
      </w:r>
      <w:r>
        <w:rPr>
          <w:rFonts w:hint="eastAsia"/>
          <w:sz w:val="24"/>
          <w:vertAlign w:val="superscript"/>
          <w14:ligatures w14:val="standardContextual"/>
        </w:rPr>
        <w:t>]</w:t>
      </w:r>
      <w:r>
        <w:rPr>
          <w:rFonts w:hint="eastAsia" w:ascii="宋体" w:hAnsi="宋体"/>
          <w:sz w:val="24"/>
          <w14:ligatures w14:val="standardContextual"/>
        </w:rPr>
        <w:t>,</w:t>
      </w:r>
      <w:r>
        <w:rPr>
          <w:rFonts w:hint="eastAsia"/>
          <w:sz w:val="24"/>
          <w14:ligatures w14:val="standardContextual"/>
        </w:rPr>
        <w:t>导致含</w:t>
      </w:r>
      <w:r>
        <w:rPr>
          <w:sz w:val="24"/>
          <w14:ligatures w14:val="standardContextual"/>
        </w:rPr>
        <w:t>FRBC</w:t>
      </w:r>
      <w:r>
        <w:rPr>
          <w:rFonts w:hint="eastAsia"/>
          <w:sz w:val="24"/>
          <w14:ligatures w14:val="standardContextual"/>
        </w:rPr>
        <w:t>饲粮的钙含量明显高于未添加</w:t>
      </w:r>
      <w:r>
        <w:rPr>
          <w:sz w:val="24"/>
          <w14:ligatures w14:val="standardContextual"/>
        </w:rPr>
        <w:t>FRBC</w:t>
      </w:r>
      <w:r>
        <w:rPr>
          <w:rFonts w:hint="eastAsia"/>
          <w:sz w:val="24"/>
          <w14:ligatures w14:val="standardContextual"/>
        </w:rPr>
        <w:t>的对照饲料</w:t>
      </w:r>
      <w:r>
        <w:rPr>
          <w:rFonts w:ascii="宋体" w:hAnsi="宋体"/>
          <w:sz w:val="24"/>
          <w14:ligatures w14:val="standardContextual"/>
        </w:rPr>
        <w:t>,</w:t>
      </w:r>
      <w:r>
        <w:rPr>
          <w:rFonts w:hint="eastAsia"/>
          <w:sz w:val="24"/>
          <w14:ligatures w14:val="standardContextual"/>
        </w:rPr>
        <w:t>进而促进了鱼肉中钙的保留</w:t>
      </w:r>
      <w:r>
        <w:rPr>
          <w:rFonts w:hint="eastAsia" w:ascii="宋体" w:hAnsi="宋体"/>
          <w:sz w:val="24"/>
          <w14:ligatures w14:val="standardContextual"/>
        </w:rPr>
        <w:t>。</w:t>
      </w:r>
    </w:p>
    <w:p w14:paraId="0541BE04">
      <w:pPr>
        <w:spacing w:line="360" w:lineRule="auto"/>
        <w:jc w:val="center"/>
        <w:rPr>
          <w:color w:val="FF0000"/>
          <w:sz w:val="24"/>
          <w14:ligatures w14:val="standardContextual"/>
        </w:rPr>
      </w:pPr>
      <w:r>
        <w:rPr>
          <w:color w:val="FF0000"/>
          <w:sz w:val="24"/>
          <w14:ligatures w14:val="standardContextual"/>
        </w:rPr>
        <w:drawing>
          <wp:inline distT="0" distB="0" distL="0" distR="0">
            <wp:extent cx="5822315" cy="3940810"/>
            <wp:effectExtent l="0" t="0" r="6985" b="2540"/>
            <wp:docPr id="1150137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3713" name="图片 1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53785" cy="3961815"/>
                    </a:xfrm>
                    <a:prstGeom prst="rect">
                      <a:avLst/>
                    </a:prstGeom>
                  </pic:spPr>
                </pic:pic>
              </a:graphicData>
            </a:graphic>
          </wp:inline>
        </w:drawing>
      </w:r>
    </w:p>
    <w:p w14:paraId="61DA6D45">
      <w:pPr>
        <w:spacing w:line="360" w:lineRule="auto"/>
        <w:rPr>
          <w:sz w:val="24"/>
          <w14:ligatures w14:val="standardContextual"/>
        </w:rPr>
      </w:pPr>
      <w:r>
        <w:rPr>
          <w:sz w:val="24"/>
          <w14:ligatures w14:val="standardContextual"/>
        </w:rPr>
        <w:t>3.3</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对鲤鱼营养物质沉积率的影响</w:t>
      </w:r>
    </w:p>
    <w:p w14:paraId="41852306">
      <w:pPr>
        <w:spacing w:line="360" w:lineRule="auto"/>
        <w:ind w:firstLine="480" w:firstLineChars="200"/>
        <w:rPr>
          <w:rFonts w:ascii="宋体" w:hAnsi="宋体"/>
          <w:sz w:val="24"/>
          <w14:ligatures w14:val="standardContextual"/>
        </w:rPr>
      </w:pPr>
      <w:r>
        <w:rPr>
          <w:rFonts w:hint="eastAsia"/>
          <w:sz w:val="24"/>
          <w14:ligatures w14:val="standardContextual"/>
        </w:rPr>
        <w:t>营养物质沉积与全鱼营养组成有密切相关</w:t>
      </w:r>
      <w:r>
        <w:rPr>
          <w:rFonts w:hint="eastAsia" w:ascii="宋体" w:hAnsi="宋体"/>
          <w:sz w:val="24"/>
          <w14:ligatures w14:val="standardContextual"/>
        </w:rPr>
        <w:t>。</w:t>
      </w:r>
      <w:r>
        <w:rPr>
          <w:rFonts w:hint="eastAsia"/>
          <w:sz w:val="24"/>
          <w14:ligatures w14:val="standardContextual"/>
        </w:rPr>
        <w:t>在本研究中发现</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替代</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sz w:val="24"/>
          <w14:ligatures w14:val="standardContextual"/>
        </w:rPr>
        <w:t>豆粕</w:t>
      </w:r>
      <w:r>
        <w:rPr>
          <w:sz w:val="24"/>
          <w14:ligatures w14:val="standardContextual"/>
        </w:rPr>
        <w:t>(FRBC12</w:t>
      </w:r>
      <w:r>
        <w:rPr>
          <w:rFonts w:hint="eastAsia"/>
          <w:sz w:val="24"/>
          <w14:ligatures w14:val="standardContextual"/>
        </w:rPr>
        <w:t>组</w:t>
      </w:r>
      <w:r>
        <w:rPr>
          <w:sz w:val="24"/>
          <w14:ligatures w14:val="standardContextual"/>
        </w:rPr>
        <w:t>)</w:t>
      </w:r>
      <w:r>
        <w:rPr>
          <w:rFonts w:hint="eastAsia"/>
          <w:sz w:val="24"/>
          <w14:ligatures w14:val="standardContextual"/>
        </w:rPr>
        <w:t>显著提高了鲤鱼蛋白质沉积率</w:t>
      </w:r>
      <w:r>
        <w:rPr>
          <w:rFonts w:hint="eastAsia" w:ascii="宋体" w:hAnsi="宋体"/>
          <w:sz w:val="24"/>
          <w14:ligatures w14:val="standardContextual"/>
        </w:rPr>
        <w:t>,</w:t>
      </w:r>
      <w:r>
        <w:rPr>
          <w:rFonts w:hint="eastAsia"/>
          <w:sz w:val="24"/>
          <w14:ligatures w14:val="standardContextual"/>
        </w:rPr>
        <w:t>这可能是由于部分氨基酸沉积率得到改善</w:t>
      </w:r>
      <w:r>
        <w:rPr>
          <w:rFonts w:ascii="宋体" w:hAnsi="宋体"/>
          <w:sz w:val="24"/>
          <w14:ligatures w14:val="standardContextual"/>
        </w:rPr>
        <w:t>,</w:t>
      </w:r>
      <w:r>
        <w:rPr>
          <w:rFonts w:hint="eastAsia"/>
          <w:sz w:val="24"/>
          <w14:ligatures w14:val="standardContextual"/>
        </w:rPr>
        <w:t>特别是赖氨酸</w:t>
      </w:r>
      <w:r>
        <w:rPr>
          <w:rFonts w:hint="eastAsia" w:ascii="宋体" w:hAnsi="宋体" w:cs="微软雅黑"/>
          <w:sz w:val="24"/>
          <w14:ligatures w14:val="standardContextual"/>
        </w:rPr>
        <w:t>、</w:t>
      </w:r>
      <w:r>
        <w:rPr>
          <w:rFonts w:hint="eastAsia"/>
          <w:sz w:val="24"/>
          <w14:ligatures w14:val="standardContextual"/>
        </w:rPr>
        <w:t>蛋氨酸和苏氨酸的沉积率均显著提高</w:t>
      </w:r>
      <w:r>
        <w:rPr>
          <w:rFonts w:hint="eastAsia" w:ascii="宋体" w:hAnsi="宋体"/>
          <w:sz w:val="24"/>
          <w14:ligatures w14:val="standardContextual"/>
        </w:rPr>
        <w:t>。</w:t>
      </w:r>
      <w:r>
        <w:rPr>
          <w:rFonts w:hint="eastAsia"/>
          <w:sz w:val="24"/>
          <w14:ligatures w14:val="standardContextual"/>
        </w:rPr>
        <w:t>然而</w:t>
      </w:r>
      <w:r>
        <w:rPr>
          <w:rFonts w:ascii="宋体" w:hAnsi="宋体"/>
          <w:sz w:val="24"/>
          <w14:ligatures w14:val="standardContextual"/>
        </w:rPr>
        <w:t>,</w:t>
      </w:r>
      <w:r>
        <w:rPr>
          <w:rFonts w:hint="eastAsia"/>
          <w:sz w:val="24"/>
          <w14:ligatures w14:val="standardContextual"/>
        </w:rPr>
        <w:t>添加高比例</w:t>
      </w:r>
      <w:r>
        <w:rPr>
          <w:sz w:val="24"/>
          <w14:ligatures w14:val="standardContextual"/>
        </w:rPr>
        <w:t>(9</w:t>
      </w:r>
      <w:r>
        <w:rPr>
          <w:rFonts w:hint="eastAsia"/>
          <w:sz w:val="24"/>
          <w14:ligatures w14:val="standardContextual"/>
        </w:rPr>
        <w:t xml:space="preserve"> </w:t>
      </w:r>
      <w:r>
        <w:rPr>
          <w:sz w:val="24"/>
          <w14:ligatures w14:val="standardContextual"/>
        </w:rPr>
        <w:t>%</w:t>
      </w:r>
      <w:r>
        <w:rPr>
          <w:rFonts w:hint="eastAsia"/>
          <w:sz w:val="24"/>
          <w14:ligatures w14:val="standardContextual"/>
        </w:rPr>
        <w:t>和</w:t>
      </w:r>
      <w:r>
        <w:rPr>
          <w:sz w:val="24"/>
          <w14:ligatures w14:val="standardContextual"/>
        </w:rPr>
        <w:t>12</w:t>
      </w:r>
      <w:r>
        <w:rPr>
          <w:rFonts w:hint="eastAsia"/>
          <w:sz w:val="24"/>
          <w14:ligatures w14:val="standardContextual"/>
        </w:rPr>
        <w:t xml:space="preserve"> </w:t>
      </w:r>
      <w:r>
        <w:rPr>
          <w:sz w:val="24"/>
          <w14:ligatures w14:val="standardContextual"/>
        </w:rPr>
        <w:t>%)FRBC</w:t>
      </w:r>
      <w:r>
        <w:rPr>
          <w:rFonts w:hint="eastAsia"/>
          <w:sz w:val="24"/>
          <w14:ligatures w14:val="standardContextual"/>
        </w:rPr>
        <w:t>显著降低了鲤鱼的脂肪沉积率</w:t>
      </w:r>
      <w:r>
        <w:rPr>
          <w:rFonts w:hint="eastAsia" w:ascii="宋体" w:hAnsi="宋体"/>
          <w:sz w:val="24"/>
          <w14:ligatures w14:val="standardContextual"/>
        </w:rPr>
        <w:t>。</w:t>
      </w:r>
      <w:r>
        <w:rPr>
          <w:rFonts w:hint="eastAsia"/>
          <w:sz w:val="24"/>
          <w14:ligatures w14:val="standardContextual"/>
        </w:rPr>
        <w:t>这可能是因为</w:t>
      </w:r>
      <w:r>
        <w:rPr>
          <w:sz w:val="24"/>
          <w14:ligatures w14:val="standardContextual"/>
        </w:rPr>
        <w:t>FRBC</w:t>
      </w:r>
      <w:r>
        <w:rPr>
          <w:rFonts w:hint="eastAsia"/>
          <w:sz w:val="24"/>
          <w14:ligatures w14:val="standardContextual"/>
        </w:rPr>
        <w:t>能够促进鱼体新陈代谢</w:t>
      </w:r>
      <w:r>
        <w:rPr>
          <w:rFonts w:hint="eastAsia" w:ascii="宋体" w:hAnsi="宋体"/>
          <w:sz w:val="24"/>
          <w14:ligatures w14:val="standardContextual"/>
        </w:rPr>
        <w:t>,</w:t>
      </w:r>
      <w:r>
        <w:rPr>
          <w:rFonts w:hint="eastAsia"/>
          <w:sz w:val="24"/>
          <w14:ligatures w14:val="standardContextual"/>
        </w:rPr>
        <w:t>提高鱼体对脂肪的吸收和利用</w:t>
      </w:r>
      <w:r>
        <w:rPr>
          <w:rFonts w:hint="eastAsia" w:ascii="宋体" w:hAnsi="宋体"/>
          <w:sz w:val="24"/>
          <w14:ligatures w14:val="standardContextual"/>
        </w:rPr>
        <w:t>,</w:t>
      </w:r>
      <w:r>
        <w:rPr>
          <w:rFonts w:hint="eastAsia"/>
          <w:sz w:val="24"/>
          <w14:ligatures w14:val="standardContextual"/>
        </w:rPr>
        <w:t>从而减少脂肪的储存</w:t>
      </w:r>
      <w:r>
        <w:rPr>
          <w:rFonts w:hint="eastAsia"/>
          <w:sz w:val="24"/>
          <w:vertAlign w:val="superscript"/>
          <w14:ligatures w14:val="standardContextual"/>
        </w:rPr>
        <w:t>[</w:t>
      </w:r>
      <w:r>
        <w:rPr>
          <w:sz w:val="24"/>
          <w:vertAlign w:val="superscript"/>
          <w14:ligatures w14:val="standardContextual"/>
        </w:rPr>
        <w:t>29-30</w:t>
      </w:r>
      <w:r>
        <w:rPr>
          <w:rFonts w:hint="eastAsia"/>
          <w:sz w:val="24"/>
          <w:vertAlign w:val="superscript"/>
          <w14:ligatures w14:val="standardContextual"/>
        </w:rPr>
        <w:t>]</w:t>
      </w:r>
      <w:r>
        <w:rPr>
          <w:rFonts w:hint="eastAsia" w:ascii="宋体" w:hAnsi="宋体"/>
          <w:sz w:val="24"/>
          <w14:ligatures w14:val="standardContextual"/>
        </w:rPr>
        <w:t>,</w:t>
      </w:r>
      <w:r>
        <w:rPr>
          <w:rFonts w:hint="eastAsia"/>
          <w:sz w:val="24"/>
          <w14:ligatures w14:val="standardContextual"/>
        </w:rPr>
        <w:t>然而</w:t>
      </w:r>
      <w:r>
        <w:rPr>
          <w:rFonts w:hint="eastAsia" w:ascii="宋体" w:hAnsi="宋体"/>
          <w:sz w:val="24"/>
          <w14:ligatures w14:val="standardContextual"/>
        </w:rPr>
        <w:t>,</w:t>
      </w:r>
      <w:r>
        <w:rPr>
          <w:rFonts w:hint="eastAsia"/>
          <w:sz w:val="24"/>
          <w14:ligatures w14:val="standardContextual"/>
        </w:rPr>
        <w:t>对于添加</w:t>
      </w:r>
      <w:r>
        <w:rPr>
          <w:sz w:val="24"/>
          <w14:ligatures w14:val="standardContextual"/>
        </w:rPr>
        <w:t>FRBC</w:t>
      </w:r>
      <w:r>
        <w:rPr>
          <w:rFonts w:hint="eastAsia"/>
          <w:sz w:val="24"/>
          <w14:ligatures w14:val="standardContextual"/>
        </w:rPr>
        <w:t>对鱼体脂肪酸组成的影响还需要进一步的研究</w:t>
      </w:r>
      <w:r>
        <w:rPr>
          <w:rFonts w:hint="eastAsia" w:ascii="宋体" w:hAnsi="宋体"/>
          <w:sz w:val="24"/>
          <w14:ligatures w14:val="standardContextual"/>
        </w:rPr>
        <w:t>。</w:t>
      </w:r>
      <w:r>
        <w:rPr>
          <w:rFonts w:hint="eastAsia"/>
          <w:sz w:val="24"/>
          <w14:ligatures w14:val="standardContextual"/>
        </w:rPr>
        <w:t>总体来看</w:t>
      </w:r>
      <w:r>
        <w:rPr>
          <w:rFonts w:ascii="宋体" w:hAnsi="宋体"/>
          <w:sz w:val="24"/>
          <w14:ligatures w14:val="standardContextual"/>
        </w:rPr>
        <w:t>,</w:t>
      </w:r>
      <w:r>
        <w:rPr>
          <w:rFonts w:hint="eastAsia"/>
          <w:sz w:val="24"/>
          <w14:ligatures w14:val="standardContextual"/>
        </w:rPr>
        <w:t>本研究结果表明</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高比例</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sz w:val="24"/>
          <w14:ligatures w14:val="standardContextual"/>
        </w:rPr>
        <w:t>替代部分豆粕可以改善鲤鱼的肉品质</w:t>
      </w:r>
      <w:r>
        <w:rPr>
          <w:rFonts w:hint="eastAsia" w:ascii="宋体" w:hAnsi="宋体"/>
          <w:sz w:val="24"/>
          <w14:ligatures w14:val="standardContextual"/>
        </w:rPr>
        <w:t>,</w:t>
      </w:r>
      <w:r>
        <w:rPr>
          <w:rFonts w:hint="eastAsia"/>
          <w:sz w:val="24"/>
          <w14:ligatures w14:val="standardContextual"/>
        </w:rPr>
        <w:t>进一步证明了</w:t>
      </w:r>
      <w:r>
        <w:rPr>
          <w:sz w:val="24"/>
          <w14:ligatures w14:val="standardContextual"/>
        </w:rPr>
        <w:t>FRBC</w:t>
      </w:r>
      <w:r>
        <w:rPr>
          <w:rFonts w:hint="eastAsia"/>
          <w:sz w:val="24"/>
          <w14:ligatures w14:val="standardContextual"/>
        </w:rPr>
        <w:t>替代豆粕的可行性</w:t>
      </w:r>
      <w:r>
        <w:rPr>
          <w:rFonts w:hint="eastAsia" w:ascii="宋体" w:hAnsi="宋体"/>
          <w:sz w:val="24"/>
          <w14:ligatures w14:val="standardContextual"/>
        </w:rPr>
        <w:t>。</w:t>
      </w:r>
    </w:p>
    <w:p w14:paraId="27A3707C">
      <w:pPr>
        <w:spacing w:line="360" w:lineRule="auto"/>
        <w:rPr>
          <w:sz w:val="24"/>
          <w14:ligatures w14:val="standardContextual"/>
        </w:rPr>
      </w:pPr>
      <w:r>
        <w:rPr>
          <w:sz w:val="24"/>
          <w14:ligatures w14:val="standardContextual"/>
        </w:rPr>
        <w:t>3.4</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对鲤鱼血清生化指标的影响</w:t>
      </w:r>
    </w:p>
    <w:p w14:paraId="0A1C6956">
      <w:pPr>
        <w:spacing w:line="360" w:lineRule="auto"/>
        <w:ind w:firstLine="480" w:firstLineChars="200"/>
        <w:rPr>
          <w:rFonts w:ascii="宋体" w:hAnsi="宋体"/>
          <w:sz w:val="24"/>
          <w14:ligatures w14:val="standardContextual"/>
        </w:rPr>
      </w:pPr>
      <w:r>
        <w:rPr>
          <w:rFonts w:hint="eastAsia"/>
          <w:sz w:val="24"/>
          <w14:ligatures w14:val="standardContextual"/>
        </w:rPr>
        <w:t>鱼类血液参数被视为评估饲料对鱼类整体健康水平和生理应激状态的重要指标</w:t>
      </w:r>
      <w:r>
        <w:rPr>
          <w:rFonts w:hint="eastAsia"/>
          <w:sz w:val="24"/>
          <w:vertAlign w:val="superscript"/>
          <w14:ligatures w14:val="standardContextual"/>
        </w:rPr>
        <w:t>[</w:t>
      </w:r>
      <w:r>
        <w:rPr>
          <w:sz w:val="24"/>
          <w:vertAlign w:val="superscript"/>
          <w14:ligatures w14:val="standardContextual"/>
        </w:rPr>
        <w:t>31]</w:t>
      </w:r>
      <w:r>
        <w:rPr>
          <w:rFonts w:hint="eastAsia" w:ascii="宋体" w:hAnsi="宋体"/>
          <w:sz w:val="24"/>
          <w14:ligatures w14:val="standardContextual"/>
        </w:rPr>
        <w:t>。</w:t>
      </w:r>
      <w:r>
        <w:rPr>
          <w:rFonts w:hint="eastAsia"/>
          <w:sz w:val="24"/>
          <w14:ligatures w14:val="standardContextual"/>
        </w:rPr>
        <w:t>本研究发现</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高比例</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sz w:val="24"/>
          <w14:ligatures w14:val="standardContextual"/>
        </w:rPr>
        <w:t>替代豆粕显著降低了鲤鱼血清中</w:t>
      </w:r>
      <w:r>
        <w:rPr>
          <w:sz w:val="24"/>
          <w14:ligatures w14:val="standardContextual"/>
        </w:rPr>
        <w:t>AST</w:t>
      </w:r>
      <w:r>
        <w:rPr>
          <w:rFonts w:hint="eastAsia" w:ascii="宋体" w:hAnsi="宋体" w:cs="微软雅黑"/>
          <w:sz w:val="24"/>
          <w14:ligatures w14:val="standardContextual"/>
        </w:rPr>
        <w:t>、</w:t>
      </w:r>
      <w:r>
        <w:rPr>
          <w:sz w:val="24"/>
          <w14:ligatures w14:val="standardContextual"/>
        </w:rPr>
        <w:t>ALT</w:t>
      </w:r>
      <w:r>
        <w:rPr>
          <w:rFonts w:hint="eastAsia"/>
          <w:sz w:val="24"/>
          <w14:ligatures w14:val="standardContextual"/>
        </w:rPr>
        <w:t>活性和</w:t>
      </w:r>
      <w:r>
        <w:rPr>
          <w:sz w:val="24"/>
          <w14:ligatures w14:val="standardContextual"/>
        </w:rPr>
        <w:t>TC</w:t>
      </w:r>
      <w:r>
        <w:rPr>
          <w:rFonts w:hint="eastAsia"/>
          <w:sz w:val="24"/>
          <w14:ligatures w14:val="standardContextual"/>
        </w:rPr>
        <w:t>含量</w:t>
      </w:r>
      <w:r>
        <w:rPr>
          <w:rFonts w:hint="eastAsia" w:ascii="宋体" w:hAnsi="宋体"/>
          <w:sz w:val="24"/>
          <w14:ligatures w14:val="standardContextual"/>
        </w:rPr>
        <w:t>,</w:t>
      </w:r>
      <w:r>
        <w:rPr>
          <w:rFonts w:hint="eastAsia"/>
          <w:sz w:val="24"/>
          <w14:ligatures w14:val="standardContextual"/>
        </w:rPr>
        <w:t>而对</w:t>
      </w:r>
      <w:r>
        <w:rPr>
          <w:sz w:val="24"/>
          <w14:ligatures w14:val="standardContextual"/>
        </w:rPr>
        <w:t>Glu</w:t>
      </w:r>
      <w:r>
        <w:rPr>
          <w:rFonts w:hint="eastAsia"/>
          <w:sz w:val="24"/>
          <w14:ligatures w14:val="standardContextual"/>
        </w:rPr>
        <w:t>和</w:t>
      </w:r>
      <w:r>
        <w:rPr>
          <w:sz w:val="24"/>
          <w14:ligatures w14:val="standardContextual"/>
        </w:rPr>
        <w:t>TG</w:t>
      </w:r>
      <w:r>
        <w:rPr>
          <w:rFonts w:hint="eastAsia"/>
          <w:sz w:val="24"/>
          <w14:ligatures w14:val="standardContextual"/>
        </w:rPr>
        <w:t>含量没有显著影响</w:t>
      </w:r>
      <w:r>
        <w:rPr>
          <w:rFonts w:hint="eastAsia" w:ascii="宋体" w:hAnsi="宋体"/>
          <w:sz w:val="24"/>
          <w14:ligatures w14:val="standardContextual"/>
        </w:rPr>
        <w:t>。</w:t>
      </w:r>
      <w:r>
        <w:rPr>
          <w:rFonts w:hint="eastAsia"/>
          <w:sz w:val="24"/>
          <w14:ligatures w14:val="standardContextual"/>
        </w:rPr>
        <w:t>类似的结果在其他一些研究中也得到验证</w:t>
      </w:r>
      <w:r>
        <w:rPr>
          <w:rFonts w:hint="eastAsia" w:ascii="宋体" w:hAnsi="宋体"/>
          <w:sz w:val="24"/>
          <w14:ligatures w14:val="standardContextual"/>
        </w:rPr>
        <w:t>,</w:t>
      </w:r>
      <w:r>
        <w:rPr>
          <w:rFonts w:hint="eastAsia"/>
          <w:sz w:val="24"/>
          <w14:ligatures w14:val="standardContextual"/>
        </w:rPr>
        <w:t>例如</w:t>
      </w:r>
      <w:r>
        <w:rPr>
          <w:rFonts w:hint="eastAsia" w:ascii="宋体" w:hAnsi="宋体"/>
          <w:sz w:val="24"/>
          <w14:ligatures w14:val="standardContextual"/>
        </w:rPr>
        <w:t>,</w:t>
      </w:r>
      <w:r>
        <w:rPr>
          <w:rFonts w:hint="eastAsia"/>
          <w:sz w:val="24"/>
          <w14:ligatures w14:val="standardContextual"/>
        </w:rPr>
        <w:t>在红鲷鱼饲料中添加发酵菜籽粕降低了血清</w:t>
      </w:r>
      <w:r>
        <w:rPr>
          <w:sz w:val="24"/>
          <w14:ligatures w14:val="standardContextual"/>
        </w:rPr>
        <w:t>AST</w:t>
      </w:r>
      <w:r>
        <w:rPr>
          <w:rFonts w:hint="eastAsia"/>
          <w:sz w:val="24"/>
          <w14:ligatures w14:val="standardContextual"/>
        </w:rPr>
        <w:t>活性和</w:t>
      </w:r>
      <w:r>
        <w:rPr>
          <w:sz w:val="24"/>
          <w14:ligatures w14:val="standardContextual"/>
        </w:rPr>
        <w:t>TC</w:t>
      </w:r>
      <w:r>
        <w:rPr>
          <w:rFonts w:hint="eastAsia"/>
          <w:sz w:val="24"/>
          <w14:ligatures w14:val="standardContextual"/>
        </w:rPr>
        <w:t>含量</w:t>
      </w:r>
      <w:r>
        <w:rPr>
          <w:rFonts w:hint="eastAsia" w:ascii="宋体" w:hAnsi="宋体"/>
          <w:sz w:val="24"/>
          <w14:ligatures w14:val="standardContextual"/>
        </w:rPr>
        <w:t>,</w:t>
      </w:r>
      <w:r>
        <w:rPr>
          <w:rFonts w:hint="eastAsia"/>
          <w:sz w:val="24"/>
          <w14:ligatures w14:val="standardContextual"/>
        </w:rPr>
        <w:t>而对</w:t>
      </w:r>
      <w:r>
        <w:rPr>
          <w:sz w:val="24"/>
          <w14:ligatures w14:val="standardContextual"/>
        </w:rPr>
        <w:t>Glu</w:t>
      </w:r>
      <w:r>
        <w:rPr>
          <w:rFonts w:hint="eastAsia"/>
          <w:sz w:val="24"/>
          <w14:ligatures w14:val="standardContextual"/>
        </w:rPr>
        <w:t>和</w:t>
      </w:r>
      <w:r>
        <w:rPr>
          <w:sz w:val="24"/>
          <w14:ligatures w14:val="standardContextual"/>
        </w:rPr>
        <w:t>TG</w:t>
      </w:r>
      <w:r>
        <w:rPr>
          <w:rFonts w:hint="eastAsia"/>
          <w:sz w:val="24"/>
          <w14:ligatures w14:val="standardContextual"/>
        </w:rPr>
        <w:t>含量没有显著影响</w:t>
      </w:r>
      <w:r>
        <w:rPr>
          <w:rFonts w:hint="eastAsia"/>
          <w:sz w:val="24"/>
          <w:vertAlign w:val="superscript"/>
          <w14:ligatures w14:val="standardContextual"/>
        </w:rPr>
        <w:t>[</w:t>
      </w:r>
      <w:r>
        <w:rPr>
          <w:sz w:val="24"/>
          <w:vertAlign w:val="superscript"/>
          <w14:ligatures w14:val="standardContextual"/>
        </w:rPr>
        <w:t>16]</w:t>
      </w:r>
      <w:r>
        <w:rPr>
          <w:rFonts w:hint="eastAsia" w:ascii="宋体" w:hAnsi="宋体"/>
          <w:sz w:val="24"/>
          <w14:ligatures w14:val="standardContextual"/>
        </w:rPr>
        <w:t>。</w:t>
      </w:r>
      <w:r>
        <w:rPr>
          <w:rFonts w:hint="eastAsia"/>
          <w:sz w:val="24"/>
          <w14:ligatures w14:val="standardContextual"/>
        </w:rPr>
        <w:t>通过发酵菜籽粕替代豆粕的饲喂试验</w:t>
      </w:r>
      <w:r>
        <w:rPr>
          <w:rFonts w:hint="eastAsia" w:ascii="宋体" w:hAnsi="宋体"/>
          <w:sz w:val="24"/>
          <w14:ligatures w14:val="standardContextual"/>
        </w:rPr>
        <w:t>,</w:t>
      </w:r>
      <w:r>
        <w:rPr>
          <w:rFonts w:hint="eastAsia"/>
          <w:sz w:val="24"/>
          <w14:ligatures w14:val="standardContextual"/>
        </w:rPr>
        <w:t>在肉鸡</w:t>
      </w:r>
      <w:r>
        <w:rPr>
          <w:rFonts w:hint="eastAsia"/>
          <w:sz w:val="24"/>
          <w:vertAlign w:val="superscript"/>
          <w14:ligatures w14:val="standardContextual"/>
        </w:rPr>
        <w:t>[</w:t>
      </w:r>
      <w:r>
        <w:rPr>
          <w:sz w:val="24"/>
          <w:vertAlign w:val="superscript"/>
          <w14:ligatures w14:val="standardContextual"/>
        </w:rPr>
        <w:t>4</w:t>
      </w:r>
      <w:r>
        <w:rPr>
          <w:rFonts w:ascii="宋体" w:hAnsi="宋体"/>
          <w:sz w:val="24"/>
          <w:vertAlign w:val="superscript"/>
          <w14:ligatures w14:val="standardContextual"/>
        </w:rPr>
        <w:t>,</w:t>
      </w:r>
      <w:r>
        <w:rPr>
          <w:sz w:val="24"/>
          <w:vertAlign w:val="superscript"/>
          <w14:ligatures w14:val="standardContextual"/>
        </w:rPr>
        <w:t>32</w:t>
      </w:r>
      <w:r>
        <w:rPr>
          <w:rFonts w:hint="eastAsia"/>
          <w:sz w:val="24"/>
          <w:vertAlign w:val="superscript"/>
          <w14:ligatures w14:val="standardContextual"/>
        </w:rPr>
        <w:t>]</w:t>
      </w:r>
      <w:r>
        <w:rPr>
          <w:rFonts w:hint="eastAsia"/>
          <w:sz w:val="24"/>
          <w14:ligatures w14:val="standardContextual"/>
        </w:rPr>
        <w:t>和生长育肥猪</w:t>
      </w:r>
      <w:r>
        <w:rPr>
          <w:rFonts w:hint="eastAsia"/>
          <w:sz w:val="24"/>
          <w:vertAlign w:val="superscript"/>
          <w14:ligatures w14:val="standardContextual"/>
        </w:rPr>
        <w:t>[</w:t>
      </w:r>
      <w:r>
        <w:rPr>
          <w:sz w:val="24"/>
          <w:vertAlign w:val="superscript"/>
          <w14:ligatures w14:val="standardContextual"/>
        </w:rPr>
        <w:t>33]</w:t>
      </w:r>
      <w:r>
        <w:rPr>
          <w:rFonts w:hint="eastAsia"/>
          <w:sz w:val="24"/>
          <w14:ligatures w14:val="standardContextual"/>
        </w:rPr>
        <w:t>的研究中也得出了与本研究相似的结果</w:t>
      </w:r>
      <w:r>
        <w:rPr>
          <w:rFonts w:hint="eastAsia" w:ascii="宋体" w:hAnsi="宋体"/>
          <w:sz w:val="24"/>
          <w14:ligatures w14:val="standardContextual"/>
        </w:rPr>
        <w:t>。</w:t>
      </w:r>
      <w:r>
        <w:rPr>
          <w:rFonts w:hint="eastAsia"/>
          <w:sz w:val="24"/>
          <w14:ligatures w14:val="standardContextual"/>
        </w:rPr>
        <w:t>然而</w:t>
      </w:r>
      <w:r>
        <w:rPr>
          <w:rFonts w:ascii="宋体" w:hAnsi="宋体"/>
          <w:sz w:val="24"/>
          <w14:ligatures w14:val="standardContextual"/>
        </w:rPr>
        <w:t>,</w:t>
      </w:r>
      <w:r>
        <w:rPr>
          <w:rFonts w:hint="eastAsia"/>
          <w:sz w:val="24"/>
          <w14:ligatures w14:val="standardContextual"/>
        </w:rPr>
        <w:t>有一些研究结果与此并不一致</w:t>
      </w:r>
      <w:r>
        <w:rPr>
          <w:rFonts w:hint="eastAsia" w:ascii="宋体" w:hAnsi="宋体"/>
          <w:sz w:val="24"/>
          <w14:ligatures w14:val="standardContextual"/>
        </w:rPr>
        <w:t>,</w:t>
      </w:r>
      <w:r>
        <w:rPr>
          <w:rFonts w:hint="eastAsia"/>
          <w:sz w:val="24"/>
          <w14:ligatures w14:val="standardContextual"/>
        </w:rPr>
        <w:t>姜春艳等</w:t>
      </w:r>
      <w:r>
        <w:rPr>
          <w:rFonts w:hint="eastAsia"/>
          <w:sz w:val="24"/>
          <w:vertAlign w:val="superscript"/>
          <w14:ligatures w14:val="standardContextual"/>
        </w:rPr>
        <w:t>[</w:t>
      </w:r>
      <w:r>
        <w:rPr>
          <w:sz w:val="24"/>
          <w:vertAlign w:val="superscript"/>
          <w14:ligatures w14:val="standardContextual"/>
        </w:rPr>
        <w:t>34</w:t>
      </w:r>
      <w:r>
        <w:rPr>
          <w:rFonts w:hint="eastAsia"/>
          <w:sz w:val="24"/>
          <w:vertAlign w:val="superscript"/>
          <w14:ligatures w14:val="standardContextual"/>
        </w:rPr>
        <w:t>]</w:t>
      </w:r>
      <w:r>
        <w:rPr>
          <w:rFonts w:hint="eastAsia"/>
          <w:sz w:val="24"/>
          <w14:ligatures w14:val="standardContextual"/>
        </w:rPr>
        <w:t>研究表明</w:t>
      </w:r>
      <w:r>
        <w:rPr>
          <w:rFonts w:hint="eastAsia" w:ascii="宋体" w:hAnsi="宋体"/>
          <w:sz w:val="24"/>
          <w14:ligatures w14:val="standardContextual"/>
        </w:rPr>
        <w:t>,</w:t>
      </w:r>
      <w:r>
        <w:rPr>
          <w:rFonts w:hint="eastAsia"/>
          <w:sz w:val="24"/>
          <w14:ligatures w14:val="standardContextual"/>
        </w:rPr>
        <w:t>在肉鸡饲粮中添加</w:t>
      </w:r>
      <w:r>
        <w:rPr>
          <w:sz w:val="24"/>
          <w14:ligatures w14:val="standardContextual"/>
        </w:rPr>
        <w:t>12</w:t>
      </w:r>
      <w:r>
        <w:rPr>
          <w:rFonts w:hint="eastAsia"/>
          <w:sz w:val="24"/>
          <w14:ligatures w14:val="standardContextual"/>
        </w:rPr>
        <w:t xml:space="preserve"> </w:t>
      </w:r>
      <w:r>
        <w:rPr>
          <w:sz w:val="24"/>
          <w14:ligatures w14:val="standardContextual"/>
        </w:rPr>
        <w:t>%</w:t>
      </w:r>
      <w:r>
        <w:rPr>
          <w:rFonts w:hint="eastAsia"/>
          <w:sz w:val="24"/>
          <w14:ligatures w14:val="standardContextual"/>
        </w:rPr>
        <w:t>的脱毒菜籽粕替代豆粕后</w:t>
      </w:r>
      <w:r>
        <w:rPr>
          <w:rFonts w:hint="eastAsia" w:ascii="宋体" w:hAnsi="宋体"/>
          <w:sz w:val="24"/>
          <w14:ligatures w14:val="standardContextual"/>
        </w:rPr>
        <w:t>,</w:t>
      </w:r>
      <w:r>
        <w:rPr>
          <w:rFonts w:hint="eastAsia"/>
          <w:sz w:val="24"/>
          <w14:ligatures w14:val="standardContextual"/>
        </w:rPr>
        <w:t>肉鸡血清中</w:t>
      </w:r>
      <w:r>
        <w:rPr>
          <w:sz w:val="24"/>
          <w14:ligatures w14:val="standardContextual"/>
        </w:rPr>
        <w:t>AST</w:t>
      </w:r>
      <w:r>
        <w:rPr>
          <w:rFonts w:hint="eastAsia" w:ascii="宋体" w:hAnsi="宋体" w:cs="微软雅黑"/>
          <w:sz w:val="24"/>
          <w14:ligatures w14:val="standardContextual"/>
        </w:rPr>
        <w:t>、</w:t>
      </w:r>
      <w:r>
        <w:rPr>
          <w:sz w:val="24"/>
          <w14:ligatures w14:val="standardContextual"/>
        </w:rPr>
        <w:t>ALT</w:t>
      </w:r>
      <w:r>
        <w:rPr>
          <w:rFonts w:hint="eastAsia"/>
          <w:sz w:val="24"/>
          <w14:ligatures w14:val="standardContextual"/>
        </w:rPr>
        <w:t>活性和</w:t>
      </w:r>
      <w:r>
        <w:rPr>
          <w:sz w:val="24"/>
          <w14:ligatures w14:val="standardContextual"/>
        </w:rPr>
        <w:t>TC</w:t>
      </w:r>
      <w:r>
        <w:rPr>
          <w:rFonts w:hint="eastAsia"/>
          <w:sz w:val="24"/>
          <w14:ligatures w14:val="standardContextual"/>
        </w:rPr>
        <w:t>含量显著提高</w:t>
      </w:r>
      <w:r>
        <w:rPr>
          <w:rFonts w:hint="eastAsia" w:ascii="宋体" w:hAnsi="宋体"/>
          <w:sz w:val="24"/>
          <w14:ligatures w14:val="standardContextual"/>
        </w:rPr>
        <w:t>,</w:t>
      </w:r>
      <w:r>
        <w:rPr>
          <w:rFonts w:hint="eastAsia"/>
          <w:sz w:val="24"/>
          <w14:ligatures w14:val="standardContextual"/>
        </w:rPr>
        <w:t>并引发了肉鸡毒副反应</w:t>
      </w:r>
      <w:r>
        <w:rPr>
          <w:rFonts w:hint="eastAsia" w:ascii="宋体" w:hAnsi="宋体"/>
          <w:sz w:val="24"/>
          <w14:ligatures w14:val="standardContextual"/>
        </w:rPr>
        <w:t>,</w:t>
      </w:r>
      <w:r>
        <w:rPr>
          <w:rFonts w:hint="eastAsia"/>
          <w:sz w:val="24"/>
          <w14:ligatures w14:val="standardContextual"/>
        </w:rPr>
        <w:t>与本研究结果相反</w:t>
      </w:r>
      <w:r>
        <w:rPr>
          <w:rFonts w:hint="eastAsia" w:ascii="宋体" w:hAnsi="宋体"/>
          <w:sz w:val="24"/>
          <w14:ligatures w14:val="standardContextual"/>
        </w:rPr>
        <w:t>。</w:t>
      </w:r>
      <w:r>
        <w:rPr>
          <w:sz w:val="24"/>
          <w14:ligatures w14:val="standardContextual"/>
        </w:rPr>
        <w:t>AST</w:t>
      </w:r>
      <w:r>
        <w:rPr>
          <w:rFonts w:hint="eastAsia"/>
          <w:sz w:val="24"/>
          <w14:ligatures w14:val="standardContextual"/>
        </w:rPr>
        <w:t>和</w:t>
      </w:r>
      <w:r>
        <w:rPr>
          <w:sz w:val="24"/>
          <w14:ligatures w14:val="standardContextual"/>
        </w:rPr>
        <w:t>ALT</w:t>
      </w:r>
      <w:r>
        <w:rPr>
          <w:rFonts w:hint="eastAsia"/>
          <w:sz w:val="24"/>
          <w14:ligatures w14:val="standardContextual"/>
        </w:rPr>
        <w:t>活性是衡量肝脏健康的关键指标之一</w:t>
      </w:r>
      <w:r>
        <w:rPr>
          <w:rFonts w:hint="eastAsia" w:ascii="宋体" w:hAnsi="宋体"/>
          <w:sz w:val="24"/>
          <w14:ligatures w14:val="standardContextual"/>
        </w:rPr>
        <w:t>,</w:t>
      </w:r>
      <w:r>
        <w:rPr>
          <w:rFonts w:hint="eastAsia"/>
          <w:sz w:val="24"/>
          <w14:ligatures w14:val="standardContextual"/>
        </w:rPr>
        <w:t>而血清中</w:t>
      </w:r>
      <w:r>
        <w:rPr>
          <w:sz w:val="24"/>
          <w14:ligatures w14:val="standardContextual"/>
        </w:rPr>
        <w:t>TC</w:t>
      </w:r>
      <w:r>
        <w:rPr>
          <w:rFonts w:hint="eastAsia"/>
          <w:sz w:val="24"/>
          <w14:ligatures w14:val="standardContextual"/>
        </w:rPr>
        <w:t>含量则与脂肪代谢和组织健康密切相关</w:t>
      </w:r>
      <w:r>
        <w:rPr>
          <w:rFonts w:hint="eastAsia"/>
          <w:sz w:val="24"/>
          <w:vertAlign w:val="superscript"/>
          <w14:ligatures w14:val="standardContextual"/>
        </w:rPr>
        <w:t>[</w:t>
      </w:r>
      <w:r>
        <w:rPr>
          <w:sz w:val="24"/>
          <w:vertAlign w:val="superscript"/>
          <w14:ligatures w14:val="standardContextual"/>
        </w:rPr>
        <w:t>35-36]</w:t>
      </w:r>
      <w:r>
        <w:rPr>
          <w:rFonts w:hint="eastAsia" w:ascii="宋体" w:hAnsi="宋体"/>
          <w:sz w:val="24"/>
          <w14:ligatures w14:val="standardContextual"/>
        </w:rPr>
        <w:t>。</w:t>
      </w:r>
      <w:r>
        <w:rPr>
          <w:rFonts w:hint="eastAsia"/>
          <w:sz w:val="24"/>
          <w14:ligatures w14:val="standardContextual"/>
        </w:rPr>
        <w:t>高水平的</w:t>
      </w:r>
      <w:r>
        <w:rPr>
          <w:sz w:val="24"/>
          <w14:ligatures w14:val="standardContextual"/>
        </w:rPr>
        <w:t>TC</w:t>
      </w:r>
      <w:r>
        <w:rPr>
          <w:rFonts w:hint="eastAsia"/>
          <w:sz w:val="24"/>
          <w14:ligatures w14:val="standardContextual"/>
        </w:rPr>
        <w:t>含量可能导致脂肪沉积</w:t>
      </w:r>
      <w:r>
        <w:rPr>
          <w:rFonts w:ascii="宋体" w:hAnsi="宋体"/>
          <w:sz w:val="24"/>
          <w14:ligatures w14:val="standardContextual"/>
        </w:rPr>
        <w:t>,</w:t>
      </w:r>
      <w:r>
        <w:rPr>
          <w:rFonts w:hint="eastAsia"/>
          <w:sz w:val="24"/>
          <w14:ligatures w14:val="standardContextual"/>
        </w:rPr>
        <w:t>从而影响组织的正常代谢功能</w:t>
      </w:r>
      <w:r>
        <w:rPr>
          <w:rFonts w:hint="eastAsia" w:ascii="宋体" w:hAnsi="宋体"/>
          <w:sz w:val="24"/>
          <w14:ligatures w14:val="standardContextual"/>
        </w:rPr>
        <w:t>。</w:t>
      </w:r>
      <w:r>
        <w:rPr>
          <w:rFonts w:hint="eastAsia"/>
          <w:sz w:val="24"/>
          <w14:ligatures w14:val="standardContextual"/>
        </w:rPr>
        <w:t>在本研究中</w:t>
      </w:r>
      <w:r>
        <w:rPr>
          <w:rFonts w:hint="eastAsia" w:ascii="宋体" w:hAnsi="宋体"/>
          <w:sz w:val="24"/>
          <w14:ligatures w14:val="standardContextual"/>
        </w:rPr>
        <w:t>,</w:t>
      </w:r>
      <w:r>
        <w:rPr>
          <w:rFonts w:hint="eastAsia"/>
          <w:sz w:val="24"/>
          <w14:ligatures w14:val="standardContextual"/>
        </w:rPr>
        <w:t>通过菌酶协同发酵处理</w:t>
      </w:r>
      <w:r>
        <w:rPr>
          <w:rFonts w:hint="eastAsia" w:ascii="宋体" w:hAnsi="宋体"/>
          <w:sz w:val="24"/>
          <w14:ligatures w14:val="standardContextual"/>
        </w:rPr>
        <w:t>,</w:t>
      </w:r>
      <w:r>
        <w:rPr>
          <w:rFonts w:hint="eastAsia"/>
          <w:sz w:val="24"/>
          <w14:ligatures w14:val="standardContextual"/>
        </w:rPr>
        <w:t>可以有效地去除菜籽饼粕中的抗营养因子</w:t>
      </w:r>
      <w:r>
        <w:rPr>
          <w:rFonts w:hint="eastAsia" w:ascii="宋体" w:hAnsi="宋体"/>
          <w:sz w:val="24"/>
          <w14:ligatures w14:val="standardContextual"/>
        </w:rPr>
        <w:t>,</w:t>
      </w:r>
      <w:r>
        <w:rPr>
          <w:rFonts w:hint="eastAsia"/>
          <w:sz w:val="24"/>
          <w14:ligatures w14:val="standardContextual"/>
        </w:rPr>
        <w:t>降低其对鲤鱼的不利影响</w:t>
      </w:r>
      <w:r>
        <w:rPr>
          <w:rFonts w:hint="eastAsia" w:ascii="宋体" w:hAnsi="宋体"/>
          <w:sz w:val="24"/>
          <w14:ligatures w14:val="standardContextual"/>
        </w:rPr>
        <w:t>。</w:t>
      </w:r>
      <w:r>
        <w:rPr>
          <w:rFonts w:hint="eastAsia"/>
          <w:sz w:val="24"/>
          <w14:ligatures w14:val="standardContextual"/>
        </w:rPr>
        <w:t>即使在高添加比例下</w:t>
      </w:r>
      <w:r>
        <w:rPr>
          <w:rFonts w:ascii="宋体" w:hAnsi="宋体"/>
          <w:sz w:val="24"/>
          <w14:ligatures w14:val="standardContextual"/>
        </w:rPr>
        <w:t>,</w:t>
      </w:r>
      <w:r>
        <w:rPr>
          <w:sz w:val="24"/>
          <w14:ligatures w14:val="standardContextual"/>
        </w:rPr>
        <w:t>FRBC</w:t>
      </w:r>
      <w:r>
        <w:rPr>
          <w:rFonts w:hint="eastAsia"/>
          <w:sz w:val="24"/>
          <w14:ligatures w14:val="standardContextual"/>
        </w:rPr>
        <w:t>中的抗营养因子含量也低于动物的耐受水平</w:t>
      </w:r>
      <w:r>
        <w:rPr>
          <w:rFonts w:hint="eastAsia" w:ascii="宋体" w:hAnsi="宋体"/>
          <w:sz w:val="24"/>
          <w14:ligatures w14:val="standardContextual"/>
        </w:rPr>
        <w:t>,</w:t>
      </w:r>
      <w:r>
        <w:rPr>
          <w:rFonts w:hint="eastAsia"/>
          <w:sz w:val="24"/>
          <w14:ligatures w14:val="standardContextual"/>
        </w:rPr>
        <w:t>因此不会对鲤鱼的血清生化指标产生负面影响</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发酵过程中产生的益生菌和活性物质对于细胞功能的维持和促进鱼类健康方面具有重要作用</w:t>
      </w:r>
      <w:r>
        <w:rPr>
          <w:rFonts w:hint="eastAsia" w:ascii="宋体" w:hAnsi="宋体"/>
          <w:sz w:val="24"/>
          <w14:ligatures w14:val="standardContextual"/>
        </w:rPr>
        <w:t>,</w:t>
      </w:r>
      <w:r>
        <w:rPr>
          <w:rFonts w:hint="eastAsia"/>
          <w:sz w:val="24"/>
          <w14:ligatures w14:val="standardContextual"/>
        </w:rPr>
        <w:t>进一步提高了鲤鱼的生长性能</w:t>
      </w:r>
      <w:r>
        <w:rPr>
          <w:rFonts w:hint="eastAsia" w:ascii="宋体" w:hAnsi="宋体"/>
          <w:sz w:val="24"/>
          <w14:ligatures w14:val="standardContextual"/>
        </w:rPr>
        <w:t>。</w:t>
      </w:r>
      <w:r>
        <w:rPr>
          <w:rFonts w:hint="eastAsia"/>
          <w:sz w:val="24"/>
          <w14:ligatures w14:val="standardContextual"/>
        </w:rPr>
        <w:t>综上所述</w:t>
      </w:r>
      <w:r>
        <w:rPr>
          <w:rFonts w:ascii="宋体" w:hAnsi="宋体"/>
          <w:sz w:val="24"/>
          <w14:ligatures w14:val="standardContextual"/>
        </w:rPr>
        <w:t>,</w:t>
      </w:r>
      <w:r>
        <w:rPr>
          <w:rFonts w:hint="eastAsia"/>
          <w:sz w:val="24"/>
          <w14:ligatures w14:val="standardContextual"/>
        </w:rPr>
        <w:t>本研究结果表明</w:t>
      </w:r>
      <w:r>
        <w:rPr>
          <w:rFonts w:ascii="宋体" w:hAnsi="宋体"/>
          <w:sz w:val="24"/>
          <w14:ligatures w14:val="standardContextual"/>
        </w:rPr>
        <w:t>,</w:t>
      </w:r>
      <w:r>
        <w:rPr>
          <w:sz w:val="24"/>
          <w14:ligatures w14:val="standardContextual"/>
        </w:rPr>
        <w:t>FRBC</w:t>
      </w:r>
      <w:r>
        <w:rPr>
          <w:rFonts w:hint="eastAsia"/>
          <w:sz w:val="24"/>
          <w14:ligatures w14:val="standardContextual"/>
        </w:rPr>
        <w:t>替代豆粕在鲤鱼饲料中应用是一种可行的替代方案</w:t>
      </w:r>
      <w:r>
        <w:rPr>
          <w:rFonts w:hint="eastAsia" w:ascii="宋体" w:hAnsi="宋体"/>
          <w:sz w:val="24"/>
          <w14:ligatures w14:val="standardContextual"/>
        </w:rPr>
        <w:t>。</w:t>
      </w:r>
    </w:p>
    <w:p w14:paraId="77DFC622">
      <w:pPr>
        <w:spacing w:line="360" w:lineRule="auto"/>
        <w:rPr>
          <w:sz w:val="24"/>
          <w14:ligatures w14:val="standardContextual"/>
        </w:rPr>
      </w:pPr>
      <w:r>
        <w:rPr>
          <w:sz w:val="24"/>
          <w14:ligatures w14:val="standardContextual"/>
        </w:rPr>
        <w:t>3.5</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对鲤鱼肠道黏膜抗氧化能力和消化酶活性的影响</w:t>
      </w:r>
    </w:p>
    <w:p w14:paraId="6A19E16B">
      <w:pPr>
        <w:spacing w:line="360" w:lineRule="auto"/>
        <w:ind w:firstLine="480" w:firstLineChars="200"/>
        <w:rPr>
          <w:rFonts w:ascii="宋体" w:hAnsi="宋体"/>
          <w:sz w:val="24"/>
          <w14:ligatures w14:val="standardContextual"/>
        </w:rPr>
      </w:pPr>
      <w:r>
        <w:rPr>
          <w:rFonts w:hint="eastAsia"/>
          <w:sz w:val="24"/>
          <w14:ligatures w14:val="standardContextual"/>
        </w:rPr>
        <w:t>活性氧是在代谢过程中氧化还原反应不平衡时产生的</w:t>
      </w:r>
      <w:r>
        <w:rPr>
          <w:rFonts w:hint="eastAsia" w:ascii="宋体" w:hAnsi="宋体"/>
          <w:sz w:val="24"/>
          <w14:ligatures w14:val="standardContextual"/>
        </w:rPr>
        <w:t>,</w:t>
      </w:r>
      <w:r>
        <w:rPr>
          <w:rFonts w:hint="eastAsia"/>
          <w:sz w:val="24"/>
          <w14:ligatures w14:val="standardContextual"/>
        </w:rPr>
        <w:t>过量的活性氧可引起氧化应激</w:t>
      </w:r>
      <w:r>
        <w:rPr>
          <w:rFonts w:hint="eastAsia" w:ascii="宋体" w:hAnsi="宋体"/>
          <w:sz w:val="24"/>
          <w14:ligatures w14:val="standardContextual"/>
        </w:rPr>
        <w:t>,</w:t>
      </w:r>
      <w:r>
        <w:rPr>
          <w:rFonts w:hint="eastAsia"/>
          <w:sz w:val="24"/>
          <w14:ligatures w14:val="standardContextual"/>
        </w:rPr>
        <w:t>导致细胞损伤</w:t>
      </w:r>
      <w:r>
        <w:rPr>
          <w:rFonts w:hint="eastAsia" w:ascii="宋体" w:hAnsi="宋体"/>
          <w:sz w:val="24"/>
          <w14:ligatures w14:val="standardContextual"/>
        </w:rPr>
        <w:t>,</w:t>
      </w:r>
      <w:r>
        <w:rPr>
          <w:rFonts w:hint="eastAsia"/>
          <w:sz w:val="24"/>
          <w14:ligatures w14:val="standardContextual"/>
        </w:rPr>
        <w:t>这也被认为是疾病和衰老的原因之一</w:t>
      </w:r>
      <w:r>
        <w:rPr>
          <w:rFonts w:hint="eastAsia"/>
          <w:sz w:val="24"/>
          <w:vertAlign w:val="superscript"/>
          <w14:ligatures w14:val="standardContextual"/>
        </w:rPr>
        <w:t>[</w:t>
      </w:r>
      <w:r>
        <w:rPr>
          <w:sz w:val="24"/>
          <w:vertAlign w:val="superscript"/>
          <w14:ligatures w14:val="standardContextual"/>
        </w:rPr>
        <w:t>37]</w:t>
      </w:r>
      <w:r>
        <w:rPr>
          <w:rFonts w:hint="eastAsia" w:ascii="宋体" w:hAnsi="宋体"/>
          <w:sz w:val="24"/>
          <w14:ligatures w14:val="standardContextual"/>
        </w:rPr>
        <w:t>。</w:t>
      </w:r>
      <w:r>
        <w:rPr>
          <w:rFonts w:hint="eastAsia"/>
          <w:sz w:val="24"/>
          <w14:ligatures w14:val="standardContextual"/>
        </w:rPr>
        <w:t>因此</w:t>
      </w:r>
      <w:r>
        <w:rPr>
          <w:rFonts w:hint="eastAsia" w:ascii="宋体" w:hAnsi="宋体"/>
          <w:sz w:val="24"/>
          <w14:ligatures w14:val="standardContextual"/>
        </w:rPr>
        <w:t>,</w:t>
      </w:r>
      <w:r>
        <w:rPr>
          <w:rFonts w:hint="eastAsia"/>
          <w:sz w:val="24"/>
          <w14:ligatures w14:val="standardContextual"/>
        </w:rPr>
        <w:t>机体形成了由</w:t>
      </w:r>
      <w:r>
        <w:rPr>
          <w:sz w:val="24"/>
          <w14:ligatures w14:val="standardContextual"/>
        </w:rPr>
        <w:t>CAT</w:t>
      </w:r>
      <w:r>
        <w:rPr>
          <w:rFonts w:hint="eastAsia" w:ascii="宋体" w:hAnsi="宋体" w:cs="微软雅黑"/>
          <w:sz w:val="24"/>
          <w14:ligatures w14:val="standardContextual"/>
        </w:rPr>
        <w:t>、</w:t>
      </w:r>
      <w:r>
        <w:rPr>
          <w:sz w:val="24"/>
          <w14:ligatures w14:val="standardContextual"/>
        </w:rPr>
        <w:t>SOD</w:t>
      </w:r>
      <w:r>
        <w:rPr>
          <w:rFonts w:hint="eastAsia"/>
          <w:sz w:val="24"/>
          <w14:ligatures w14:val="standardContextual"/>
        </w:rPr>
        <w:t>等一系列抗氧化酶系统组成的抗氧化防御机制</w:t>
      </w:r>
      <w:r>
        <w:rPr>
          <w:rFonts w:hint="eastAsia" w:ascii="宋体" w:hAnsi="宋体"/>
          <w:sz w:val="24"/>
          <w14:ligatures w14:val="standardContextual"/>
        </w:rPr>
        <w:t>,</w:t>
      </w:r>
      <w:r>
        <w:rPr>
          <w:rFonts w:hint="eastAsia"/>
          <w:sz w:val="24"/>
          <w14:ligatures w14:val="standardContextual"/>
        </w:rPr>
        <w:t>可以保护机体免受活性氧的损害</w:t>
      </w:r>
      <w:r>
        <w:rPr>
          <w:rFonts w:hint="eastAsia"/>
          <w:sz w:val="24"/>
          <w:vertAlign w:val="superscript"/>
          <w14:ligatures w14:val="standardContextual"/>
        </w:rPr>
        <w:t>[</w:t>
      </w:r>
      <w:r>
        <w:rPr>
          <w:sz w:val="24"/>
          <w:vertAlign w:val="superscript"/>
          <w14:ligatures w14:val="standardContextual"/>
        </w:rPr>
        <w:t>38-39]</w:t>
      </w:r>
      <w:r>
        <w:rPr>
          <w:rFonts w:hint="eastAsia" w:ascii="宋体" w:hAnsi="宋体"/>
          <w:sz w:val="24"/>
          <w14:ligatures w14:val="standardContextual"/>
        </w:rPr>
        <w:t>。</w:t>
      </w:r>
      <w:r>
        <w:rPr>
          <w:rFonts w:hint="eastAsia"/>
          <w:sz w:val="24"/>
          <w14:ligatures w14:val="standardContextual"/>
        </w:rPr>
        <w:t>本试验结果表明</w:t>
      </w:r>
      <w:r>
        <w:rPr>
          <w:rFonts w:ascii="宋体" w:hAnsi="宋体"/>
          <w:sz w:val="24"/>
          <w14:ligatures w14:val="standardContextual"/>
        </w:rPr>
        <w:t>,</w:t>
      </w:r>
      <w:r>
        <w:rPr>
          <w:rFonts w:hint="eastAsia"/>
          <w:sz w:val="24"/>
          <w14:ligatures w14:val="standardContextual"/>
        </w:rPr>
        <w:t>饲料中添加</w:t>
      </w:r>
      <w:r>
        <w:rPr>
          <w:sz w:val="24"/>
          <w14:ligatures w14:val="standardContextual"/>
        </w:rPr>
        <w:t>6</w:t>
      </w:r>
      <w:r>
        <w:rPr>
          <w:rFonts w:hint="eastAsia"/>
          <w:sz w:val="24"/>
          <w14:ligatures w14:val="standardContextual"/>
        </w:rPr>
        <w:t xml:space="preserve"> </w:t>
      </w:r>
      <w:r>
        <w:rPr>
          <w:sz w:val="24"/>
          <w14:ligatures w14:val="standardContextual"/>
        </w:rPr>
        <w:t>%</w:t>
      </w:r>
      <w:r>
        <w:rPr>
          <w:rFonts w:hint="eastAsia"/>
          <w:sz w:val="24"/>
          <w14:ligatures w14:val="standardContextual"/>
        </w:rPr>
        <w:t>的</w:t>
      </w:r>
      <w:r>
        <w:rPr>
          <w:sz w:val="24"/>
          <w14:ligatures w14:val="standardContextual"/>
        </w:rPr>
        <w:t>FRBC</w:t>
      </w:r>
      <w:r>
        <w:rPr>
          <w:rFonts w:hint="eastAsia"/>
          <w:sz w:val="24"/>
          <w14:ligatures w14:val="standardContextual"/>
        </w:rPr>
        <w:t>对鲤鱼血清</w:t>
      </w:r>
      <w:r>
        <w:rPr>
          <w:sz w:val="24"/>
          <w14:ligatures w14:val="standardContextual"/>
        </w:rPr>
        <w:t>SOD</w:t>
      </w:r>
      <w:r>
        <w:rPr>
          <w:rFonts w:hint="eastAsia" w:ascii="宋体" w:hAnsi="宋体" w:cs="微软雅黑"/>
          <w:sz w:val="24"/>
          <w14:ligatures w14:val="standardContextual"/>
        </w:rPr>
        <w:t>、</w:t>
      </w:r>
      <w:r>
        <w:rPr>
          <w:sz w:val="24"/>
          <w14:ligatures w14:val="standardContextual"/>
        </w:rPr>
        <w:t>CAT</w:t>
      </w:r>
      <w:r>
        <w:rPr>
          <w:rFonts w:hint="eastAsia"/>
          <w:sz w:val="24"/>
          <w14:ligatures w14:val="standardContextual"/>
        </w:rPr>
        <w:t>活性和</w:t>
      </w:r>
      <w:r>
        <w:rPr>
          <w:sz w:val="24"/>
          <w14:ligatures w14:val="standardContextual"/>
        </w:rPr>
        <w:t>T-AOC</w:t>
      </w:r>
      <w:r>
        <w:rPr>
          <w:rFonts w:hint="eastAsia"/>
          <w:sz w:val="24"/>
          <w14:ligatures w14:val="standardContextual"/>
        </w:rPr>
        <w:t>均无显著影响</w:t>
      </w:r>
      <w:r>
        <w:rPr>
          <w:rFonts w:hint="eastAsia" w:ascii="宋体" w:hAnsi="宋体"/>
          <w:sz w:val="24"/>
          <w14:ligatures w14:val="standardContextual"/>
        </w:rPr>
        <w:t>,</w:t>
      </w:r>
      <w:r>
        <w:rPr>
          <w:rFonts w:hint="eastAsia"/>
          <w:sz w:val="24"/>
          <w14:ligatures w14:val="standardContextual"/>
        </w:rPr>
        <w:t>但添加比例≥9 %时会降低</w:t>
      </w:r>
      <w:r>
        <w:rPr>
          <w:sz w:val="24"/>
          <w14:ligatures w14:val="standardContextual"/>
        </w:rPr>
        <w:t>T-AOC</w:t>
      </w:r>
      <w:r>
        <w:rPr>
          <w:rFonts w:ascii="宋体" w:hAnsi="宋体"/>
          <w:sz w:val="24"/>
          <w14:ligatures w14:val="standardContextual"/>
        </w:rPr>
        <w:t>,</w:t>
      </w:r>
      <w:r>
        <w:rPr>
          <w:rFonts w:hint="eastAsia"/>
          <w:sz w:val="24"/>
          <w14:ligatures w14:val="standardContextual"/>
        </w:rPr>
        <w:t>表明高水平替代会造成氧化损伤</w:t>
      </w:r>
      <w:r>
        <w:rPr>
          <w:rFonts w:hint="eastAsia" w:ascii="宋体" w:hAnsi="宋体"/>
          <w:sz w:val="24"/>
          <w14:ligatures w14:val="standardContextual"/>
        </w:rPr>
        <w:t>。</w:t>
      </w:r>
      <w:r>
        <w:rPr>
          <w:rFonts w:hint="eastAsia"/>
          <w:sz w:val="24"/>
          <w14:ligatures w14:val="standardContextual"/>
        </w:rPr>
        <w:t>营养物质的消化和利用主要取决于消化酶的活性</w:t>
      </w:r>
      <w:r>
        <w:rPr>
          <w:rFonts w:hint="eastAsia" w:ascii="宋体" w:hAnsi="宋体"/>
          <w:sz w:val="24"/>
          <w14:ligatures w14:val="standardContextual"/>
        </w:rPr>
        <w:t>,</w:t>
      </w:r>
      <w:r>
        <w:rPr>
          <w:rFonts w:hint="eastAsia"/>
          <w:sz w:val="24"/>
          <w14:ligatures w14:val="standardContextual"/>
        </w:rPr>
        <w:t>而消化酶在鱼类消化道健康中起着重要作用</w:t>
      </w:r>
      <w:r>
        <w:rPr>
          <w:rFonts w:hint="eastAsia"/>
          <w:sz w:val="24"/>
          <w:vertAlign w:val="superscript"/>
          <w14:ligatures w14:val="standardContextual"/>
        </w:rPr>
        <w:t>[</w:t>
      </w:r>
      <w:r>
        <w:rPr>
          <w:sz w:val="24"/>
          <w:vertAlign w:val="superscript"/>
          <w14:ligatures w14:val="standardContextual"/>
        </w:rPr>
        <w:t>40</w:t>
      </w:r>
      <w:r>
        <w:rPr>
          <w:rFonts w:hint="eastAsia"/>
          <w:sz w:val="24"/>
          <w:vertAlign w:val="superscript"/>
          <w14:ligatures w14:val="standardContextual"/>
        </w:rPr>
        <w:t>]</w:t>
      </w:r>
      <w:r>
        <w:rPr>
          <w:rFonts w:hint="eastAsia" w:ascii="宋体" w:hAnsi="宋体"/>
          <w:sz w:val="24"/>
          <w14:ligatures w14:val="standardContextual"/>
        </w:rPr>
        <w:t>,</w:t>
      </w:r>
      <w:r>
        <w:rPr>
          <w:rFonts w:hint="eastAsia"/>
          <w:sz w:val="24"/>
          <w14:ligatures w14:val="standardContextual"/>
        </w:rPr>
        <w:t>体内消化酶的缺乏将造成饲料的不完全分解</w:t>
      </w:r>
      <w:r>
        <w:rPr>
          <w:rFonts w:hint="eastAsia" w:ascii="宋体" w:hAnsi="宋体"/>
          <w:sz w:val="24"/>
          <w14:ligatures w14:val="standardContextual"/>
        </w:rPr>
        <w:t>,</w:t>
      </w:r>
      <w:r>
        <w:rPr>
          <w:rFonts w:hint="eastAsia"/>
          <w:sz w:val="24"/>
          <w14:ligatures w14:val="standardContextual"/>
        </w:rPr>
        <w:t>引起消化不良和营养不足</w:t>
      </w:r>
      <w:r>
        <w:rPr>
          <w:rFonts w:hint="eastAsia" w:ascii="宋体" w:hAnsi="宋体"/>
          <w:sz w:val="24"/>
          <w14:ligatures w14:val="standardContextual"/>
        </w:rPr>
        <w:t>,</w:t>
      </w:r>
      <w:r>
        <w:rPr>
          <w:rFonts w:hint="eastAsia"/>
          <w:sz w:val="24"/>
          <w14:ligatures w14:val="standardContextual"/>
        </w:rPr>
        <w:t>从而导致一系列健康问题</w:t>
      </w:r>
      <w:r>
        <w:rPr>
          <w:rFonts w:hint="eastAsia"/>
          <w:sz w:val="24"/>
          <w:vertAlign w:val="superscript"/>
          <w14:ligatures w14:val="standardContextual"/>
        </w:rPr>
        <w:t>[</w:t>
      </w:r>
      <w:r>
        <w:rPr>
          <w:sz w:val="24"/>
          <w:vertAlign w:val="superscript"/>
          <w14:ligatures w14:val="standardContextual"/>
        </w:rPr>
        <w:t>41]</w:t>
      </w:r>
      <w:r>
        <w:rPr>
          <w:rFonts w:hint="eastAsia" w:ascii="宋体" w:hAnsi="宋体"/>
          <w:sz w:val="24"/>
          <w14:ligatures w14:val="standardContextual"/>
        </w:rPr>
        <w:t>。</w:t>
      </w:r>
      <w:r>
        <w:rPr>
          <w:rFonts w:hint="eastAsia"/>
          <w:sz w:val="24"/>
          <w14:ligatures w14:val="standardContextual"/>
        </w:rPr>
        <w:t>本试验结果发现</w:t>
      </w:r>
      <w:r>
        <w:rPr>
          <w:rFonts w:ascii="宋体" w:hAnsi="宋体"/>
          <w:sz w:val="24"/>
          <w14:ligatures w14:val="standardContextual"/>
        </w:rPr>
        <w:t>,</w:t>
      </w:r>
      <w:r>
        <w:rPr>
          <w:sz w:val="24"/>
          <w14:ligatures w14:val="standardContextual"/>
        </w:rPr>
        <w:t>FRBC</w:t>
      </w:r>
      <w:r>
        <w:rPr>
          <w:rFonts w:hint="eastAsia"/>
          <w:sz w:val="24"/>
          <w14:ligatures w14:val="standardContextual"/>
        </w:rPr>
        <w:t>替代部分豆粕对鲤鱼肠道黏膜</w:t>
      </w:r>
      <w:r>
        <w:rPr>
          <w:sz w:val="24"/>
          <w14:ligatures w14:val="standardContextual"/>
        </w:rPr>
        <w:t>α-AMS</w:t>
      </w:r>
      <w:r>
        <w:rPr>
          <w:rFonts w:hint="eastAsia"/>
          <w:sz w:val="24"/>
          <w14:ligatures w14:val="standardContextual"/>
        </w:rPr>
        <w:t>和</w:t>
      </w:r>
      <w:r>
        <w:rPr>
          <w:sz w:val="24"/>
          <w14:ligatures w14:val="standardContextual"/>
        </w:rPr>
        <w:t>LPS</w:t>
      </w:r>
      <w:r>
        <w:rPr>
          <w:rFonts w:hint="eastAsia"/>
          <w:sz w:val="24"/>
          <w14:ligatures w14:val="standardContextual"/>
        </w:rPr>
        <w:t>活性没有显著影响</w:t>
      </w:r>
      <w:r>
        <w:rPr>
          <w:rFonts w:hint="eastAsia" w:ascii="宋体" w:hAnsi="宋体"/>
          <w:sz w:val="24"/>
          <w14:ligatures w14:val="standardContextual"/>
        </w:rPr>
        <w:t>,</w:t>
      </w:r>
      <w:r>
        <w:rPr>
          <w:rFonts w:hint="eastAsia"/>
          <w:sz w:val="24"/>
          <w14:ligatures w14:val="standardContextual"/>
        </w:rPr>
        <w:t>但高比例替代</w:t>
      </w:r>
      <w:r>
        <w:rPr>
          <w:sz w:val="24"/>
          <w14:ligatures w14:val="standardContextual"/>
        </w:rPr>
        <w:t>(FRBC12</w:t>
      </w:r>
      <w:r>
        <w:rPr>
          <w:rFonts w:hint="eastAsia"/>
          <w:sz w:val="24"/>
          <w14:ligatures w14:val="standardContextual"/>
        </w:rPr>
        <w:t>组</w:t>
      </w:r>
      <w:r>
        <w:rPr>
          <w:sz w:val="24"/>
          <w14:ligatures w14:val="standardContextual"/>
        </w:rPr>
        <w:t>)</w:t>
      </w:r>
      <w:r>
        <w:rPr>
          <w:rFonts w:hint="eastAsia"/>
          <w:sz w:val="24"/>
          <w14:ligatures w14:val="standardContextual"/>
        </w:rPr>
        <w:t>能够显著提高</w:t>
      </w:r>
      <w:r>
        <w:rPr>
          <w:sz w:val="24"/>
          <w14:ligatures w14:val="standardContextual"/>
        </w:rPr>
        <w:t>TPS</w:t>
      </w:r>
      <w:r>
        <w:rPr>
          <w:rFonts w:hint="eastAsia"/>
          <w:sz w:val="24"/>
          <w14:ligatures w14:val="standardContextual"/>
        </w:rPr>
        <w:t>活性</w:t>
      </w:r>
      <w:r>
        <w:rPr>
          <w:rFonts w:hint="eastAsia" w:ascii="宋体" w:hAnsi="宋体"/>
          <w:sz w:val="24"/>
          <w14:ligatures w14:val="standardContextual"/>
        </w:rPr>
        <w:t>。</w:t>
      </w:r>
      <w:r>
        <w:rPr>
          <w:sz w:val="24"/>
          <w14:ligatures w14:val="standardContextual"/>
        </w:rPr>
        <w:t>Santigosa</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42</w:t>
      </w:r>
      <w:r>
        <w:rPr>
          <w:rFonts w:hint="eastAsia"/>
          <w:sz w:val="24"/>
          <w:vertAlign w:val="superscript"/>
          <w14:ligatures w14:val="standardContextual"/>
        </w:rPr>
        <w:t>]</w:t>
      </w:r>
      <w:r>
        <w:rPr>
          <w:rFonts w:hint="eastAsia"/>
          <w:sz w:val="24"/>
          <w14:ligatures w14:val="standardContextual"/>
        </w:rPr>
        <w:t>研究发现</w:t>
      </w:r>
      <w:r>
        <w:rPr>
          <w:rFonts w:hint="eastAsia" w:ascii="宋体" w:hAnsi="宋体"/>
          <w:sz w:val="24"/>
          <w14:ligatures w14:val="standardContextual"/>
        </w:rPr>
        <w:t>,</w:t>
      </w:r>
      <w:r>
        <w:rPr>
          <w:rFonts w:hint="eastAsia"/>
          <w:sz w:val="24"/>
          <w14:ligatures w14:val="standardContextual"/>
        </w:rPr>
        <w:t>针对饲料来源和膳食营养素浓度的变化</w:t>
      </w:r>
      <w:r>
        <w:rPr>
          <w:rFonts w:hint="eastAsia" w:ascii="宋体" w:hAnsi="宋体"/>
          <w:sz w:val="24"/>
          <w14:ligatures w14:val="standardContextual"/>
        </w:rPr>
        <w:t>,</w:t>
      </w:r>
      <w:r>
        <w:rPr>
          <w:rFonts w:hint="eastAsia"/>
          <w:sz w:val="24"/>
          <w14:ligatures w14:val="standardContextual"/>
        </w:rPr>
        <w:t>鱼类自身可调节消化酶活性</w:t>
      </w:r>
      <w:r>
        <w:rPr>
          <w:rFonts w:hint="eastAsia" w:ascii="宋体" w:hAnsi="宋体"/>
          <w:sz w:val="24"/>
          <w14:ligatures w14:val="standardContextual"/>
        </w:rPr>
        <w:t>。</w:t>
      </w:r>
      <w:r>
        <w:rPr>
          <w:rFonts w:hint="eastAsia"/>
          <w:sz w:val="24"/>
          <w14:ligatures w14:val="standardContextual"/>
        </w:rPr>
        <w:t>同时</w:t>
      </w:r>
      <w:r>
        <w:rPr>
          <w:rFonts w:ascii="宋体" w:hAnsi="宋体"/>
          <w:sz w:val="24"/>
          <w14:ligatures w14:val="standardContextual"/>
        </w:rPr>
        <w:t>,</w:t>
      </w:r>
      <w:r>
        <w:rPr>
          <w:rFonts w:hint="eastAsia"/>
          <w:sz w:val="24"/>
          <w14:ligatures w14:val="standardContextual"/>
        </w:rPr>
        <w:t>膳食营养素和抗营养因素也在消化生理中发挥重要作用</w:t>
      </w:r>
      <w:r>
        <w:rPr>
          <w:rFonts w:ascii="宋体" w:hAnsi="宋体"/>
          <w:sz w:val="24"/>
          <w14:ligatures w14:val="standardContextual"/>
        </w:rPr>
        <w:t>,</w:t>
      </w:r>
      <w:r>
        <w:rPr>
          <w:rFonts w:hint="eastAsia"/>
          <w:sz w:val="24"/>
          <w14:ligatures w14:val="standardContextual"/>
        </w:rPr>
        <w:t>反映了酶谱及其水解</w:t>
      </w:r>
      <w:r>
        <w:rPr>
          <w:rFonts w:hint="eastAsia" w:ascii="宋体" w:hAnsi="宋体" w:cs="微软雅黑"/>
          <w:sz w:val="24"/>
          <w14:ligatures w14:val="standardContextual"/>
        </w:rPr>
        <w:t>、</w:t>
      </w:r>
      <w:r>
        <w:rPr>
          <w:rFonts w:hint="eastAsia"/>
          <w:sz w:val="24"/>
          <w14:ligatures w14:val="standardContextual"/>
        </w:rPr>
        <w:t>吸收和转化能力</w:t>
      </w:r>
      <w:r>
        <w:rPr>
          <w:rFonts w:hint="eastAsia"/>
          <w:sz w:val="24"/>
          <w:vertAlign w:val="superscript"/>
          <w14:ligatures w14:val="standardContextual"/>
        </w:rPr>
        <w:t>[</w:t>
      </w:r>
      <w:r>
        <w:rPr>
          <w:sz w:val="24"/>
          <w:vertAlign w:val="superscript"/>
          <w14:ligatures w14:val="standardContextual"/>
        </w:rPr>
        <w:t>43]</w:t>
      </w:r>
      <w:r>
        <w:rPr>
          <w:rFonts w:hint="eastAsia" w:ascii="宋体" w:hAnsi="宋体"/>
          <w:sz w:val="24"/>
          <w14:ligatures w14:val="standardContextual"/>
        </w:rPr>
        <w:t>。</w:t>
      </w:r>
      <w:r>
        <w:rPr>
          <w:rFonts w:hint="eastAsia"/>
          <w:sz w:val="24"/>
          <w14:ligatures w14:val="standardContextual"/>
        </w:rPr>
        <w:t>本试验中</w:t>
      </w:r>
      <w:r>
        <w:rPr>
          <w:rFonts w:hint="eastAsia" w:ascii="宋体" w:hAnsi="宋体"/>
          <w:sz w:val="24"/>
          <w14:ligatures w14:val="standardContextual"/>
        </w:rPr>
        <w:t>,</w:t>
      </w:r>
      <w:r>
        <w:rPr>
          <w:rFonts w:hint="eastAsia"/>
          <w:sz w:val="24"/>
          <w14:ligatures w14:val="standardContextual"/>
        </w:rPr>
        <w:t>可能最高比例替代组</w:t>
      </w:r>
      <w:r>
        <w:rPr>
          <w:sz w:val="24"/>
          <w14:ligatures w14:val="standardContextual"/>
        </w:rPr>
        <w:t>(FRBC12</w:t>
      </w:r>
      <w:r>
        <w:rPr>
          <w:rFonts w:hint="eastAsia"/>
          <w:sz w:val="24"/>
          <w14:ligatures w14:val="standardContextual"/>
        </w:rPr>
        <w:t>组</w:t>
      </w:r>
      <w:r>
        <w:rPr>
          <w:sz w:val="24"/>
          <w14:ligatures w14:val="standardContextual"/>
        </w:rPr>
        <w:t>)</w:t>
      </w:r>
      <w:r>
        <w:rPr>
          <w:rFonts w:hint="eastAsia"/>
          <w:sz w:val="24"/>
          <w14:ligatures w14:val="standardContextual"/>
        </w:rPr>
        <w:t>饲料中含有更高水平的蛋白质以及其抗营养因素低于鲤鱼耐受阈值甚至可以忽略</w:t>
      </w:r>
      <w:r>
        <w:rPr>
          <w:rFonts w:hint="eastAsia" w:ascii="宋体" w:hAnsi="宋体"/>
          <w:sz w:val="24"/>
          <w14:ligatures w14:val="standardContextual"/>
        </w:rPr>
        <w:t>,</w:t>
      </w:r>
      <w:r>
        <w:rPr>
          <w:rFonts w:hint="eastAsia"/>
          <w:sz w:val="24"/>
          <w14:ligatures w14:val="standardContextual"/>
        </w:rPr>
        <w:t>进而提高了胰蛋白酶活性</w:t>
      </w:r>
      <w:r>
        <w:rPr>
          <w:rFonts w:hint="eastAsia" w:ascii="宋体" w:hAnsi="宋体"/>
          <w:sz w:val="24"/>
          <w14:ligatures w14:val="standardContextual"/>
        </w:rPr>
        <w:t>。</w:t>
      </w:r>
      <w:r>
        <w:rPr>
          <w:rFonts w:hint="eastAsia"/>
          <w:sz w:val="24"/>
          <w14:ligatures w14:val="standardContextual"/>
        </w:rPr>
        <w:t>因此</w:t>
      </w:r>
      <w:r>
        <w:rPr>
          <w:rFonts w:ascii="宋体" w:hAnsi="宋体"/>
          <w:sz w:val="24"/>
          <w14:ligatures w14:val="standardContextual"/>
        </w:rPr>
        <w:t>,</w:t>
      </w:r>
      <w:r>
        <w:rPr>
          <w:sz w:val="24"/>
          <w14:ligatures w14:val="standardContextual"/>
        </w:rPr>
        <w:t>FRBC12</w:t>
      </w:r>
      <w:r>
        <w:rPr>
          <w:rFonts w:hint="eastAsia"/>
          <w:sz w:val="24"/>
          <w14:ligatures w14:val="standardContextual"/>
        </w:rPr>
        <w:t>组全鱼蛋白质沉积率显著提高可能是由于</w:t>
      </w:r>
      <w:r>
        <w:rPr>
          <w:sz w:val="24"/>
          <w14:ligatures w14:val="standardContextual"/>
        </w:rPr>
        <w:t>TPS</w:t>
      </w:r>
      <w:r>
        <w:rPr>
          <w:rFonts w:hint="eastAsia"/>
          <w:sz w:val="24"/>
          <w14:ligatures w14:val="standardContextual"/>
        </w:rPr>
        <w:t>活性提高</w:t>
      </w:r>
      <w:r>
        <w:rPr>
          <w:rFonts w:ascii="宋体" w:hAnsi="宋体"/>
          <w:sz w:val="24"/>
          <w14:ligatures w14:val="standardContextual"/>
        </w:rPr>
        <w:t>,</w:t>
      </w:r>
      <w:r>
        <w:rPr>
          <w:rFonts w:hint="eastAsia"/>
          <w:sz w:val="24"/>
          <w14:ligatures w14:val="standardContextual"/>
        </w:rPr>
        <w:t>进而促进了鲤鱼的生长</w:t>
      </w:r>
      <w:r>
        <w:rPr>
          <w:rFonts w:hint="eastAsia" w:ascii="宋体" w:hAnsi="宋体"/>
          <w:sz w:val="24"/>
          <w14:ligatures w14:val="standardContextual"/>
        </w:rPr>
        <w:t>。</w:t>
      </w:r>
      <w:r>
        <w:rPr>
          <w:rFonts w:hint="eastAsia"/>
          <w:sz w:val="24"/>
          <w14:ligatures w14:val="standardContextual"/>
        </w:rPr>
        <w:t>由此可见</w:t>
      </w:r>
      <w:r>
        <w:rPr>
          <w:rFonts w:ascii="宋体" w:hAnsi="宋体"/>
          <w:sz w:val="24"/>
          <w14:ligatures w14:val="standardContextual"/>
        </w:rPr>
        <w:t>,</w:t>
      </w:r>
      <w:r>
        <w:rPr>
          <w:sz w:val="24"/>
          <w14:ligatures w14:val="standardContextual"/>
        </w:rPr>
        <w:t>FRBC</w:t>
      </w:r>
      <w:r>
        <w:rPr>
          <w:rFonts w:hint="eastAsia"/>
          <w:sz w:val="24"/>
          <w14:ligatures w14:val="standardContextual"/>
        </w:rPr>
        <w:t>高比例替代豆粕对鲤鱼的蛋白质吸收</w:t>
      </w:r>
      <w:r>
        <w:rPr>
          <w:rFonts w:hint="eastAsia" w:ascii="宋体" w:hAnsi="宋体" w:cs="微软雅黑"/>
          <w:sz w:val="24"/>
          <w14:ligatures w14:val="standardContextual"/>
        </w:rPr>
        <w:t>、</w:t>
      </w:r>
      <w:r>
        <w:rPr>
          <w:rFonts w:hint="eastAsia"/>
          <w:sz w:val="24"/>
          <w14:ligatures w14:val="standardContextual"/>
        </w:rPr>
        <w:t>利用起到了促进作用</w:t>
      </w:r>
      <w:r>
        <w:rPr>
          <w:rFonts w:hint="eastAsia" w:ascii="宋体" w:hAnsi="宋体"/>
          <w:sz w:val="24"/>
          <w14:ligatures w14:val="standardContextual"/>
        </w:rPr>
        <w:t>。</w:t>
      </w:r>
    </w:p>
    <w:p w14:paraId="42F7D618">
      <w:pPr>
        <w:spacing w:line="360" w:lineRule="auto"/>
        <w:rPr>
          <w:sz w:val="24"/>
          <w14:ligatures w14:val="standardContextual"/>
        </w:rPr>
      </w:pPr>
      <w:r>
        <w:rPr>
          <w:sz w:val="24"/>
          <w14:ligatures w14:val="standardContextual"/>
        </w:rPr>
        <w:t>3.6</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对鲤鱼肠道屏障功能的影响</w:t>
      </w:r>
    </w:p>
    <w:p w14:paraId="2A9B87F1">
      <w:pPr>
        <w:spacing w:line="360" w:lineRule="auto"/>
        <w:ind w:firstLine="480" w:firstLineChars="200"/>
        <w:rPr>
          <w:rFonts w:ascii="宋体" w:hAnsi="宋体"/>
          <w:sz w:val="24"/>
          <w14:ligatures w14:val="standardContextual"/>
        </w:rPr>
      </w:pPr>
      <w:r>
        <w:rPr>
          <w:rFonts w:hint="eastAsia"/>
          <w:sz w:val="24"/>
          <w14:ligatures w14:val="standardContextual"/>
        </w:rPr>
        <w:t>肠紧密连接蛋白是一种重要的蛋白质复合物</w:t>
      </w:r>
      <w:r>
        <w:rPr>
          <w:rFonts w:hint="eastAsia" w:ascii="宋体" w:hAnsi="宋体"/>
          <w:sz w:val="24"/>
          <w14:ligatures w14:val="standardContextual"/>
        </w:rPr>
        <w:t>,</w:t>
      </w:r>
      <w:r>
        <w:rPr>
          <w:rFonts w:hint="eastAsia"/>
          <w:sz w:val="24"/>
          <w14:ligatures w14:val="standardContextual"/>
        </w:rPr>
        <w:t>由肠上皮细胞跨膜蛋白[</w:t>
      </w:r>
      <w:r>
        <w:rPr>
          <w:sz w:val="24"/>
          <w14:ligatures w14:val="standardContextual"/>
        </w:rPr>
        <w:t>Occludin</w:t>
      </w:r>
      <w:r>
        <w:rPr>
          <w:rFonts w:hint="eastAsia" w:ascii="宋体" w:hAnsi="宋体" w:cs="微软雅黑"/>
          <w:sz w:val="24"/>
          <w14:ligatures w14:val="standardContextual"/>
        </w:rPr>
        <w:t>、</w:t>
      </w:r>
      <w:r>
        <w:rPr>
          <w:rFonts w:hint="eastAsia"/>
          <w:sz w:val="24"/>
          <w14:ligatures w14:val="standardContextual"/>
        </w:rPr>
        <w:t>封闭蛋白</w:t>
      </w:r>
      <w:r>
        <w:rPr>
          <w:sz w:val="24"/>
          <w14:ligatures w14:val="standardContextual"/>
        </w:rPr>
        <w:t>(Claudin)</w:t>
      </w:r>
      <w:r>
        <w:rPr>
          <w:rFonts w:hint="eastAsia" w:ascii="宋体" w:hAnsi="宋体" w:cs="微软雅黑"/>
          <w:sz w:val="24"/>
          <w14:ligatures w14:val="standardContextual"/>
        </w:rPr>
        <w:t>、</w:t>
      </w:r>
      <w:r>
        <w:rPr>
          <w:rFonts w:hint="eastAsia"/>
          <w:sz w:val="24"/>
          <w14:ligatures w14:val="standardContextual"/>
        </w:rPr>
        <w:t>连接黏附分子</w:t>
      </w:r>
      <w:r>
        <w:rPr>
          <w:sz w:val="24"/>
          <w14:ligatures w14:val="standardContextual"/>
        </w:rPr>
        <w:t>(JAM)</w:t>
      </w:r>
      <w:r>
        <w:rPr>
          <w:rFonts w:hint="eastAsia"/>
          <w:sz w:val="24"/>
          <w14:ligatures w14:val="standardContextual"/>
        </w:rPr>
        <w:t>]和细胞质衔接蛋白[闭锁小带蛋白</w:t>
      </w:r>
      <w:r>
        <w:rPr>
          <w:sz w:val="24"/>
          <w14:ligatures w14:val="standardContextual"/>
        </w:rPr>
        <w:t>(ZO)</w:t>
      </w:r>
      <w:r>
        <w:rPr>
          <w:rFonts w:hint="eastAsia" w:ascii="宋体" w:hAnsi="宋体" w:cs="微软雅黑"/>
          <w:sz w:val="24"/>
          <w14:ligatures w14:val="standardContextual"/>
        </w:rPr>
        <w:t>、</w:t>
      </w:r>
      <w:r>
        <w:rPr>
          <w:rFonts w:hint="eastAsia"/>
          <w:sz w:val="24"/>
          <w14:ligatures w14:val="standardContextual"/>
        </w:rPr>
        <w:t>扣带蛋白</w:t>
      </w:r>
      <w:r>
        <w:rPr>
          <w:sz w:val="24"/>
          <w14:ligatures w14:val="standardContextual"/>
        </w:rPr>
        <w:t>(Cinglin)</w:t>
      </w:r>
      <w:r>
        <w:rPr>
          <w:rFonts w:hint="eastAsia"/>
          <w:sz w:val="24"/>
          <w14:ligatures w14:val="standardContextual"/>
        </w:rPr>
        <w:t>]组成</w:t>
      </w:r>
      <w:r>
        <w:rPr>
          <w:rFonts w:hint="eastAsia" w:ascii="宋体" w:hAnsi="宋体"/>
          <w:sz w:val="24"/>
          <w14:ligatures w14:val="standardContextual"/>
        </w:rPr>
        <w:t>。</w:t>
      </w:r>
      <w:r>
        <w:rPr>
          <w:rFonts w:hint="eastAsia"/>
          <w:sz w:val="24"/>
          <w14:ligatures w14:val="standardContextual"/>
        </w:rPr>
        <w:t>这种蛋白质复合物主要负责连接细胞空间</w:t>
      </w:r>
      <w:r>
        <w:rPr>
          <w:rFonts w:ascii="宋体" w:hAnsi="宋体"/>
          <w:sz w:val="24"/>
          <w14:ligatures w14:val="standardContextual"/>
        </w:rPr>
        <w:t>,</w:t>
      </w:r>
      <w:r>
        <w:rPr>
          <w:rFonts w:hint="eastAsia"/>
          <w:sz w:val="24"/>
          <w14:ligatures w14:val="standardContextual"/>
        </w:rPr>
        <w:t>并保持肠道黏膜的完整性和正常通透性</w:t>
      </w:r>
      <w:r>
        <w:rPr>
          <w:rFonts w:hint="eastAsia"/>
          <w:sz w:val="24"/>
          <w:vertAlign w:val="superscript"/>
          <w14:ligatures w14:val="standardContextual"/>
        </w:rPr>
        <w:t>[</w:t>
      </w:r>
      <w:r>
        <w:rPr>
          <w:sz w:val="24"/>
          <w:vertAlign w:val="superscript"/>
          <w14:ligatures w14:val="standardContextual"/>
        </w:rPr>
        <w:t>44]</w:t>
      </w:r>
      <w:r>
        <w:rPr>
          <w:rFonts w:hint="eastAsia" w:ascii="宋体" w:hAnsi="宋体"/>
          <w:sz w:val="24"/>
          <w14:ligatures w14:val="standardContextual"/>
        </w:rPr>
        <w:t>。</w:t>
      </w:r>
      <w:r>
        <w:rPr>
          <w:rFonts w:hint="eastAsia"/>
          <w:sz w:val="24"/>
          <w14:ligatures w14:val="standardContextual"/>
        </w:rPr>
        <w:t>肠道黏膜的完整性对维持肠道屏障功能和消化吸收能力至关重要</w:t>
      </w:r>
      <w:r>
        <w:rPr>
          <w:rFonts w:hint="eastAsia"/>
          <w:sz w:val="24"/>
          <w:vertAlign w:val="superscript"/>
          <w14:ligatures w14:val="standardContextual"/>
        </w:rPr>
        <w:t>[</w:t>
      </w:r>
      <w:r>
        <w:rPr>
          <w:sz w:val="24"/>
          <w:vertAlign w:val="superscript"/>
          <w14:ligatures w14:val="standardContextual"/>
        </w:rPr>
        <w:t>45]</w:t>
      </w:r>
      <w:r>
        <w:rPr>
          <w:rFonts w:hint="eastAsia" w:ascii="宋体" w:hAnsi="宋体"/>
          <w:sz w:val="24"/>
          <w14:ligatures w14:val="standardContextual"/>
        </w:rPr>
        <w:t>。</w:t>
      </w:r>
      <w:r>
        <w:rPr>
          <w:rFonts w:hint="eastAsia"/>
          <w:sz w:val="24"/>
          <w14:ligatures w14:val="standardContextual"/>
        </w:rPr>
        <w:t>如果肠道物理屏障功能受损或减弱</w:t>
      </w:r>
      <w:r>
        <w:rPr>
          <w:rFonts w:hint="eastAsia" w:ascii="宋体" w:hAnsi="宋体"/>
          <w:sz w:val="24"/>
          <w14:ligatures w14:val="standardContextual"/>
        </w:rPr>
        <w:t>,</w:t>
      </w:r>
      <w:r>
        <w:rPr>
          <w:rFonts w:hint="eastAsia"/>
          <w:sz w:val="24"/>
          <w14:ligatures w14:val="standardContextual"/>
        </w:rPr>
        <w:t>就可能导致病原体进入循环系统并激活免疫系统</w:t>
      </w:r>
      <w:r>
        <w:rPr>
          <w:rFonts w:hint="eastAsia" w:ascii="宋体" w:hAnsi="宋体"/>
          <w:sz w:val="24"/>
          <w14:ligatures w14:val="standardContextual"/>
        </w:rPr>
        <w:t>,</w:t>
      </w:r>
      <w:r>
        <w:rPr>
          <w:rFonts w:hint="eastAsia"/>
          <w:sz w:val="24"/>
          <w14:ligatures w14:val="standardContextual"/>
        </w:rPr>
        <w:t>从而引发感染和炎症反应</w:t>
      </w:r>
      <w:r>
        <w:rPr>
          <w:rFonts w:hint="eastAsia"/>
          <w:sz w:val="24"/>
          <w:vertAlign w:val="superscript"/>
          <w14:ligatures w14:val="standardContextual"/>
        </w:rPr>
        <w:t>[</w:t>
      </w:r>
      <w:r>
        <w:rPr>
          <w:sz w:val="24"/>
          <w:vertAlign w:val="superscript"/>
          <w14:ligatures w14:val="standardContextual"/>
        </w:rPr>
        <w:t>46]</w:t>
      </w:r>
      <w:r>
        <w:rPr>
          <w:rFonts w:hint="eastAsia" w:ascii="宋体" w:hAnsi="宋体"/>
          <w:sz w:val="24"/>
          <w14:ligatures w14:val="standardContextual"/>
        </w:rPr>
        <w:t>。</w:t>
      </w:r>
      <w:r>
        <w:rPr>
          <w:sz w:val="24"/>
          <w14:ligatures w14:val="standardContextual"/>
        </w:rPr>
        <w:t>Claudin-1</w:t>
      </w:r>
      <w:r>
        <w:rPr>
          <w:rFonts w:hint="eastAsia"/>
          <w:sz w:val="24"/>
          <w14:ligatures w14:val="standardContextual"/>
        </w:rPr>
        <w:t>是一种多功能蛋白</w:t>
      </w:r>
      <w:r>
        <w:rPr>
          <w:rFonts w:hint="eastAsia" w:ascii="宋体" w:hAnsi="宋体"/>
          <w:sz w:val="24"/>
          <w14:ligatures w14:val="standardContextual"/>
        </w:rPr>
        <w:t>,</w:t>
      </w:r>
      <w:r>
        <w:rPr>
          <w:rFonts w:hint="eastAsia"/>
          <w:sz w:val="24"/>
          <w14:ligatures w14:val="standardContextual"/>
        </w:rPr>
        <w:t>有助于形成细胞旁肠屏障</w:t>
      </w:r>
      <w:r>
        <w:rPr>
          <w:rFonts w:hint="eastAsia"/>
          <w:sz w:val="24"/>
          <w:vertAlign w:val="superscript"/>
          <w14:ligatures w14:val="standardContextual"/>
        </w:rPr>
        <w:t>[</w:t>
      </w:r>
      <w:r>
        <w:rPr>
          <w:sz w:val="24"/>
          <w:vertAlign w:val="superscript"/>
          <w14:ligatures w14:val="standardContextual"/>
        </w:rPr>
        <w:t>47]</w:t>
      </w:r>
      <w:r>
        <w:rPr>
          <w:rFonts w:hint="eastAsia" w:ascii="宋体" w:hAnsi="宋体"/>
          <w:sz w:val="24"/>
          <w14:ligatures w14:val="standardContextual"/>
        </w:rPr>
        <w:t>。</w:t>
      </w:r>
      <w:r>
        <w:rPr>
          <w:rFonts w:hint="eastAsia"/>
          <w:sz w:val="24"/>
          <w14:ligatures w14:val="standardContextual"/>
        </w:rPr>
        <w:t>本研究发现</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替代部分豆粕对鲤鱼肠道黏膜</w:t>
      </w:r>
      <w:r>
        <w:rPr>
          <w:i/>
          <w:iCs/>
          <w:sz w:val="24"/>
          <w14:ligatures w14:val="standardContextual"/>
        </w:rPr>
        <w:t>Occludin</w:t>
      </w:r>
      <w:r>
        <w:rPr>
          <w:rFonts w:hint="eastAsia"/>
          <w:sz w:val="24"/>
          <w14:ligatures w14:val="standardContextual"/>
        </w:rPr>
        <w:t>和</w:t>
      </w:r>
      <w:r>
        <w:rPr>
          <w:i/>
          <w:iCs/>
          <w:sz w:val="24"/>
          <w14:ligatures w14:val="standardContextual"/>
        </w:rPr>
        <w:t>ZO</w:t>
      </w:r>
      <w:r>
        <w:rPr>
          <w:sz w:val="24"/>
          <w14:ligatures w14:val="standardContextual"/>
        </w:rPr>
        <w:t>-1</w:t>
      </w:r>
      <w:r>
        <w:rPr>
          <w:rFonts w:hint="eastAsia"/>
          <w:sz w:val="24"/>
          <w14:ligatures w14:val="standardContextual"/>
        </w:rPr>
        <w:t>的表达没有产生显著影响</w:t>
      </w:r>
      <w:r>
        <w:rPr>
          <w:rFonts w:hint="eastAsia" w:ascii="宋体" w:hAnsi="宋体"/>
          <w:sz w:val="24"/>
          <w14:ligatures w14:val="standardContextual"/>
        </w:rPr>
        <w:t>,</w:t>
      </w:r>
      <w:r>
        <w:rPr>
          <w:rFonts w:hint="eastAsia"/>
          <w:sz w:val="24"/>
          <w14:ligatures w14:val="standardContextual"/>
        </w:rPr>
        <w:t>其中添加</w:t>
      </w:r>
      <w:r>
        <w:rPr>
          <w:sz w:val="24"/>
          <w14:ligatures w14:val="standardContextual"/>
        </w:rPr>
        <w:t>9</w:t>
      </w:r>
      <w:r>
        <w:rPr>
          <w:rFonts w:hint="eastAsia"/>
          <w:sz w:val="24"/>
          <w14:ligatures w14:val="standardContextual"/>
        </w:rPr>
        <w:t xml:space="preserve"> </w:t>
      </w:r>
      <w:r>
        <w:rPr>
          <w:sz w:val="24"/>
          <w14:ligatures w14:val="standardContextual"/>
        </w:rPr>
        <w:t>%FRBC</w:t>
      </w:r>
      <w:r>
        <w:rPr>
          <w:rFonts w:hint="eastAsia"/>
          <w:sz w:val="24"/>
          <w14:ligatures w14:val="standardContextual"/>
        </w:rPr>
        <w:t>会显著下调</w:t>
      </w:r>
      <w:r>
        <w:rPr>
          <w:i/>
          <w:iCs/>
          <w:sz w:val="24"/>
          <w14:ligatures w14:val="standardContextual"/>
        </w:rPr>
        <w:t>Claudin</w:t>
      </w:r>
      <w:r>
        <w:rPr>
          <w:sz w:val="24"/>
          <w14:ligatures w14:val="standardContextual"/>
        </w:rPr>
        <w:t>-1</w:t>
      </w:r>
      <w:r>
        <w:rPr>
          <w:rFonts w:hint="eastAsia"/>
          <w:sz w:val="24"/>
          <w14:ligatures w14:val="standardContextual"/>
        </w:rPr>
        <w:t>的表达</w:t>
      </w:r>
      <w:r>
        <w:rPr>
          <w:rFonts w:hint="eastAsia" w:ascii="宋体" w:hAnsi="宋体"/>
          <w:sz w:val="24"/>
          <w14:ligatures w14:val="standardContextual"/>
        </w:rPr>
        <w:t>,</w:t>
      </w:r>
      <w:r>
        <w:rPr>
          <w:rFonts w:hint="eastAsia"/>
          <w:sz w:val="24"/>
          <w14:ligatures w14:val="standardContextual"/>
        </w:rPr>
        <w:t>表明该添加比例引起肠道屏障闭合功能受损</w:t>
      </w:r>
      <w:r>
        <w:rPr>
          <w:rFonts w:hint="eastAsia" w:ascii="宋体" w:hAnsi="宋体"/>
          <w:sz w:val="24"/>
          <w14:ligatures w14:val="standardContextual"/>
        </w:rPr>
        <w:t>。</w:t>
      </w:r>
      <w:r>
        <w:rPr>
          <w:sz w:val="24"/>
          <w14:ligatures w14:val="standardContextual"/>
        </w:rPr>
        <w:t>Zhang</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48</w:t>
      </w:r>
      <w:r>
        <w:rPr>
          <w:rFonts w:hint="eastAsia"/>
          <w:sz w:val="24"/>
          <w:vertAlign w:val="superscript"/>
          <w14:ligatures w14:val="standardContextual"/>
        </w:rPr>
        <w:t>]</w:t>
      </w:r>
      <w:r>
        <w:rPr>
          <w:rFonts w:hint="eastAsia"/>
          <w:sz w:val="24"/>
          <w14:ligatures w14:val="standardContextual"/>
        </w:rPr>
        <w:t>研究发现</w:t>
      </w:r>
      <w:r>
        <w:rPr>
          <w:rFonts w:hint="eastAsia" w:ascii="宋体" w:hAnsi="宋体"/>
          <w:sz w:val="24"/>
          <w14:ligatures w14:val="standardContextual"/>
        </w:rPr>
        <w:t>,</w:t>
      </w:r>
      <w:r>
        <w:rPr>
          <w:rFonts w:hint="eastAsia"/>
          <w:sz w:val="24"/>
          <w14:ligatures w14:val="standardContextual"/>
        </w:rPr>
        <w:t>在肉鸡饲粮中以菜籽粕替代</w:t>
      </w:r>
      <w:r>
        <w:rPr>
          <w:sz w:val="24"/>
          <w14:ligatures w14:val="standardContextual"/>
        </w:rPr>
        <w:t>70</w:t>
      </w:r>
      <w:r>
        <w:rPr>
          <w:rFonts w:hint="eastAsia"/>
          <w:sz w:val="24"/>
          <w14:ligatures w14:val="standardContextual"/>
        </w:rPr>
        <w:t xml:space="preserve"> </w:t>
      </w:r>
      <w:r>
        <w:rPr>
          <w:sz w:val="24"/>
          <w14:ligatures w14:val="standardContextual"/>
        </w:rPr>
        <w:t>%</w:t>
      </w:r>
      <w:r>
        <w:rPr>
          <w:rFonts w:hint="eastAsia"/>
          <w:sz w:val="24"/>
          <w14:ligatures w14:val="standardContextual"/>
        </w:rPr>
        <w:t>豆粕</w:t>
      </w:r>
      <w:r>
        <w:rPr>
          <w:sz w:val="24"/>
          <w14:ligatures w14:val="standardContextual"/>
        </w:rPr>
        <w:t>(</w:t>
      </w:r>
      <w:r>
        <w:rPr>
          <w:rFonts w:hint="eastAsia"/>
          <w:sz w:val="24"/>
          <w14:ligatures w14:val="standardContextual"/>
        </w:rPr>
        <w:t>饲粮中菜籽粕添加比例为</w:t>
      </w:r>
      <w:r>
        <w:rPr>
          <w:sz w:val="24"/>
          <w14:ligatures w14:val="standardContextual"/>
        </w:rPr>
        <w:t>20</w:t>
      </w:r>
      <w:r>
        <w:rPr>
          <w:rFonts w:hint="eastAsia"/>
          <w:sz w:val="24"/>
          <w14:ligatures w14:val="standardContextual"/>
        </w:rPr>
        <w:t xml:space="preserve"> </w:t>
      </w:r>
      <w:r>
        <w:rPr>
          <w:sz w:val="24"/>
          <w14:ligatures w14:val="standardContextual"/>
        </w:rPr>
        <w:t>%)</w:t>
      </w:r>
      <w:r>
        <w:rPr>
          <w:rFonts w:hint="eastAsia"/>
          <w:sz w:val="24"/>
          <w14:ligatures w14:val="standardContextual"/>
        </w:rPr>
        <w:t>会显著下调肠道中</w:t>
      </w:r>
      <w:r>
        <w:rPr>
          <w:i/>
          <w:iCs/>
          <w:sz w:val="24"/>
          <w14:ligatures w14:val="standardContextual"/>
        </w:rPr>
        <w:t>Occludi</w:t>
      </w:r>
      <w:r>
        <w:rPr>
          <w:rFonts w:hint="eastAsia" w:ascii="宋体" w:hAnsi="宋体" w:cs="微软雅黑"/>
          <w:sz w:val="24"/>
          <w14:ligatures w14:val="standardContextual"/>
        </w:rPr>
        <w:t>、</w:t>
      </w:r>
      <w:r>
        <w:rPr>
          <w:i/>
          <w:iCs/>
          <w:sz w:val="24"/>
          <w14:ligatures w14:val="standardContextual"/>
        </w:rPr>
        <w:t>Claudin</w:t>
      </w:r>
      <w:r>
        <w:rPr>
          <w:sz w:val="24"/>
          <w14:ligatures w14:val="standardContextual"/>
        </w:rPr>
        <w:t>-1</w:t>
      </w:r>
      <w:r>
        <w:rPr>
          <w:rFonts w:hint="eastAsia"/>
          <w:sz w:val="24"/>
          <w14:ligatures w14:val="standardContextual"/>
        </w:rPr>
        <w:t>和</w:t>
      </w:r>
      <w:r>
        <w:rPr>
          <w:i/>
          <w:iCs/>
          <w:sz w:val="24"/>
          <w14:ligatures w14:val="standardContextual"/>
        </w:rPr>
        <w:t>ZO</w:t>
      </w:r>
      <w:r>
        <w:rPr>
          <w:sz w:val="24"/>
          <w14:ligatures w14:val="standardContextual"/>
        </w:rPr>
        <w:t>-1</w:t>
      </w:r>
      <w:r>
        <w:rPr>
          <w:rFonts w:hint="eastAsia"/>
          <w:sz w:val="24"/>
          <w14:ligatures w14:val="standardContextual"/>
        </w:rPr>
        <w:t>的表达</w:t>
      </w:r>
      <w:r>
        <w:rPr>
          <w:rFonts w:hint="eastAsia" w:ascii="宋体" w:hAnsi="宋体"/>
          <w:sz w:val="24"/>
          <w14:ligatures w14:val="standardContextual"/>
        </w:rPr>
        <w:t>,</w:t>
      </w:r>
      <w:r>
        <w:rPr>
          <w:rFonts w:hint="eastAsia"/>
          <w:sz w:val="24"/>
          <w14:ligatures w14:val="standardContextual"/>
        </w:rPr>
        <w:t>从而破坏肠道屏障功能</w:t>
      </w:r>
      <w:r>
        <w:rPr>
          <w:rFonts w:hint="eastAsia" w:ascii="宋体" w:hAnsi="宋体"/>
          <w:sz w:val="24"/>
          <w14:ligatures w14:val="standardContextual"/>
        </w:rPr>
        <w:t>,</w:t>
      </w:r>
      <w:r>
        <w:rPr>
          <w:rFonts w:hint="eastAsia"/>
          <w:sz w:val="24"/>
          <w14:ligatures w14:val="standardContextual"/>
        </w:rPr>
        <w:t>与本研究结果不一致</w:t>
      </w:r>
      <w:r>
        <w:rPr>
          <w:rFonts w:hint="eastAsia" w:ascii="宋体" w:hAnsi="宋体"/>
          <w:sz w:val="24"/>
          <w14:ligatures w14:val="standardContextual"/>
        </w:rPr>
        <w:t>,</w:t>
      </w:r>
      <w:r>
        <w:rPr>
          <w:rFonts w:hint="eastAsia"/>
          <w:sz w:val="24"/>
          <w14:ligatures w14:val="standardContextual"/>
        </w:rPr>
        <w:t>可能是未脱毒处理菜籽粕中抗营养因子含量较高</w:t>
      </w:r>
      <w:r>
        <w:rPr>
          <w:rFonts w:hint="eastAsia" w:ascii="宋体" w:hAnsi="宋体"/>
          <w:sz w:val="24"/>
          <w14:ligatures w14:val="standardContextual"/>
        </w:rPr>
        <w:t>,</w:t>
      </w:r>
      <w:r>
        <w:rPr>
          <w:rFonts w:hint="eastAsia"/>
          <w:sz w:val="24"/>
          <w14:ligatures w14:val="standardContextual"/>
        </w:rPr>
        <w:t>更容易引起肠道屏障功能损伤</w:t>
      </w:r>
      <w:r>
        <w:rPr>
          <w:rFonts w:hint="eastAsia" w:ascii="宋体" w:hAnsi="宋体"/>
          <w:sz w:val="24"/>
          <w14:ligatures w14:val="standardContextual"/>
        </w:rPr>
        <w:t>。</w:t>
      </w:r>
      <w:r>
        <w:rPr>
          <w:rFonts w:hint="eastAsia"/>
          <w:sz w:val="24"/>
          <w14:ligatures w14:val="standardContextual"/>
        </w:rPr>
        <w:t>此外</w:t>
      </w:r>
      <w:r>
        <w:rPr>
          <w:rFonts w:ascii="宋体" w:hAnsi="宋体"/>
          <w:sz w:val="24"/>
          <w14:ligatures w14:val="standardContextual"/>
        </w:rPr>
        <w:t>,</w:t>
      </w:r>
      <w:r>
        <w:rPr>
          <w:rFonts w:hint="eastAsia"/>
          <w:sz w:val="24"/>
          <w14:ligatures w14:val="standardContextual"/>
        </w:rPr>
        <w:t>之前的研究已经证明活性氧所引发的氧化应激参与肠紧密连接蛋白和肠道屏障功能的调节</w:t>
      </w:r>
      <w:r>
        <w:rPr>
          <w:rFonts w:hint="eastAsia"/>
          <w:sz w:val="24"/>
          <w:vertAlign w:val="superscript"/>
          <w14:ligatures w14:val="standardContextual"/>
        </w:rPr>
        <w:t>[</w:t>
      </w:r>
      <w:r>
        <w:rPr>
          <w:sz w:val="24"/>
          <w:vertAlign w:val="superscript"/>
          <w14:ligatures w14:val="standardContextual"/>
        </w:rPr>
        <w:t>49</w:t>
      </w:r>
      <w:r>
        <w:rPr>
          <w:rFonts w:hint="eastAsia"/>
          <w:sz w:val="24"/>
          <w:vertAlign w:val="superscript"/>
          <w14:ligatures w14:val="standardContextual"/>
        </w:rPr>
        <w:t>]</w:t>
      </w:r>
      <w:r>
        <w:rPr>
          <w:rFonts w:hint="eastAsia" w:ascii="宋体" w:hAnsi="宋体"/>
          <w:sz w:val="24"/>
          <w14:ligatures w14:val="standardContextual"/>
        </w:rPr>
        <w:t>,</w:t>
      </w:r>
      <w:r>
        <w:rPr>
          <w:rFonts w:hint="eastAsia"/>
          <w:sz w:val="24"/>
          <w14:ligatures w14:val="standardContextual"/>
        </w:rPr>
        <w:t>本研究的结果也支持了这个观点</w:t>
      </w:r>
      <w:r>
        <w:rPr>
          <w:rFonts w:hint="eastAsia" w:ascii="宋体" w:hAnsi="宋体"/>
          <w:sz w:val="24"/>
          <w14:ligatures w14:val="standardContextual"/>
        </w:rPr>
        <w:t>。</w:t>
      </w:r>
      <w:r>
        <w:rPr>
          <w:rFonts w:hint="eastAsia"/>
          <w:sz w:val="24"/>
          <w14:ligatures w14:val="standardContextual"/>
        </w:rPr>
        <w:t>在</w:t>
      </w:r>
      <w:r>
        <w:rPr>
          <w:sz w:val="24"/>
          <w14:ligatures w14:val="standardContextual"/>
        </w:rPr>
        <w:t>FRBC9</w:t>
      </w:r>
      <w:r>
        <w:rPr>
          <w:rFonts w:hint="eastAsia"/>
          <w:sz w:val="24"/>
          <w14:ligatures w14:val="standardContextual"/>
        </w:rPr>
        <w:t>组中</w:t>
      </w:r>
      <w:r>
        <w:rPr>
          <w:rFonts w:hint="eastAsia" w:ascii="宋体" w:hAnsi="宋体"/>
          <w:sz w:val="24"/>
          <w14:ligatures w14:val="standardContextual"/>
        </w:rPr>
        <w:t>,</w:t>
      </w:r>
      <w:r>
        <w:rPr>
          <w:rFonts w:hint="eastAsia"/>
          <w:sz w:val="24"/>
          <w14:ligatures w14:val="standardContextual"/>
        </w:rPr>
        <w:t>鲤鱼的抗氧化能力和肠道屏障功能受到了影响</w:t>
      </w:r>
      <w:r>
        <w:rPr>
          <w:rFonts w:hint="eastAsia" w:ascii="宋体" w:hAnsi="宋体"/>
          <w:sz w:val="24"/>
          <w14:ligatures w14:val="standardContextual"/>
        </w:rPr>
        <w:t>,</w:t>
      </w:r>
      <w:r>
        <w:rPr>
          <w:rFonts w:hint="eastAsia"/>
          <w:sz w:val="24"/>
          <w14:ligatures w14:val="standardContextual"/>
        </w:rPr>
        <w:t>但</w:t>
      </w:r>
      <w:r>
        <w:rPr>
          <w:sz w:val="24"/>
          <w14:ligatures w14:val="standardContextual"/>
        </w:rPr>
        <w:t>FRBC12</w:t>
      </w:r>
      <w:r>
        <w:rPr>
          <w:rFonts w:hint="eastAsia"/>
          <w:sz w:val="24"/>
          <w14:ligatures w14:val="standardContextual"/>
        </w:rPr>
        <w:t>组鲤鱼肠道细胞的紧密连接蛋白没有产生任何改变</w:t>
      </w:r>
      <w:r>
        <w:rPr>
          <w:rFonts w:hint="eastAsia" w:ascii="宋体" w:hAnsi="宋体"/>
          <w:sz w:val="24"/>
          <w14:ligatures w14:val="standardContextual"/>
        </w:rPr>
        <w:t>,</w:t>
      </w:r>
      <w:r>
        <w:rPr>
          <w:rFonts w:hint="eastAsia"/>
          <w:sz w:val="24"/>
          <w14:ligatures w14:val="standardContextual"/>
        </w:rPr>
        <w:t>表明</w:t>
      </w:r>
      <w:r>
        <w:rPr>
          <w:sz w:val="24"/>
          <w14:ligatures w14:val="standardContextual"/>
        </w:rPr>
        <w:t>FRBC</w:t>
      </w:r>
      <w:r>
        <w:rPr>
          <w:rFonts w:hint="eastAsia"/>
          <w:sz w:val="24"/>
          <w14:ligatures w14:val="standardContextual"/>
        </w:rPr>
        <w:t>高比例替代豆粕</w:t>
      </w:r>
      <w:r>
        <w:rPr>
          <w:sz w:val="24"/>
          <w14:ligatures w14:val="standardContextual"/>
        </w:rPr>
        <w:t>(</w:t>
      </w:r>
      <w:r>
        <w:rPr>
          <w:rFonts w:hint="eastAsia"/>
          <w:sz w:val="24"/>
          <w14:ligatures w14:val="standardContextual"/>
        </w:rPr>
        <w:t>替代</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sz w:val="24"/>
          <w14:ligatures w14:val="standardContextual"/>
        </w:rPr>
        <w:t>的豆粕</w:t>
      </w:r>
      <w:r>
        <w:rPr>
          <w:sz w:val="24"/>
          <w14:ligatures w14:val="standardContextual"/>
        </w:rPr>
        <w:t>)</w:t>
      </w:r>
      <w:r>
        <w:rPr>
          <w:rFonts w:hint="eastAsia"/>
          <w:sz w:val="24"/>
          <w14:ligatures w14:val="standardContextual"/>
        </w:rPr>
        <w:t>能够保持鲤鱼肠道屏障的完整性和通透性</w:t>
      </w:r>
      <w:r>
        <w:rPr>
          <w:rFonts w:hint="eastAsia" w:ascii="宋体" w:hAnsi="宋体"/>
          <w:sz w:val="24"/>
          <w14:ligatures w14:val="standardContextual"/>
        </w:rPr>
        <w:t>。</w:t>
      </w:r>
    </w:p>
    <w:p w14:paraId="6A249CCE">
      <w:pPr>
        <w:spacing w:line="360" w:lineRule="auto"/>
        <w:rPr>
          <w:sz w:val="24"/>
          <w14:ligatures w14:val="standardContextual"/>
        </w:rPr>
      </w:pPr>
      <w:r>
        <w:rPr>
          <w:sz w:val="24"/>
          <w14:ligatures w14:val="standardContextual"/>
        </w:rPr>
        <w:t>3.7</w:t>
      </w:r>
      <w:r>
        <w:rPr>
          <w:rFonts w:hint="eastAsia"/>
          <w:sz w:val="24"/>
          <w14:ligatures w14:val="standardContextual"/>
        </w:rPr>
        <w:t xml:space="preserve">  </w:t>
      </w:r>
      <w:r>
        <w:rPr>
          <w:sz w:val="24"/>
          <w14:ligatures w14:val="standardContextual"/>
        </w:rPr>
        <w:t>FRBC</w:t>
      </w:r>
      <w:r>
        <w:rPr>
          <w:rFonts w:hint="eastAsia"/>
          <w:sz w:val="24"/>
          <w14:ligatures w14:val="standardContextual"/>
        </w:rPr>
        <w:t>对鲤鱼肠道组织结构的影响</w:t>
      </w:r>
    </w:p>
    <w:p w14:paraId="0B701413">
      <w:pPr>
        <w:spacing w:line="360" w:lineRule="auto"/>
        <w:ind w:firstLine="480" w:firstLineChars="200"/>
        <w:rPr>
          <w:rFonts w:ascii="宋体" w:hAnsi="宋体"/>
          <w:sz w:val="24"/>
          <w14:ligatures w14:val="standardContextual"/>
        </w:rPr>
      </w:pPr>
      <w:r>
        <w:rPr>
          <w:rFonts w:hint="eastAsia"/>
          <w:sz w:val="24"/>
          <w14:ligatures w14:val="standardContextual"/>
        </w:rPr>
        <w:t>肠道的发育与营养物质的吸收利用密切相关</w:t>
      </w:r>
      <w:r>
        <w:rPr>
          <w:rFonts w:hint="eastAsia"/>
          <w:sz w:val="24"/>
          <w:vertAlign w:val="superscript"/>
          <w14:ligatures w14:val="standardContextual"/>
        </w:rPr>
        <w:t>[</w:t>
      </w:r>
      <w:r>
        <w:rPr>
          <w:sz w:val="24"/>
          <w:vertAlign w:val="superscript"/>
          <w14:ligatures w14:val="standardContextual"/>
        </w:rPr>
        <w:t>50]</w:t>
      </w:r>
      <w:r>
        <w:rPr>
          <w:rFonts w:ascii="宋体" w:hAnsi="宋体"/>
          <w:sz w:val="24"/>
          <w14:ligatures w14:val="standardContextual"/>
        </w:rPr>
        <w:t>,</w:t>
      </w:r>
      <w:r>
        <w:rPr>
          <w:rFonts w:hint="eastAsia"/>
          <w:sz w:val="24"/>
          <w14:ligatures w14:val="standardContextual"/>
        </w:rPr>
        <w:t>其绒毛高度</w:t>
      </w:r>
      <w:r>
        <w:rPr>
          <w:rFonts w:hint="eastAsia" w:ascii="宋体" w:hAnsi="宋体" w:cs="微软雅黑"/>
          <w:sz w:val="24"/>
          <w14:ligatures w14:val="standardContextual"/>
        </w:rPr>
        <w:t>、</w:t>
      </w:r>
      <w:r>
        <w:rPr>
          <w:rFonts w:hint="eastAsia"/>
          <w:sz w:val="24"/>
          <w14:ligatures w14:val="standardContextual"/>
        </w:rPr>
        <w:t>隐窝深度以及肠壁厚度是评估肠道消化吸收的重要参考指标</w:t>
      </w:r>
      <w:r>
        <w:rPr>
          <w:rFonts w:hint="eastAsia"/>
          <w:sz w:val="24"/>
          <w:vertAlign w:val="superscript"/>
          <w14:ligatures w14:val="standardContextual"/>
        </w:rPr>
        <w:t>[</w:t>
      </w:r>
      <w:r>
        <w:rPr>
          <w:sz w:val="24"/>
          <w:vertAlign w:val="superscript"/>
          <w14:ligatures w14:val="standardContextual"/>
        </w:rPr>
        <w:t>51-52]</w:t>
      </w:r>
      <w:r>
        <w:rPr>
          <w:rFonts w:hint="eastAsia" w:ascii="宋体" w:hAnsi="宋体"/>
          <w:sz w:val="24"/>
          <w14:ligatures w14:val="standardContextual"/>
        </w:rPr>
        <w:t>。</w:t>
      </w:r>
      <w:r>
        <w:rPr>
          <w:rFonts w:hint="eastAsia"/>
          <w:sz w:val="24"/>
          <w14:ligatures w14:val="standardContextual"/>
        </w:rPr>
        <w:t>绒毛高度的提升可以增加肠道内容物的接触面积</w:t>
      </w:r>
      <w:r>
        <w:rPr>
          <w:rFonts w:hint="eastAsia" w:ascii="宋体" w:hAnsi="宋体"/>
          <w:sz w:val="24"/>
          <w14:ligatures w14:val="standardContextual"/>
        </w:rPr>
        <w:t>,</w:t>
      </w:r>
      <w:r>
        <w:rPr>
          <w:rFonts w:hint="eastAsia"/>
          <w:sz w:val="24"/>
          <w14:ligatures w14:val="standardContextual"/>
        </w:rPr>
        <w:t>而肠壁厚度的增加则暗示着肠道的收缩性增强</w:t>
      </w:r>
      <w:r>
        <w:rPr>
          <w:rFonts w:hint="eastAsia" w:ascii="宋体" w:hAnsi="宋体"/>
          <w:sz w:val="24"/>
          <w14:ligatures w14:val="standardContextual"/>
        </w:rPr>
        <w:t>。</w:t>
      </w:r>
      <w:r>
        <w:rPr>
          <w:rFonts w:hint="eastAsia"/>
          <w:sz w:val="24"/>
          <w14:ligatures w14:val="standardContextual"/>
        </w:rPr>
        <w:t>本试验结果表明</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替代部分豆粕不会对鲤鱼肠道绒毛高度</w:t>
      </w:r>
      <w:r>
        <w:rPr>
          <w:rFonts w:hint="eastAsia" w:ascii="宋体" w:hAnsi="宋体" w:cs="微软雅黑"/>
          <w:sz w:val="24"/>
          <w14:ligatures w14:val="standardContextual"/>
        </w:rPr>
        <w:t>、</w:t>
      </w:r>
      <w:r>
        <w:rPr>
          <w:rFonts w:hint="eastAsia"/>
          <w:sz w:val="24"/>
          <w14:ligatures w14:val="standardContextual"/>
        </w:rPr>
        <w:t>肠壁厚度以及肠道细胞的形态结构造成影响</w:t>
      </w:r>
      <w:r>
        <w:rPr>
          <w:rFonts w:hint="eastAsia" w:ascii="宋体" w:hAnsi="宋体"/>
          <w:sz w:val="24"/>
          <w14:ligatures w14:val="standardContextual"/>
        </w:rPr>
        <w:t>。</w:t>
      </w:r>
      <w:r>
        <w:rPr>
          <w:rFonts w:hint="eastAsia"/>
          <w:sz w:val="24"/>
          <w14:ligatures w14:val="standardContextual"/>
        </w:rPr>
        <w:t>贾冰玉等</w:t>
      </w:r>
      <w:r>
        <w:rPr>
          <w:sz w:val="24"/>
          <w:vertAlign w:val="superscript"/>
          <w14:ligatures w14:val="standardContextual"/>
        </w:rPr>
        <w:t>[53</w:t>
      </w:r>
      <w:r>
        <w:rPr>
          <w:rFonts w:hint="eastAsia"/>
          <w:sz w:val="24"/>
          <w:vertAlign w:val="superscript"/>
          <w14:ligatures w14:val="standardContextual"/>
        </w:rPr>
        <w:t>]</w:t>
      </w:r>
      <w:r>
        <w:rPr>
          <w:rFonts w:hint="eastAsia"/>
          <w:sz w:val="24"/>
          <w14:ligatures w14:val="standardContextual"/>
        </w:rPr>
        <w:t>研究也报道</w:t>
      </w:r>
      <w:r>
        <w:rPr>
          <w:rFonts w:hint="eastAsia" w:ascii="宋体" w:hAnsi="宋体"/>
          <w:sz w:val="24"/>
          <w14:ligatures w14:val="standardContextual"/>
        </w:rPr>
        <w:t>,</w:t>
      </w:r>
      <w:r>
        <w:rPr>
          <w:rFonts w:hint="eastAsia"/>
          <w:sz w:val="24"/>
          <w14:ligatures w14:val="standardContextual"/>
        </w:rPr>
        <w:t>用发酵菜籽粕替代</w:t>
      </w:r>
      <w:r>
        <w:rPr>
          <w:sz w:val="24"/>
          <w14:ligatures w14:val="standardContextual"/>
        </w:rPr>
        <w:t>30</w:t>
      </w:r>
      <w:r>
        <w:rPr>
          <w:rFonts w:hint="eastAsia"/>
          <w:sz w:val="24"/>
          <w14:ligatures w14:val="standardContextual"/>
        </w:rPr>
        <w:t xml:space="preserve"> </w:t>
      </w:r>
      <w:r>
        <w:rPr>
          <w:sz w:val="24"/>
          <w14:ligatures w14:val="standardContextual"/>
        </w:rPr>
        <w:t>%</w:t>
      </w:r>
      <w:r>
        <w:rPr>
          <w:rFonts w:hint="eastAsia"/>
          <w:sz w:val="24"/>
          <w14:ligatures w14:val="standardContextual"/>
        </w:rPr>
        <w:t>豆粕对黄颡鱼肠道绒毛高度和细胞结构没有造成影响</w:t>
      </w:r>
      <w:r>
        <w:rPr>
          <w:rFonts w:hint="eastAsia" w:ascii="宋体" w:hAnsi="宋体"/>
          <w:sz w:val="24"/>
          <w14:ligatures w14:val="standardContextual"/>
        </w:rPr>
        <w:t>。</w:t>
      </w:r>
      <w:r>
        <w:rPr>
          <w:rFonts w:hint="eastAsia"/>
          <w:sz w:val="24"/>
          <w14:ligatures w14:val="standardContextual"/>
        </w:rPr>
        <w:t>据</w:t>
      </w:r>
      <w:r>
        <w:rPr>
          <w:sz w:val="24"/>
          <w14:ligatures w14:val="standardContextual"/>
        </w:rPr>
        <w:t>Gan</w:t>
      </w:r>
      <w:r>
        <w:rPr>
          <w:rFonts w:hint="eastAsia"/>
          <w:sz w:val="24"/>
          <w14:ligatures w14:val="standardContextual"/>
        </w:rPr>
        <w:t>等</w:t>
      </w:r>
      <w:r>
        <w:rPr>
          <w:rFonts w:hint="eastAsia"/>
          <w:sz w:val="24"/>
          <w:vertAlign w:val="superscript"/>
          <w14:ligatures w14:val="standardContextual"/>
        </w:rPr>
        <w:t>[</w:t>
      </w:r>
      <w:r>
        <w:rPr>
          <w:sz w:val="24"/>
          <w:vertAlign w:val="superscript"/>
          <w14:ligatures w14:val="standardContextual"/>
        </w:rPr>
        <w:t>54</w:t>
      </w:r>
      <w:r>
        <w:rPr>
          <w:rFonts w:hint="eastAsia"/>
          <w:sz w:val="24"/>
          <w:vertAlign w:val="superscript"/>
          <w14:ligatures w14:val="standardContextual"/>
        </w:rPr>
        <w:t>]</w:t>
      </w:r>
      <w:r>
        <w:rPr>
          <w:rFonts w:hint="eastAsia"/>
          <w:sz w:val="24"/>
          <w14:ligatures w14:val="standardContextual"/>
        </w:rPr>
        <w:t>报道</w:t>
      </w:r>
      <w:r>
        <w:rPr>
          <w:rFonts w:hint="eastAsia" w:ascii="宋体" w:hAnsi="宋体"/>
          <w:sz w:val="24"/>
          <w14:ligatures w14:val="standardContextual"/>
        </w:rPr>
        <w:t>,</w:t>
      </w:r>
      <w:r>
        <w:rPr>
          <w:rFonts w:hint="eastAsia"/>
          <w:sz w:val="24"/>
          <w14:ligatures w14:val="standardContextual"/>
        </w:rPr>
        <w:t>菜籽饼粕中的芥子酸会引起草鱼肠道充血和肠绒毛增生</w:t>
      </w:r>
      <w:r>
        <w:rPr>
          <w:rFonts w:hint="eastAsia" w:ascii="宋体" w:hAnsi="宋体"/>
          <w:sz w:val="24"/>
          <w14:ligatures w14:val="standardContextual"/>
        </w:rPr>
        <w:t>,</w:t>
      </w:r>
      <w:r>
        <w:rPr>
          <w:rFonts w:hint="eastAsia"/>
          <w:sz w:val="24"/>
          <w14:ligatures w14:val="standardContextual"/>
        </w:rPr>
        <w:t>进而破坏肠道结构的完整性</w:t>
      </w:r>
      <w:r>
        <w:rPr>
          <w:rFonts w:hint="eastAsia" w:ascii="宋体" w:hAnsi="宋体"/>
          <w:sz w:val="24"/>
          <w14:ligatures w14:val="standardContextual"/>
        </w:rPr>
        <w:t>。</w:t>
      </w:r>
      <w:r>
        <w:rPr>
          <w:rFonts w:hint="eastAsia"/>
          <w:sz w:val="24"/>
          <w14:ligatures w14:val="standardContextual"/>
        </w:rPr>
        <w:t>因此可以推断</w:t>
      </w:r>
      <w:r>
        <w:rPr>
          <w:rFonts w:ascii="宋体" w:hAnsi="宋体"/>
          <w:sz w:val="24"/>
          <w14:ligatures w14:val="standardContextual"/>
        </w:rPr>
        <w:t>,</w:t>
      </w:r>
      <w:r>
        <w:rPr>
          <w:sz w:val="24"/>
          <w14:ligatures w14:val="standardContextual"/>
        </w:rPr>
        <w:t>FRBC</w:t>
      </w:r>
      <w:r>
        <w:rPr>
          <w:rFonts w:hint="eastAsia"/>
          <w:sz w:val="24"/>
          <w14:ligatures w14:val="standardContextual"/>
        </w:rPr>
        <w:t>可能通过降解抗营养因子缓解菜籽粕对鲤鱼肠道结构的损伤</w:t>
      </w:r>
      <w:r>
        <w:rPr>
          <w:rFonts w:ascii="宋体" w:hAnsi="宋体"/>
          <w:sz w:val="24"/>
          <w14:ligatures w14:val="standardContextual"/>
        </w:rPr>
        <w:t>,</w:t>
      </w:r>
      <w:r>
        <w:rPr>
          <w:rFonts w:hint="eastAsia"/>
          <w:sz w:val="24"/>
          <w14:ligatures w14:val="standardContextual"/>
        </w:rPr>
        <w:t>从而改善鲤鱼肠道健康</w:t>
      </w:r>
      <w:r>
        <w:rPr>
          <w:rFonts w:hint="eastAsia" w:ascii="宋体" w:hAnsi="宋体"/>
          <w:sz w:val="24"/>
          <w14:ligatures w14:val="standardContextual"/>
        </w:rPr>
        <w:t>。</w:t>
      </w:r>
    </w:p>
    <w:p w14:paraId="3F4E0BBF">
      <w:pPr>
        <w:spacing w:line="360" w:lineRule="auto"/>
        <w:ind w:firstLine="480" w:firstLineChars="200"/>
        <w:rPr>
          <w:rFonts w:ascii="宋体" w:hAnsi="宋体"/>
          <w:sz w:val="24"/>
          <w14:ligatures w14:val="standardContextual"/>
        </w:rPr>
      </w:pPr>
    </w:p>
    <w:p w14:paraId="7481B921">
      <w:pPr>
        <w:spacing w:line="360" w:lineRule="auto"/>
        <w:rPr>
          <w:sz w:val="24"/>
          <w14:ligatures w14:val="standardContextual"/>
        </w:rPr>
      </w:pPr>
      <w:r>
        <w:rPr>
          <w:sz w:val="24"/>
          <w14:ligatures w14:val="standardContextual"/>
        </w:rPr>
        <w:t>4</w:t>
      </w:r>
      <w:r>
        <w:rPr>
          <w:rFonts w:hint="eastAsia"/>
          <w:sz w:val="24"/>
          <w14:ligatures w14:val="standardContextual"/>
        </w:rPr>
        <w:t xml:space="preserve">  结论</w:t>
      </w:r>
    </w:p>
    <w:p w14:paraId="7488D3FD">
      <w:pPr>
        <w:spacing w:line="360" w:lineRule="auto"/>
        <w:ind w:firstLine="480" w:firstLineChars="200"/>
        <w:rPr>
          <w:rFonts w:ascii="宋体" w:hAnsi="宋体"/>
          <w:sz w:val="24"/>
          <w14:ligatures w14:val="standardContextual"/>
        </w:rPr>
      </w:pPr>
      <w:r>
        <w:rPr>
          <w:rFonts w:hint="eastAsia"/>
          <w:sz w:val="24"/>
          <w14:ligatures w14:val="standardContextual"/>
        </w:rPr>
        <w:t>综上所述</w:t>
      </w:r>
      <w:r>
        <w:rPr>
          <w:rFonts w:hint="eastAsia" w:ascii="宋体" w:hAnsi="宋体"/>
          <w:sz w:val="24"/>
          <w14:ligatures w14:val="standardContextual"/>
        </w:rPr>
        <w:t>,</w:t>
      </w:r>
      <w:r>
        <w:rPr>
          <w:sz w:val="24"/>
          <w14:ligatures w14:val="standardContextual"/>
        </w:rPr>
        <w:t>FRBC</w:t>
      </w:r>
      <w:r>
        <w:rPr>
          <w:rFonts w:hint="eastAsia"/>
          <w:sz w:val="24"/>
          <w14:ligatures w14:val="standardContextual"/>
        </w:rPr>
        <w:t>是一种有潜力替代豆粕的饲料蛋白质来源</w:t>
      </w:r>
      <w:r>
        <w:rPr>
          <w:rFonts w:hint="eastAsia" w:ascii="宋体" w:hAnsi="宋体"/>
          <w:sz w:val="24"/>
          <w14:ligatures w14:val="standardContextual"/>
        </w:rPr>
        <w:t>,</w:t>
      </w:r>
      <w:r>
        <w:rPr>
          <w:rFonts w:hint="eastAsia"/>
          <w:sz w:val="24"/>
          <w14:ligatures w14:val="standardContextual"/>
        </w:rPr>
        <w:t>在水产养殖中具有广阔的应用前景</w:t>
      </w:r>
      <w:r>
        <w:rPr>
          <w:rFonts w:hint="eastAsia" w:ascii="宋体" w:hAnsi="宋体"/>
          <w:sz w:val="24"/>
          <w14:ligatures w14:val="standardContextual"/>
        </w:rPr>
        <w:t>。</w:t>
      </w:r>
      <w:r>
        <w:rPr>
          <w:rFonts w:hint="eastAsia"/>
          <w:sz w:val="24"/>
          <w14:ligatures w14:val="standardContextual"/>
        </w:rPr>
        <w:t>在饲料中添加</w:t>
      </w:r>
      <w:r>
        <w:rPr>
          <w:sz w:val="24"/>
          <w14:ligatures w14:val="standardContextual"/>
        </w:rPr>
        <w:t>12</w:t>
      </w:r>
      <w:r>
        <w:rPr>
          <w:rFonts w:hint="eastAsia"/>
          <w:sz w:val="24"/>
          <w14:ligatures w14:val="standardContextual"/>
        </w:rPr>
        <w:t xml:space="preserve"> </w:t>
      </w:r>
      <w:r>
        <w:rPr>
          <w:sz w:val="24"/>
          <w14:ligatures w14:val="standardContextual"/>
        </w:rPr>
        <w:t>%</w:t>
      </w:r>
      <w:r>
        <w:rPr>
          <w:rFonts w:hint="eastAsia"/>
          <w:sz w:val="24"/>
          <w14:ligatures w14:val="standardContextual"/>
        </w:rPr>
        <w:t>的</w:t>
      </w:r>
      <w:r>
        <w:rPr>
          <w:sz w:val="24"/>
          <w14:ligatures w14:val="standardContextual"/>
        </w:rPr>
        <w:t>FRBC(</w:t>
      </w:r>
      <w:r>
        <w:rPr>
          <w:rFonts w:hint="eastAsia"/>
          <w:sz w:val="24"/>
          <w14:ligatures w14:val="standardContextual"/>
        </w:rPr>
        <w:t>相当于替代</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sz w:val="24"/>
          <w14:ligatures w14:val="standardContextual"/>
        </w:rPr>
        <w:t>豆粕</w:t>
      </w:r>
      <w:r>
        <w:rPr>
          <w:sz w:val="24"/>
          <w14:ligatures w14:val="standardContextual"/>
        </w:rPr>
        <w:t>)</w:t>
      </w:r>
      <w:r>
        <w:rPr>
          <w:rFonts w:hint="eastAsia"/>
          <w:sz w:val="24"/>
          <w14:ligatures w14:val="standardContextual"/>
        </w:rPr>
        <w:t>可以促进鲤鱼的生长和提高饲料利用率</w:t>
      </w:r>
      <w:r>
        <w:rPr>
          <w:rFonts w:hint="eastAsia" w:ascii="宋体" w:hAnsi="宋体"/>
          <w:sz w:val="24"/>
          <w14:ligatures w14:val="standardContextual"/>
        </w:rPr>
        <w:t>,</w:t>
      </w:r>
      <w:r>
        <w:rPr>
          <w:rFonts w:hint="eastAsia"/>
          <w:sz w:val="24"/>
          <w14:ligatures w14:val="standardContextual"/>
        </w:rPr>
        <w:t>并且能在一定程度上改善肉品质</w:t>
      </w:r>
      <w:r>
        <w:rPr>
          <w:rFonts w:hint="eastAsia" w:ascii="宋体" w:hAnsi="宋体"/>
          <w:sz w:val="24"/>
          <w14:ligatures w14:val="standardContextual"/>
        </w:rPr>
        <w:t>,</w:t>
      </w:r>
      <w:r>
        <w:rPr>
          <w:rFonts w:hint="eastAsia"/>
          <w:sz w:val="24"/>
          <w14:ligatures w14:val="standardContextual"/>
        </w:rPr>
        <w:t>且对肠道健康没有不良影响</w:t>
      </w:r>
      <w:r>
        <w:rPr>
          <w:rFonts w:hint="eastAsia" w:ascii="宋体" w:hAnsi="宋体"/>
          <w:sz w:val="24"/>
          <w14:ligatures w14:val="standardContextual"/>
        </w:rPr>
        <w:t>。</w:t>
      </w:r>
      <w:r>
        <w:rPr>
          <w:rFonts w:hint="eastAsia"/>
          <w:sz w:val="24"/>
          <w14:ligatures w14:val="standardContextual"/>
        </w:rPr>
        <w:t>由此可见</w:t>
      </w:r>
      <w:r>
        <w:rPr>
          <w:rFonts w:ascii="宋体" w:hAnsi="宋体"/>
          <w:sz w:val="24"/>
          <w14:ligatures w14:val="standardContextual"/>
        </w:rPr>
        <w:t>,</w:t>
      </w:r>
      <w:r>
        <w:rPr>
          <w:rFonts w:hint="eastAsia"/>
          <w:sz w:val="24"/>
          <w14:ligatures w14:val="standardContextual"/>
        </w:rPr>
        <w:t>在鲤鱼饲料中使用</w:t>
      </w:r>
      <w:r>
        <w:rPr>
          <w:sz w:val="24"/>
          <w14:ligatures w14:val="standardContextual"/>
        </w:rPr>
        <w:t>FRBC</w:t>
      </w:r>
      <w:r>
        <w:rPr>
          <w:rFonts w:hint="eastAsia"/>
          <w:sz w:val="24"/>
          <w14:ligatures w14:val="standardContextual"/>
        </w:rPr>
        <w:t>替代豆粕的比例可以达到</w:t>
      </w:r>
      <w:r>
        <w:rPr>
          <w:sz w:val="24"/>
          <w14:ligatures w14:val="standardContextual"/>
        </w:rPr>
        <w:t>36</w:t>
      </w:r>
      <w:r>
        <w:rPr>
          <w:rFonts w:hint="eastAsia"/>
          <w:sz w:val="24"/>
          <w14:ligatures w14:val="standardContextual"/>
        </w:rPr>
        <w:t xml:space="preserve"> </w:t>
      </w:r>
      <w:r>
        <w:rPr>
          <w:sz w:val="24"/>
          <w14:ligatures w14:val="standardContextual"/>
        </w:rPr>
        <w:t>%</w:t>
      </w:r>
      <w:r>
        <w:rPr>
          <w:rFonts w:hint="eastAsia" w:ascii="宋体" w:hAnsi="宋体"/>
          <w:sz w:val="24"/>
          <w14:ligatures w14:val="standardContextual"/>
        </w:rPr>
        <w:t>。</w:t>
      </w:r>
    </w:p>
    <w:p w14:paraId="0D971823">
      <w:pPr>
        <w:spacing w:line="360" w:lineRule="auto"/>
        <w:rPr>
          <w:color w:val="000000"/>
          <w:sz w:val="24"/>
          <w14:ligatures w14:val="standardContextual"/>
        </w:rPr>
      </w:pPr>
      <w:r>
        <w:rPr>
          <w:rFonts w:hint="eastAsia"/>
          <w:sz w:val="24"/>
        </w:rPr>
        <w:t>参考文献：略</w:t>
      </w:r>
    </w:p>
    <w:p w14:paraId="243043F2">
      <w:pPr>
        <w:spacing w:line="360" w:lineRule="auto"/>
        <w:ind w:firstLine="420" w:firstLineChars="200"/>
        <w:jc w:val="right"/>
        <w:rPr>
          <w:rStyle w:val="101"/>
          <w:rFonts w:eastAsiaTheme="minorEastAsia"/>
          <w:szCs w:val="21"/>
        </w:rPr>
      </w:pPr>
      <w:r>
        <w:rPr>
          <w:szCs w:val="21"/>
        </w:rPr>
        <w:t>原文刊登在《</w:t>
      </w:r>
      <w:r>
        <w:rPr>
          <w:rFonts w:hint="eastAsia"/>
          <w:color w:val="333333"/>
          <w:szCs w:val="21"/>
          <w:shd w:val="clear" w:color="auto" w:fill="FFFFFF"/>
        </w:rPr>
        <w:t>动物营养学报</w:t>
      </w:r>
      <w:r>
        <w:rPr>
          <w:szCs w:val="21"/>
        </w:rPr>
        <w:t>》</w:t>
      </w:r>
      <w:r>
        <w:rPr>
          <w:rFonts w:hint="eastAsia"/>
          <w:szCs w:val="21"/>
        </w:rPr>
        <w:t>2024年第11期</w:t>
      </w:r>
    </w:p>
    <w:sectPr>
      <w:footerReference r:id="rId3" w:type="default"/>
      <w:pgSz w:w="11906" w:h="16838"/>
      <w:pgMar w:top="1440" w:right="1247" w:bottom="1440" w:left="124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4697650"/>
      <w:docPartObj>
        <w:docPartGallery w:val="autotext"/>
      </w:docPartObj>
    </w:sdtPr>
    <w:sdtContent>
      <w:p w14:paraId="5DB3C081">
        <w:pPr>
          <w:pStyle w:val="15"/>
          <w:jc w:val="center"/>
        </w:pPr>
        <w:r>
          <w:fldChar w:fldCharType="begin"/>
        </w:r>
        <w:r>
          <w:instrText xml:space="preserve">PAGE   \* MERGEFORMAT</w:instrText>
        </w:r>
        <w:r>
          <w:fldChar w:fldCharType="separate"/>
        </w:r>
        <w:r>
          <w:rPr>
            <w:lang w:val="zh-CN"/>
          </w:rPr>
          <w:t>2</w:t>
        </w:r>
        <w:r>
          <w:fldChar w:fldCharType="end"/>
        </w:r>
      </w:p>
    </w:sdtContent>
  </w:sdt>
  <w:p w14:paraId="0408A81A">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QwNTWzNLcwtzAxMTRR0lEKTi0uzszPAykwqgUAc3R0DiwAAAA="/>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3FD"/>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393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227"/>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58D8"/>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1FF6"/>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278F3"/>
    <w:rsid w:val="002302A1"/>
    <w:rsid w:val="00230958"/>
    <w:rsid w:val="00230EE1"/>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1DE"/>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C627B"/>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4243"/>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5BA3"/>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05D4"/>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1280"/>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19C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51D"/>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BA0"/>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3C9"/>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309"/>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2F2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437"/>
    <w:rsid w:val="00CA650C"/>
    <w:rsid w:val="00CA7546"/>
    <w:rsid w:val="00CB0A34"/>
    <w:rsid w:val="00CB1936"/>
    <w:rsid w:val="00CB2E45"/>
    <w:rsid w:val="00CB2EE8"/>
    <w:rsid w:val="00CB395E"/>
    <w:rsid w:val="00CB47A3"/>
    <w:rsid w:val="00CB4B04"/>
    <w:rsid w:val="00CB4B78"/>
    <w:rsid w:val="00CB57A0"/>
    <w:rsid w:val="00CC1502"/>
    <w:rsid w:val="00CC1B37"/>
    <w:rsid w:val="00CC2CC0"/>
    <w:rsid w:val="00CC3505"/>
    <w:rsid w:val="00CC528E"/>
    <w:rsid w:val="00CC56F0"/>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6193"/>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873A3"/>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4F82025"/>
    <w:rsid w:val="05312CB9"/>
    <w:rsid w:val="06C80966"/>
    <w:rsid w:val="07E866DF"/>
    <w:rsid w:val="08693410"/>
    <w:rsid w:val="0A8235E3"/>
    <w:rsid w:val="0ACF1886"/>
    <w:rsid w:val="0B8E420A"/>
    <w:rsid w:val="0BC23F01"/>
    <w:rsid w:val="0EA855E3"/>
    <w:rsid w:val="0F3E7ED6"/>
    <w:rsid w:val="0F5F3AAE"/>
    <w:rsid w:val="0FB56CEA"/>
    <w:rsid w:val="0FCD4501"/>
    <w:rsid w:val="10964F66"/>
    <w:rsid w:val="11EE5E19"/>
    <w:rsid w:val="12323B41"/>
    <w:rsid w:val="12363F6F"/>
    <w:rsid w:val="12601C36"/>
    <w:rsid w:val="128F01D6"/>
    <w:rsid w:val="130354DD"/>
    <w:rsid w:val="145412D3"/>
    <w:rsid w:val="147E43D4"/>
    <w:rsid w:val="14BA74DA"/>
    <w:rsid w:val="152E66D7"/>
    <w:rsid w:val="15746553"/>
    <w:rsid w:val="15CF7F33"/>
    <w:rsid w:val="16322ABD"/>
    <w:rsid w:val="176435AF"/>
    <w:rsid w:val="179B3F36"/>
    <w:rsid w:val="18031D95"/>
    <w:rsid w:val="18480AED"/>
    <w:rsid w:val="19812123"/>
    <w:rsid w:val="19AA4271"/>
    <w:rsid w:val="1A632C0C"/>
    <w:rsid w:val="1BA60B00"/>
    <w:rsid w:val="1BB85CB8"/>
    <w:rsid w:val="1C364CAB"/>
    <w:rsid w:val="1C83336F"/>
    <w:rsid w:val="1D302DD4"/>
    <w:rsid w:val="1D9A259A"/>
    <w:rsid w:val="1FA43022"/>
    <w:rsid w:val="22342CF6"/>
    <w:rsid w:val="26634398"/>
    <w:rsid w:val="26E946A3"/>
    <w:rsid w:val="29F35717"/>
    <w:rsid w:val="2A3458EC"/>
    <w:rsid w:val="2BE55033"/>
    <w:rsid w:val="2C1D0F66"/>
    <w:rsid w:val="2E862DE5"/>
    <w:rsid w:val="2EFF4953"/>
    <w:rsid w:val="33A256C8"/>
    <w:rsid w:val="34A86C7B"/>
    <w:rsid w:val="3784323A"/>
    <w:rsid w:val="38517759"/>
    <w:rsid w:val="39497A08"/>
    <w:rsid w:val="3980028D"/>
    <w:rsid w:val="3C956DB4"/>
    <w:rsid w:val="3CB60D47"/>
    <w:rsid w:val="3CF00B88"/>
    <w:rsid w:val="3D55126E"/>
    <w:rsid w:val="3D762284"/>
    <w:rsid w:val="3E7B7FE0"/>
    <w:rsid w:val="3E997B5D"/>
    <w:rsid w:val="3EF7024F"/>
    <w:rsid w:val="3FD0375B"/>
    <w:rsid w:val="4001677D"/>
    <w:rsid w:val="403C6EEE"/>
    <w:rsid w:val="411512B3"/>
    <w:rsid w:val="414F0E71"/>
    <w:rsid w:val="41710606"/>
    <w:rsid w:val="41BA6182"/>
    <w:rsid w:val="42AD7F63"/>
    <w:rsid w:val="43273C06"/>
    <w:rsid w:val="436E7263"/>
    <w:rsid w:val="43B703F2"/>
    <w:rsid w:val="43CC2F6A"/>
    <w:rsid w:val="43DF4E23"/>
    <w:rsid w:val="451F1218"/>
    <w:rsid w:val="452A2CE6"/>
    <w:rsid w:val="457D012D"/>
    <w:rsid w:val="457E510C"/>
    <w:rsid w:val="47E40B80"/>
    <w:rsid w:val="482B6D76"/>
    <w:rsid w:val="48B54D35"/>
    <w:rsid w:val="4AC9433B"/>
    <w:rsid w:val="4BBD535F"/>
    <w:rsid w:val="4C013C65"/>
    <w:rsid w:val="4C8156FE"/>
    <w:rsid w:val="4CCC5AB6"/>
    <w:rsid w:val="4DE329CA"/>
    <w:rsid w:val="51392C27"/>
    <w:rsid w:val="5180629F"/>
    <w:rsid w:val="52A25FA4"/>
    <w:rsid w:val="52AF5C7A"/>
    <w:rsid w:val="532B74AA"/>
    <w:rsid w:val="55097A7F"/>
    <w:rsid w:val="57215678"/>
    <w:rsid w:val="59F64346"/>
    <w:rsid w:val="5A3D61AC"/>
    <w:rsid w:val="5C2E710D"/>
    <w:rsid w:val="5E3D2C0C"/>
    <w:rsid w:val="5F68269D"/>
    <w:rsid w:val="60583D40"/>
    <w:rsid w:val="608E7761"/>
    <w:rsid w:val="63F51C30"/>
    <w:rsid w:val="648435DF"/>
    <w:rsid w:val="649B308B"/>
    <w:rsid w:val="65AF49B0"/>
    <w:rsid w:val="663B0CDB"/>
    <w:rsid w:val="66FB505F"/>
    <w:rsid w:val="687F330A"/>
    <w:rsid w:val="68874E63"/>
    <w:rsid w:val="69176598"/>
    <w:rsid w:val="69392062"/>
    <w:rsid w:val="6A2E73C3"/>
    <w:rsid w:val="6B9132BE"/>
    <w:rsid w:val="6BFA7885"/>
    <w:rsid w:val="6F494779"/>
    <w:rsid w:val="6F5E6124"/>
    <w:rsid w:val="6F70246F"/>
    <w:rsid w:val="70D0658A"/>
    <w:rsid w:val="716530FF"/>
    <w:rsid w:val="723A1134"/>
    <w:rsid w:val="72917B3F"/>
    <w:rsid w:val="73451141"/>
    <w:rsid w:val="73F1457A"/>
    <w:rsid w:val="74A12766"/>
    <w:rsid w:val="76C75323"/>
    <w:rsid w:val="7774253F"/>
    <w:rsid w:val="780E734E"/>
    <w:rsid w:val="7C1853B7"/>
    <w:rsid w:val="7D6E320A"/>
    <w:rsid w:val="7E2272E3"/>
    <w:rsid w:val="7E816B6D"/>
    <w:rsid w:val="7EE73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iPriority="29" w:name="Quote"/>
    <w:lsdException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32"/>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4"/>
    <w:semiHidden/>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paragraph" w:styleId="7">
    <w:name w:val="heading 6"/>
    <w:basedOn w:val="1"/>
    <w:next w:val="1"/>
    <w:link w:val="35"/>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210"/>
    <w:semiHidden/>
    <w:unhideWhenUsed/>
    <w:qFormat/>
    <w:uiPriority w:val="9"/>
    <w:pPr>
      <w:keepNext/>
      <w:keepLines/>
      <w:spacing w:before="240" w:after="64" w:line="320" w:lineRule="auto"/>
      <w:outlineLvl w:val="6"/>
    </w:pPr>
    <w:rPr>
      <w:b/>
      <w:bCs/>
      <w:color w:val="595959"/>
      <w:kern w:val="0"/>
      <w:sz w:val="20"/>
      <w:szCs w:val="20"/>
    </w:rPr>
  </w:style>
  <w:style w:type="paragraph" w:styleId="9">
    <w:name w:val="heading 8"/>
    <w:basedOn w:val="1"/>
    <w:next w:val="1"/>
    <w:link w:val="211"/>
    <w:semiHidden/>
    <w:unhideWhenUsed/>
    <w:qFormat/>
    <w:uiPriority w:val="9"/>
    <w:pPr>
      <w:keepNext/>
      <w:keepLines/>
      <w:spacing w:before="240" w:after="64" w:line="320" w:lineRule="auto"/>
      <w:outlineLvl w:val="7"/>
    </w:pPr>
    <w:rPr>
      <w:color w:val="595959"/>
      <w:kern w:val="0"/>
      <w:sz w:val="20"/>
      <w:szCs w:val="20"/>
    </w:rPr>
  </w:style>
  <w:style w:type="paragraph" w:styleId="10">
    <w:name w:val="heading 9"/>
    <w:basedOn w:val="1"/>
    <w:next w:val="1"/>
    <w:link w:val="212"/>
    <w:semiHidden/>
    <w:unhideWhenUsed/>
    <w:qFormat/>
    <w:uiPriority w:val="9"/>
    <w:pPr>
      <w:keepNext/>
      <w:keepLines/>
      <w:spacing w:before="240" w:after="64" w:line="320" w:lineRule="auto"/>
      <w:outlineLvl w:val="8"/>
    </w:pPr>
    <w:rPr>
      <w:rFonts w:eastAsia="等线 Light"/>
      <w:color w:val="595959"/>
      <w:kern w:val="0"/>
      <w:sz w:val="20"/>
      <w:szCs w:val="20"/>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103"/>
    <w:qFormat/>
    <w:uiPriority w:val="1"/>
    <w:pPr>
      <w:autoSpaceDE w:val="0"/>
      <w:autoSpaceDN w:val="0"/>
      <w:jc w:val="left"/>
    </w:pPr>
    <w:rPr>
      <w:rFonts w:eastAsia="Times New Roman"/>
      <w:kern w:val="0"/>
      <w:sz w:val="17"/>
      <w:szCs w:val="17"/>
      <w:lang w:eastAsia="en-US" w:bidi="en-US"/>
    </w:rPr>
  </w:style>
  <w:style w:type="paragraph" w:styleId="12">
    <w:name w:val="Date"/>
    <w:basedOn w:val="1"/>
    <w:next w:val="1"/>
    <w:link w:val="83"/>
    <w:semiHidden/>
    <w:unhideWhenUsed/>
    <w:qFormat/>
    <w:uiPriority w:val="99"/>
    <w:pPr>
      <w:ind w:left="100" w:leftChars="2500"/>
    </w:pPr>
  </w:style>
  <w:style w:type="paragraph" w:styleId="13">
    <w:name w:val="Body Text Indent 2"/>
    <w:basedOn w:val="1"/>
    <w:link w:val="199"/>
    <w:semiHidden/>
    <w:unhideWhenUsed/>
    <w:qFormat/>
    <w:uiPriority w:val="99"/>
    <w:pPr>
      <w:spacing w:after="120" w:line="480" w:lineRule="auto"/>
      <w:ind w:left="420" w:leftChars="200"/>
    </w:pPr>
  </w:style>
  <w:style w:type="paragraph" w:styleId="14">
    <w:name w:val="Balloon Text"/>
    <w:basedOn w:val="1"/>
    <w:link w:val="38"/>
    <w:semiHidden/>
    <w:unhideWhenUsed/>
    <w:qFormat/>
    <w:uiPriority w:val="99"/>
    <w:rPr>
      <w:sz w:val="18"/>
      <w:szCs w:val="18"/>
    </w:rPr>
  </w:style>
  <w:style w:type="paragraph" w:styleId="15">
    <w:name w:val="footer"/>
    <w:basedOn w:val="1"/>
    <w:link w:val="3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3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unhideWhenUsed/>
    <w:qFormat/>
    <w:uiPriority w:val="39"/>
    <w:pPr>
      <w:tabs>
        <w:tab w:val="right" w:leader="dot" w:pos="9402"/>
      </w:tabs>
    </w:pPr>
    <w:rPr>
      <w:rFonts w:eastAsia="黑体"/>
      <w:b/>
      <w:bCs/>
    </w:rPr>
  </w:style>
  <w:style w:type="paragraph" w:styleId="18">
    <w:name w:val="Subtitle"/>
    <w:basedOn w:val="1"/>
    <w:next w:val="1"/>
    <w:link w:val="216"/>
    <w:qFormat/>
    <w:uiPriority w:val="11"/>
    <w:pPr>
      <w:spacing w:before="240" w:after="60" w:line="312" w:lineRule="auto"/>
      <w:jc w:val="center"/>
      <w:outlineLvl w:val="1"/>
    </w:pPr>
    <w:rPr>
      <w:rFonts w:ascii="等线 Light" w:hAnsi="等线 Light" w:eastAsia="等线 Light"/>
      <w:color w:val="595959"/>
      <w:spacing w:val="15"/>
      <w:kern w:val="0"/>
      <w:sz w:val="28"/>
      <w:szCs w:val="28"/>
    </w:rPr>
  </w:style>
  <w:style w:type="paragraph" w:styleId="19">
    <w:name w:val="toc 2"/>
    <w:basedOn w:val="1"/>
    <w:next w:val="1"/>
    <w:unhideWhenUsed/>
    <w:qFormat/>
    <w:uiPriority w:val="39"/>
    <w:pPr>
      <w:ind w:left="420" w:leftChars="200"/>
    </w:pPr>
  </w:style>
  <w:style w:type="paragraph" w:styleId="20">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color w:val="000000"/>
      <w:kern w:val="0"/>
      <w:sz w:val="20"/>
      <w:szCs w:val="20"/>
    </w:rPr>
  </w:style>
  <w:style w:type="paragraph" w:styleId="2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214"/>
    <w:qFormat/>
    <w:uiPriority w:val="10"/>
    <w:pPr>
      <w:spacing w:before="240" w:after="60"/>
      <w:jc w:val="center"/>
      <w:outlineLvl w:val="0"/>
    </w:pPr>
    <w:rPr>
      <w:rFonts w:ascii="等线 Light" w:hAnsi="等线 Light" w:eastAsia="黑体"/>
      <w:b/>
      <w:spacing w:val="-10"/>
      <w:kern w:val="28"/>
      <w:sz w:val="32"/>
      <w:szCs w:val="56"/>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FollowedHyperlink"/>
    <w:basedOn w:val="25"/>
    <w:semiHidden/>
    <w:unhideWhenUsed/>
    <w:qFormat/>
    <w:uiPriority w:val="99"/>
    <w:rPr>
      <w:color w:val="800080"/>
      <w:u w:val="single"/>
    </w:rPr>
  </w:style>
  <w:style w:type="character" w:styleId="28">
    <w:name w:val="Emphasis"/>
    <w:basedOn w:val="25"/>
    <w:qFormat/>
    <w:uiPriority w:val="20"/>
    <w:rPr>
      <w:i/>
      <w:iCs/>
    </w:rPr>
  </w:style>
  <w:style w:type="character" w:styleId="29">
    <w:name w:val="Hyperlink"/>
    <w:basedOn w:val="25"/>
    <w:unhideWhenUsed/>
    <w:qFormat/>
    <w:uiPriority w:val="99"/>
    <w:rPr>
      <w:color w:val="0000FF"/>
      <w:u w:val="single"/>
    </w:rPr>
  </w:style>
  <w:style w:type="character" w:customStyle="1" w:styleId="30">
    <w:name w:val="标题 1 字符"/>
    <w:basedOn w:val="25"/>
    <w:link w:val="2"/>
    <w:qFormat/>
    <w:uiPriority w:val="9"/>
    <w:rPr>
      <w:rFonts w:ascii="Times New Roman" w:hAnsi="Times New Roman" w:eastAsia="宋体" w:cs="Times New Roman"/>
      <w:b/>
      <w:bCs/>
      <w:kern w:val="44"/>
      <w:sz w:val="44"/>
      <w:szCs w:val="44"/>
    </w:rPr>
  </w:style>
  <w:style w:type="character" w:customStyle="1" w:styleId="31">
    <w:name w:val="标题 2 字符"/>
    <w:basedOn w:val="25"/>
    <w:link w:val="3"/>
    <w:qFormat/>
    <w:uiPriority w:val="9"/>
    <w:rPr>
      <w:rFonts w:ascii="宋体" w:hAnsi="宋体" w:eastAsia="宋体" w:cs="宋体"/>
      <w:b/>
      <w:bCs/>
      <w:kern w:val="0"/>
      <w:sz w:val="36"/>
      <w:szCs w:val="36"/>
    </w:rPr>
  </w:style>
  <w:style w:type="character" w:customStyle="1" w:styleId="32">
    <w:name w:val="标题 3 字符"/>
    <w:basedOn w:val="25"/>
    <w:link w:val="4"/>
    <w:qFormat/>
    <w:uiPriority w:val="9"/>
    <w:rPr>
      <w:b/>
      <w:bCs/>
      <w:sz w:val="32"/>
      <w:szCs w:val="32"/>
    </w:rPr>
  </w:style>
  <w:style w:type="character" w:customStyle="1" w:styleId="33">
    <w:name w:val="标题 4 字符"/>
    <w:basedOn w:val="25"/>
    <w:link w:val="5"/>
    <w:qFormat/>
    <w:uiPriority w:val="9"/>
    <w:rPr>
      <w:rFonts w:asciiTheme="majorHAnsi" w:hAnsiTheme="majorHAnsi" w:eastAsiaTheme="majorEastAsia" w:cstheme="majorBidi"/>
      <w:b/>
      <w:bCs/>
      <w:sz w:val="28"/>
      <w:szCs w:val="28"/>
    </w:rPr>
  </w:style>
  <w:style w:type="character" w:customStyle="1" w:styleId="34">
    <w:name w:val="标题 5 字符"/>
    <w:basedOn w:val="25"/>
    <w:link w:val="6"/>
    <w:semiHidden/>
    <w:qFormat/>
    <w:uiPriority w:val="9"/>
    <w:rPr>
      <w:b/>
      <w:bCs/>
      <w:sz w:val="28"/>
      <w:szCs w:val="28"/>
    </w:rPr>
  </w:style>
  <w:style w:type="character" w:customStyle="1" w:styleId="35">
    <w:name w:val="标题 6 字符"/>
    <w:basedOn w:val="25"/>
    <w:link w:val="7"/>
    <w:semiHidden/>
    <w:qFormat/>
    <w:uiPriority w:val="9"/>
    <w:rPr>
      <w:rFonts w:asciiTheme="majorHAnsi" w:hAnsiTheme="majorHAnsi" w:eastAsiaTheme="majorEastAsia" w:cstheme="majorBidi"/>
      <w:b/>
      <w:bCs/>
      <w:sz w:val="24"/>
      <w:szCs w:val="24"/>
    </w:rPr>
  </w:style>
  <w:style w:type="character" w:customStyle="1" w:styleId="36">
    <w:name w:val="页眉 字符"/>
    <w:basedOn w:val="25"/>
    <w:link w:val="16"/>
    <w:qFormat/>
    <w:uiPriority w:val="99"/>
    <w:rPr>
      <w:sz w:val="18"/>
      <w:szCs w:val="18"/>
    </w:rPr>
  </w:style>
  <w:style w:type="character" w:customStyle="1" w:styleId="37">
    <w:name w:val="页脚 字符"/>
    <w:basedOn w:val="25"/>
    <w:link w:val="15"/>
    <w:qFormat/>
    <w:uiPriority w:val="99"/>
    <w:rPr>
      <w:sz w:val="18"/>
      <w:szCs w:val="18"/>
    </w:rPr>
  </w:style>
  <w:style w:type="character" w:customStyle="1" w:styleId="38">
    <w:name w:val="批注框文本 字符"/>
    <w:basedOn w:val="25"/>
    <w:link w:val="14"/>
    <w:semiHidden/>
    <w:qFormat/>
    <w:uiPriority w:val="99"/>
    <w:rPr>
      <w:rFonts w:ascii="Times New Roman" w:hAnsi="Times New Roman" w:eastAsia="宋体" w:cs="Times New Roman"/>
      <w:sz w:val="18"/>
      <w:szCs w:val="18"/>
    </w:rPr>
  </w:style>
  <w:style w:type="character" w:customStyle="1" w:styleId="39">
    <w:name w:val="apple-converted-space"/>
    <w:basedOn w:val="25"/>
    <w:qFormat/>
    <w:uiPriority w:val="0"/>
  </w:style>
  <w:style w:type="paragraph" w:styleId="40">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41">
    <w:name w:val="article-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article-info-en"/>
    <w:basedOn w:val="1"/>
    <w:qFormat/>
    <w:uiPriority w:val="0"/>
    <w:pPr>
      <w:widowControl/>
      <w:spacing w:before="100" w:beforeAutospacing="1" w:after="100" w:afterAutospacing="1"/>
      <w:jc w:val="left"/>
    </w:pPr>
    <w:rPr>
      <w:rFonts w:ascii="宋体" w:hAnsi="宋体" w:cs="宋体"/>
      <w:kern w:val="0"/>
      <w:sz w:val="24"/>
    </w:rPr>
  </w:style>
  <w:style w:type="character" w:customStyle="1" w:styleId="43">
    <w:name w:val="xref"/>
    <w:basedOn w:val="25"/>
    <w:qFormat/>
    <w:uiPriority w:val="0"/>
  </w:style>
  <w:style w:type="character" w:customStyle="1" w:styleId="44">
    <w:name w:val="sec-title"/>
    <w:basedOn w:val="25"/>
    <w:qFormat/>
    <w:uiPriority w:val="0"/>
  </w:style>
  <w:style w:type="character" w:customStyle="1" w:styleId="45">
    <w:name w:val="tabletext"/>
    <w:basedOn w:val="25"/>
    <w:qFormat/>
    <w:uiPriority w:val="0"/>
  </w:style>
  <w:style w:type="character" w:customStyle="1" w:styleId="46">
    <w:name w:val="figtext"/>
    <w:basedOn w:val="25"/>
    <w:qFormat/>
    <w:uiPriority w:val="0"/>
  </w:style>
  <w:style w:type="paragraph" w:customStyle="1" w:styleId="47">
    <w:name w:val="img_tit"/>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img_note"/>
    <w:basedOn w:val="1"/>
    <w:qFormat/>
    <w:uiPriority w:val="0"/>
    <w:pPr>
      <w:widowControl/>
      <w:spacing w:before="100" w:beforeAutospacing="1" w:after="100" w:afterAutospacing="1"/>
      <w:jc w:val="left"/>
    </w:pPr>
    <w:rPr>
      <w:rFonts w:ascii="宋体" w:hAnsi="宋体" w:cs="宋体"/>
      <w:kern w:val="0"/>
      <w:sz w:val="24"/>
    </w:rPr>
  </w:style>
  <w:style w:type="character" w:customStyle="1" w:styleId="49">
    <w:name w:val="rich_media_meta"/>
    <w:basedOn w:val="25"/>
    <w:qFormat/>
    <w:uiPriority w:val="0"/>
  </w:style>
  <w:style w:type="character" w:customStyle="1" w:styleId="50">
    <w:name w:val="keys"/>
    <w:basedOn w:val="25"/>
    <w:qFormat/>
    <w:uiPriority w:val="0"/>
  </w:style>
  <w:style w:type="character" w:customStyle="1" w:styleId="51">
    <w:name w:val="续段落 Char"/>
    <w:link w:val="52"/>
    <w:qFormat/>
    <w:uiPriority w:val="0"/>
    <w:rPr>
      <w:rFonts w:eastAsia="仿宋_GB2312"/>
      <w:color w:val="000000"/>
      <w:sz w:val="28"/>
      <w:szCs w:val="28"/>
    </w:rPr>
  </w:style>
  <w:style w:type="paragraph" w:customStyle="1" w:styleId="52">
    <w:name w:val="续段落"/>
    <w:basedOn w:val="1"/>
    <w:link w:val="51"/>
    <w:qFormat/>
    <w:uiPriority w:val="0"/>
    <w:pPr>
      <w:spacing w:line="500" w:lineRule="exact"/>
      <w:ind w:firstLine="561"/>
    </w:pPr>
    <w:rPr>
      <w:rFonts w:eastAsia="仿宋_GB2312" w:asciiTheme="minorHAnsi" w:hAnsiTheme="minorHAnsi" w:cstheme="minorBidi"/>
      <w:color w:val="000000"/>
      <w:sz w:val="28"/>
      <w:szCs w:val="28"/>
    </w:rPr>
  </w:style>
  <w:style w:type="character" w:customStyle="1" w:styleId="53">
    <w:name w:val="key_title"/>
    <w:basedOn w:val="25"/>
    <w:qFormat/>
    <w:uiPriority w:val="0"/>
  </w:style>
  <w:style w:type="character" w:customStyle="1" w:styleId="54">
    <w:name w:val="keyword"/>
    <w:basedOn w:val="25"/>
    <w:qFormat/>
    <w:uiPriority w:val="0"/>
  </w:style>
  <w:style w:type="character" w:customStyle="1" w:styleId="55">
    <w:name w:val="paragraph_title"/>
    <w:basedOn w:val="25"/>
    <w:qFormat/>
    <w:uiPriority w:val="0"/>
  </w:style>
  <w:style w:type="character" w:customStyle="1" w:styleId="56">
    <w:name w:val="题注1"/>
    <w:basedOn w:val="25"/>
    <w:qFormat/>
    <w:uiPriority w:val="0"/>
  </w:style>
  <w:style w:type="character" w:customStyle="1" w:styleId="57">
    <w:name w:val="outline_anchor"/>
    <w:basedOn w:val="25"/>
    <w:qFormat/>
    <w:uiPriority w:val="0"/>
  </w:style>
  <w:style w:type="character" w:customStyle="1" w:styleId="58">
    <w:name w:val="z-窗体顶端 字符"/>
    <w:basedOn w:val="25"/>
    <w:link w:val="59"/>
    <w:semiHidden/>
    <w:qFormat/>
    <w:uiPriority w:val="99"/>
    <w:rPr>
      <w:rFonts w:ascii="Arial" w:hAnsi="Arial" w:eastAsia="宋体" w:cs="Arial"/>
      <w:vanish/>
      <w:kern w:val="0"/>
      <w:sz w:val="16"/>
      <w:szCs w:val="16"/>
    </w:rPr>
  </w:style>
  <w:style w:type="paragraph" w:customStyle="1" w:styleId="59">
    <w:name w:val="z-窗体顶端1"/>
    <w:basedOn w:val="1"/>
    <w:next w:val="1"/>
    <w:link w:val="58"/>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60">
    <w:name w:val="z-窗体顶端 Char1"/>
    <w:basedOn w:val="25"/>
    <w:semiHidden/>
    <w:qFormat/>
    <w:uiPriority w:val="99"/>
    <w:rPr>
      <w:rFonts w:ascii="Arial" w:hAnsi="Arial" w:eastAsia="宋体" w:cs="Arial"/>
      <w:vanish/>
      <w:sz w:val="16"/>
      <w:szCs w:val="16"/>
    </w:rPr>
  </w:style>
  <w:style w:type="character" w:customStyle="1" w:styleId="61">
    <w:name w:val="z-窗体底端 字符"/>
    <w:basedOn w:val="25"/>
    <w:link w:val="62"/>
    <w:semiHidden/>
    <w:qFormat/>
    <w:uiPriority w:val="99"/>
    <w:rPr>
      <w:rFonts w:ascii="Arial" w:hAnsi="Arial" w:eastAsia="宋体" w:cs="Arial"/>
      <w:vanish/>
      <w:kern w:val="0"/>
      <w:sz w:val="16"/>
      <w:szCs w:val="16"/>
    </w:rPr>
  </w:style>
  <w:style w:type="paragraph" w:customStyle="1" w:styleId="62">
    <w:name w:val="z-窗体底端1"/>
    <w:basedOn w:val="1"/>
    <w:next w:val="1"/>
    <w:link w:val="61"/>
    <w:semiHidden/>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63">
    <w:name w:val="z-窗体底端 Char1"/>
    <w:basedOn w:val="25"/>
    <w:semiHidden/>
    <w:qFormat/>
    <w:uiPriority w:val="99"/>
    <w:rPr>
      <w:rFonts w:ascii="Arial" w:hAnsi="Arial" w:eastAsia="宋体" w:cs="Arial"/>
      <w:vanish/>
      <w:sz w:val="16"/>
      <w:szCs w:val="16"/>
    </w:rPr>
  </w:style>
  <w:style w:type="paragraph" w:customStyle="1" w:styleId="64">
    <w:name w:val="reader-word-layer reader-word-s2-16"/>
    <w:basedOn w:val="1"/>
    <w:qFormat/>
    <w:uiPriority w:val="0"/>
    <w:pPr>
      <w:widowControl/>
      <w:spacing w:before="100" w:beforeAutospacing="1" w:after="100" w:afterAutospacing="1"/>
      <w:jc w:val="left"/>
    </w:pPr>
    <w:rPr>
      <w:rFonts w:ascii="宋体" w:hAnsi="宋体" w:cs="宋体"/>
      <w:kern w:val="0"/>
      <w:sz w:val="24"/>
    </w:rPr>
  </w:style>
  <w:style w:type="character" w:customStyle="1" w:styleId="65">
    <w:name w:val="bjh-p"/>
    <w:basedOn w:val="25"/>
    <w:qFormat/>
    <w:uiPriority w:val="0"/>
  </w:style>
  <w:style w:type="character" w:customStyle="1" w:styleId="66">
    <w:name w:val="bjh-strong"/>
    <w:basedOn w:val="25"/>
    <w:qFormat/>
    <w:uiPriority w:val="0"/>
  </w:style>
  <w:style w:type="character" w:customStyle="1" w:styleId="67">
    <w:name w:val="author_cn"/>
    <w:basedOn w:val="25"/>
    <w:qFormat/>
    <w:uiPriority w:val="0"/>
  </w:style>
  <w:style w:type="character" w:customStyle="1" w:styleId="68">
    <w:name w:val="author_en"/>
    <w:basedOn w:val="25"/>
    <w:qFormat/>
    <w:uiPriority w:val="0"/>
  </w:style>
  <w:style w:type="character" w:customStyle="1" w:styleId="69">
    <w:name w:val="题注2"/>
    <w:basedOn w:val="25"/>
    <w:qFormat/>
    <w:uiPriority w:val="0"/>
  </w:style>
  <w:style w:type="character" w:customStyle="1" w:styleId="70">
    <w:name w:val="tabtext"/>
    <w:basedOn w:val="25"/>
    <w:qFormat/>
    <w:uiPriority w:val="0"/>
  </w:style>
  <w:style w:type="character" w:customStyle="1" w:styleId="71">
    <w:name w:val="mathjax_preview"/>
    <w:basedOn w:val="25"/>
    <w:qFormat/>
    <w:uiPriority w:val="0"/>
  </w:style>
  <w:style w:type="character" w:customStyle="1" w:styleId="72">
    <w:name w:val="mathjax"/>
    <w:basedOn w:val="25"/>
    <w:qFormat/>
    <w:uiPriority w:val="0"/>
  </w:style>
  <w:style w:type="character" w:customStyle="1" w:styleId="73">
    <w:name w:val="math"/>
    <w:basedOn w:val="25"/>
    <w:qFormat/>
    <w:uiPriority w:val="0"/>
  </w:style>
  <w:style w:type="character" w:customStyle="1" w:styleId="74">
    <w:name w:val="mrow"/>
    <w:basedOn w:val="25"/>
    <w:qFormat/>
    <w:uiPriority w:val="0"/>
  </w:style>
  <w:style w:type="character" w:customStyle="1" w:styleId="75">
    <w:name w:val="mtable"/>
    <w:basedOn w:val="25"/>
    <w:qFormat/>
    <w:uiPriority w:val="0"/>
  </w:style>
  <w:style w:type="character" w:customStyle="1" w:styleId="76">
    <w:name w:val="mtd"/>
    <w:basedOn w:val="25"/>
    <w:qFormat/>
    <w:uiPriority w:val="0"/>
  </w:style>
  <w:style w:type="character" w:customStyle="1" w:styleId="77">
    <w:name w:val="texatom"/>
    <w:basedOn w:val="25"/>
    <w:qFormat/>
    <w:uiPriority w:val="0"/>
  </w:style>
  <w:style w:type="character" w:customStyle="1" w:styleId="78">
    <w:name w:val="mi"/>
    <w:basedOn w:val="25"/>
    <w:qFormat/>
    <w:uiPriority w:val="0"/>
  </w:style>
  <w:style w:type="character" w:customStyle="1" w:styleId="79">
    <w:name w:val="mo"/>
    <w:basedOn w:val="25"/>
    <w:qFormat/>
    <w:uiPriority w:val="0"/>
  </w:style>
  <w:style w:type="character" w:customStyle="1" w:styleId="80">
    <w:name w:val="msubsup"/>
    <w:basedOn w:val="25"/>
    <w:qFormat/>
    <w:uiPriority w:val="0"/>
  </w:style>
  <w:style w:type="character" w:customStyle="1" w:styleId="81">
    <w:name w:val="mn"/>
    <w:basedOn w:val="25"/>
    <w:qFormat/>
    <w:uiPriority w:val="0"/>
  </w:style>
  <w:style w:type="character" w:customStyle="1" w:styleId="82">
    <w:name w:val="mjx_assistive_mathml"/>
    <w:basedOn w:val="25"/>
    <w:qFormat/>
    <w:uiPriority w:val="0"/>
  </w:style>
  <w:style w:type="character" w:customStyle="1" w:styleId="83">
    <w:name w:val="日期 字符"/>
    <w:basedOn w:val="25"/>
    <w:link w:val="12"/>
    <w:semiHidden/>
    <w:qFormat/>
    <w:uiPriority w:val="99"/>
    <w:rPr>
      <w:rFonts w:ascii="Times New Roman" w:hAnsi="Times New Roman" w:eastAsia="宋体" w:cs="Times New Roman"/>
      <w:szCs w:val="24"/>
    </w:rPr>
  </w:style>
  <w:style w:type="paragraph" w:customStyle="1" w:styleId="8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li-pdf"/>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li-excel"/>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li-xml"/>
    <w:basedOn w:val="1"/>
    <w:qFormat/>
    <w:uiPriority w:val="0"/>
    <w:pPr>
      <w:widowControl/>
      <w:spacing w:before="100" w:beforeAutospacing="1" w:after="100" w:afterAutospacing="1"/>
      <w:jc w:val="left"/>
    </w:pPr>
    <w:rPr>
      <w:rFonts w:ascii="宋体" w:hAnsi="宋体" w:cs="宋体"/>
      <w:kern w:val="0"/>
      <w:sz w:val="24"/>
    </w:rPr>
  </w:style>
  <w:style w:type="character" w:customStyle="1" w:styleId="89">
    <w:name w:val="maincolor"/>
    <w:basedOn w:val="25"/>
    <w:qFormat/>
    <w:uiPriority w:val="0"/>
  </w:style>
  <w:style w:type="paragraph" w:customStyle="1" w:styleId="90">
    <w:name w:val="article_ceil_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article_ceil_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articletool_li1"/>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articletool_li2"/>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articletool_li3"/>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figtabspan"/>
    <w:basedOn w:val="1"/>
    <w:qFormat/>
    <w:uiPriority w:val="0"/>
    <w:pPr>
      <w:widowControl/>
      <w:spacing w:before="100" w:beforeAutospacing="1" w:after="100" w:afterAutospacing="1"/>
      <w:jc w:val="left"/>
    </w:pPr>
    <w:rPr>
      <w:rFonts w:ascii="宋体" w:hAnsi="宋体" w:cs="宋体"/>
      <w:kern w:val="0"/>
      <w:sz w:val="24"/>
    </w:rPr>
  </w:style>
  <w:style w:type="character" w:customStyle="1" w:styleId="96">
    <w:name w:val="info"/>
    <w:basedOn w:val="25"/>
    <w:qFormat/>
    <w:uiPriority w:val="0"/>
  </w:style>
  <w:style w:type="character" w:customStyle="1" w:styleId="97">
    <w:name w:val="infoen"/>
    <w:basedOn w:val="25"/>
    <w:qFormat/>
    <w:uiPriority w:val="0"/>
  </w:style>
  <w:style w:type="character" w:customStyle="1" w:styleId="98">
    <w:name w:val="rich_media_meta_link"/>
    <w:basedOn w:val="25"/>
    <w:qFormat/>
    <w:uiPriority w:val="0"/>
  </w:style>
  <w:style w:type="character" w:customStyle="1" w:styleId="99">
    <w:name w:val="source"/>
    <w:basedOn w:val="25"/>
    <w:qFormat/>
    <w:uiPriority w:val="0"/>
  </w:style>
  <w:style w:type="paragraph" w:customStyle="1" w:styleId="100">
    <w:name w:val="one-p"/>
    <w:basedOn w:val="1"/>
    <w:qFormat/>
    <w:uiPriority w:val="0"/>
    <w:pPr>
      <w:widowControl/>
      <w:spacing w:before="100" w:beforeAutospacing="1" w:after="100" w:afterAutospacing="1"/>
      <w:jc w:val="left"/>
    </w:pPr>
    <w:rPr>
      <w:rFonts w:ascii="宋体" w:hAnsi="宋体" w:cs="宋体"/>
      <w:kern w:val="0"/>
      <w:sz w:val="24"/>
    </w:rPr>
  </w:style>
  <w:style w:type="character" w:customStyle="1" w:styleId="101">
    <w:name w:val="vm"/>
    <w:basedOn w:val="25"/>
    <w:qFormat/>
    <w:uiPriority w:val="0"/>
  </w:style>
  <w:style w:type="character" w:customStyle="1" w:styleId="102">
    <w:name w:val="article_title3"/>
    <w:basedOn w:val="25"/>
    <w:qFormat/>
    <w:uiPriority w:val="0"/>
  </w:style>
  <w:style w:type="character" w:customStyle="1" w:styleId="103">
    <w:name w:val="正文文本 字符"/>
    <w:basedOn w:val="25"/>
    <w:link w:val="11"/>
    <w:qFormat/>
    <w:uiPriority w:val="1"/>
    <w:rPr>
      <w:rFonts w:ascii="Times New Roman" w:hAnsi="Times New Roman" w:eastAsia="Times New Roman" w:cs="Times New Roman"/>
      <w:kern w:val="0"/>
      <w:sz w:val="17"/>
      <w:szCs w:val="17"/>
      <w:lang w:eastAsia="en-US" w:bidi="en-US"/>
    </w:rPr>
  </w:style>
  <w:style w:type="paragraph" w:customStyle="1" w:styleId="104">
    <w:name w:val="Table Paragraph"/>
    <w:basedOn w:val="1"/>
    <w:qFormat/>
    <w:uiPriority w:val="1"/>
    <w:pPr>
      <w:autoSpaceDE w:val="0"/>
      <w:autoSpaceDN w:val="0"/>
      <w:spacing w:before="46"/>
      <w:jc w:val="center"/>
    </w:pPr>
    <w:rPr>
      <w:rFonts w:eastAsia="Times New Roman"/>
      <w:kern w:val="0"/>
      <w:sz w:val="22"/>
      <w:szCs w:val="22"/>
      <w:lang w:eastAsia="en-US" w:bidi="en-US"/>
    </w:rPr>
  </w:style>
  <w:style w:type="paragraph" w:customStyle="1" w:styleId="105">
    <w:name w:val="pic_cent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06">
    <w:name w:val="anchor-a"/>
    <w:basedOn w:val="25"/>
    <w:qFormat/>
    <w:uiPriority w:val="0"/>
  </w:style>
  <w:style w:type="character" w:customStyle="1" w:styleId="107">
    <w:name w:val="未处理的提及1"/>
    <w:basedOn w:val="25"/>
    <w:semiHidden/>
    <w:unhideWhenUsed/>
    <w:qFormat/>
    <w:uiPriority w:val="99"/>
    <w:rPr>
      <w:color w:val="605E5C"/>
      <w:shd w:val="clear" w:color="auto" w:fill="E1DFDD"/>
    </w:rPr>
  </w:style>
  <w:style w:type="paragraph" w:styleId="10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s1"/>
    <w:basedOn w:val="1"/>
    <w:qFormat/>
    <w:uiPriority w:val="0"/>
    <w:pPr>
      <w:widowControl/>
      <w:spacing w:before="100" w:beforeAutospacing="1" w:after="100" w:afterAutospacing="1"/>
      <w:jc w:val="left"/>
    </w:pPr>
    <w:rPr>
      <w:rFonts w:ascii="宋体" w:hAnsi="宋体" w:cs="宋体"/>
      <w:kern w:val="0"/>
      <w:sz w:val="24"/>
    </w:rPr>
  </w:style>
  <w:style w:type="character" w:customStyle="1" w:styleId="110">
    <w:name w:val="s2"/>
    <w:basedOn w:val="25"/>
    <w:qFormat/>
    <w:uiPriority w:val="0"/>
  </w:style>
  <w:style w:type="character" w:customStyle="1" w:styleId="111">
    <w:name w:val="s3"/>
    <w:basedOn w:val="25"/>
    <w:qFormat/>
    <w:uiPriority w:val="0"/>
  </w:style>
  <w:style w:type="paragraph" w:customStyle="1" w:styleId="112">
    <w:name w:val="s4"/>
    <w:basedOn w:val="1"/>
    <w:qFormat/>
    <w:uiPriority w:val="0"/>
    <w:pPr>
      <w:widowControl/>
      <w:spacing w:before="100" w:beforeAutospacing="1" w:after="100" w:afterAutospacing="1"/>
      <w:jc w:val="left"/>
    </w:pPr>
    <w:rPr>
      <w:rFonts w:ascii="宋体" w:hAnsi="宋体" w:cs="宋体"/>
      <w:kern w:val="0"/>
      <w:sz w:val="24"/>
    </w:rPr>
  </w:style>
  <w:style w:type="character" w:customStyle="1" w:styleId="113">
    <w:name w:val="s5"/>
    <w:basedOn w:val="25"/>
    <w:qFormat/>
    <w:uiPriority w:val="0"/>
  </w:style>
  <w:style w:type="character" w:customStyle="1" w:styleId="114">
    <w:name w:val="s6"/>
    <w:basedOn w:val="25"/>
    <w:qFormat/>
    <w:uiPriority w:val="0"/>
  </w:style>
  <w:style w:type="character" w:customStyle="1" w:styleId="115">
    <w:name w:val="p"/>
    <w:basedOn w:val="25"/>
    <w:qFormat/>
    <w:uiPriority w:val="0"/>
  </w:style>
  <w:style w:type="paragraph" w:customStyle="1" w:styleId="116">
    <w:name w:val="s7"/>
    <w:basedOn w:val="1"/>
    <w:qFormat/>
    <w:uiPriority w:val="0"/>
    <w:pPr>
      <w:widowControl/>
      <w:spacing w:before="100" w:beforeAutospacing="1" w:after="100" w:afterAutospacing="1"/>
      <w:jc w:val="left"/>
    </w:pPr>
    <w:rPr>
      <w:rFonts w:ascii="宋体" w:hAnsi="宋体" w:cs="宋体"/>
      <w:kern w:val="0"/>
      <w:sz w:val="24"/>
    </w:rPr>
  </w:style>
  <w:style w:type="character" w:customStyle="1" w:styleId="117">
    <w:name w:val="s41"/>
    <w:basedOn w:val="25"/>
    <w:qFormat/>
    <w:uiPriority w:val="0"/>
  </w:style>
  <w:style w:type="character" w:customStyle="1" w:styleId="118">
    <w:name w:val="h2"/>
    <w:basedOn w:val="25"/>
    <w:qFormat/>
    <w:uiPriority w:val="0"/>
  </w:style>
  <w:style w:type="paragraph" w:customStyle="1" w:styleId="119">
    <w:name w:val="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s9"/>
    <w:basedOn w:val="1"/>
    <w:qFormat/>
    <w:uiPriority w:val="0"/>
    <w:pPr>
      <w:widowControl/>
      <w:spacing w:before="100" w:beforeAutospacing="1" w:after="100" w:afterAutospacing="1"/>
      <w:jc w:val="left"/>
    </w:pPr>
    <w:rPr>
      <w:rFonts w:ascii="宋体" w:hAnsi="宋体" w:cs="宋体"/>
      <w:kern w:val="0"/>
      <w:sz w:val="24"/>
    </w:rPr>
  </w:style>
  <w:style w:type="character" w:customStyle="1" w:styleId="121">
    <w:name w:val="s11"/>
    <w:basedOn w:val="25"/>
    <w:qFormat/>
    <w:uiPriority w:val="0"/>
  </w:style>
  <w:style w:type="paragraph" w:customStyle="1" w:styleId="122">
    <w:name w:val="s14"/>
    <w:basedOn w:val="1"/>
    <w:qFormat/>
    <w:uiPriority w:val="0"/>
    <w:pPr>
      <w:widowControl/>
      <w:spacing w:before="100" w:beforeAutospacing="1" w:after="100" w:afterAutospacing="1"/>
      <w:jc w:val="left"/>
    </w:pPr>
    <w:rPr>
      <w:rFonts w:ascii="宋体" w:hAnsi="宋体" w:cs="宋体"/>
      <w:kern w:val="0"/>
      <w:sz w:val="24"/>
    </w:rPr>
  </w:style>
  <w:style w:type="character" w:customStyle="1" w:styleId="123">
    <w:name w:val="s12"/>
    <w:basedOn w:val="25"/>
    <w:qFormat/>
    <w:uiPriority w:val="0"/>
  </w:style>
  <w:style w:type="character" w:customStyle="1" w:styleId="124">
    <w:name w:val="s13"/>
    <w:basedOn w:val="25"/>
    <w:qFormat/>
    <w:uiPriority w:val="0"/>
  </w:style>
  <w:style w:type="paragraph" w:customStyle="1" w:styleId="125">
    <w:name w:val="s1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26">
    <w:name w:val="h4"/>
    <w:basedOn w:val="25"/>
    <w:qFormat/>
    <w:uiPriority w:val="0"/>
  </w:style>
  <w:style w:type="character" w:customStyle="1" w:styleId="127">
    <w:name w:val="s141"/>
    <w:basedOn w:val="25"/>
    <w:qFormat/>
    <w:uiPriority w:val="0"/>
  </w:style>
  <w:style w:type="paragraph" w:customStyle="1" w:styleId="128">
    <w:name w:val="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s16"/>
    <w:basedOn w:val="1"/>
    <w:qFormat/>
    <w:uiPriority w:val="0"/>
    <w:pPr>
      <w:widowControl/>
      <w:spacing w:before="100" w:beforeAutospacing="1" w:after="100" w:afterAutospacing="1"/>
      <w:jc w:val="left"/>
    </w:pPr>
    <w:rPr>
      <w:rFonts w:ascii="宋体" w:hAnsi="宋体" w:cs="宋体"/>
      <w:kern w:val="0"/>
      <w:sz w:val="24"/>
    </w:rPr>
  </w:style>
  <w:style w:type="character" w:customStyle="1" w:styleId="130">
    <w:name w:val="s17"/>
    <w:basedOn w:val="25"/>
    <w:qFormat/>
    <w:uiPriority w:val="0"/>
  </w:style>
  <w:style w:type="character" w:customStyle="1" w:styleId="131">
    <w:name w:val="s18"/>
    <w:basedOn w:val="25"/>
    <w:qFormat/>
    <w:uiPriority w:val="0"/>
  </w:style>
  <w:style w:type="character" w:customStyle="1" w:styleId="132">
    <w:name w:val="s19"/>
    <w:basedOn w:val="25"/>
    <w:qFormat/>
    <w:uiPriority w:val="0"/>
  </w:style>
  <w:style w:type="character" w:customStyle="1" w:styleId="133">
    <w:name w:val="s20"/>
    <w:basedOn w:val="25"/>
    <w:qFormat/>
    <w:uiPriority w:val="0"/>
  </w:style>
  <w:style w:type="character" w:customStyle="1" w:styleId="134">
    <w:name w:val="s21"/>
    <w:basedOn w:val="25"/>
    <w:qFormat/>
    <w:uiPriority w:val="0"/>
  </w:style>
  <w:style w:type="paragraph" w:customStyle="1" w:styleId="135">
    <w:name w:val="s22"/>
    <w:basedOn w:val="1"/>
    <w:qFormat/>
    <w:uiPriority w:val="0"/>
    <w:pPr>
      <w:widowControl/>
      <w:spacing w:before="100" w:beforeAutospacing="1" w:after="100" w:afterAutospacing="1"/>
      <w:jc w:val="left"/>
    </w:pPr>
    <w:rPr>
      <w:rFonts w:ascii="宋体" w:hAnsi="宋体" w:cs="宋体"/>
      <w:kern w:val="0"/>
      <w:sz w:val="24"/>
    </w:rPr>
  </w:style>
  <w:style w:type="character" w:customStyle="1" w:styleId="136">
    <w:name w:val="s23"/>
    <w:basedOn w:val="25"/>
    <w:qFormat/>
    <w:uiPriority w:val="0"/>
  </w:style>
  <w:style w:type="character" w:customStyle="1" w:styleId="137">
    <w:name w:val="s24"/>
    <w:basedOn w:val="25"/>
    <w:qFormat/>
    <w:uiPriority w:val="0"/>
  </w:style>
  <w:style w:type="paragraph" w:customStyle="1" w:styleId="138">
    <w:name w:val="s25"/>
    <w:basedOn w:val="1"/>
    <w:qFormat/>
    <w:uiPriority w:val="0"/>
    <w:pPr>
      <w:widowControl/>
      <w:spacing w:before="100" w:beforeAutospacing="1" w:after="100" w:afterAutospacing="1"/>
      <w:jc w:val="left"/>
    </w:pPr>
    <w:rPr>
      <w:rFonts w:ascii="宋体" w:hAnsi="宋体" w:cs="宋体"/>
      <w:kern w:val="0"/>
      <w:sz w:val="24"/>
    </w:rPr>
  </w:style>
  <w:style w:type="character" w:customStyle="1" w:styleId="139">
    <w:name w:val="s221"/>
    <w:basedOn w:val="25"/>
    <w:qFormat/>
    <w:uiPriority w:val="0"/>
  </w:style>
  <w:style w:type="paragraph" w:customStyle="1" w:styleId="140">
    <w:name w:val="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141">
    <w:name w:val="s28"/>
    <w:basedOn w:val="1"/>
    <w:qFormat/>
    <w:uiPriority w:val="0"/>
    <w:pPr>
      <w:widowControl/>
      <w:spacing w:before="100" w:beforeAutospacing="1" w:after="100" w:afterAutospacing="1"/>
      <w:jc w:val="left"/>
    </w:pPr>
    <w:rPr>
      <w:rFonts w:ascii="宋体" w:hAnsi="宋体" w:cs="宋体"/>
      <w:kern w:val="0"/>
      <w:sz w:val="24"/>
    </w:rPr>
  </w:style>
  <w:style w:type="character" w:customStyle="1" w:styleId="142">
    <w:name w:val="s30"/>
    <w:basedOn w:val="25"/>
    <w:qFormat/>
    <w:uiPriority w:val="0"/>
  </w:style>
  <w:style w:type="paragraph" w:customStyle="1" w:styleId="143">
    <w:name w:val="s171"/>
    <w:basedOn w:val="1"/>
    <w:qFormat/>
    <w:uiPriority w:val="0"/>
    <w:pPr>
      <w:widowControl/>
      <w:spacing w:before="100" w:beforeAutospacing="1" w:after="100" w:afterAutospacing="1"/>
      <w:jc w:val="left"/>
    </w:pPr>
    <w:rPr>
      <w:rFonts w:ascii="宋体" w:hAnsi="宋体" w:cs="宋体"/>
      <w:kern w:val="0"/>
      <w:sz w:val="24"/>
    </w:rPr>
  </w:style>
  <w:style w:type="character" w:customStyle="1" w:styleId="144">
    <w:name w:val="s161"/>
    <w:basedOn w:val="25"/>
    <w:qFormat/>
    <w:uiPriority w:val="0"/>
  </w:style>
  <w:style w:type="paragraph" w:customStyle="1" w:styleId="145">
    <w:name w:val="s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46">
    <w:name w:val="s32"/>
    <w:basedOn w:val="25"/>
    <w:qFormat/>
    <w:uiPriority w:val="0"/>
  </w:style>
  <w:style w:type="paragraph" w:customStyle="1" w:styleId="147">
    <w:name w:val="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148">
    <w:name w:val="s34"/>
    <w:basedOn w:val="1"/>
    <w:qFormat/>
    <w:uiPriority w:val="0"/>
    <w:pPr>
      <w:widowControl/>
      <w:spacing w:before="100" w:beforeAutospacing="1" w:after="100" w:afterAutospacing="1"/>
      <w:jc w:val="left"/>
    </w:pPr>
    <w:rPr>
      <w:rFonts w:ascii="宋体" w:hAnsi="宋体" w:cs="宋体"/>
      <w:kern w:val="0"/>
      <w:sz w:val="24"/>
    </w:rPr>
  </w:style>
  <w:style w:type="character" w:customStyle="1" w:styleId="149">
    <w:name w:val="s331"/>
    <w:basedOn w:val="25"/>
    <w:qFormat/>
    <w:uiPriority w:val="0"/>
  </w:style>
  <w:style w:type="character" w:customStyle="1" w:styleId="150">
    <w:name w:val="s35"/>
    <w:basedOn w:val="25"/>
    <w:qFormat/>
    <w:uiPriority w:val="0"/>
  </w:style>
  <w:style w:type="character" w:customStyle="1" w:styleId="151">
    <w:name w:val="s36"/>
    <w:basedOn w:val="25"/>
    <w:qFormat/>
    <w:uiPriority w:val="0"/>
  </w:style>
  <w:style w:type="character" w:customStyle="1" w:styleId="152">
    <w:name w:val="s37"/>
    <w:basedOn w:val="25"/>
    <w:qFormat/>
    <w:uiPriority w:val="0"/>
  </w:style>
  <w:style w:type="character" w:customStyle="1" w:styleId="153">
    <w:name w:val="s38"/>
    <w:basedOn w:val="25"/>
    <w:qFormat/>
    <w:uiPriority w:val="0"/>
  </w:style>
  <w:style w:type="character" w:customStyle="1" w:styleId="154">
    <w:name w:val="s39"/>
    <w:basedOn w:val="25"/>
    <w:qFormat/>
    <w:uiPriority w:val="0"/>
  </w:style>
  <w:style w:type="character" w:customStyle="1" w:styleId="155">
    <w:name w:val="s40"/>
    <w:basedOn w:val="25"/>
    <w:qFormat/>
    <w:uiPriority w:val="0"/>
  </w:style>
  <w:style w:type="paragraph" w:customStyle="1" w:styleId="156">
    <w:name w:val="s42"/>
    <w:basedOn w:val="1"/>
    <w:qFormat/>
    <w:uiPriority w:val="0"/>
    <w:pPr>
      <w:widowControl/>
      <w:spacing w:before="100" w:beforeAutospacing="1" w:after="100" w:afterAutospacing="1"/>
      <w:jc w:val="left"/>
    </w:pPr>
    <w:rPr>
      <w:rFonts w:ascii="宋体" w:hAnsi="宋体" w:cs="宋体"/>
      <w:kern w:val="0"/>
      <w:sz w:val="24"/>
    </w:rPr>
  </w:style>
  <w:style w:type="character" w:customStyle="1" w:styleId="157">
    <w:name w:val="s43"/>
    <w:basedOn w:val="25"/>
    <w:qFormat/>
    <w:uiPriority w:val="0"/>
  </w:style>
  <w:style w:type="character" w:customStyle="1" w:styleId="158">
    <w:name w:val="s341"/>
    <w:basedOn w:val="25"/>
    <w:qFormat/>
    <w:uiPriority w:val="0"/>
  </w:style>
  <w:style w:type="paragraph" w:customStyle="1" w:styleId="159">
    <w:name w:val="s44"/>
    <w:basedOn w:val="1"/>
    <w:qFormat/>
    <w:uiPriority w:val="0"/>
    <w:pPr>
      <w:widowControl/>
      <w:spacing w:before="100" w:beforeAutospacing="1" w:after="100" w:afterAutospacing="1"/>
      <w:jc w:val="left"/>
    </w:pPr>
    <w:rPr>
      <w:rFonts w:ascii="宋体" w:hAnsi="宋体" w:cs="宋体"/>
      <w:kern w:val="0"/>
      <w:sz w:val="24"/>
    </w:rPr>
  </w:style>
  <w:style w:type="character" w:customStyle="1" w:styleId="160">
    <w:name w:val="s45"/>
    <w:basedOn w:val="25"/>
    <w:qFormat/>
    <w:uiPriority w:val="0"/>
  </w:style>
  <w:style w:type="character" w:customStyle="1" w:styleId="161">
    <w:name w:val="s46"/>
    <w:basedOn w:val="25"/>
    <w:qFormat/>
    <w:uiPriority w:val="0"/>
  </w:style>
  <w:style w:type="character" w:customStyle="1" w:styleId="162">
    <w:name w:val="s47"/>
    <w:basedOn w:val="25"/>
    <w:qFormat/>
    <w:uiPriority w:val="0"/>
  </w:style>
  <w:style w:type="character" w:customStyle="1" w:styleId="163">
    <w:name w:val="s48"/>
    <w:basedOn w:val="25"/>
    <w:qFormat/>
    <w:uiPriority w:val="0"/>
  </w:style>
  <w:style w:type="character" w:customStyle="1" w:styleId="164">
    <w:name w:val="s29"/>
    <w:basedOn w:val="25"/>
    <w:qFormat/>
    <w:uiPriority w:val="0"/>
  </w:style>
  <w:style w:type="character" w:customStyle="1" w:styleId="165">
    <w:name w:val="s50"/>
    <w:basedOn w:val="25"/>
    <w:qFormat/>
    <w:uiPriority w:val="0"/>
  </w:style>
  <w:style w:type="paragraph" w:customStyle="1" w:styleId="166">
    <w:name w:val="s241"/>
    <w:basedOn w:val="1"/>
    <w:qFormat/>
    <w:uiPriority w:val="0"/>
    <w:pPr>
      <w:widowControl/>
      <w:spacing w:before="100" w:beforeAutospacing="1" w:after="100" w:afterAutospacing="1"/>
      <w:jc w:val="left"/>
    </w:pPr>
    <w:rPr>
      <w:rFonts w:ascii="宋体" w:hAnsi="宋体" w:cs="宋体"/>
      <w:kern w:val="0"/>
      <w:sz w:val="24"/>
    </w:rPr>
  </w:style>
  <w:style w:type="character" w:customStyle="1" w:styleId="167">
    <w:name w:val="s51"/>
    <w:basedOn w:val="25"/>
    <w:qFormat/>
    <w:uiPriority w:val="0"/>
  </w:style>
  <w:style w:type="paragraph" w:customStyle="1" w:styleId="168">
    <w:name w:val="s5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s52"/>
    <w:basedOn w:val="1"/>
    <w:qFormat/>
    <w:uiPriority w:val="0"/>
    <w:pPr>
      <w:widowControl/>
      <w:spacing w:before="100" w:beforeAutospacing="1" w:after="100" w:afterAutospacing="1"/>
      <w:jc w:val="left"/>
    </w:pPr>
    <w:rPr>
      <w:rFonts w:ascii="宋体" w:hAnsi="宋体" w:cs="宋体"/>
      <w:kern w:val="0"/>
      <w:sz w:val="24"/>
    </w:rPr>
  </w:style>
  <w:style w:type="character" w:customStyle="1" w:styleId="170">
    <w:name w:val="s53"/>
    <w:basedOn w:val="25"/>
    <w:qFormat/>
    <w:uiPriority w:val="0"/>
  </w:style>
  <w:style w:type="paragraph" w:customStyle="1" w:styleId="171">
    <w:name w:val="s5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2">
    <w:name w:val="s521"/>
    <w:basedOn w:val="25"/>
    <w:qFormat/>
    <w:uiPriority w:val="0"/>
  </w:style>
  <w:style w:type="paragraph" w:customStyle="1" w:styleId="173">
    <w:name w:val="s50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4">
    <w:name w:val="s8"/>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s15"/>
    <w:basedOn w:val="1"/>
    <w:qFormat/>
    <w:uiPriority w:val="0"/>
    <w:pPr>
      <w:widowControl/>
      <w:spacing w:before="100" w:beforeAutospacing="1" w:after="100" w:afterAutospacing="1"/>
      <w:jc w:val="left"/>
    </w:pPr>
    <w:rPr>
      <w:rFonts w:ascii="宋体" w:hAnsi="宋体" w:cs="宋体"/>
      <w:kern w:val="0"/>
      <w:sz w:val="24"/>
    </w:rPr>
  </w:style>
  <w:style w:type="character" w:customStyle="1" w:styleId="176">
    <w:name w:val="h3"/>
    <w:basedOn w:val="25"/>
    <w:qFormat/>
    <w:uiPriority w:val="0"/>
  </w:style>
  <w:style w:type="paragraph" w:customStyle="1" w:styleId="177">
    <w:name w:val="s6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8">
    <w:name w:val="s26"/>
    <w:basedOn w:val="25"/>
    <w:qFormat/>
    <w:uiPriority w:val="0"/>
  </w:style>
  <w:style w:type="paragraph" w:customStyle="1" w:styleId="179">
    <w:name w:val="s26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s291"/>
    <w:basedOn w:val="1"/>
    <w:qFormat/>
    <w:uiPriority w:val="0"/>
    <w:pPr>
      <w:widowControl/>
      <w:spacing w:before="100" w:beforeAutospacing="1" w:after="100" w:afterAutospacing="1"/>
      <w:jc w:val="left"/>
    </w:pPr>
    <w:rPr>
      <w:rFonts w:ascii="宋体" w:hAnsi="宋体" w:cs="宋体"/>
      <w:kern w:val="0"/>
      <w:sz w:val="24"/>
    </w:rPr>
  </w:style>
  <w:style w:type="character" w:customStyle="1" w:styleId="181">
    <w:name w:val="s281"/>
    <w:basedOn w:val="25"/>
    <w:qFormat/>
    <w:uiPriority w:val="0"/>
  </w:style>
  <w:style w:type="paragraph" w:customStyle="1" w:styleId="182">
    <w:name w:val="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3">
    <w:name w:val="s201"/>
    <w:basedOn w:val="1"/>
    <w:qFormat/>
    <w:uiPriority w:val="0"/>
    <w:pPr>
      <w:widowControl/>
      <w:spacing w:before="100" w:beforeAutospacing="1" w:after="100" w:afterAutospacing="1"/>
      <w:jc w:val="left"/>
    </w:pPr>
    <w:rPr>
      <w:rFonts w:ascii="宋体" w:hAnsi="宋体" w:cs="宋体"/>
      <w:kern w:val="0"/>
      <w:sz w:val="24"/>
    </w:rPr>
  </w:style>
  <w:style w:type="character" w:customStyle="1" w:styleId="184">
    <w:name w:val="s231"/>
    <w:basedOn w:val="25"/>
    <w:qFormat/>
    <w:uiPriority w:val="0"/>
  </w:style>
  <w:style w:type="character" w:customStyle="1" w:styleId="185">
    <w:name w:val="s271"/>
    <w:basedOn w:val="25"/>
    <w:qFormat/>
    <w:uiPriority w:val="0"/>
  </w:style>
  <w:style w:type="character" w:customStyle="1" w:styleId="186">
    <w:name w:val="s301"/>
    <w:basedOn w:val="25"/>
    <w:qFormat/>
    <w:uiPriority w:val="0"/>
  </w:style>
  <w:style w:type="character" w:customStyle="1" w:styleId="187">
    <w:name w:val="s351"/>
    <w:basedOn w:val="25"/>
    <w:qFormat/>
    <w:uiPriority w:val="0"/>
  </w:style>
  <w:style w:type="character" w:customStyle="1" w:styleId="188">
    <w:name w:val="fontstyle01"/>
    <w:basedOn w:val="25"/>
    <w:qFormat/>
    <w:uiPriority w:val="0"/>
    <w:rPr>
      <w:rFonts w:hint="eastAsia" w:ascii="宋体" w:hAnsi="宋体" w:eastAsia="宋体"/>
      <w:color w:val="000000"/>
      <w:sz w:val="22"/>
      <w:szCs w:val="22"/>
    </w:rPr>
  </w:style>
  <w:style w:type="character" w:customStyle="1" w:styleId="189">
    <w:name w:val="fontstyle21"/>
    <w:basedOn w:val="25"/>
    <w:qFormat/>
    <w:uiPriority w:val="0"/>
    <w:rPr>
      <w:rFonts w:hint="default" w:ascii="TimesNewRomanPSMT" w:hAnsi="TimesNewRomanPSMT"/>
      <w:color w:val="0000FF"/>
      <w:sz w:val="22"/>
      <w:szCs w:val="22"/>
    </w:rPr>
  </w:style>
  <w:style w:type="character" w:customStyle="1" w:styleId="190">
    <w:name w:val="fontstyle31"/>
    <w:basedOn w:val="25"/>
    <w:qFormat/>
    <w:uiPriority w:val="0"/>
    <w:rPr>
      <w:rFonts w:hint="default" w:ascii="TimesNewRomanPS-ItalicMT" w:hAnsi="TimesNewRomanPS-ItalicMT"/>
      <w:i/>
      <w:iCs/>
      <w:color w:val="000000"/>
      <w:sz w:val="22"/>
      <w:szCs w:val="22"/>
    </w:rPr>
  </w:style>
  <w:style w:type="character" w:customStyle="1" w:styleId="191">
    <w:name w:val="fontstyle11"/>
    <w:basedOn w:val="25"/>
    <w:qFormat/>
    <w:uiPriority w:val="0"/>
    <w:rPr>
      <w:rFonts w:hint="default" w:ascii="TimesNewRomanPSMT" w:hAnsi="TimesNewRomanPSMT"/>
      <w:color w:val="000000"/>
      <w:sz w:val="22"/>
      <w:szCs w:val="22"/>
    </w:rPr>
  </w:style>
  <w:style w:type="character" w:customStyle="1" w:styleId="192">
    <w:name w:val="fontstyle41"/>
    <w:basedOn w:val="25"/>
    <w:qFormat/>
    <w:uiPriority w:val="0"/>
    <w:rPr>
      <w:rFonts w:hint="default" w:ascii="TimesNewRomanPSMT" w:hAnsi="TimesNewRomanPSMT"/>
      <w:color w:val="000000"/>
      <w:sz w:val="20"/>
      <w:szCs w:val="20"/>
    </w:rPr>
  </w:style>
  <w:style w:type="paragraph" w:customStyle="1" w:styleId="193">
    <w:name w:val="cur"/>
    <w:basedOn w:val="1"/>
    <w:qFormat/>
    <w:uiPriority w:val="0"/>
    <w:pPr>
      <w:widowControl/>
      <w:spacing w:before="100" w:beforeAutospacing="1" w:after="100" w:afterAutospacing="1"/>
      <w:jc w:val="left"/>
    </w:pPr>
    <w:rPr>
      <w:rFonts w:ascii="宋体" w:hAnsi="宋体" w:cs="宋体"/>
      <w:kern w:val="0"/>
      <w:sz w:val="24"/>
    </w:rPr>
  </w:style>
  <w:style w:type="character" w:customStyle="1" w:styleId="194">
    <w:name w:val="shareboard"/>
    <w:basedOn w:val="25"/>
    <w:qFormat/>
    <w:uiPriority w:val="0"/>
  </w:style>
  <w:style w:type="character" w:customStyle="1" w:styleId="195">
    <w:name w:val="msqrt"/>
    <w:basedOn w:val="25"/>
    <w:qFormat/>
    <w:uiPriority w:val="0"/>
  </w:style>
  <w:style w:type="paragraph" w:customStyle="1" w:styleId="196">
    <w:name w:val="ql-align-justify"/>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ql-align-cent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98">
    <w:name w:val="mtext"/>
    <w:basedOn w:val="25"/>
    <w:qFormat/>
    <w:uiPriority w:val="0"/>
  </w:style>
  <w:style w:type="character" w:customStyle="1" w:styleId="199">
    <w:name w:val="正文文本缩进 2 字符"/>
    <w:basedOn w:val="25"/>
    <w:link w:val="13"/>
    <w:semiHidden/>
    <w:qFormat/>
    <w:uiPriority w:val="99"/>
    <w:rPr>
      <w:rFonts w:ascii="Times New Roman" w:hAnsi="Times New Roman" w:eastAsia="宋体" w:cs="Times New Roman"/>
      <w:szCs w:val="24"/>
    </w:rPr>
  </w:style>
  <w:style w:type="character" w:customStyle="1" w:styleId="200">
    <w:name w:val="HTML 预设格式 字符"/>
    <w:basedOn w:val="25"/>
    <w:link w:val="20"/>
    <w:qFormat/>
    <w:uiPriority w:val="0"/>
    <w:rPr>
      <w:rFonts w:ascii="黑体" w:hAnsi="Courier New" w:eastAsia="黑体" w:cs="Courier New"/>
      <w:color w:val="000000"/>
      <w:kern w:val="0"/>
      <w:sz w:val="20"/>
      <w:szCs w:val="20"/>
    </w:rPr>
  </w:style>
  <w:style w:type="character" w:customStyle="1" w:styleId="201">
    <w:name w:val="rowtit"/>
    <w:basedOn w:val="25"/>
    <w:qFormat/>
    <w:uiPriority w:val="0"/>
  </w:style>
  <w:style w:type="character" w:customStyle="1" w:styleId="202">
    <w:name w:val="abstract-text"/>
    <w:basedOn w:val="25"/>
    <w:qFormat/>
    <w:uiPriority w:val="0"/>
  </w:style>
  <w:style w:type="paragraph" w:customStyle="1" w:styleId="203">
    <w:name w:val="keywords"/>
    <w:basedOn w:val="1"/>
    <w:qFormat/>
    <w:uiPriority w:val="0"/>
    <w:pPr>
      <w:widowControl/>
      <w:spacing w:before="100" w:beforeAutospacing="1" w:after="100" w:afterAutospacing="1"/>
      <w:jc w:val="left"/>
    </w:pPr>
    <w:rPr>
      <w:rFonts w:ascii="宋体" w:hAnsi="宋体" w:cs="宋体"/>
      <w:kern w:val="0"/>
      <w:sz w:val="24"/>
    </w:rPr>
  </w:style>
  <w:style w:type="paragraph" w:customStyle="1" w:styleId="204">
    <w:name w:val="code-formula"/>
    <w:basedOn w:val="1"/>
    <w:qFormat/>
    <w:uiPriority w:val="0"/>
    <w:pPr>
      <w:widowControl/>
      <w:spacing w:before="100" w:beforeAutospacing="1" w:after="100" w:afterAutospacing="1"/>
      <w:jc w:val="left"/>
    </w:pPr>
    <w:rPr>
      <w:rFonts w:ascii="宋体" w:hAnsi="宋体" w:cs="宋体"/>
      <w:kern w:val="0"/>
      <w:sz w:val="24"/>
    </w:rPr>
  </w:style>
  <w:style w:type="character" w:customStyle="1" w:styleId="205">
    <w:name w:val="未处理的提及2"/>
    <w:basedOn w:val="25"/>
    <w:semiHidden/>
    <w:unhideWhenUsed/>
    <w:qFormat/>
    <w:uiPriority w:val="99"/>
    <w:rPr>
      <w:color w:val="605E5C"/>
      <w:shd w:val="clear" w:color="auto" w:fill="E1DFDD"/>
    </w:rPr>
  </w:style>
  <w:style w:type="paragraph" w:customStyle="1" w:styleId="206">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207">
    <w:name w:val="标题 71"/>
    <w:basedOn w:val="1"/>
    <w:next w:val="1"/>
    <w:semiHidden/>
    <w:unhideWhenUsed/>
    <w:qFormat/>
    <w:uiPriority w:val="9"/>
    <w:pPr>
      <w:keepNext/>
      <w:keepLines/>
      <w:spacing w:before="40"/>
      <w:outlineLvl w:val="6"/>
    </w:pPr>
    <w:rPr>
      <w:rFonts w:ascii="等线" w:hAnsi="等线" w:eastAsia="等线"/>
      <w:b/>
      <w:bCs/>
      <w:color w:val="595959"/>
      <w:szCs w:val="22"/>
      <w14:ligatures w14:val="standardContextual"/>
    </w:rPr>
  </w:style>
  <w:style w:type="paragraph" w:customStyle="1" w:styleId="208">
    <w:name w:val="标题 81"/>
    <w:basedOn w:val="1"/>
    <w:next w:val="1"/>
    <w:semiHidden/>
    <w:unhideWhenUsed/>
    <w:qFormat/>
    <w:uiPriority w:val="9"/>
    <w:pPr>
      <w:keepNext/>
      <w:keepLines/>
      <w:outlineLvl w:val="7"/>
    </w:pPr>
    <w:rPr>
      <w:rFonts w:ascii="等线" w:hAnsi="等线" w:eastAsia="等线"/>
      <w:color w:val="595959"/>
      <w:szCs w:val="22"/>
      <w14:ligatures w14:val="standardContextual"/>
    </w:rPr>
  </w:style>
  <w:style w:type="paragraph" w:customStyle="1" w:styleId="209">
    <w:name w:val="标题 91"/>
    <w:basedOn w:val="1"/>
    <w:next w:val="1"/>
    <w:semiHidden/>
    <w:unhideWhenUsed/>
    <w:qFormat/>
    <w:uiPriority w:val="9"/>
    <w:pPr>
      <w:keepNext/>
      <w:keepLines/>
      <w:outlineLvl w:val="8"/>
    </w:pPr>
    <w:rPr>
      <w:rFonts w:ascii="等线" w:hAnsi="等线" w:eastAsia="等线 Light"/>
      <w:color w:val="595959"/>
      <w:szCs w:val="22"/>
      <w14:ligatures w14:val="standardContextual"/>
    </w:rPr>
  </w:style>
  <w:style w:type="character" w:customStyle="1" w:styleId="210">
    <w:name w:val="标题 7 字符"/>
    <w:basedOn w:val="25"/>
    <w:link w:val="8"/>
    <w:semiHidden/>
    <w:uiPriority w:val="9"/>
    <w:rPr>
      <w:rFonts w:cs="Times New Roman"/>
      <w:b/>
      <w:bCs/>
      <w:color w:val="595959"/>
    </w:rPr>
  </w:style>
  <w:style w:type="character" w:customStyle="1" w:styleId="211">
    <w:name w:val="标题 8 字符"/>
    <w:basedOn w:val="25"/>
    <w:link w:val="9"/>
    <w:semiHidden/>
    <w:uiPriority w:val="9"/>
    <w:rPr>
      <w:rFonts w:cs="Times New Roman"/>
      <w:color w:val="595959"/>
    </w:rPr>
  </w:style>
  <w:style w:type="character" w:customStyle="1" w:styleId="212">
    <w:name w:val="标题 9 字符"/>
    <w:basedOn w:val="25"/>
    <w:link w:val="10"/>
    <w:semiHidden/>
    <w:uiPriority w:val="9"/>
    <w:rPr>
      <w:rFonts w:eastAsia="等线 Light" w:cs="Times New Roman"/>
      <w:color w:val="595959"/>
    </w:rPr>
  </w:style>
  <w:style w:type="paragraph" w:customStyle="1" w:styleId="213">
    <w:name w:val="标题1"/>
    <w:basedOn w:val="1"/>
    <w:next w:val="1"/>
    <w:qFormat/>
    <w:uiPriority w:val="10"/>
    <w:pPr>
      <w:spacing w:after="80"/>
      <w:contextualSpacing/>
      <w:jc w:val="center"/>
    </w:pPr>
    <w:rPr>
      <w:rFonts w:ascii="等线 Light" w:hAnsi="等线 Light" w:eastAsia="黑体"/>
      <w:b/>
      <w:spacing w:val="-10"/>
      <w:kern w:val="28"/>
      <w:sz w:val="32"/>
      <w:szCs w:val="56"/>
      <w14:ligatures w14:val="standardContextual"/>
    </w:rPr>
  </w:style>
  <w:style w:type="character" w:customStyle="1" w:styleId="214">
    <w:name w:val="标题 字符"/>
    <w:basedOn w:val="25"/>
    <w:link w:val="22"/>
    <w:uiPriority w:val="10"/>
    <w:rPr>
      <w:rFonts w:ascii="等线 Light" w:hAnsi="等线 Light" w:eastAsia="黑体" w:cs="Times New Roman"/>
      <w:b/>
      <w:spacing w:val="-10"/>
      <w:kern w:val="28"/>
      <w:sz w:val="32"/>
      <w:szCs w:val="56"/>
    </w:rPr>
  </w:style>
  <w:style w:type="paragraph" w:customStyle="1" w:styleId="215">
    <w:name w:val="副标题1"/>
    <w:basedOn w:val="1"/>
    <w:next w:val="1"/>
    <w:qFormat/>
    <w:uiPriority w:val="11"/>
    <w:pPr>
      <w:spacing w:after="160"/>
      <w:jc w:val="center"/>
    </w:pPr>
    <w:rPr>
      <w:rFonts w:ascii="等线 Light" w:hAnsi="等线 Light" w:eastAsia="等线 Light"/>
      <w:color w:val="595959"/>
      <w:spacing w:val="15"/>
      <w:sz w:val="28"/>
      <w:szCs w:val="28"/>
      <w14:ligatures w14:val="standardContextual"/>
    </w:rPr>
  </w:style>
  <w:style w:type="character" w:customStyle="1" w:styleId="216">
    <w:name w:val="副标题 字符"/>
    <w:basedOn w:val="25"/>
    <w:link w:val="18"/>
    <w:uiPriority w:val="11"/>
    <w:rPr>
      <w:rFonts w:ascii="等线 Light" w:hAnsi="等线 Light" w:eastAsia="等线 Light" w:cs="Times New Roman"/>
      <w:color w:val="595959"/>
      <w:spacing w:val="15"/>
      <w:sz w:val="28"/>
      <w:szCs w:val="28"/>
    </w:rPr>
  </w:style>
  <w:style w:type="paragraph" w:customStyle="1" w:styleId="217">
    <w:name w:val="引用1"/>
    <w:basedOn w:val="1"/>
    <w:next w:val="1"/>
    <w:qFormat/>
    <w:uiPriority w:val="29"/>
    <w:pPr>
      <w:spacing w:before="160" w:after="160"/>
      <w:jc w:val="center"/>
    </w:pPr>
    <w:rPr>
      <w:rFonts w:ascii="等线" w:hAnsi="等线" w:eastAsia="等线"/>
      <w:i/>
      <w:iCs/>
      <w:color w:val="404040"/>
      <w:szCs w:val="22"/>
      <w14:ligatures w14:val="standardContextual"/>
    </w:rPr>
  </w:style>
  <w:style w:type="character" w:customStyle="1" w:styleId="218">
    <w:name w:val="引用 字符"/>
    <w:basedOn w:val="25"/>
    <w:link w:val="219"/>
    <w:uiPriority w:val="29"/>
    <w:rPr>
      <w:i/>
      <w:iCs/>
      <w:color w:val="404040"/>
    </w:rPr>
  </w:style>
  <w:style w:type="paragraph" w:styleId="219">
    <w:name w:val="Quote"/>
    <w:basedOn w:val="1"/>
    <w:next w:val="1"/>
    <w:link w:val="218"/>
    <w:semiHidden/>
    <w:unhideWhenUsed/>
    <w:uiPriority w:val="29"/>
    <w:pPr>
      <w:spacing w:before="200" w:after="160"/>
      <w:ind w:left="864" w:right="864"/>
      <w:jc w:val="center"/>
    </w:pPr>
    <w:rPr>
      <w:i/>
      <w:iCs/>
      <w:color w:val="404040"/>
      <w:kern w:val="0"/>
      <w:sz w:val="20"/>
      <w:szCs w:val="20"/>
    </w:rPr>
  </w:style>
  <w:style w:type="character" w:customStyle="1" w:styleId="220">
    <w:name w:val="明显强调1"/>
    <w:basedOn w:val="25"/>
    <w:qFormat/>
    <w:uiPriority w:val="21"/>
    <w:rPr>
      <w:i/>
      <w:iCs/>
      <w:color w:val="0F4761"/>
    </w:rPr>
  </w:style>
  <w:style w:type="paragraph" w:customStyle="1" w:styleId="221">
    <w:name w:val="明显引用1"/>
    <w:basedOn w:val="1"/>
    <w:next w:val="1"/>
    <w:qFormat/>
    <w:uiPriority w:val="30"/>
    <w:pPr>
      <w:pBdr>
        <w:top w:val="single" w:color="0F4761" w:sz="4" w:space="10"/>
        <w:bottom w:val="single" w:color="0F4761" w:sz="4" w:space="10"/>
      </w:pBdr>
      <w:spacing w:before="360" w:after="360"/>
      <w:ind w:left="864" w:right="864"/>
      <w:jc w:val="center"/>
    </w:pPr>
    <w:rPr>
      <w:rFonts w:ascii="等线" w:hAnsi="等线" w:eastAsia="等线"/>
      <w:i/>
      <w:iCs/>
      <w:color w:val="0F4761"/>
      <w:szCs w:val="22"/>
      <w14:ligatures w14:val="standardContextual"/>
    </w:rPr>
  </w:style>
  <w:style w:type="character" w:customStyle="1" w:styleId="222">
    <w:name w:val="明显引用 字符"/>
    <w:basedOn w:val="25"/>
    <w:link w:val="223"/>
    <w:uiPriority w:val="30"/>
    <w:rPr>
      <w:i/>
      <w:iCs/>
      <w:color w:val="0F4761"/>
    </w:rPr>
  </w:style>
  <w:style w:type="paragraph" w:styleId="223">
    <w:name w:val="Intense Quote"/>
    <w:basedOn w:val="1"/>
    <w:next w:val="1"/>
    <w:link w:val="222"/>
    <w:semiHidden/>
    <w:unhideWhenUsed/>
    <w:uiPriority w:val="30"/>
    <w:pPr>
      <w:pBdr>
        <w:top w:val="single" w:color="4F81BD" w:themeColor="accent1" w:sz="4" w:space="10"/>
        <w:bottom w:val="single" w:color="4F81BD" w:themeColor="accent1" w:sz="4" w:space="10"/>
      </w:pBdr>
      <w:spacing w:before="360" w:after="360"/>
      <w:ind w:left="864" w:right="864"/>
      <w:jc w:val="center"/>
    </w:pPr>
    <w:rPr>
      <w:i/>
      <w:iCs/>
      <w:color w:val="0F4761"/>
      <w:kern w:val="0"/>
      <w:sz w:val="20"/>
      <w:szCs w:val="20"/>
    </w:rPr>
  </w:style>
  <w:style w:type="character" w:customStyle="1" w:styleId="224">
    <w:name w:val="明显参考1"/>
    <w:basedOn w:val="25"/>
    <w:qFormat/>
    <w:uiPriority w:val="32"/>
    <w:rPr>
      <w:b/>
      <w:bCs/>
      <w:smallCaps/>
      <w:color w:val="0F4761"/>
      <w:spacing w:val="5"/>
    </w:rPr>
  </w:style>
  <w:style w:type="character" w:customStyle="1" w:styleId="225">
    <w:name w:val="标题 7 字符1"/>
    <w:basedOn w:val="25"/>
    <w:semiHidden/>
    <w:uiPriority w:val="9"/>
    <w:rPr>
      <w:b/>
      <w:bCs/>
      <w:kern w:val="2"/>
      <w:sz w:val="24"/>
      <w:szCs w:val="24"/>
    </w:rPr>
  </w:style>
  <w:style w:type="character" w:customStyle="1" w:styleId="226">
    <w:name w:val="标题 8 字符1"/>
    <w:basedOn w:val="25"/>
    <w:semiHidden/>
    <w:uiPriority w:val="9"/>
    <w:rPr>
      <w:rFonts w:asciiTheme="majorHAnsi" w:hAnsiTheme="majorHAnsi" w:eastAsiaTheme="majorEastAsia" w:cstheme="majorBidi"/>
      <w:kern w:val="2"/>
      <w:sz w:val="24"/>
      <w:szCs w:val="24"/>
    </w:rPr>
  </w:style>
  <w:style w:type="character" w:customStyle="1" w:styleId="227">
    <w:name w:val="标题 9 字符1"/>
    <w:basedOn w:val="25"/>
    <w:semiHidden/>
    <w:uiPriority w:val="9"/>
    <w:rPr>
      <w:rFonts w:asciiTheme="majorHAnsi" w:hAnsiTheme="majorHAnsi" w:eastAsiaTheme="majorEastAsia" w:cstheme="majorBidi"/>
      <w:kern w:val="2"/>
      <w:sz w:val="21"/>
      <w:szCs w:val="21"/>
    </w:rPr>
  </w:style>
  <w:style w:type="character" w:customStyle="1" w:styleId="228">
    <w:name w:val="标题 字符1"/>
    <w:basedOn w:val="25"/>
    <w:uiPriority w:val="10"/>
    <w:rPr>
      <w:rFonts w:asciiTheme="majorHAnsi" w:hAnsiTheme="majorHAnsi" w:eastAsiaTheme="majorEastAsia" w:cstheme="majorBidi"/>
      <w:b/>
      <w:bCs/>
      <w:kern w:val="2"/>
      <w:sz w:val="32"/>
      <w:szCs w:val="32"/>
    </w:rPr>
  </w:style>
  <w:style w:type="character" w:customStyle="1" w:styleId="229">
    <w:name w:val="副标题 字符1"/>
    <w:basedOn w:val="25"/>
    <w:uiPriority w:val="11"/>
    <w:rPr>
      <w:rFonts w:asciiTheme="minorHAnsi" w:hAnsiTheme="minorHAnsi" w:eastAsiaTheme="minorEastAsia" w:cstheme="minorBidi"/>
      <w:b/>
      <w:bCs/>
      <w:kern w:val="28"/>
      <w:sz w:val="32"/>
      <w:szCs w:val="32"/>
    </w:rPr>
  </w:style>
  <w:style w:type="character" w:customStyle="1" w:styleId="230">
    <w:name w:val="引用 字符1"/>
    <w:basedOn w:val="25"/>
    <w:semiHidden/>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231">
    <w:name w:val="Intense Emphasis"/>
    <w:basedOn w:val="25"/>
    <w:qFormat/>
    <w:uiPriority w:val="21"/>
    <w:rPr>
      <w:i/>
      <w:iCs/>
      <w:color w:val="4F81BD" w:themeColor="accent1"/>
      <w14:textFill>
        <w14:solidFill>
          <w14:schemeClr w14:val="accent1"/>
        </w14:solidFill>
      </w14:textFill>
    </w:rPr>
  </w:style>
  <w:style w:type="character" w:customStyle="1" w:styleId="232">
    <w:name w:val="明显引用 字符1"/>
    <w:basedOn w:val="25"/>
    <w:semiHidden/>
    <w:uiPriority w:val="99"/>
    <w:rPr>
      <w:i/>
      <w:iCs/>
      <w:color w:val="4F81BD" w:themeColor="accent1"/>
      <w:kern w:val="2"/>
      <w:sz w:val="21"/>
      <w:szCs w:val="24"/>
      <w14:textFill>
        <w14:solidFill>
          <w14:schemeClr w14:val="accent1"/>
        </w14:solidFill>
      </w14:textFill>
    </w:rPr>
  </w:style>
  <w:style w:type="character" w:customStyle="1" w:styleId="233">
    <w:name w:val="Intense Reference"/>
    <w:basedOn w:val="25"/>
    <w:qFormat/>
    <w:uiPriority w:val="32"/>
    <w:rPr>
      <w:b/>
      <w:bCs/>
      <w:smallCaps/>
      <w:color w:val="4F81BD" w:themeColor="accent1"/>
      <w:spacing w:val="5"/>
      <w14:textFill>
        <w14:solidFill>
          <w14:schemeClr w14:val="accent1"/>
        </w14:solidFill>
      </w14:textFill>
    </w:rPr>
  </w:style>
  <w:style w:type="paragraph" w:customStyle="1" w:styleId="23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8A6228-4548-461E-9942-825D9CE5D0D9}">
  <ds:schemaRefs/>
</ds:datastoreItem>
</file>

<file path=docProps/app.xml><?xml version="1.0" encoding="utf-8"?>
<Properties xmlns="http://schemas.openxmlformats.org/officeDocument/2006/extended-properties" xmlns:vt="http://schemas.openxmlformats.org/officeDocument/2006/docPropsVTypes">
  <Template>Normal.dotm</Template>
  <Company>Win10NeT.COM</Company>
  <Pages>80</Pages>
  <Words>18124</Words>
  <Characters>18604</Characters>
  <Lines>516</Lines>
  <Paragraphs>145</Paragraphs>
  <TotalTime>697</TotalTime>
  <ScaleCrop>false</ScaleCrop>
  <LinksUpToDate>false</LinksUpToDate>
  <CharactersWithSpaces>18712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2025-05-14T03:12:00Z</dcterms:created>
  <dc:creator>Administrator</dc:creator>
  <cp:lastModifiedBy>Administrator</cp:lastModifiedBy>
  <cp:lastPrinted>2025-05-16T08:01:00Z</cp:lastPrinted>
  <dcterms:modified xsi:type="dcterms:W3CDTF">2025-09-18T01:08:38Z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AB4334ED5FD54086BA35BE835A757B6F</vt:lpwstr>
  </property>
  <property fmtid="{D5CDD505-2E9C-101B-9397-08002B2CF9AE}" pid="4" name="KSOTemplateDocerSaveRecord">
    <vt:lpwstr>eyJoZGlkIjoiNWZmZGYxYTg5MTM1YmUwMjRlOGJmNTVmZGI5M2Y4NjkifQ==</vt:lpwstr>
  </property>
</Properties>
</file>