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ind w:left="-94" w:leftChars="-45" w:right="-334" w:rightChars="-159"/>
        <w:jc w:val="left"/>
        <w:rPr>
          <w:b/>
          <w:bCs/>
          <w:sz w:val="32"/>
          <w:szCs w:val="32"/>
        </w:rPr>
      </w:pPr>
      <w:bookmarkStart w:id="0" w:name="_Hlk21261980"/>
      <w:bookmarkEnd w:id="0"/>
      <w:r>
        <w:rPr>
          <w:b/>
          <w:bCs/>
          <w:sz w:val="32"/>
          <w:szCs w:val="32"/>
        </w:rPr>
        <mc:AlternateContent>
          <mc:Choice Requires="wps">
            <w:drawing>
              <wp:anchor distT="0" distB="0" distL="114300" distR="114300" simplePos="0" relativeHeight="251662336" behindDoc="0" locked="0" layoutInCell="1" allowOverlap="1">
                <wp:simplePos x="0" y="0"/>
                <wp:positionH relativeFrom="column">
                  <wp:posOffset>-117475</wp:posOffset>
                </wp:positionH>
                <wp:positionV relativeFrom="paragraph">
                  <wp:posOffset>1882775</wp:posOffset>
                </wp:positionV>
                <wp:extent cx="6295390" cy="0"/>
                <wp:effectExtent l="0" t="19050" r="48895" b="38100"/>
                <wp:wrapNone/>
                <wp:docPr id="24" name="直线 5"/>
                <wp:cNvGraphicFramePr/>
                <a:graphic xmlns:a="http://schemas.openxmlformats.org/drawingml/2006/main">
                  <a:graphicData uri="http://schemas.microsoft.com/office/word/2010/wordprocessingShape">
                    <wps:wsp>
                      <wps:cNvCnPr>
                        <a:cxnSpLocks noChangeShapeType="1"/>
                      </wps:cNvCnPr>
                      <wps:spPr bwMode="auto">
                        <a:xfrm>
                          <a:off x="0" y="0"/>
                          <a:ext cx="6295292" cy="0"/>
                        </a:xfrm>
                        <a:prstGeom prst="line">
                          <a:avLst/>
                        </a:prstGeom>
                        <a:noFill/>
                        <a:ln w="57150" cmpd="thickThin">
                          <a:solidFill>
                            <a:srgbClr val="000000"/>
                          </a:solidFill>
                          <a:round/>
                        </a:ln>
                      </wps:spPr>
                      <wps:bodyPr/>
                    </wps:wsp>
                  </a:graphicData>
                </a:graphic>
              </wp:anchor>
            </w:drawing>
          </mc:Choice>
          <mc:Fallback>
            <w:pict>
              <v:line id="直线 5" o:spid="_x0000_s1026" o:spt="20" style="position:absolute;left:0pt;margin-left:-9.25pt;margin-top:148.25pt;height:0pt;width:495.7pt;z-index:251662336;mso-width-relative:page;mso-height-relative:page;" filled="f" stroked="t" coordsize="21600,21600" o:gfxdata="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C7bXAl1gAAAAsB&#10;AAAPAAAAAAAAAAEAIAAAACIAAABkcnMvZG93bnJldi54bWxQSwECFAAUAAAACACHTuJAs1+2kuQB&#10;AAC0AwAADgAAAAAAAAABACAAAAAlAQAAZHJzL2Uyb0RvYy54bWxQSwUGAAAAAAYABgBZAQAAewUA&#10;AAAA&#10;">
                <v:fill on="f" focussize="0,0"/>
                <v:stroke weight="4.5pt" color="#000000" linestyle="thickThin" joinstyle="round"/>
                <v:imagedata o:title=""/>
                <o:lock v:ext="edit" aspectratio="f"/>
              </v:line>
            </w:pict>
          </mc:Fallback>
        </mc:AlternateContent>
      </w:r>
      <w:r>
        <w:rPr>
          <w:b/>
          <w:bCs/>
          <w:sz w:val="32"/>
          <w:szCs w:val="32"/>
        </w:rPr>
        <w:drawing>
          <wp:anchor distT="0" distB="0" distL="114300" distR="114300" simplePos="0" relativeHeight="251659264" behindDoc="0" locked="0" layoutInCell="1" allowOverlap="1">
            <wp:simplePos x="0" y="0"/>
            <wp:positionH relativeFrom="column">
              <wp:posOffset>0</wp:posOffset>
            </wp:positionH>
            <wp:positionV relativeFrom="paragraph">
              <wp:posOffset>99060</wp:posOffset>
            </wp:positionV>
            <wp:extent cx="1257300" cy="1257300"/>
            <wp:effectExtent l="0" t="0" r="0" b="0"/>
            <wp:wrapTopAndBottom/>
            <wp:docPr id="2" name="图片 2" descr="徽标（白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徽标（白边）"/>
                    <pic:cNvPicPr>
                      <a:picLocks noChangeAspect="1" noChangeArrowheads="1"/>
                    </pic:cNvPicPr>
                  </pic:nvPicPr>
                  <pic:blipFill>
                    <a:blip r:embed="rId5" cstate="print"/>
                    <a:srcRect/>
                    <a:stretch>
                      <a:fillRect/>
                    </a:stretch>
                  </pic:blipFill>
                  <pic:spPr>
                    <a:xfrm>
                      <a:off x="0" y="0"/>
                      <a:ext cx="1257300" cy="1257300"/>
                    </a:xfrm>
                    <a:prstGeom prst="rect">
                      <a:avLst/>
                    </a:prstGeom>
                    <a:noFill/>
                    <a:ln w="9525">
                      <a:noFill/>
                      <a:miter lim="800000"/>
                      <a:headEnd/>
                      <a:tailEnd/>
                    </a:ln>
                  </pic:spPr>
                </pic:pic>
              </a:graphicData>
            </a:graphic>
          </wp:anchor>
        </w:drawing>
      </w:r>
      <w:r>
        <w:rPr>
          <w:b/>
          <w:bCs/>
          <w:sz w:val="32"/>
          <w:szCs w:val="32"/>
        </w:rPr>
        <w:drawing>
          <wp:anchor distT="0" distB="0" distL="114300" distR="114300" simplePos="0" relativeHeight="251660288" behindDoc="0" locked="0" layoutInCell="1" allowOverlap="1">
            <wp:simplePos x="0" y="0"/>
            <wp:positionH relativeFrom="column">
              <wp:posOffset>1714500</wp:posOffset>
            </wp:positionH>
            <wp:positionV relativeFrom="paragraph">
              <wp:posOffset>693420</wp:posOffset>
            </wp:positionV>
            <wp:extent cx="3200400" cy="805180"/>
            <wp:effectExtent l="0" t="0" r="0" b="0"/>
            <wp:wrapTopAndBottom/>
            <wp:docPr id="3" name="图片 3" descr="信息简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信息简报"/>
                    <pic:cNvPicPr>
                      <a:picLocks noChangeAspect="1" noChangeArrowheads="1"/>
                    </pic:cNvPicPr>
                  </pic:nvPicPr>
                  <pic:blipFill>
                    <a:blip r:embed="rId6" cstate="print"/>
                    <a:srcRect l="11453" t="15935" r="17537" b="12360"/>
                    <a:stretch>
                      <a:fillRect/>
                    </a:stretch>
                  </pic:blipFill>
                  <pic:spPr>
                    <a:xfrm>
                      <a:off x="0" y="0"/>
                      <a:ext cx="3200400" cy="805180"/>
                    </a:xfrm>
                    <a:prstGeom prst="rect">
                      <a:avLst/>
                    </a:prstGeom>
                    <a:noFill/>
                    <a:ln w="9525">
                      <a:noFill/>
                      <a:miter lim="800000"/>
                      <a:headEnd/>
                      <a:tailEnd/>
                    </a:ln>
                  </pic:spPr>
                </pic:pic>
              </a:graphicData>
            </a:graphic>
          </wp:anchor>
        </w:drawing>
      </w:r>
      <w:r>
        <w:rPr>
          <w:b/>
          <w:bCs/>
          <w:sz w:val="32"/>
          <w:szCs w:val="32"/>
        </w:rPr>
        <w:drawing>
          <wp:anchor distT="0" distB="0" distL="114300" distR="114300" simplePos="0" relativeHeight="251661312" behindDoc="0" locked="0" layoutInCell="1" allowOverlap="1">
            <wp:simplePos x="0" y="0"/>
            <wp:positionH relativeFrom="column">
              <wp:posOffset>914400</wp:posOffset>
            </wp:positionH>
            <wp:positionV relativeFrom="paragraph">
              <wp:posOffset>0</wp:posOffset>
            </wp:positionV>
            <wp:extent cx="5029200" cy="783590"/>
            <wp:effectExtent l="0" t="0" r="0" b="0"/>
            <wp:wrapNone/>
            <wp:docPr id="4" name="图片 4" descr="福建省水产饲料研究会 - 刘中一题—红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福建省水产饲料研究会 - 刘中一题—红色"/>
                    <pic:cNvPicPr>
                      <a:picLocks noChangeAspect="1" noChangeArrowheads="1"/>
                    </pic:cNvPicPr>
                  </pic:nvPicPr>
                  <pic:blipFill>
                    <a:blip r:embed="rId7" cstate="print"/>
                    <a:srcRect/>
                    <a:stretch>
                      <a:fillRect/>
                    </a:stretch>
                  </pic:blipFill>
                  <pic:spPr>
                    <a:xfrm>
                      <a:off x="0" y="0"/>
                      <a:ext cx="5029200" cy="783590"/>
                    </a:xfrm>
                    <a:prstGeom prst="rect">
                      <a:avLst/>
                    </a:prstGeom>
                    <a:noFill/>
                    <a:ln w="9525">
                      <a:noFill/>
                      <a:miter lim="800000"/>
                      <a:headEnd/>
                      <a:tailEnd/>
                    </a:ln>
                  </pic:spPr>
                </pic:pic>
              </a:graphicData>
            </a:graphic>
          </wp:anchor>
        </w:drawing>
      </w:r>
      <w:r>
        <w:rPr>
          <w:b/>
          <w:bCs/>
          <w:sz w:val="32"/>
          <w:szCs w:val="32"/>
        </w:rPr>
        <w:t>B-2088184-5       第</w:t>
      </w:r>
      <w:r>
        <w:rPr>
          <w:rFonts w:hint="eastAsia"/>
          <w:b/>
          <w:bCs/>
          <w:sz w:val="32"/>
          <w:szCs w:val="32"/>
        </w:rPr>
        <w:t>15</w:t>
      </w:r>
      <w:r>
        <w:rPr>
          <w:b/>
          <w:bCs/>
          <w:sz w:val="32"/>
          <w:szCs w:val="32"/>
        </w:rPr>
        <w:t>期   (总第</w:t>
      </w:r>
      <w:r>
        <w:rPr>
          <w:rFonts w:hint="eastAsia"/>
          <w:b/>
          <w:bCs/>
          <w:sz w:val="32"/>
          <w:szCs w:val="32"/>
        </w:rPr>
        <w:t>437</w:t>
      </w:r>
      <w:r>
        <w:rPr>
          <w:b/>
          <w:bCs/>
          <w:sz w:val="32"/>
          <w:szCs w:val="32"/>
        </w:rPr>
        <w:t>期)     202</w:t>
      </w:r>
      <w:r>
        <w:rPr>
          <w:rFonts w:hint="eastAsia"/>
          <w:b/>
          <w:bCs/>
          <w:sz w:val="32"/>
          <w:szCs w:val="32"/>
        </w:rPr>
        <w:t>5</w:t>
      </w:r>
      <w:r>
        <w:rPr>
          <w:b/>
          <w:bCs/>
          <w:sz w:val="32"/>
          <w:szCs w:val="32"/>
        </w:rPr>
        <w:t>年</w:t>
      </w:r>
      <w:r>
        <w:rPr>
          <w:rFonts w:hint="eastAsia"/>
          <w:b/>
          <w:bCs/>
          <w:sz w:val="32"/>
          <w:szCs w:val="32"/>
        </w:rPr>
        <w:t>8</w:t>
      </w:r>
      <w:r>
        <w:rPr>
          <w:b/>
          <w:bCs/>
          <w:sz w:val="32"/>
          <w:szCs w:val="32"/>
        </w:rPr>
        <w:t>月</w:t>
      </w:r>
      <w:r>
        <w:rPr>
          <w:rFonts w:hint="eastAsia"/>
          <w:b/>
          <w:bCs/>
          <w:sz w:val="32"/>
          <w:szCs w:val="32"/>
        </w:rPr>
        <w:t>15</w:t>
      </w:r>
      <w:r>
        <w:rPr>
          <w:b/>
          <w:bCs/>
          <w:sz w:val="32"/>
          <w:szCs w:val="32"/>
        </w:rPr>
        <w:t>日</w:t>
      </w:r>
    </w:p>
    <w:sdt>
      <w:sdtPr>
        <w:rPr>
          <w:rFonts w:ascii="Times New Roman" w:hAnsi="Times New Roman" w:eastAsia="宋体" w:cs="Times New Roman"/>
          <w:color w:val="auto"/>
          <w:kern w:val="2"/>
          <w:sz w:val="21"/>
          <w:szCs w:val="24"/>
          <w:lang w:val="zh-CN"/>
        </w:rPr>
        <w:id w:val="-1033653627"/>
        <w:docPartObj>
          <w:docPartGallery w:val="Table of Contents"/>
          <w:docPartUnique/>
        </w:docPartObj>
      </w:sdtPr>
      <w:sdtEndPr>
        <w:rPr>
          <w:rFonts w:ascii="Times New Roman" w:hAnsi="Times New Roman" w:eastAsia="宋体" w:cs="Times New Roman"/>
          <w:color w:val="auto"/>
          <w:kern w:val="2"/>
          <w:sz w:val="21"/>
          <w:szCs w:val="24"/>
          <w:lang w:val="zh-CN"/>
        </w:rPr>
      </w:sdtEndPr>
      <w:sdtContent>
        <w:p>
          <w:pPr>
            <w:pStyle w:val="202"/>
            <w:jc w:val="center"/>
            <w:rPr>
              <w:rFonts w:hint="eastAsia" w:ascii="黑体" w:hAnsi="黑体" w:eastAsia="黑体"/>
              <w:b/>
              <w:bCs/>
              <w:color w:val="auto"/>
            </w:rPr>
          </w:pPr>
          <w:r>
            <w:rPr>
              <w:rFonts w:ascii="黑体" w:hAnsi="黑体" w:eastAsia="黑体"/>
              <w:b/>
              <w:bCs/>
              <w:color w:val="auto"/>
              <w:lang w:val="zh-CN"/>
            </w:rPr>
            <w:t>目录</w:t>
          </w:r>
        </w:p>
        <w:p>
          <w:pPr>
            <w:pStyle w:val="14"/>
            <w:rPr>
              <w:rFonts w:asciiTheme="minorHAnsi" w:hAnsiTheme="minorHAnsi" w:eastAsiaTheme="minorEastAsia" w:cstheme="minorBidi"/>
              <w:sz w:val="22"/>
              <w14:ligatures w14:val="standardContextual"/>
            </w:rPr>
          </w:pPr>
          <w:bookmarkStart w:id="1" w:name="OLE_LINK1"/>
          <w:r>
            <w:fldChar w:fldCharType="begin"/>
          </w:r>
          <w:r>
            <w:instrText xml:space="preserve"> TOC \o "1-3" \h \z \u </w:instrText>
          </w:r>
          <w:r>
            <w:fldChar w:fldCharType="separate"/>
          </w:r>
          <w:r>
            <w:fldChar w:fldCharType="begin"/>
          </w:r>
          <w:r>
            <w:instrText xml:space="preserve"> HYPERLINK \l "_Toc206748050" </w:instrText>
          </w:r>
          <w:r>
            <w:fldChar w:fldCharType="separate"/>
          </w:r>
          <w:r>
            <w:rPr>
              <w:rStyle w:val="24"/>
              <w:rFonts w:hint="eastAsia"/>
            </w:rPr>
            <w:t>重要资讯</w:t>
          </w:r>
          <w:r>
            <w:rPr>
              <w:rFonts w:hint="eastAsia"/>
            </w:rPr>
            <w:tab/>
          </w:r>
          <w:r>
            <w:rPr>
              <w:rFonts w:hint="eastAsia"/>
            </w:rPr>
            <w:fldChar w:fldCharType="begin"/>
          </w:r>
          <w:r>
            <w:rPr>
              <w:rFonts w:hint="eastAsia"/>
            </w:rPr>
            <w:instrText xml:space="preserve"> </w:instrText>
          </w:r>
          <w:r>
            <w:instrText xml:space="preserve">PAGEREF _Toc206748050 \h</w:instrText>
          </w:r>
          <w:r>
            <w:rPr>
              <w:rFonts w:hint="eastAsia"/>
            </w:rPr>
            <w:instrText xml:space="preserve"> </w:instrText>
          </w:r>
          <w:r>
            <w:rPr>
              <w:rFonts w:hint="eastAsia"/>
            </w:rPr>
            <w:fldChar w:fldCharType="separate"/>
          </w:r>
          <w:r>
            <w:t>1</w:t>
          </w:r>
          <w:r>
            <w:rPr>
              <w:rFonts w:hint="eastAsia"/>
            </w:rPr>
            <w:fldChar w:fldCharType="end"/>
          </w:r>
          <w:r>
            <w:rPr>
              <w:rFonts w:hint="eastAsia"/>
            </w:rPr>
            <w:fldChar w:fldCharType="end"/>
          </w:r>
        </w:p>
        <w:p>
          <w:pPr>
            <w:pStyle w:val="15"/>
            <w:tabs>
              <w:tab w:val="right" w:leader="dot" w:pos="9402"/>
            </w:tabs>
            <w:rPr>
              <w:rFonts w:asciiTheme="minorHAnsi" w:hAnsiTheme="minorHAnsi" w:eastAsiaTheme="minorEastAsia" w:cstheme="minorBidi"/>
              <w:sz w:val="22"/>
              <w14:ligatures w14:val="standardContextual"/>
            </w:rPr>
          </w:pPr>
          <w:r>
            <w:fldChar w:fldCharType="begin"/>
          </w:r>
          <w:r>
            <w:instrText xml:space="preserve"> HYPERLINK \l "_Toc206748051" </w:instrText>
          </w:r>
          <w:r>
            <w:fldChar w:fldCharType="separate"/>
          </w:r>
          <w:r>
            <w:rPr>
              <w:rStyle w:val="24"/>
              <w:rFonts w:hint="eastAsia"/>
            </w:rPr>
            <w:t>农业农村部渔业渔政管理局发布高温期间水产养殖</w:t>
          </w:r>
          <w:r>
            <w:rPr>
              <w:rFonts w:hint="eastAsia"/>
            </w:rPr>
            <w:tab/>
          </w:r>
          <w:r>
            <w:rPr>
              <w:rFonts w:hint="eastAsia"/>
            </w:rPr>
            <w:fldChar w:fldCharType="begin"/>
          </w:r>
          <w:r>
            <w:rPr>
              <w:rFonts w:hint="eastAsia"/>
            </w:rPr>
            <w:instrText xml:space="preserve"> </w:instrText>
          </w:r>
          <w:r>
            <w:instrText xml:space="preserve">PAGEREF _Toc206748051 \h</w:instrText>
          </w:r>
          <w:r>
            <w:rPr>
              <w:rFonts w:hint="eastAsia"/>
            </w:rPr>
            <w:instrText xml:space="preserve"> </w:instrText>
          </w:r>
          <w:r>
            <w:rPr>
              <w:rFonts w:hint="eastAsia"/>
            </w:rPr>
            <w:fldChar w:fldCharType="separate"/>
          </w:r>
          <w:r>
            <w:rPr>
              <w:rFonts w:hint="eastAsia"/>
            </w:rPr>
            <w:t>1</w:t>
          </w:r>
          <w:r>
            <w:rPr>
              <w:rFonts w:hint="eastAsia"/>
            </w:rPr>
            <w:fldChar w:fldCharType="end"/>
          </w:r>
          <w:r>
            <w:rPr>
              <w:rFonts w:hint="eastAsia"/>
            </w:rPr>
            <w:fldChar w:fldCharType="end"/>
          </w:r>
        </w:p>
        <w:p>
          <w:pPr>
            <w:pStyle w:val="15"/>
            <w:tabs>
              <w:tab w:val="right" w:leader="dot" w:pos="9402"/>
            </w:tabs>
            <w:rPr>
              <w:rFonts w:asciiTheme="minorHAnsi" w:hAnsiTheme="minorHAnsi" w:eastAsiaTheme="minorEastAsia" w:cstheme="minorBidi"/>
              <w:sz w:val="22"/>
              <w14:ligatures w14:val="standardContextual"/>
            </w:rPr>
          </w:pPr>
          <w:r>
            <w:fldChar w:fldCharType="begin"/>
          </w:r>
          <w:r>
            <w:instrText xml:space="preserve"> HYPERLINK \l "_Toc206748052" </w:instrText>
          </w:r>
          <w:r>
            <w:fldChar w:fldCharType="separate"/>
          </w:r>
          <w:r>
            <w:rPr>
              <w:rStyle w:val="24"/>
              <w:rFonts w:hint="eastAsia"/>
            </w:rPr>
            <w:t>生产管理技术要点</w:t>
          </w:r>
          <w:r>
            <w:rPr>
              <w:rFonts w:hint="eastAsia"/>
            </w:rPr>
            <w:tab/>
          </w:r>
          <w:r>
            <w:rPr>
              <w:rFonts w:hint="eastAsia"/>
            </w:rPr>
            <w:fldChar w:fldCharType="begin"/>
          </w:r>
          <w:r>
            <w:rPr>
              <w:rFonts w:hint="eastAsia"/>
            </w:rPr>
            <w:instrText xml:space="preserve"> </w:instrText>
          </w:r>
          <w:r>
            <w:instrText xml:space="preserve">PAGEREF _Toc206748052 \h</w:instrText>
          </w:r>
          <w:r>
            <w:rPr>
              <w:rFonts w:hint="eastAsia"/>
            </w:rPr>
            <w:instrText xml:space="preserve"> </w:instrText>
          </w:r>
          <w:r>
            <w:rPr>
              <w:rFonts w:hint="eastAsia"/>
            </w:rPr>
            <w:fldChar w:fldCharType="separate"/>
          </w:r>
          <w:r>
            <w:rPr>
              <w:rFonts w:hint="eastAsia"/>
            </w:rPr>
            <w:t>1</w:t>
          </w:r>
          <w:r>
            <w:rPr>
              <w:rFonts w:hint="eastAsia"/>
            </w:rPr>
            <w:fldChar w:fldCharType="end"/>
          </w:r>
          <w:r>
            <w:rPr>
              <w:rFonts w:hint="eastAsia"/>
            </w:rPr>
            <w:fldChar w:fldCharType="end"/>
          </w:r>
        </w:p>
        <w:p>
          <w:pPr>
            <w:pStyle w:val="15"/>
            <w:tabs>
              <w:tab w:val="right" w:leader="dot" w:pos="9402"/>
            </w:tabs>
            <w:rPr>
              <w:rFonts w:asciiTheme="minorHAnsi" w:hAnsiTheme="minorHAnsi" w:eastAsiaTheme="minorEastAsia" w:cstheme="minorBidi"/>
              <w:sz w:val="22"/>
              <w14:ligatures w14:val="standardContextual"/>
            </w:rPr>
          </w:pPr>
          <w:r>
            <w:fldChar w:fldCharType="begin"/>
          </w:r>
          <w:r>
            <w:instrText xml:space="preserve"> HYPERLINK \l "_Toc206748053" </w:instrText>
          </w:r>
          <w:r>
            <w:fldChar w:fldCharType="separate"/>
          </w:r>
          <w:r>
            <w:rPr>
              <w:rStyle w:val="24"/>
              <w:rFonts w:hint="eastAsia"/>
            </w:rPr>
            <w:t>2024年我国渔业生态环境状况总体保持稳定</w:t>
          </w:r>
          <w:r>
            <w:rPr>
              <w:rFonts w:hint="eastAsia"/>
            </w:rPr>
            <w:tab/>
          </w:r>
          <w:r>
            <w:rPr>
              <w:rFonts w:hint="eastAsia"/>
            </w:rPr>
            <w:fldChar w:fldCharType="begin"/>
          </w:r>
          <w:r>
            <w:rPr>
              <w:rFonts w:hint="eastAsia"/>
            </w:rPr>
            <w:instrText xml:space="preserve"> </w:instrText>
          </w:r>
          <w:r>
            <w:instrText xml:space="preserve">PAGEREF _Toc206748053 \h</w:instrText>
          </w:r>
          <w:r>
            <w:rPr>
              <w:rFonts w:hint="eastAsia"/>
            </w:rPr>
            <w:instrText xml:space="preserve"> </w:instrText>
          </w:r>
          <w:r>
            <w:rPr>
              <w:rFonts w:hint="eastAsia"/>
            </w:rPr>
            <w:fldChar w:fldCharType="separate"/>
          </w:r>
          <w:r>
            <w:rPr>
              <w:rFonts w:hint="eastAsia"/>
            </w:rPr>
            <w:t>4</w:t>
          </w:r>
          <w:r>
            <w:rPr>
              <w:rFonts w:hint="eastAsia"/>
            </w:rPr>
            <w:fldChar w:fldCharType="end"/>
          </w:r>
          <w:r>
            <w:rPr>
              <w:rFonts w:hint="eastAsia"/>
            </w:rPr>
            <w:fldChar w:fldCharType="end"/>
          </w:r>
        </w:p>
        <w:p>
          <w:pPr>
            <w:pStyle w:val="15"/>
            <w:tabs>
              <w:tab w:val="right" w:leader="dot" w:pos="9402"/>
            </w:tabs>
            <w:rPr>
              <w:rFonts w:asciiTheme="minorHAnsi" w:hAnsiTheme="minorHAnsi" w:eastAsiaTheme="minorEastAsia" w:cstheme="minorBidi"/>
              <w:sz w:val="22"/>
              <w14:ligatures w14:val="standardContextual"/>
            </w:rPr>
          </w:pPr>
          <w:r>
            <w:fldChar w:fldCharType="begin"/>
          </w:r>
          <w:r>
            <w:instrText xml:space="preserve"> HYPERLINK \l "_Toc206748054" </w:instrText>
          </w:r>
          <w:r>
            <w:fldChar w:fldCharType="separate"/>
          </w:r>
          <w:r>
            <w:rPr>
              <w:rStyle w:val="24"/>
              <w:rFonts w:hint="eastAsia"/>
            </w:rPr>
            <w:t>农业农村部、生态环境部联合发布《中国渔业生态环境状况公报（2024）》</w:t>
          </w:r>
          <w:r>
            <w:rPr>
              <w:rFonts w:hint="eastAsia"/>
            </w:rPr>
            <w:tab/>
          </w:r>
          <w:r>
            <w:rPr>
              <w:rFonts w:hint="eastAsia"/>
            </w:rPr>
            <w:fldChar w:fldCharType="begin"/>
          </w:r>
          <w:r>
            <w:rPr>
              <w:rFonts w:hint="eastAsia"/>
            </w:rPr>
            <w:instrText xml:space="preserve"> </w:instrText>
          </w:r>
          <w:r>
            <w:instrText xml:space="preserve">PAGEREF _Toc206748054 \h</w:instrText>
          </w:r>
          <w:r>
            <w:rPr>
              <w:rFonts w:hint="eastAsia"/>
            </w:rPr>
            <w:instrText xml:space="preserve"> </w:instrText>
          </w:r>
          <w:r>
            <w:rPr>
              <w:rFonts w:hint="eastAsia"/>
            </w:rPr>
            <w:fldChar w:fldCharType="separate"/>
          </w:r>
          <w:r>
            <w:rPr>
              <w:rFonts w:hint="eastAsia"/>
            </w:rPr>
            <w:t>5</w:t>
          </w:r>
          <w:r>
            <w:rPr>
              <w:rFonts w:hint="eastAsia"/>
            </w:rPr>
            <w:fldChar w:fldCharType="end"/>
          </w:r>
          <w:r>
            <w:rPr>
              <w:rFonts w:hint="eastAsia"/>
            </w:rPr>
            <w:fldChar w:fldCharType="end"/>
          </w:r>
        </w:p>
        <w:p>
          <w:pPr>
            <w:pStyle w:val="15"/>
            <w:tabs>
              <w:tab w:val="right" w:leader="dot" w:pos="9402"/>
            </w:tabs>
            <w:rPr>
              <w:rFonts w:asciiTheme="minorHAnsi" w:hAnsiTheme="minorHAnsi" w:eastAsiaTheme="minorEastAsia" w:cstheme="minorBidi"/>
              <w:sz w:val="22"/>
              <w14:ligatures w14:val="standardContextual"/>
            </w:rPr>
          </w:pPr>
          <w:r>
            <w:fldChar w:fldCharType="begin"/>
          </w:r>
          <w:r>
            <w:instrText xml:space="preserve"> HYPERLINK \l "_Toc206748055" </w:instrText>
          </w:r>
          <w:r>
            <w:fldChar w:fldCharType="separate"/>
          </w:r>
          <w:r>
            <w:rPr>
              <w:rStyle w:val="24"/>
              <w:rFonts w:hint="eastAsia"/>
            </w:rPr>
            <w:t>2025年度水产品中药物残留快速检测产品筛选验证结果公布</w:t>
          </w:r>
          <w:r>
            <w:rPr>
              <w:rFonts w:hint="eastAsia"/>
            </w:rPr>
            <w:tab/>
          </w:r>
          <w:r>
            <w:rPr>
              <w:rFonts w:hint="eastAsia"/>
            </w:rPr>
            <w:fldChar w:fldCharType="begin"/>
          </w:r>
          <w:r>
            <w:rPr>
              <w:rFonts w:hint="eastAsia"/>
            </w:rPr>
            <w:instrText xml:space="preserve"> </w:instrText>
          </w:r>
          <w:r>
            <w:instrText xml:space="preserve">PAGEREF _Toc206748055 \h</w:instrText>
          </w:r>
          <w:r>
            <w:rPr>
              <w:rFonts w:hint="eastAsia"/>
            </w:rPr>
            <w:instrText xml:space="preserve"> </w:instrText>
          </w:r>
          <w:r>
            <w:rPr>
              <w:rFonts w:hint="eastAsia"/>
            </w:rPr>
            <w:fldChar w:fldCharType="separate"/>
          </w:r>
          <w:r>
            <w:rPr>
              <w:rFonts w:hint="eastAsia"/>
            </w:rPr>
            <w:t>6</w:t>
          </w:r>
          <w:r>
            <w:rPr>
              <w:rFonts w:hint="eastAsia"/>
            </w:rPr>
            <w:fldChar w:fldCharType="end"/>
          </w:r>
          <w:r>
            <w:rPr>
              <w:rFonts w:hint="eastAsia"/>
            </w:rPr>
            <w:fldChar w:fldCharType="end"/>
          </w:r>
        </w:p>
        <w:p>
          <w:pPr>
            <w:pStyle w:val="15"/>
            <w:tabs>
              <w:tab w:val="right" w:leader="dot" w:pos="9402"/>
            </w:tabs>
            <w:rPr>
              <w:rFonts w:asciiTheme="minorHAnsi" w:hAnsiTheme="minorHAnsi" w:eastAsiaTheme="minorEastAsia" w:cstheme="minorBidi"/>
              <w:sz w:val="22"/>
              <w14:ligatures w14:val="standardContextual"/>
            </w:rPr>
          </w:pPr>
          <w:r>
            <w:fldChar w:fldCharType="begin"/>
          </w:r>
          <w:r>
            <w:instrText xml:space="preserve"> HYPERLINK \l "_Toc206748056" </w:instrText>
          </w:r>
          <w:r>
            <w:fldChar w:fldCharType="separate"/>
          </w:r>
          <w:r>
            <w:rPr>
              <w:rStyle w:val="24"/>
              <w:rFonts w:hint="eastAsia"/>
            </w:rPr>
            <w:t>农业农村部渔业安全生产第三督查组赴福建开展督查</w:t>
          </w:r>
          <w:r>
            <w:rPr>
              <w:rFonts w:hint="eastAsia"/>
            </w:rPr>
            <w:tab/>
          </w:r>
          <w:r>
            <w:rPr>
              <w:rFonts w:hint="eastAsia"/>
            </w:rPr>
            <w:fldChar w:fldCharType="begin"/>
          </w:r>
          <w:r>
            <w:rPr>
              <w:rFonts w:hint="eastAsia"/>
            </w:rPr>
            <w:instrText xml:space="preserve"> </w:instrText>
          </w:r>
          <w:r>
            <w:instrText xml:space="preserve">PAGEREF _Toc206748056 \h</w:instrText>
          </w:r>
          <w:r>
            <w:rPr>
              <w:rFonts w:hint="eastAsia"/>
            </w:rPr>
            <w:instrText xml:space="preserve"> </w:instrText>
          </w:r>
          <w:r>
            <w:rPr>
              <w:rFonts w:hint="eastAsia"/>
            </w:rPr>
            <w:fldChar w:fldCharType="separate"/>
          </w:r>
          <w:r>
            <w:rPr>
              <w:rFonts w:hint="eastAsia"/>
            </w:rPr>
            <w:t>6</w:t>
          </w:r>
          <w:r>
            <w:rPr>
              <w:rFonts w:hint="eastAsia"/>
            </w:rPr>
            <w:fldChar w:fldCharType="end"/>
          </w:r>
          <w:r>
            <w:rPr>
              <w:rFonts w:hint="eastAsia"/>
            </w:rPr>
            <w:fldChar w:fldCharType="end"/>
          </w:r>
        </w:p>
        <w:p>
          <w:pPr>
            <w:pStyle w:val="15"/>
            <w:tabs>
              <w:tab w:val="right" w:leader="dot" w:pos="9402"/>
            </w:tabs>
            <w:rPr>
              <w:rFonts w:asciiTheme="minorHAnsi" w:hAnsiTheme="minorHAnsi" w:eastAsiaTheme="minorEastAsia" w:cstheme="minorBidi"/>
              <w:sz w:val="22"/>
              <w14:ligatures w14:val="standardContextual"/>
            </w:rPr>
          </w:pPr>
          <w:r>
            <w:fldChar w:fldCharType="begin"/>
          </w:r>
          <w:r>
            <w:instrText xml:space="preserve"> HYPERLINK \l "_Toc206748057" </w:instrText>
          </w:r>
          <w:r>
            <w:fldChar w:fldCharType="separate"/>
          </w:r>
          <w:r>
            <w:rPr>
              <w:rStyle w:val="24"/>
              <w:rFonts w:hint="eastAsia"/>
            </w:rPr>
            <w:t>农业农村部渔业渔政管理局视频调度开渔前渔业安全生产工作情况</w:t>
          </w:r>
          <w:r>
            <w:rPr>
              <w:rFonts w:hint="eastAsia"/>
            </w:rPr>
            <w:tab/>
          </w:r>
          <w:r>
            <w:rPr>
              <w:rFonts w:hint="eastAsia"/>
            </w:rPr>
            <w:fldChar w:fldCharType="begin"/>
          </w:r>
          <w:r>
            <w:rPr>
              <w:rFonts w:hint="eastAsia"/>
            </w:rPr>
            <w:instrText xml:space="preserve"> </w:instrText>
          </w:r>
          <w:r>
            <w:instrText xml:space="preserve">PAGEREF _Toc206748057 \h</w:instrText>
          </w:r>
          <w:r>
            <w:rPr>
              <w:rFonts w:hint="eastAsia"/>
            </w:rPr>
            <w:instrText xml:space="preserve"> </w:instrText>
          </w:r>
          <w:r>
            <w:rPr>
              <w:rFonts w:hint="eastAsia"/>
            </w:rPr>
            <w:fldChar w:fldCharType="separate"/>
          </w:r>
          <w:r>
            <w:rPr>
              <w:rFonts w:hint="eastAsia"/>
            </w:rPr>
            <w:t>7</w:t>
          </w:r>
          <w:r>
            <w:rPr>
              <w:rFonts w:hint="eastAsia"/>
            </w:rPr>
            <w:fldChar w:fldCharType="end"/>
          </w:r>
          <w:r>
            <w:rPr>
              <w:rFonts w:hint="eastAsia"/>
            </w:rPr>
            <w:fldChar w:fldCharType="end"/>
          </w:r>
        </w:p>
        <w:p>
          <w:pPr>
            <w:pStyle w:val="15"/>
            <w:tabs>
              <w:tab w:val="right" w:leader="dot" w:pos="9402"/>
            </w:tabs>
            <w:rPr>
              <w:rFonts w:asciiTheme="minorHAnsi" w:hAnsiTheme="minorHAnsi" w:eastAsiaTheme="minorEastAsia" w:cstheme="minorBidi"/>
              <w:sz w:val="22"/>
              <w14:ligatures w14:val="standardContextual"/>
            </w:rPr>
          </w:pPr>
          <w:r>
            <w:fldChar w:fldCharType="begin"/>
          </w:r>
          <w:r>
            <w:instrText xml:space="preserve"> HYPERLINK \l "_Toc206748058" </w:instrText>
          </w:r>
          <w:r>
            <w:fldChar w:fldCharType="separate"/>
          </w:r>
          <w:r>
            <w:rPr>
              <w:rStyle w:val="24"/>
              <w:rFonts w:hint="eastAsia"/>
            </w:rPr>
            <w:t>2022—2024年度全国农牧渔业丰收奖开始申报</w:t>
          </w:r>
          <w:r>
            <w:rPr>
              <w:rFonts w:hint="eastAsia"/>
            </w:rPr>
            <w:tab/>
          </w:r>
          <w:r>
            <w:rPr>
              <w:rFonts w:hint="eastAsia"/>
            </w:rPr>
            <w:fldChar w:fldCharType="begin"/>
          </w:r>
          <w:r>
            <w:rPr>
              <w:rFonts w:hint="eastAsia"/>
            </w:rPr>
            <w:instrText xml:space="preserve"> </w:instrText>
          </w:r>
          <w:r>
            <w:instrText xml:space="preserve">PAGEREF _Toc206748058 \h</w:instrText>
          </w:r>
          <w:r>
            <w:rPr>
              <w:rFonts w:hint="eastAsia"/>
            </w:rPr>
            <w:instrText xml:space="preserve"> </w:instrText>
          </w:r>
          <w:r>
            <w:rPr>
              <w:rFonts w:hint="eastAsia"/>
            </w:rPr>
            <w:fldChar w:fldCharType="separate"/>
          </w:r>
          <w:r>
            <w:rPr>
              <w:rFonts w:hint="eastAsia"/>
            </w:rPr>
            <w:t>7</w:t>
          </w:r>
          <w:r>
            <w:rPr>
              <w:rFonts w:hint="eastAsia"/>
            </w:rPr>
            <w:fldChar w:fldCharType="end"/>
          </w:r>
          <w:r>
            <w:rPr>
              <w:rFonts w:hint="eastAsia"/>
            </w:rPr>
            <w:fldChar w:fldCharType="end"/>
          </w:r>
        </w:p>
        <w:p>
          <w:pPr>
            <w:pStyle w:val="14"/>
            <w:rPr>
              <w:rFonts w:asciiTheme="minorHAnsi" w:hAnsiTheme="minorHAnsi" w:eastAsiaTheme="minorEastAsia" w:cstheme="minorBidi"/>
              <w:sz w:val="22"/>
              <w14:ligatures w14:val="standardContextual"/>
            </w:rPr>
          </w:pPr>
          <w:r>
            <w:fldChar w:fldCharType="begin"/>
          </w:r>
          <w:r>
            <w:instrText xml:space="preserve"> HYPERLINK \l "_Toc206748059" </w:instrText>
          </w:r>
          <w:r>
            <w:fldChar w:fldCharType="separate"/>
          </w:r>
          <w:r>
            <w:rPr>
              <w:rStyle w:val="24"/>
              <w:rFonts w:hint="eastAsia"/>
            </w:rPr>
            <w:t>行业资讯</w:t>
          </w:r>
          <w:r>
            <w:rPr>
              <w:rFonts w:hint="eastAsia"/>
            </w:rPr>
            <w:tab/>
          </w:r>
          <w:r>
            <w:rPr>
              <w:rFonts w:hint="eastAsia"/>
            </w:rPr>
            <w:fldChar w:fldCharType="begin"/>
          </w:r>
          <w:r>
            <w:rPr>
              <w:rFonts w:hint="eastAsia"/>
            </w:rPr>
            <w:instrText xml:space="preserve"> </w:instrText>
          </w:r>
          <w:r>
            <w:instrText xml:space="preserve">PAGEREF _Toc206748059 \h</w:instrText>
          </w:r>
          <w:r>
            <w:rPr>
              <w:rFonts w:hint="eastAsia"/>
            </w:rPr>
            <w:instrText xml:space="preserve"> </w:instrText>
          </w:r>
          <w:r>
            <w:rPr>
              <w:rFonts w:hint="eastAsia"/>
            </w:rPr>
            <w:fldChar w:fldCharType="separate"/>
          </w:r>
          <w:r>
            <w:t>13</w:t>
          </w:r>
          <w:r>
            <w:rPr>
              <w:rFonts w:hint="eastAsia"/>
            </w:rPr>
            <w:fldChar w:fldCharType="end"/>
          </w:r>
          <w:r>
            <w:rPr>
              <w:rFonts w:hint="eastAsia"/>
            </w:rPr>
            <w:fldChar w:fldCharType="end"/>
          </w:r>
        </w:p>
        <w:p>
          <w:pPr>
            <w:pStyle w:val="15"/>
            <w:tabs>
              <w:tab w:val="right" w:leader="dot" w:pos="9402"/>
            </w:tabs>
            <w:rPr>
              <w:rFonts w:asciiTheme="minorHAnsi" w:hAnsiTheme="minorHAnsi" w:eastAsiaTheme="minorEastAsia" w:cstheme="minorBidi"/>
              <w:sz w:val="22"/>
              <w14:ligatures w14:val="standardContextual"/>
            </w:rPr>
          </w:pPr>
          <w:r>
            <w:fldChar w:fldCharType="begin"/>
          </w:r>
          <w:r>
            <w:instrText xml:space="preserve"> HYPERLINK \l "_Toc206748060" </w:instrText>
          </w:r>
          <w:r>
            <w:fldChar w:fldCharType="separate"/>
          </w:r>
          <w:r>
            <w:rPr>
              <w:rStyle w:val="24"/>
              <w:rFonts w:hint="eastAsia"/>
            </w:rPr>
            <w:t>福建首次发布海洋生态预警监测公报</w:t>
          </w:r>
          <w:r>
            <w:rPr>
              <w:rFonts w:hint="eastAsia"/>
            </w:rPr>
            <w:tab/>
          </w:r>
          <w:r>
            <w:rPr>
              <w:rFonts w:hint="eastAsia"/>
            </w:rPr>
            <w:fldChar w:fldCharType="begin"/>
          </w:r>
          <w:r>
            <w:rPr>
              <w:rFonts w:hint="eastAsia"/>
            </w:rPr>
            <w:instrText xml:space="preserve"> </w:instrText>
          </w:r>
          <w:r>
            <w:instrText xml:space="preserve">PAGEREF _Toc206748060 \h</w:instrText>
          </w:r>
          <w:r>
            <w:rPr>
              <w:rFonts w:hint="eastAsia"/>
            </w:rPr>
            <w:instrText xml:space="preserve"> </w:instrText>
          </w:r>
          <w:r>
            <w:rPr>
              <w:rFonts w:hint="eastAsia"/>
            </w:rPr>
            <w:fldChar w:fldCharType="separate"/>
          </w:r>
          <w:r>
            <w:rPr>
              <w:rFonts w:hint="eastAsia"/>
            </w:rPr>
            <w:t>13</w:t>
          </w:r>
          <w:r>
            <w:rPr>
              <w:rFonts w:hint="eastAsia"/>
            </w:rPr>
            <w:fldChar w:fldCharType="end"/>
          </w:r>
          <w:r>
            <w:rPr>
              <w:rFonts w:hint="eastAsia"/>
            </w:rPr>
            <w:fldChar w:fldCharType="end"/>
          </w:r>
        </w:p>
        <w:p>
          <w:pPr>
            <w:pStyle w:val="15"/>
            <w:tabs>
              <w:tab w:val="right" w:leader="dot" w:pos="9402"/>
            </w:tabs>
            <w:rPr>
              <w:rFonts w:asciiTheme="minorHAnsi" w:hAnsiTheme="minorHAnsi" w:eastAsiaTheme="minorEastAsia" w:cstheme="minorBidi"/>
              <w:sz w:val="22"/>
              <w14:ligatures w14:val="standardContextual"/>
            </w:rPr>
          </w:pPr>
          <w:r>
            <w:fldChar w:fldCharType="begin"/>
          </w:r>
          <w:r>
            <w:instrText xml:space="preserve"> HYPERLINK \l "_Toc206748061" </w:instrText>
          </w:r>
          <w:r>
            <w:fldChar w:fldCharType="separate"/>
          </w:r>
          <w:r>
            <w:rPr>
              <w:rStyle w:val="24"/>
              <w:rFonts w:hint="eastAsia"/>
            </w:rPr>
            <w:t>农业农村部渔业渔政管理局发布大黄鱼虹彩病毒病防控措施参考</w:t>
          </w:r>
          <w:r>
            <w:rPr>
              <w:rFonts w:hint="eastAsia"/>
            </w:rPr>
            <w:tab/>
          </w:r>
          <w:r>
            <w:rPr>
              <w:rFonts w:hint="eastAsia"/>
            </w:rPr>
            <w:fldChar w:fldCharType="begin"/>
          </w:r>
          <w:r>
            <w:rPr>
              <w:rFonts w:hint="eastAsia"/>
            </w:rPr>
            <w:instrText xml:space="preserve"> </w:instrText>
          </w:r>
          <w:r>
            <w:instrText xml:space="preserve">PAGEREF _Toc206748061 \h</w:instrText>
          </w:r>
          <w:r>
            <w:rPr>
              <w:rFonts w:hint="eastAsia"/>
            </w:rPr>
            <w:instrText xml:space="preserve"> </w:instrText>
          </w:r>
          <w:r>
            <w:rPr>
              <w:rFonts w:hint="eastAsia"/>
            </w:rPr>
            <w:fldChar w:fldCharType="separate"/>
          </w:r>
          <w:r>
            <w:rPr>
              <w:rFonts w:hint="eastAsia"/>
            </w:rPr>
            <w:t>14</w:t>
          </w:r>
          <w:r>
            <w:rPr>
              <w:rFonts w:hint="eastAsia"/>
            </w:rPr>
            <w:fldChar w:fldCharType="end"/>
          </w:r>
          <w:r>
            <w:rPr>
              <w:rFonts w:hint="eastAsia"/>
            </w:rPr>
            <w:fldChar w:fldCharType="end"/>
          </w:r>
        </w:p>
        <w:p>
          <w:pPr>
            <w:pStyle w:val="15"/>
            <w:tabs>
              <w:tab w:val="right" w:leader="dot" w:pos="9402"/>
            </w:tabs>
            <w:rPr>
              <w:rFonts w:asciiTheme="minorHAnsi" w:hAnsiTheme="minorHAnsi" w:eastAsiaTheme="minorEastAsia" w:cstheme="minorBidi"/>
              <w:sz w:val="22"/>
              <w14:ligatures w14:val="standardContextual"/>
            </w:rPr>
          </w:pPr>
          <w:r>
            <w:fldChar w:fldCharType="begin"/>
          </w:r>
          <w:r>
            <w:instrText xml:space="preserve"> HYPERLINK \l "_Toc206748062" </w:instrText>
          </w:r>
          <w:r>
            <w:fldChar w:fldCharType="separate"/>
          </w:r>
          <w:r>
            <w:rPr>
              <w:rStyle w:val="24"/>
              <w:rFonts w:hint="eastAsia"/>
            </w:rPr>
            <w:t>辽宁大连：好海参的营养密码</w:t>
          </w:r>
          <w:r>
            <w:rPr>
              <w:rFonts w:hint="eastAsia"/>
            </w:rPr>
            <w:tab/>
          </w:r>
          <w:r>
            <w:rPr>
              <w:rFonts w:hint="eastAsia"/>
            </w:rPr>
            <w:fldChar w:fldCharType="begin"/>
          </w:r>
          <w:r>
            <w:rPr>
              <w:rFonts w:hint="eastAsia"/>
            </w:rPr>
            <w:instrText xml:space="preserve"> </w:instrText>
          </w:r>
          <w:r>
            <w:instrText xml:space="preserve">PAGEREF _Toc206748062 \h</w:instrText>
          </w:r>
          <w:r>
            <w:rPr>
              <w:rFonts w:hint="eastAsia"/>
            </w:rPr>
            <w:instrText xml:space="preserve"> </w:instrText>
          </w:r>
          <w:r>
            <w:rPr>
              <w:rFonts w:hint="eastAsia"/>
            </w:rPr>
            <w:fldChar w:fldCharType="separate"/>
          </w:r>
          <w:r>
            <w:rPr>
              <w:rFonts w:hint="eastAsia"/>
            </w:rPr>
            <w:t>15</w:t>
          </w:r>
          <w:r>
            <w:rPr>
              <w:rFonts w:hint="eastAsia"/>
            </w:rPr>
            <w:fldChar w:fldCharType="end"/>
          </w:r>
          <w:r>
            <w:rPr>
              <w:rFonts w:hint="eastAsia"/>
            </w:rPr>
            <w:fldChar w:fldCharType="end"/>
          </w:r>
        </w:p>
        <w:p>
          <w:pPr>
            <w:pStyle w:val="15"/>
            <w:tabs>
              <w:tab w:val="right" w:leader="dot" w:pos="9402"/>
            </w:tabs>
            <w:rPr>
              <w:rFonts w:asciiTheme="minorHAnsi" w:hAnsiTheme="minorHAnsi" w:eastAsiaTheme="minorEastAsia" w:cstheme="minorBidi"/>
              <w:sz w:val="22"/>
              <w14:ligatures w14:val="standardContextual"/>
            </w:rPr>
          </w:pPr>
          <w:r>
            <w:fldChar w:fldCharType="begin"/>
          </w:r>
          <w:r>
            <w:instrText xml:space="preserve"> HYPERLINK \l "_Toc206748063" </w:instrText>
          </w:r>
          <w:r>
            <w:fldChar w:fldCharType="separate"/>
          </w:r>
          <w:r>
            <w:rPr>
              <w:rStyle w:val="24"/>
              <w:rFonts w:hint="eastAsia"/>
            </w:rPr>
            <w:t>货值上亿！海南这尾鱼出息了</w:t>
          </w:r>
          <w:r>
            <w:rPr>
              <w:rFonts w:hint="eastAsia"/>
            </w:rPr>
            <w:tab/>
          </w:r>
          <w:r>
            <w:rPr>
              <w:rFonts w:hint="eastAsia"/>
            </w:rPr>
            <w:fldChar w:fldCharType="begin"/>
          </w:r>
          <w:r>
            <w:rPr>
              <w:rFonts w:hint="eastAsia"/>
            </w:rPr>
            <w:instrText xml:space="preserve"> </w:instrText>
          </w:r>
          <w:r>
            <w:instrText xml:space="preserve">PAGEREF _Toc206748063 \h</w:instrText>
          </w:r>
          <w:r>
            <w:rPr>
              <w:rFonts w:hint="eastAsia"/>
            </w:rPr>
            <w:instrText xml:space="preserve"> </w:instrText>
          </w:r>
          <w:r>
            <w:rPr>
              <w:rFonts w:hint="eastAsia"/>
            </w:rPr>
            <w:fldChar w:fldCharType="separate"/>
          </w:r>
          <w:r>
            <w:rPr>
              <w:rFonts w:hint="eastAsia"/>
            </w:rPr>
            <w:t>16</w:t>
          </w:r>
          <w:r>
            <w:rPr>
              <w:rFonts w:hint="eastAsia"/>
            </w:rPr>
            <w:fldChar w:fldCharType="end"/>
          </w:r>
          <w:r>
            <w:rPr>
              <w:rFonts w:hint="eastAsia"/>
            </w:rPr>
            <w:fldChar w:fldCharType="end"/>
          </w:r>
        </w:p>
        <w:p>
          <w:pPr>
            <w:pStyle w:val="14"/>
            <w:rPr>
              <w:rFonts w:asciiTheme="minorHAnsi" w:hAnsiTheme="minorHAnsi" w:eastAsiaTheme="minorEastAsia" w:cstheme="minorBidi"/>
              <w:sz w:val="22"/>
              <w14:ligatures w14:val="standardContextual"/>
            </w:rPr>
          </w:pPr>
          <w:r>
            <w:fldChar w:fldCharType="begin"/>
          </w:r>
          <w:r>
            <w:instrText xml:space="preserve"> HYPERLINK \l "_Toc206748064" </w:instrText>
          </w:r>
          <w:r>
            <w:fldChar w:fldCharType="separate"/>
          </w:r>
          <w:r>
            <w:rPr>
              <w:rStyle w:val="24"/>
              <w:rFonts w:hint="eastAsia"/>
            </w:rPr>
            <w:t>典型案例</w:t>
          </w:r>
          <w:r>
            <w:rPr>
              <w:rFonts w:hint="eastAsia"/>
            </w:rPr>
            <w:tab/>
          </w:r>
          <w:r>
            <w:rPr>
              <w:rFonts w:hint="eastAsia"/>
            </w:rPr>
            <w:fldChar w:fldCharType="begin"/>
          </w:r>
          <w:r>
            <w:rPr>
              <w:rFonts w:hint="eastAsia"/>
            </w:rPr>
            <w:instrText xml:space="preserve"> </w:instrText>
          </w:r>
          <w:r>
            <w:instrText xml:space="preserve">PAGEREF _Toc206748064 \h</w:instrText>
          </w:r>
          <w:r>
            <w:rPr>
              <w:rFonts w:hint="eastAsia"/>
            </w:rPr>
            <w:instrText xml:space="preserve"> </w:instrText>
          </w:r>
          <w:r>
            <w:rPr>
              <w:rFonts w:hint="eastAsia"/>
            </w:rPr>
            <w:fldChar w:fldCharType="separate"/>
          </w:r>
          <w:r>
            <w:t>17</w:t>
          </w:r>
          <w:r>
            <w:rPr>
              <w:rFonts w:hint="eastAsia"/>
            </w:rPr>
            <w:fldChar w:fldCharType="end"/>
          </w:r>
          <w:r>
            <w:rPr>
              <w:rFonts w:hint="eastAsia"/>
            </w:rPr>
            <w:fldChar w:fldCharType="end"/>
          </w:r>
        </w:p>
        <w:p>
          <w:pPr>
            <w:pStyle w:val="15"/>
            <w:tabs>
              <w:tab w:val="right" w:leader="dot" w:pos="9402"/>
            </w:tabs>
            <w:rPr>
              <w:rFonts w:asciiTheme="minorHAnsi" w:hAnsiTheme="minorHAnsi" w:eastAsiaTheme="minorEastAsia" w:cstheme="minorBidi"/>
              <w:sz w:val="22"/>
              <w14:ligatures w14:val="standardContextual"/>
            </w:rPr>
          </w:pPr>
          <w:r>
            <w:fldChar w:fldCharType="begin"/>
          </w:r>
          <w:r>
            <w:instrText xml:space="preserve"> HYPERLINK \l "_Toc206748065" </w:instrText>
          </w:r>
          <w:r>
            <w:fldChar w:fldCharType="separate"/>
          </w:r>
          <w:r>
            <w:rPr>
              <w:rStyle w:val="24"/>
              <w:rFonts w:hint="eastAsia"/>
            </w:rPr>
            <w:t>稻渔综合种养共富主体典型案例简介</w:t>
          </w:r>
          <w:r>
            <w:rPr>
              <w:rFonts w:hint="eastAsia"/>
            </w:rPr>
            <w:tab/>
          </w:r>
          <w:r>
            <w:rPr>
              <w:rFonts w:hint="eastAsia"/>
            </w:rPr>
            <w:fldChar w:fldCharType="begin"/>
          </w:r>
          <w:r>
            <w:rPr>
              <w:rFonts w:hint="eastAsia"/>
            </w:rPr>
            <w:instrText xml:space="preserve"> </w:instrText>
          </w:r>
          <w:r>
            <w:instrText xml:space="preserve">PAGEREF _Toc206748065 \h</w:instrText>
          </w:r>
          <w:r>
            <w:rPr>
              <w:rFonts w:hint="eastAsia"/>
            </w:rPr>
            <w:instrText xml:space="preserve"> </w:instrText>
          </w:r>
          <w:r>
            <w:rPr>
              <w:rFonts w:hint="eastAsia"/>
            </w:rPr>
            <w:fldChar w:fldCharType="separate"/>
          </w:r>
          <w:r>
            <w:rPr>
              <w:rFonts w:hint="eastAsia"/>
            </w:rPr>
            <w:t>17</w:t>
          </w:r>
          <w:r>
            <w:rPr>
              <w:rFonts w:hint="eastAsia"/>
            </w:rPr>
            <w:fldChar w:fldCharType="end"/>
          </w:r>
          <w:r>
            <w:rPr>
              <w:rFonts w:hint="eastAsia"/>
            </w:rPr>
            <w:fldChar w:fldCharType="end"/>
          </w:r>
        </w:p>
        <w:p>
          <w:pPr>
            <w:pStyle w:val="14"/>
            <w:rPr>
              <w:rFonts w:asciiTheme="minorHAnsi" w:hAnsiTheme="minorHAnsi" w:eastAsiaTheme="minorEastAsia" w:cstheme="minorBidi"/>
              <w:sz w:val="22"/>
              <w14:ligatures w14:val="standardContextual"/>
            </w:rPr>
          </w:pPr>
          <w:r>
            <w:fldChar w:fldCharType="begin"/>
          </w:r>
          <w:r>
            <w:instrText xml:space="preserve"> HYPERLINK \l "_Toc206748066" </w:instrText>
          </w:r>
          <w:r>
            <w:fldChar w:fldCharType="separate"/>
          </w:r>
          <w:r>
            <w:rPr>
              <w:rStyle w:val="24"/>
              <w:rFonts w:hint="eastAsia"/>
            </w:rPr>
            <w:t>本会动态</w:t>
          </w:r>
          <w:r>
            <w:rPr>
              <w:rFonts w:hint="eastAsia"/>
            </w:rPr>
            <w:tab/>
          </w:r>
          <w:r>
            <w:rPr>
              <w:rFonts w:hint="eastAsia"/>
            </w:rPr>
            <w:fldChar w:fldCharType="begin"/>
          </w:r>
          <w:r>
            <w:rPr>
              <w:rFonts w:hint="eastAsia"/>
            </w:rPr>
            <w:instrText xml:space="preserve"> </w:instrText>
          </w:r>
          <w:r>
            <w:instrText xml:space="preserve">PAGEREF _Toc206748066 \h</w:instrText>
          </w:r>
          <w:r>
            <w:rPr>
              <w:rFonts w:hint="eastAsia"/>
            </w:rPr>
            <w:instrText xml:space="preserve"> </w:instrText>
          </w:r>
          <w:r>
            <w:rPr>
              <w:rFonts w:hint="eastAsia"/>
            </w:rPr>
            <w:fldChar w:fldCharType="separate"/>
          </w:r>
          <w:r>
            <w:t>19</w:t>
          </w:r>
          <w:r>
            <w:rPr>
              <w:rFonts w:hint="eastAsia"/>
            </w:rPr>
            <w:fldChar w:fldCharType="end"/>
          </w:r>
          <w:r>
            <w:rPr>
              <w:rFonts w:hint="eastAsia"/>
            </w:rPr>
            <w:fldChar w:fldCharType="end"/>
          </w:r>
        </w:p>
        <w:p>
          <w:pPr>
            <w:pStyle w:val="15"/>
            <w:tabs>
              <w:tab w:val="right" w:leader="dot" w:pos="9402"/>
            </w:tabs>
            <w:rPr>
              <w:rFonts w:asciiTheme="minorHAnsi" w:hAnsiTheme="minorHAnsi" w:eastAsiaTheme="minorEastAsia" w:cstheme="minorBidi"/>
              <w:sz w:val="22"/>
              <w14:ligatures w14:val="standardContextual"/>
            </w:rPr>
          </w:pPr>
          <w:r>
            <w:fldChar w:fldCharType="begin"/>
          </w:r>
          <w:r>
            <w:instrText xml:space="preserve"> HYPERLINK \l "_Toc206748067" </w:instrText>
          </w:r>
          <w:r>
            <w:fldChar w:fldCharType="separate"/>
          </w:r>
          <w:r>
            <w:rPr>
              <w:rStyle w:val="24"/>
              <w:rFonts w:hint="eastAsia"/>
            </w:rPr>
            <w:t>本会赴闽南地区走访部分团体会员单位</w:t>
          </w:r>
          <w:r>
            <w:rPr>
              <w:rFonts w:hint="eastAsia"/>
            </w:rPr>
            <w:tab/>
          </w:r>
          <w:r>
            <w:rPr>
              <w:rFonts w:hint="eastAsia"/>
            </w:rPr>
            <w:fldChar w:fldCharType="begin"/>
          </w:r>
          <w:r>
            <w:rPr>
              <w:rFonts w:hint="eastAsia"/>
            </w:rPr>
            <w:instrText xml:space="preserve"> </w:instrText>
          </w:r>
          <w:r>
            <w:instrText xml:space="preserve">PAGEREF _Toc206748067 \h</w:instrText>
          </w:r>
          <w:r>
            <w:rPr>
              <w:rFonts w:hint="eastAsia"/>
            </w:rPr>
            <w:instrText xml:space="preserve"> </w:instrText>
          </w:r>
          <w:r>
            <w:rPr>
              <w:rFonts w:hint="eastAsia"/>
            </w:rPr>
            <w:fldChar w:fldCharType="separate"/>
          </w:r>
          <w:r>
            <w:rPr>
              <w:rFonts w:hint="eastAsia"/>
            </w:rPr>
            <w:t>19</w:t>
          </w:r>
          <w:r>
            <w:rPr>
              <w:rFonts w:hint="eastAsia"/>
            </w:rPr>
            <w:fldChar w:fldCharType="end"/>
          </w:r>
          <w:r>
            <w:rPr>
              <w:rFonts w:hint="eastAsia"/>
            </w:rPr>
            <w:fldChar w:fldCharType="end"/>
          </w:r>
        </w:p>
        <w:p>
          <w:pPr>
            <w:pStyle w:val="14"/>
            <w:rPr>
              <w:rFonts w:asciiTheme="minorHAnsi" w:hAnsiTheme="minorHAnsi" w:eastAsiaTheme="minorEastAsia" w:cstheme="minorBidi"/>
              <w:sz w:val="22"/>
              <w14:ligatures w14:val="standardContextual"/>
            </w:rPr>
          </w:pPr>
          <w:r>
            <w:fldChar w:fldCharType="begin"/>
          </w:r>
          <w:r>
            <w:instrText xml:space="preserve"> HYPERLINK \l "_Toc206748068" </w:instrText>
          </w:r>
          <w:r>
            <w:fldChar w:fldCharType="separate"/>
          </w:r>
          <w:r>
            <w:rPr>
              <w:rStyle w:val="24"/>
              <w:rFonts w:hint="eastAsia"/>
            </w:rPr>
            <w:t>会议传递</w:t>
          </w:r>
          <w:r>
            <w:rPr>
              <w:rFonts w:hint="eastAsia"/>
            </w:rPr>
            <w:tab/>
          </w:r>
          <w:r>
            <w:rPr>
              <w:rFonts w:hint="eastAsia"/>
            </w:rPr>
            <w:fldChar w:fldCharType="begin"/>
          </w:r>
          <w:r>
            <w:rPr>
              <w:rFonts w:hint="eastAsia"/>
            </w:rPr>
            <w:instrText xml:space="preserve"> </w:instrText>
          </w:r>
          <w:r>
            <w:instrText xml:space="preserve">PAGEREF _Toc206748068 \h</w:instrText>
          </w:r>
          <w:r>
            <w:rPr>
              <w:rFonts w:hint="eastAsia"/>
            </w:rPr>
            <w:instrText xml:space="preserve"> </w:instrText>
          </w:r>
          <w:r>
            <w:rPr>
              <w:rFonts w:hint="eastAsia"/>
            </w:rPr>
            <w:fldChar w:fldCharType="separate"/>
          </w:r>
          <w:r>
            <w:t>22</w:t>
          </w:r>
          <w:r>
            <w:rPr>
              <w:rFonts w:hint="eastAsia"/>
            </w:rPr>
            <w:fldChar w:fldCharType="end"/>
          </w:r>
          <w:r>
            <w:rPr>
              <w:rFonts w:hint="eastAsia"/>
            </w:rPr>
            <w:fldChar w:fldCharType="end"/>
          </w:r>
        </w:p>
        <w:p>
          <w:pPr>
            <w:pStyle w:val="15"/>
            <w:tabs>
              <w:tab w:val="right" w:leader="dot" w:pos="9402"/>
            </w:tabs>
            <w:rPr>
              <w:rFonts w:asciiTheme="minorHAnsi" w:hAnsiTheme="minorHAnsi" w:eastAsiaTheme="minorEastAsia" w:cstheme="minorBidi"/>
              <w:sz w:val="22"/>
              <w14:ligatures w14:val="standardContextual"/>
            </w:rPr>
          </w:pPr>
          <w:r>
            <w:fldChar w:fldCharType="begin"/>
          </w:r>
          <w:r>
            <w:instrText xml:space="preserve"> HYPERLINK \l "_Toc206748069" </w:instrText>
          </w:r>
          <w:r>
            <w:fldChar w:fldCharType="separate"/>
          </w:r>
          <w:r>
            <w:rPr>
              <w:rStyle w:val="24"/>
              <w:rFonts w:hint="eastAsia"/>
            </w:rPr>
            <w:t>第四届中国国际循环水养虾大会将在山东博兴举办</w:t>
          </w:r>
          <w:r>
            <w:rPr>
              <w:rFonts w:hint="eastAsia"/>
            </w:rPr>
            <w:tab/>
          </w:r>
          <w:r>
            <w:rPr>
              <w:rFonts w:hint="eastAsia"/>
            </w:rPr>
            <w:fldChar w:fldCharType="begin"/>
          </w:r>
          <w:r>
            <w:rPr>
              <w:rFonts w:hint="eastAsia"/>
            </w:rPr>
            <w:instrText xml:space="preserve"> </w:instrText>
          </w:r>
          <w:r>
            <w:instrText xml:space="preserve">PAGEREF _Toc206748069 \h</w:instrText>
          </w:r>
          <w:r>
            <w:rPr>
              <w:rFonts w:hint="eastAsia"/>
            </w:rPr>
            <w:instrText xml:space="preserve"> </w:instrText>
          </w:r>
          <w:r>
            <w:rPr>
              <w:rFonts w:hint="eastAsia"/>
            </w:rPr>
            <w:fldChar w:fldCharType="separate"/>
          </w:r>
          <w:r>
            <w:rPr>
              <w:rFonts w:hint="eastAsia"/>
            </w:rPr>
            <w:t>22</w:t>
          </w:r>
          <w:r>
            <w:rPr>
              <w:rFonts w:hint="eastAsia"/>
            </w:rPr>
            <w:fldChar w:fldCharType="end"/>
          </w:r>
          <w:r>
            <w:rPr>
              <w:rFonts w:hint="eastAsia"/>
            </w:rPr>
            <w:fldChar w:fldCharType="end"/>
          </w:r>
        </w:p>
        <w:p>
          <w:pPr>
            <w:pStyle w:val="14"/>
            <w:rPr>
              <w:rFonts w:asciiTheme="minorHAnsi" w:hAnsiTheme="minorHAnsi" w:eastAsiaTheme="minorEastAsia" w:cstheme="minorBidi"/>
              <w:sz w:val="22"/>
              <w14:ligatures w14:val="standardContextual"/>
            </w:rPr>
          </w:pPr>
          <w:r>
            <w:fldChar w:fldCharType="begin"/>
          </w:r>
          <w:r>
            <w:instrText xml:space="preserve"> HYPERLINK \l "_Toc206748070" </w:instrText>
          </w:r>
          <w:r>
            <w:fldChar w:fldCharType="separate"/>
          </w:r>
          <w:r>
            <w:rPr>
              <w:rStyle w:val="24"/>
              <w:rFonts w:hint="eastAsia"/>
            </w:rPr>
            <w:t>研究进展</w:t>
          </w:r>
          <w:r>
            <w:rPr>
              <w:rFonts w:hint="eastAsia"/>
            </w:rPr>
            <w:tab/>
          </w:r>
          <w:r>
            <w:rPr>
              <w:rFonts w:hint="eastAsia"/>
            </w:rPr>
            <w:fldChar w:fldCharType="begin"/>
          </w:r>
          <w:r>
            <w:rPr>
              <w:rFonts w:hint="eastAsia"/>
            </w:rPr>
            <w:instrText xml:space="preserve"> </w:instrText>
          </w:r>
          <w:r>
            <w:instrText xml:space="preserve">PAGEREF _Toc206748070 \h</w:instrText>
          </w:r>
          <w:r>
            <w:rPr>
              <w:rFonts w:hint="eastAsia"/>
            </w:rPr>
            <w:instrText xml:space="preserve"> </w:instrText>
          </w:r>
          <w:r>
            <w:rPr>
              <w:rFonts w:hint="eastAsia"/>
            </w:rPr>
            <w:fldChar w:fldCharType="separate"/>
          </w:r>
          <w:r>
            <w:t>24</w:t>
          </w:r>
          <w:r>
            <w:rPr>
              <w:rFonts w:hint="eastAsia"/>
            </w:rPr>
            <w:fldChar w:fldCharType="end"/>
          </w:r>
          <w:r>
            <w:rPr>
              <w:rFonts w:hint="eastAsia"/>
            </w:rPr>
            <w:fldChar w:fldCharType="end"/>
          </w:r>
        </w:p>
        <w:p>
          <w:pPr>
            <w:pStyle w:val="15"/>
            <w:tabs>
              <w:tab w:val="right" w:leader="dot" w:pos="9402"/>
            </w:tabs>
            <w:rPr>
              <w:rFonts w:asciiTheme="minorHAnsi" w:hAnsiTheme="minorHAnsi" w:eastAsiaTheme="minorEastAsia" w:cstheme="minorBidi"/>
              <w:sz w:val="22"/>
              <w14:ligatures w14:val="standardContextual"/>
            </w:rPr>
          </w:pPr>
          <w:r>
            <w:fldChar w:fldCharType="begin"/>
          </w:r>
          <w:r>
            <w:instrText xml:space="preserve"> HYPERLINK \l "_Toc206748071" </w:instrText>
          </w:r>
          <w:r>
            <w:fldChar w:fldCharType="separate"/>
          </w:r>
          <w:r>
            <w:rPr>
              <w:rStyle w:val="24"/>
              <w:rFonts w:hint="eastAsia"/>
            </w:rPr>
            <w:t>后生元的活性成分、作用机制及其在水产养殖中应用的研究进展</w:t>
          </w:r>
          <w:r>
            <w:rPr>
              <w:rFonts w:hint="eastAsia"/>
            </w:rPr>
            <w:tab/>
          </w:r>
          <w:r>
            <w:rPr>
              <w:rFonts w:hint="eastAsia"/>
            </w:rPr>
            <w:fldChar w:fldCharType="begin"/>
          </w:r>
          <w:r>
            <w:rPr>
              <w:rFonts w:hint="eastAsia"/>
            </w:rPr>
            <w:instrText xml:space="preserve"> </w:instrText>
          </w:r>
          <w:r>
            <w:instrText xml:space="preserve">PAGEREF _Toc206748071 \h</w:instrText>
          </w:r>
          <w:r>
            <w:rPr>
              <w:rFonts w:hint="eastAsia"/>
            </w:rPr>
            <w:instrText xml:space="preserve"> </w:instrText>
          </w:r>
          <w:r>
            <w:rPr>
              <w:rFonts w:hint="eastAsia"/>
            </w:rPr>
            <w:fldChar w:fldCharType="separate"/>
          </w:r>
          <w:r>
            <w:rPr>
              <w:rFonts w:hint="eastAsia"/>
            </w:rPr>
            <w:t>24</w:t>
          </w:r>
          <w:r>
            <w:rPr>
              <w:rFonts w:hint="eastAsia"/>
            </w:rPr>
            <w:fldChar w:fldCharType="end"/>
          </w:r>
          <w:r>
            <w:rPr>
              <w:rFonts w:hint="eastAsia"/>
            </w:rPr>
            <w:fldChar w:fldCharType="end"/>
          </w:r>
        </w:p>
        <w:p>
          <w:pPr>
            <w:pStyle w:val="14"/>
            <w:rPr>
              <w:rFonts w:asciiTheme="minorHAnsi" w:hAnsiTheme="minorHAnsi" w:eastAsiaTheme="minorEastAsia" w:cstheme="minorBidi"/>
              <w:sz w:val="22"/>
              <w14:ligatures w14:val="standardContextual"/>
            </w:rPr>
          </w:pPr>
          <w:r>
            <w:fldChar w:fldCharType="begin"/>
          </w:r>
          <w:r>
            <w:instrText xml:space="preserve"> HYPERLINK \l "_Toc206748072" </w:instrText>
          </w:r>
          <w:r>
            <w:fldChar w:fldCharType="separate"/>
          </w:r>
          <w:r>
            <w:rPr>
              <w:rStyle w:val="24"/>
              <w:rFonts w:hint="eastAsia"/>
            </w:rPr>
            <w:t>科学研究</w:t>
          </w:r>
          <w:r>
            <w:rPr>
              <w:rFonts w:hint="eastAsia"/>
            </w:rPr>
            <w:tab/>
          </w:r>
          <w:r>
            <w:rPr>
              <w:rFonts w:hint="eastAsia"/>
            </w:rPr>
            <w:fldChar w:fldCharType="begin"/>
          </w:r>
          <w:r>
            <w:rPr>
              <w:rFonts w:hint="eastAsia"/>
            </w:rPr>
            <w:instrText xml:space="preserve"> </w:instrText>
          </w:r>
          <w:r>
            <w:instrText xml:space="preserve">PAGEREF _Toc206748072 \h</w:instrText>
          </w:r>
          <w:r>
            <w:rPr>
              <w:rFonts w:hint="eastAsia"/>
            </w:rPr>
            <w:instrText xml:space="preserve"> </w:instrText>
          </w:r>
          <w:r>
            <w:rPr>
              <w:rFonts w:hint="eastAsia"/>
            </w:rPr>
            <w:fldChar w:fldCharType="separate"/>
          </w:r>
          <w:r>
            <w:t>29</w:t>
          </w:r>
          <w:r>
            <w:rPr>
              <w:rFonts w:hint="eastAsia"/>
            </w:rPr>
            <w:fldChar w:fldCharType="end"/>
          </w:r>
          <w:r>
            <w:rPr>
              <w:rFonts w:hint="eastAsia"/>
            </w:rPr>
            <w:fldChar w:fldCharType="end"/>
          </w:r>
        </w:p>
        <w:p>
          <w:pPr>
            <w:pStyle w:val="15"/>
            <w:tabs>
              <w:tab w:val="right" w:leader="dot" w:pos="9402"/>
            </w:tabs>
            <w:rPr>
              <w:rFonts w:asciiTheme="minorHAnsi" w:hAnsiTheme="minorHAnsi" w:eastAsiaTheme="minorEastAsia" w:cstheme="minorBidi"/>
              <w:sz w:val="22"/>
              <w14:ligatures w14:val="standardContextual"/>
            </w:rPr>
          </w:pPr>
          <w:r>
            <w:fldChar w:fldCharType="begin"/>
          </w:r>
          <w:r>
            <w:instrText xml:space="preserve"> HYPERLINK \l "_Toc206748073" </w:instrText>
          </w:r>
          <w:r>
            <w:fldChar w:fldCharType="separate"/>
          </w:r>
          <w:r>
            <w:rPr>
              <w:rStyle w:val="24"/>
              <w:rFonts w:hint="eastAsia"/>
            </w:rPr>
            <w:t>发酵黑水虻对斑点叉尾鮰生长、肝脏生化指标、消化吸收</w:t>
          </w:r>
          <w:r>
            <w:rPr>
              <w:rFonts w:hint="eastAsia"/>
            </w:rPr>
            <w:tab/>
          </w:r>
          <w:r>
            <w:rPr>
              <w:rFonts w:hint="eastAsia"/>
            </w:rPr>
            <w:fldChar w:fldCharType="begin"/>
          </w:r>
          <w:r>
            <w:rPr>
              <w:rFonts w:hint="eastAsia"/>
            </w:rPr>
            <w:instrText xml:space="preserve"> </w:instrText>
          </w:r>
          <w:r>
            <w:instrText xml:space="preserve">PAGEREF _Toc206748073 \h</w:instrText>
          </w:r>
          <w:r>
            <w:rPr>
              <w:rFonts w:hint="eastAsia"/>
            </w:rPr>
            <w:instrText xml:space="preserve"> </w:instrText>
          </w:r>
          <w:r>
            <w:rPr>
              <w:rFonts w:hint="eastAsia"/>
            </w:rPr>
            <w:fldChar w:fldCharType="separate"/>
          </w:r>
          <w:r>
            <w:rPr>
              <w:rFonts w:hint="eastAsia"/>
            </w:rPr>
            <w:t>29</w:t>
          </w:r>
          <w:r>
            <w:rPr>
              <w:rFonts w:hint="eastAsia"/>
            </w:rPr>
            <w:fldChar w:fldCharType="end"/>
          </w:r>
          <w:r>
            <w:rPr>
              <w:rFonts w:hint="eastAsia"/>
            </w:rPr>
            <w:fldChar w:fldCharType="end"/>
          </w:r>
        </w:p>
        <w:p>
          <w:pPr>
            <w:pStyle w:val="15"/>
            <w:tabs>
              <w:tab w:val="right" w:leader="dot" w:pos="9402"/>
            </w:tabs>
            <w:rPr>
              <w:rFonts w:asciiTheme="minorHAnsi" w:hAnsiTheme="minorHAnsi" w:eastAsiaTheme="minorEastAsia" w:cstheme="minorBidi"/>
              <w:sz w:val="22"/>
              <w14:ligatures w14:val="standardContextual"/>
            </w:rPr>
          </w:pPr>
          <w:r>
            <w:fldChar w:fldCharType="begin"/>
          </w:r>
          <w:r>
            <w:instrText xml:space="preserve"> HYPERLINK \l "_Toc206748074" </w:instrText>
          </w:r>
          <w:r>
            <w:fldChar w:fldCharType="separate"/>
          </w:r>
          <w:r>
            <w:rPr>
              <w:rStyle w:val="24"/>
              <w:rFonts w:hint="eastAsia"/>
            </w:rPr>
            <w:t>和免疫力的影响</w:t>
          </w:r>
          <w:r>
            <w:rPr>
              <w:rFonts w:hint="eastAsia"/>
            </w:rPr>
            <w:tab/>
          </w:r>
          <w:r>
            <w:rPr>
              <w:rFonts w:hint="eastAsia"/>
            </w:rPr>
            <w:fldChar w:fldCharType="begin"/>
          </w:r>
          <w:r>
            <w:rPr>
              <w:rFonts w:hint="eastAsia"/>
            </w:rPr>
            <w:instrText xml:space="preserve"> </w:instrText>
          </w:r>
          <w:r>
            <w:instrText xml:space="preserve">PAGEREF _Toc206748074 \h</w:instrText>
          </w:r>
          <w:r>
            <w:rPr>
              <w:rFonts w:hint="eastAsia"/>
            </w:rPr>
            <w:instrText xml:space="preserve"> </w:instrText>
          </w:r>
          <w:r>
            <w:rPr>
              <w:rFonts w:hint="eastAsia"/>
            </w:rPr>
            <w:fldChar w:fldCharType="separate"/>
          </w:r>
          <w:r>
            <w:rPr>
              <w:rFonts w:hint="eastAsia"/>
            </w:rPr>
            <w:t>29</w:t>
          </w:r>
          <w:r>
            <w:rPr>
              <w:rFonts w:hint="eastAsia"/>
            </w:rPr>
            <w:fldChar w:fldCharType="end"/>
          </w:r>
          <w:r>
            <w:rPr>
              <w:rFonts w:hint="eastAsia"/>
            </w:rPr>
            <w:fldChar w:fldCharType="end"/>
          </w:r>
        </w:p>
        <w:p>
          <w:pPr>
            <w:pStyle w:val="15"/>
            <w:tabs>
              <w:tab w:val="right" w:leader="dot" w:pos="9402"/>
            </w:tabs>
            <w:rPr>
              <w:rFonts w:asciiTheme="minorHAnsi" w:hAnsiTheme="minorHAnsi" w:eastAsiaTheme="minorEastAsia" w:cstheme="minorBidi"/>
              <w:sz w:val="22"/>
              <w14:ligatures w14:val="standardContextual"/>
            </w:rPr>
          </w:pPr>
          <w:r>
            <w:fldChar w:fldCharType="begin"/>
          </w:r>
          <w:r>
            <w:instrText xml:space="preserve"> HYPERLINK \l "_Toc206748075" </w:instrText>
          </w:r>
          <w:r>
            <w:fldChar w:fldCharType="separate"/>
          </w:r>
          <w:r>
            <w:rPr>
              <w:rStyle w:val="24"/>
              <w:rFonts w:hint="eastAsia"/>
            </w:rPr>
            <w:t>壳寡糖对甲壳动物的生长性能、免疫力和肠道健康的影响</w:t>
          </w:r>
          <w:r>
            <w:rPr>
              <w:rFonts w:hint="eastAsia"/>
            </w:rPr>
            <w:tab/>
          </w:r>
          <w:r>
            <w:rPr>
              <w:rFonts w:hint="eastAsia"/>
            </w:rPr>
            <w:fldChar w:fldCharType="begin"/>
          </w:r>
          <w:r>
            <w:rPr>
              <w:rFonts w:hint="eastAsia"/>
            </w:rPr>
            <w:instrText xml:space="preserve"> </w:instrText>
          </w:r>
          <w:r>
            <w:instrText xml:space="preserve">PAGEREF _Toc206748075 \h</w:instrText>
          </w:r>
          <w:r>
            <w:rPr>
              <w:rFonts w:hint="eastAsia"/>
            </w:rPr>
            <w:instrText xml:space="preserve"> </w:instrText>
          </w:r>
          <w:r>
            <w:rPr>
              <w:rFonts w:hint="eastAsia"/>
            </w:rPr>
            <w:fldChar w:fldCharType="separate"/>
          </w:r>
          <w:r>
            <w:rPr>
              <w:rFonts w:hint="eastAsia"/>
            </w:rPr>
            <w:t>41</w:t>
          </w:r>
          <w:r>
            <w:rPr>
              <w:rFonts w:hint="eastAsia"/>
            </w:rPr>
            <w:fldChar w:fldCharType="end"/>
          </w:r>
          <w:r>
            <w:rPr>
              <w:rFonts w:hint="eastAsia"/>
            </w:rPr>
            <w:fldChar w:fldCharType="end"/>
          </w:r>
        </w:p>
        <w:p>
          <w:pPr>
            <w:pStyle w:val="14"/>
            <w:rPr>
              <w:rFonts w:asciiTheme="minorHAnsi" w:hAnsiTheme="minorHAnsi" w:eastAsiaTheme="minorEastAsia" w:cstheme="minorBidi"/>
              <w:sz w:val="22"/>
              <w14:ligatures w14:val="standardContextual"/>
            </w:rPr>
          </w:pPr>
          <w:r>
            <w:fldChar w:fldCharType="begin"/>
          </w:r>
          <w:r>
            <w:instrText xml:space="preserve"> HYPERLINK \l "_Toc206748076" </w:instrText>
          </w:r>
          <w:r>
            <w:fldChar w:fldCharType="separate"/>
          </w:r>
          <w:r>
            <w:rPr>
              <w:rStyle w:val="24"/>
              <w:rFonts w:hint="eastAsia"/>
            </w:rPr>
            <w:t>饲料研发</w:t>
          </w:r>
          <w:r>
            <w:rPr>
              <w:rFonts w:hint="eastAsia"/>
            </w:rPr>
            <w:tab/>
          </w:r>
          <w:r>
            <w:rPr>
              <w:rFonts w:hint="eastAsia"/>
            </w:rPr>
            <w:fldChar w:fldCharType="begin"/>
          </w:r>
          <w:r>
            <w:rPr>
              <w:rFonts w:hint="eastAsia"/>
            </w:rPr>
            <w:instrText xml:space="preserve"> </w:instrText>
          </w:r>
          <w:r>
            <w:instrText xml:space="preserve">PAGEREF _Toc206748076 \h</w:instrText>
          </w:r>
          <w:r>
            <w:rPr>
              <w:rFonts w:hint="eastAsia"/>
            </w:rPr>
            <w:instrText xml:space="preserve"> </w:instrText>
          </w:r>
          <w:r>
            <w:rPr>
              <w:rFonts w:hint="eastAsia"/>
            </w:rPr>
            <w:fldChar w:fldCharType="separate"/>
          </w:r>
          <w:r>
            <w:t>47</w:t>
          </w:r>
          <w:r>
            <w:rPr>
              <w:rFonts w:hint="eastAsia"/>
            </w:rPr>
            <w:fldChar w:fldCharType="end"/>
          </w:r>
          <w:r>
            <w:rPr>
              <w:rFonts w:hint="eastAsia"/>
            </w:rPr>
            <w:fldChar w:fldCharType="end"/>
          </w:r>
        </w:p>
        <w:p>
          <w:pPr>
            <w:pStyle w:val="15"/>
            <w:tabs>
              <w:tab w:val="right" w:leader="dot" w:pos="9402"/>
            </w:tabs>
            <w:rPr>
              <w:rFonts w:asciiTheme="minorHAnsi" w:hAnsiTheme="minorHAnsi" w:eastAsiaTheme="minorEastAsia" w:cstheme="minorBidi"/>
              <w:sz w:val="22"/>
              <w14:ligatures w14:val="standardContextual"/>
            </w:rPr>
          </w:pPr>
          <w:r>
            <w:fldChar w:fldCharType="begin"/>
          </w:r>
          <w:r>
            <w:instrText xml:space="preserve"> HYPERLINK \l "_Toc206748077" </w:instrText>
          </w:r>
          <w:r>
            <w:fldChar w:fldCharType="separate"/>
          </w:r>
          <w:r>
            <w:rPr>
              <w:rStyle w:val="24"/>
              <w:rFonts w:hint="eastAsia"/>
            </w:rPr>
            <w:t>饲料中添加不同来源的虾青素对虹鳟生长性能、肉色、抗氧化能力和抗急性亚硝酸盐胁迫的影响</w:t>
          </w:r>
          <w:r>
            <w:rPr>
              <w:rFonts w:hint="eastAsia"/>
            </w:rPr>
            <w:tab/>
          </w:r>
          <w:r>
            <w:rPr>
              <w:rFonts w:hint="eastAsia"/>
            </w:rPr>
            <w:fldChar w:fldCharType="begin"/>
          </w:r>
          <w:r>
            <w:rPr>
              <w:rFonts w:hint="eastAsia"/>
            </w:rPr>
            <w:instrText xml:space="preserve"> </w:instrText>
          </w:r>
          <w:r>
            <w:instrText xml:space="preserve">PAGEREF _Toc206748077 \h</w:instrText>
          </w:r>
          <w:r>
            <w:rPr>
              <w:rFonts w:hint="eastAsia"/>
            </w:rPr>
            <w:instrText xml:space="preserve"> </w:instrText>
          </w:r>
          <w:r>
            <w:rPr>
              <w:rFonts w:hint="eastAsia"/>
            </w:rPr>
            <w:fldChar w:fldCharType="separate"/>
          </w:r>
          <w:r>
            <w:rPr>
              <w:rFonts w:hint="eastAsia"/>
            </w:rPr>
            <w:t>47</w:t>
          </w:r>
          <w:r>
            <w:rPr>
              <w:rFonts w:hint="eastAsia"/>
            </w:rPr>
            <w:fldChar w:fldCharType="end"/>
          </w:r>
          <w:r>
            <w:rPr>
              <w:rFonts w:hint="eastAsia"/>
            </w:rPr>
            <w:fldChar w:fldCharType="end"/>
          </w:r>
        </w:p>
        <w:p>
          <w:pPr>
            <w:pStyle w:val="15"/>
            <w:tabs>
              <w:tab w:val="right" w:leader="dot" w:pos="9402"/>
            </w:tabs>
            <w:rPr>
              <w:rFonts w:asciiTheme="minorHAnsi" w:hAnsiTheme="minorHAnsi" w:eastAsiaTheme="minorEastAsia" w:cstheme="minorBidi"/>
              <w:sz w:val="22"/>
              <w14:ligatures w14:val="standardContextual"/>
            </w:rPr>
          </w:pPr>
          <w:r>
            <w:fldChar w:fldCharType="begin"/>
          </w:r>
          <w:r>
            <w:instrText xml:space="preserve"> HYPERLINK \l "_Toc206748078" </w:instrText>
          </w:r>
          <w:r>
            <w:fldChar w:fldCharType="separate"/>
          </w:r>
          <w:r>
            <w:rPr>
              <w:rStyle w:val="24"/>
              <w:rFonts w:hint="eastAsia"/>
            </w:rPr>
            <w:t>饲料中添加蒲公英提取物对四氯化碳胁迫后石斑鱼肝脏形态、血清生化指标和抗氧化能力的影响</w:t>
          </w:r>
          <w:r>
            <w:rPr>
              <w:rFonts w:hint="eastAsia"/>
            </w:rPr>
            <w:tab/>
          </w:r>
          <w:r>
            <w:rPr>
              <w:rFonts w:hint="eastAsia"/>
            </w:rPr>
            <w:fldChar w:fldCharType="begin"/>
          </w:r>
          <w:r>
            <w:rPr>
              <w:rFonts w:hint="eastAsia"/>
            </w:rPr>
            <w:instrText xml:space="preserve"> </w:instrText>
          </w:r>
          <w:r>
            <w:instrText xml:space="preserve">PAGEREF _Toc206748078 \h</w:instrText>
          </w:r>
          <w:r>
            <w:rPr>
              <w:rFonts w:hint="eastAsia"/>
            </w:rPr>
            <w:instrText xml:space="preserve"> </w:instrText>
          </w:r>
          <w:r>
            <w:rPr>
              <w:rFonts w:hint="eastAsia"/>
            </w:rPr>
            <w:fldChar w:fldCharType="separate"/>
          </w:r>
          <w:r>
            <w:rPr>
              <w:rFonts w:hint="eastAsia"/>
            </w:rPr>
            <w:t>62</w:t>
          </w:r>
          <w:r>
            <w:rPr>
              <w:rFonts w:hint="eastAsia"/>
            </w:rPr>
            <w:fldChar w:fldCharType="end"/>
          </w:r>
          <w:r>
            <w:rPr>
              <w:rFonts w:hint="eastAsia"/>
            </w:rPr>
            <w:fldChar w:fldCharType="end"/>
          </w:r>
        </w:p>
        <w:p>
          <w:pPr>
            <w:pStyle w:val="15"/>
            <w:tabs>
              <w:tab w:val="right" w:leader="dot" w:pos="9402"/>
            </w:tabs>
            <w:rPr>
              <w:rFonts w:asciiTheme="minorHAnsi" w:hAnsiTheme="minorHAnsi" w:eastAsiaTheme="minorEastAsia" w:cstheme="minorBidi"/>
              <w:sz w:val="22"/>
              <w14:ligatures w14:val="standardContextual"/>
            </w:rPr>
          </w:pPr>
          <w:r>
            <w:fldChar w:fldCharType="begin"/>
          </w:r>
          <w:r>
            <w:instrText xml:space="preserve"> HYPERLINK \l "_Toc206748079" </w:instrText>
          </w:r>
          <w:r>
            <w:fldChar w:fldCharType="separate"/>
          </w:r>
          <w:r>
            <w:rPr>
              <w:rStyle w:val="24"/>
              <w:rFonts w:hint="eastAsia"/>
            </w:rPr>
            <w:t>饲料中添加乙酸钠对小黄鱼生长性能和肝脏脂质组的影响</w:t>
          </w:r>
          <w:r>
            <w:rPr>
              <w:rFonts w:hint="eastAsia"/>
            </w:rPr>
            <w:tab/>
          </w:r>
          <w:r>
            <w:rPr>
              <w:rFonts w:hint="eastAsia"/>
            </w:rPr>
            <w:fldChar w:fldCharType="begin"/>
          </w:r>
          <w:r>
            <w:rPr>
              <w:rFonts w:hint="eastAsia"/>
            </w:rPr>
            <w:instrText xml:space="preserve"> </w:instrText>
          </w:r>
          <w:r>
            <w:instrText xml:space="preserve">PAGEREF _Toc206748079 \h</w:instrText>
          </w:r>
          <w:r>
            <w:rPr>
              <w:rFonts w:hint="eastAsia"/>
            </w:rPr>
            <w:instrText xml:space="preserve"> </w:instrText>
          </w:r>
          <w:r>
            <w:rPr>
              <w:rFonts w:hint="eastAsia"/>
            </w:rPr>
            <w:fldChar w:fldCharType="separate"/>
          </w:r>
          <w:r>
            <w:rPr>
              <w:rFonts w:hint="eastAsia"/>
            </w:rPr>
            <w:t>71</w:t>
          </w:r>
          <w:r>
            <w:rPr>
              <w:rFonts w:hint="eastAsia"/>
            </w:rPr>
            <w:fldChar w:fldCharType="end"/>
          </w:r>
          <w:r>
            <w:rPr>
              <w:rFonts w:hint="eastAsia"/>
            </w:rPr>
            <w:fldChar w:fldCharType="end"/>
          </w:r>
        </w:p>
        <w:p>
          <w:pPr>
            <w:pStyle w:val="14"/>
          </w:pPr>
          <w:r>
            <w:rPr>
              <w:lang w:val="zh-CN"/>
            </w:rPr>
            <w:fldChar w:fldCharType="end"/>
          </w:r>
        </w:p>
      </w:sdtContent>
    </w:sdt>
    <w:p>
      <w:pPr>
        <w:spacing w:line="360" w:lineRule="auto"/>
        <w:ind w:left="-94" w:leftChars="-45" w:right="-334" w:rightChars="-159"/>
        <w:jc w:val="left"/>
        <w:rPr>
          <w:b/>
          <w:bCs/>
          <w:sz w:val="32"/>
          <w:szCs w:val="32"/>
        </w:rPr>
      </w:pPr>
      <w:bookmarkStart w:id="54" w:name="_GoBack"/>
      <w:bookmarkEnd w:id="54"/>
      <w:r>
        <w:rPr>
          <w:b/>
          <w:bCs/>
          <w:sz w:val="32"/>
          <w:szCs w:val="32"/>
        </w:rPr>
        <mc:AlternateContent>
          <mc:Choice Requires="wps">
            <w:drawing>
              <wp:anchor distT="0" distB="0" distL="114300" distR="114300" simplePos="0" relativeHeight="251666432" behindDoc="0" locked="0" layoutInCell="1" allowOverlap="1">
                <wp:simplePos x="0" y="0"/>
                <wp:positionH relativeFrom="column">
                  <wp:posOffset>-117475</wp:posOffset>
                </wp:positionH>
                <wp:positionV relativeFrom="paragraph">
                  <wp:posOffset>1882775</wp:posOffset>
                </wp:positionV>
                <wp:extent cx="6295390" cy="0"/>
                <wp:effectExtent l="0" t="19050" r="48895" b="38100"/>
                <wp:wrapNone/>
                <wp:docPr id="672994327" name="直线 5"/>
                <wp:cNvGraphicFramePr/>
                <a:graphic xmlns:a="http://schemas.openxmlformats.org/drawingml/2006/main">
                  <a:graphicData uri="http://schemas.microsoft.com/office/word/2010/wordprocessingShape">
                    <wps:wsp>
                      <wps:cNvCnPr>
                        <a:cxnSpLocks noChangeShapeType="1"/>
                      </wps:cNvCnPr>
                      <wps:spPr bwMode="auto">
                        <a:xfrm>
                          <a:off x="0" y="0"/>
                          <a:ext cx="6295292" cy="0"/>
                        </a:xfrm>
                        <a:prstGeom prst="line">
                          <a:avLst/>
                        </a:prstGeom>
                        <a:noFill/>
                        <a:ln w="57150" cmpd="thickThin">
                          <a:solidFill>
                            <a:srgbClr val="000000"/>
                          </a:solidFill>
                          <a:round/>
                        </a:ln>
                      </wps:spPr>
                      <wps:bodyPr/>
                    </wps:wsp>
                  </a:graphicData>
                </a:graphic>
              </wp:anchor>
            </w:drawing>
          </mc:Choice>
          <mc:Fallback>
            <w:pict>
              <v:line id="直线 5" o:spid="_x0000_s1026" o:spt="20" style="position:absolute;left:0pt;margin-left:-9.25pt;margin-top:148.25pt;height:0pt;width:495.7pt;z-index:251666432;mso-width-relative:page;mso-height-relative:page;" filled="f" stroked="t" coordsize="21600,21600" o:gfxdata="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u21w&#10;JdYAAAALAQAADwAAAAAAAAABACAAAAAiAAAAZHJzL2Rvd25yZXYueG1sUEsBAhQAFAAAAAgAh07i&#10;QKzN5x3rAQAAuwMAAA4AAAAAAAAAAQAgAAAAJQEAAGRycy9lMm9Eb2MueG1sUEsFBgAAAAAGAAYA&#10;WQEAAIIFAAAAAA==&#10;">
                <v:fill on="f" focussize="0,0"/>
                <v:stroke weight="4.5pt" color="#000000" linestyle="thickThin" joinstyle="round"/>
                <v:imagedata o:title=""/>
                <o:lock v:ext="edit" aspectratio="f"/>
              </v:line>
            </w:pict>
          </mc:Fallback>
        </mc:AlternateContent>
      </w:r>
      <w:r>
        <w:rPr>
          <w:b/>
          <w:bCs/>
          <w:sz w:val="32"/>
          <w:szCs w:val="32"/>
        </w:rPr>
        <w:drawing>
          <wp:anchor distT="0" distB="0" distL="114300" distR="114300" simplePos="0" relativeHeight="251663360" behindDoc="0" locked="0" layoutInCell="1" allowOverlap="1">
            <wp:simplePos x="0" y="0"/>
            <wp:positionH relativeFrom="column">
              <wp:posOffset>0</wp:posOffset>
            </wp:positionH>
            <wp:positionV relativeFrom="paragraph">
              <wp:posOffset>99060</wp:posOffset>
            </wp:positionV>
            <wp:extent cx="1257300" cy="1257300"/>
            <wp:effectExtent l="0" t="0" r="0" b="0"/>
            <wp:wrapTopAndBottom/>
            <wp:docPr id="1303418445" name="图片 1303418445" descr="徽标（白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3418445" name="图片 1303418445" descr="徽标（白边）"/>
                    <pic:cNvPicPr>
                      <a:picLocks noChangeAspect="1" noChangeArrowheads="1"/>
                    </pic:cNvPicPr>
                  </pic:nvPicPr>
                  <pic:blipFill>
                    <a:blip r:embed="rId5" cstate="print"/>
                    <a:srcRect/>
                    <a:stretch>
                      <a:fillRect/>
                    </a:stretch>
                  </pic:blipFill>
                  <pic:spPr>
                    <a:xfrm>
                      <a:off x="0" y="0"/>
                      <a:ext cx="1257300" cy="1257300"/>
                    </a:xfrm>
                    <a:prstGeom prst="rect">
                      <a:avLst/>
                    </a:prstGeom>
                    <a:noFill/>
                    <a:ln w="9525">
                      <a:noFill/>
                      <a:miter lim="800000"/>
                      <a:headEnd/>
                      <a:tailEnd/>
                    </a:ln>
                  </pic:spPr>
                </pic:pic>
              </a:graphicData>
            </a:graphic>
          </wp:anchor>
        </w:drawing>
      </w:r>
      <w:r>
        <w:rPr>
          <w:b/>
          <w:bCs/>
          <w:sz w:val="32"/>
          <w:szCs w:val="32"/>
        </w:rPr>
        <w:drawing>
          <wp:anchor distT="0" distB="0" distL="114300" distR="114300" simplePos="0" relativeHeight="251664384" behindDoc="0" locked="0" layoutInCell="1" allowOverlap="1">
            <wp:simplePos x="0" y="0"/>
            <wp:positionH relativeFrom="column">
              <wp:posOffset>1714500</wp:posOffset>
            </wp:positionH>
            <wp:positionV relativeFrom="paragraph">
              <wp:posOffset>693420</wp:posOffset>
            </wp:positionV>
            <wp:extent cx="3200400" cy="805180"/>
            <wp:effectExtent l="0" t="0" r="0" b="0"/>
            <wp:wrapTopAndBottom/>
            <wp:docPr id="298983005" name="图片 298983005" descr="信息简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983005" name="图片 298983005" descr="信息简报"/>
                    <pic:cNvPicPr>
                      <a:picLocks noChangeAspect="1" noChangeArrowheads="1"/>
                    </pic:cNvPicPr>
                  </pic:nvPicPr>
                  <pic:blipFill>
                    <a:blip r:embed="rId6" cstate="print"/>
                    <a:srcRect l="11453" t="15935" r="17537" b="12360"/>
                    <a:stretch>
                      <a:fillRect/>
                    </a:stretch>
                  </pic:blipFill>
                  <pic:spPr>
                    <a:xfrm>
                      <a:off x="0" y="0"/>
                      <a:ext cx="3200400" cy="805180"/>
                    </a:xfrm>
                    <a:prstGeom prst="rect">
                      <a:avLst/>
                    </a:prstGeom>
                    <a:noFill/>
                    <a:ln w="9525">
                      <a:noFill/>
                      <a:miter lim="800000"/>
                      <a:headEnd/>
                      <a:tailEnd/>
                    </a:ln>
                  </pic:spPr>
                </pic:pic>
              </a:graphicData>
            </a:graphic>
          </wp:anchor>
        </w:drawing>
      </w:r>
      <w:r>
        <w:rPr>
          <w:b/>
          <w:bCs/>
          <w:sz w:val="32"/>
          <w:szCs w:val="32"/>
        </w:rPr>
        <w:drawing>
          <wp:anchor distT="0" distB="0" distL="114300" distR="114300" simplePos="0" relativeHeight="251665408" behindDoc="0" locked="0" layoutInCell="1" allowOverlap="1">
            <wp:simplePos x="0" y="0"/>
            <wp:positionH relativeFrom="column">
              <wp:posOffset>914400</wp:posOffset>
            </wp:positionH>
            <wp:positionV relativeFrom="paragraph">
              <wp:posOffset>0</wp:posOffset>
            </wp:positionV>
            <wp:extent cx="5029200" cy="783590"/>
            <wp:effectExtent l="0" t="0" r="0" b="0"/>
            <wp:wrapNone/>
            <wp:docPr id="97557071" name="图片 97557071" descr="福建省水产饲料研究会 - 刘中一题—红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557071" name="图片 97557071" descr="福建省水产饲料研究会 - 刘中一题—红色"/>
                    <pic:cNvPicPr>
                      <a:picLocks noChangeAspect="1" noChangeArrowheads="1"/>
                    </pic:cNvPicPr>
                  </pic:nvPicPr>
                  <pic:blipFill>
                    <a:blip r:embed="rId7" cstate="print"/>
                    <a:srcRect/>
                    <a:stretch>
                      <a:fillRect/>
                    </a:stretch>
                  </pic:blipFill>
                  <pic:spPr>
                    <a:xfrm>
                      <a:off x="0" y="0"/>
                      <a:ext cx="5029200" cy="783590"/>
                    </a:xfrm>
                    <a:prstGeom prst="rect">
                      <a:avLst/>
                    </a:prstGeom>
                    <a:noFill/>
                    <a:ln w="9525">
                      <a:noFill/>
                      <a:miter lim="800000"/>
                      <a:headEnd/>
                      <a:tailEnd/>
                    </a:ln>
                  </pic:spPr>
                </pic:pic>
              </a:graphicData>
            </a:graphic>
          </wp:anchor>
        </w:drawing>
      </w:r>
      <w:r>
        <w:rPr>
          <w:b/>
          <w:bCs/>
          <w:sz w:val="32"/>
          <w:szCs w:val="32"/>
        </w:rPr>
        <w:t>B-2088184-5       第</w:t>
      </w:r>
      <w:r>
        <w:rPr>
          <w:rFonts w:hint="eastAsia"/>
          <w:b/>
          <w:bCs/>
          <w:sz w:val="32"/>
          <w:szCs w:val="32"/>
        </w:rPr>
        <w:t>15</w:t>
      </w:r>
      <w:r>
        <w:rPr>
          <w:b/>
          <w:bCs/>
          <w:sz w:val="32"/>
          <w:szCs w:val="32"/>
        </w:rPr>
        <w:t>期   (总第</w:t>
      </w:r>
      <w:r>
        <w:rPr>
          <w:rFonts w:hint="eastAsia"/>
          <w:b/>
          <w:bCs/>
          <w:sz w:val="32"/>
          <w:szCs w:val="32"/>
        </w:rPr>
        <w:t>437</w:t>
      </w:r>
      <w:r>
        <w:rPr>
          <w:b/>
          <w:bCs/>
          <w:sz w:val="32"/>
          <w:szCs w:val="32"/>
        </w:rPr>
        <w:t>期)     202</w:t>
      </w:r>
      <w:r>
        <w:rPr>
          <w:rFonts w:hint="eastAsia"/>
          <w:b/>
          <w:bCs/>
          <w:sz w:val="32"/>
          <w:szCs w:val="32"/>
        </w:rPr>
        <w:t>5</w:t>
      </w:r>
      <w:r>
        <w:rPr>
          <w:b/>
          <w:bCs/>
          <w:sz w:val="32"/>
          <w:szCs w:val="32"/>
        </w:rPr>
        <w:t>年</w:t>
      </w:r>
      <w:r>
        <w:rPr>
          <w:rFonts w:hint="eastAsia"/>
          <w:b/>
          <w:bCs/>
          <w:sz w:val="32"/>
          <w:szCs w:val="32"/>
        </w:rPr>
        <w:t>8</w:t>
      </w:r>
      <w:r>
        <w:rPr>
          <w:b/>
          <w:bCs/>
          <w:sz w:val="32"/>
          <w:szCs w:val="32"/>
        </w:rPr>
        <w:t>月</w:t>
      </w:r>
      <w:r>
        <w:rPr>
          <w:rFonts w:hint="eastAsia"/>
          <w:b/>
          <w:bCs/>
          <w:sz w:val="32"/>
          <w:szCs w:val="32"/>
        </w:rPr>
        <w:t>15</w:t>
      </w:r>
      <w:r>
        <w:rPr>
          <w:b/>
          <w:bCs/>
          <w:sz w:val="32"/>
          <w:szCs w:val="32"/>
        </w:rPr>
        <w:t>日</w:t>
      </w:r>
    </w:p>
    <w:p>
      <w:pPr>
        <w:spacing w:line="276" w:lineRule="auto"/>
        <w:jc w:val="left"/>
        <w:outlineLvl w:val="0"/>
        <w:rPr>
          <w:rStyle w:val="96"/>
          <w:rFonts w:eastAsia="黑体"/>
          <w:b/>
          <w:bCs/>
          <w:sz w:val="32"/>
          <w:szCs w:val="32"/>
          <w:bdr w:val="single" w:color="auto" w:sz="4" w:space="0"/>
        </w:rPr>
      </w:pPr>
      <w:bookmarkStart w:id="2" w:name="_Toc206013186"/>
      <w:r>
        <w:rPr>
          <w:rStyle w:val="96"/>
          <w:rFonts w:eastAsia="黑体"/>
          <w:b/>
          <w:bCs/>
          <w:sz w:val="32"/>
          <w:szCs w:val="32"/>
          <w:bdr w:val="single" w:color="auto" w:sz="4" w:space="0"/>
        </w:rPr>
        <w:t>重要资讯</w:t>
      </w:r>
      <w:bookmarkEnd w:id="2"/>
    </w:p>
    <w:bookmarkEnd w:id="1"/>
    <w:p>
      <w:pPr>
        <w:spacing w:line="360" w:lineRule="auto"/>
        <w:jc w:val="center"/>
        <w:outlineLvl w:val="1"/>
        <w:rPr>
          <w:rFonts w:eastAsia="黑体"/>
          <w:b/>
          <w:bCs/>
          <w:sz w:val="32"/>
          <w:szCs w:val="32"/>
        </w:rPr>
      </w:pPr>
      <w:bookmarkStart w:id="3" w:name="_Toc206013187"/>
      <w:bookmarkStart w:id="4" w:name="_Hlk95645129"/>
      <w:r>
        <w:rPr>
          <w:rFonts w:hint="eastAsia" w:eastAsia="黑体"/>
          <w:b/>
          <w:bCs/>
          <w:sz w:val="32"/>
          <w:szCs w:val="32"/>
        </w:rPr>
        <w:t>农业农村部渔业渔政管理局发布高温期间水产养殖</w:t>
      </w:r>
    </w:p>
    <w:p>
      <w:pPr>
        <w:spacing w:line="360" w:lineRule="auto"/>
        <w:jc w:val="center"/>
        <w:outlineLvl w:val="1"/>
        <w:rPr>
          <w:rFonts w:eastAsia="黑体"/>
          <w:b/>
          <w:bCs/>
          <w:sz w:val="32"/>
          <w:szCs w:val="32"/>
        </w:rPr>
      </w:pPr>
      <w:r>
        <w:rPr>
          <w:rFonts w:hint="eastAsia" w:eastAsia="黑体"/>
          <w:b/>
          <w:bCs/>
          <w:sz w:val="32"/>
          <w:szCs w:val="32"/>
        </w:rPr>
        <w:t>生产管理技术要点</w:t>
      </w:r>
      <w:bookmarkEnd w:id="3"/>
    </w:p>
    <w:p>
      <w:pPr>
        <w:spacing w:line="360" w:lineRule="auto"/>
        <w:rPr>
          <w:rFonts w:eastAsiaTheme="minorEastAsia"/>
          <w:sz w:val="24"/>
        </w:rPr>
      </w:pPr>
      <w:r>
        <w:rPr>
          <w:rFonts w:hint="eastAsia" w:eastAsiaTheme="minorEastAsia"/>
          <w:sz w:val="24"/>
        </w:rPr>
        <w:t>一、高温期间鱼类养殖生产管理技术要点</w:t>
      </w:r>
    </w:p>
    <w:p>
      <w:pPr>
        <w:spacing w:line="360" w:lineRule="auto"/>
        <w:ind w:firstLine="426"/>
        <w:rPr>
          <w:rFonts w:eastAsiaTheme="minorEastAsia"/>
          <w:sz w:val="24"/>
        </w:rPr>
      </w:pPr>
      <w:r>
        <w:rPr>
          <w:rFonts w:hint="eastAsia" w:eastAsiaTheme="minorEastAsia"/>
          <w:sz w:val="24"/>
        </w:rPr>
        <w:t>（一）加强水质管理</w:t>
      </w:r>
    </w:p>
    <w:p>
      <w:pPr>
        <w:spacing w:line="360" w:lineRule="auto"/>
        <w:ind w:firstLine="426"/>
        <w:rPr>
          <w:rFonts w:eastAsiaTheme="minorEastAsia"/>
          <w:sz w:val="24"/>
        </w:rPr>
      </w:pPr>
      <w:r>
        <w:rPr>
          <w:rFonts w:hint="eastAsia" w:eastAsiaTheme="minorEastAsia"/>
          <w:sz w:val="24"/>
        </w:rPr>
        <w:t>1.合理增氧。适时使用增氧机，特别是晴天中午（11:00—15:00）开启叶轮式或涌浪式增氧机，促进上下水层交换，打破高温导致的水体温度分层，将表层高溶氧水带入底层，将底层产生的硫化氢等有毒有害物质释放出来。凌晨开增氧机直至日出，防止夜间缺氧浮头。高温天出现台风、暴雨时，保持全天持续增氧。</w:t>
      </w:r>
    </w:p>
    <w:p>
      <w:pPr>
        <w:spacing w:line="360" w:lineRule="auto"/>
        <w:ind w:firstLine="426"/>
        <w:rPr>
          <w:rFonts w:eastAsiaTheme="minorEastAsia"/>
          <w:sz w:val="24"/>
        </w:rPr>
      </w:pPr>
      <w:r>
        <w:rPr>
          <w:rFonts w:hint="eastAsia" w:eastAsiaTheme="minorEastAsia"/>
          <w:sz w:val="24"/>
        </w:rPr>
        <w:t>2.提高水深。通过池塘补充外源水，提高水深（建议1.8米以上），增加池塘下层水体载鱼量。选择早晚凉爽时段少量、多次加水。避免中午高温时大量换水，造成水温、pH剧烈波动，引发鱼体应激。建议通过设置生物浮床</w:t>
      </w:r>
      <w:r>
        <w:rPr>
          <w:rFonts w:eastAsiaTheme="minorEastAsia"/>
          <w:sz w:val="24"/>
        </w:rPr>
        <w:t>,</w:t>
      </w:r>
      <w:r>
        <w:rPr>
          <w:rFonts w:hint="eastAsia" w:eastAsiaTheme="minorEastAsia"/>
          <w:sz w:val="24"/>
        </w:rPr>
        <w:t>种植空心菜</w:t>
      </w:r>
      <w:r>
        <w:rPr>
          <w:rFonts w:hint="eastAsia" w:ascii="微软雅黑" w:hAnsi="微软雅黑" w:eastAsia="微软雅黑" w:cs="微软雅黑"/>
          <w:sz w:val="24"/>
        </w:rPr>
        <w:t>､</w:t>
      </w:r>
      <w:r>
        <w:rPr>
          <w:rFonts w:hint="eastAsia" w:ascii="宋体" w:hAnsi="宋体" w:cs="宋体"/>
          <w:sz w:val="24"/>
        </w:rPr>
        <w:t>水花生等植物</w:t>
      </w:r>
      <w:r>
        <w:rPr>
          <w:rFonts w:eastAsiaTheme="minorEastAsia"/>
          <w:sz w:val="24"/>
        </w:rPr>
        <w:t>,</w:t>
      </w:r>
      <w:r>
        <w:rPr>
          <w:rFonts w:hint="eastAsia" w:eastAsiaTheme="minorEastAsia"/>
          <w:sz w:val="24"/>
        </w:rPr>
        <w:t>降低池塘水温。</w:t>
      </w:r>
    </w:p>
    <w:p>
      <w:pPr>
        <w:spacing w:line="360" w:lineRule="auto"/>
        <w:ind w:firstLine="426"/>
        <w:rPr>
          <w:rFonts w:eastAsiaTheme="minorEastAsia"/>
          <w:sz w:val="24"/>
        </w:rPr>
      </w:pPr>
      <w:r>
        <w:rPr>
          <w:rFonts w:hint="eastAsia" w:eastAsiaTheme="minorEastAsia"/>
          <w:sz w:val="24"/>
        </w:rPr>
        <w:t>3.严控水质。高温加速残饵粪便分解，极易导致氨氮、亚硝酸盐超标，需增加水质检测频次（建议每周2—3次）。出现水质超标应立即采取换水、增氧等措施。</w:t>
      </w:r>
    </w:p>
    <w:p>
      <w:pPr>
        <w:spacing w:line="360" w:lineRule="auto"/>
        <w:ind w:firstLine="426"/>
        <w:rPr>
          <w:rFonts w:eastAsiaTheme="minorEastAsia"/>
          <w:sz w:val="24"/>
        </w:rPr>
      </w:pPr>
      <w:r>
        <w:rPr>
          <w:rFonts w:hint="eastAsia" w:eastAsiaTheme="minorEastAsia"/>
          <w:sz w:val="24"/>
        </w:rPr>
        <w:t>4.应急储备。定期检查调试增氧机、发电机，每亩水体常备不少于1斤化学增氧剂（过碳酸钠、过氧化钙等）应对突发停电或极端缺氧。水体溶氧低于3mg/L时预警并启动应急方案。</w:t>
      </w:r>
    </w:p>
    <w:p>
      <w:pPr>
        <w:spacing w:line="360" w:lineRule="auto"/>
        <w:ind w:firstLine="426"/>
        <w:rPr>
          <w:rFonts w:eastAsiaTheme="minorEastAsia"/>
          <w:sz w:val="24"/>
        </w:rPr>
      </w:pPr>
      <w:r>
        <w:rPr>
          <w:rFonts w:hint="eastAsia" w:eastAsiaTheme="minorEastAsia"/>
          <w:sz w:val="24"/>
        </w:rPr>
        <w:t>（二）科学合理投喂</w:t>
      </w:r>
    </w:p>
    <w:p>
      <w:pPr>
        <w:spacing w:line="360" w:lineRule="auto"/>
        <w:ind w:firstLine="426"/>
        <w:rPr>
          <w:rFonts w:eastAsiaTheme="minorEastAsia"/>
          <w:sz w:val="24"/>
        </w:rPr>
      </w:pPr>
      <w:r>
        <w:rPr>
          <w:rFonts w:hint="eastAsia" w:eastAsiaTheme="minorEastAsia"/>
          <w:sz w:val="24"/>
        </w:rPr>
        <w:t>1.调整投喂策略。在早晨和傍晚水温相对较低时投喂，中午水温高时鱼摄食差、消化负担重，易引发肠炎。高温天气可少量多餐，适当增加投喂次数，减少每次投喂量。</w:t>
      </w:r>
    </w:p>
    <w:p>
      <w:pPr>
        <w:spacing w:line="360" w:lineRule="auto"/>
        <w:ind w:firstLine="426"/>
        <w:rPr>
          <w:rFonts w:eastAsiaTheme="minorEastAsia"/>
          <w:sz w:val="24"/>
        </w:rPr>
      </w:pPr>
      <w:r>
        <w:rPr>
          <w:rFonts w:hint="eastAsia" w:eastAsiaTheme="minorEastAsia"/>
          <w:sz w:val="24"/>
        </w:rPr>
        <w:t>2.提升饲料品质。选用优质、易消化饲料。饲料中适当添加维生素C等，增强鱼体免疫力和抗应激能力。</w:t>
      </w:r>
    </w:p>
    <w:p>
      <w:pPr>
        <w:spacing w:line="360" w:lineRule="auto"/>
        <w:ind w:firstLine="426"/>
        <w:rPr>
          <w:rFonts w:eastAsiaTheme="minorEastAsia"/>
          <w:sz w:val="24"/>
        </w:rPr>
      </w:pPr>
      <w:r>
        <w:rPr>
          <w:rFonts w:hint="eastAsia" w:eastAsiaTheme="minorEastAsia"/>
          <w:sz w:val="24"/>
        </w:rPr>
        <w:t>（三）强化日常管理</w:t>
      </w:r>
    </w:p>
    <w:p>
      <w:pPr>
        <w:spacing w:line="360" w:lineRule="auto"/>
        <w:ind w:firstLine="426"/>
        <w:rPr>
          <w:rFonts w:eastAsiaTheme="minorEastAsia"/>
          <w:sz w:val="24"/>
        </w:rPr>
      </w:pPr>
      <w:r>
        <w:rPr>
          <w:rFonts w:hint="eastAsia" w:eastAsiaTheme="minorEastAsia"/>
          <w:sz w:val="24"/>
        </w:rPr>
        <w:t>1.增加巡塘频次。凌晨至黎明时段鱼体易缺氧，傍晚时水质易超标。巡塘应关注鱼类有无浮头、离群独游、体色异常等现象，检查水质变化和设备运行状态。</w:t>
      </w:r>
    </w:p>
    <w:p>
      <w:pPr>
        <w:spacing w:line="360" w:lineRule="auto"/>
        <w:ind w:firstLine="426"/>
        <w:rPr>
          <w:rFonts w:eastAsiaTheme="minorEastAsia"/>
          <w:sz w:val="24"/>
        </w:rPr>
      </w:pPr>
      <w:r>
        <w:rPr>
          <w:rFonts w:hint="eastAsia" w:eastAsiaTheme="minorEastAsia"/>
          <w:sz w:val="24"/>
        </w:rPr>
        <w:t>2.记录关键数据。详细记录水温、溶氧、pH值、氨氮、亚硝酸盐、投喂量、用药情况、死鱼数量及症状等，便于分析问题和追溯。</w:t>
      </w:r>
    </w:p>
    <w:p>
      <w:pPr>
        <w:spacing w:line="360" w:lineRule="auto"/>
        <w:ind w:firstLine="426"/>
        <w:rPr>
          <w:rFonts w:eastAsiaTheme="minorEastAsia"/>
          <w:sz w:val="24"/>
        </w:rPr>
      </w:pPr>
      <w:r>
        <w:rPr>
          <w:rFonts w:hint="eastAsia" w:eastAsiaTheme="minorEastAsia"/>
          <w:sz w:val="24"/>
        </w:rPr>
        <w:t>3.减少人为干扰。高温期间尽量避免拉网、转塘、大量换水等强烈刺激鱼类的操作。如必须操作，选择凉爽时段并提前做好抗应激准备（提前停食、做好消毒等）。</w:t>
      </w:r>
    </w:p>
    <w:p>
      <w:pPr>
        <w:spacing w:line="360" w:lineRule="auto"/>
        <w:ind w:firstLine="426"/>
        <w:rPr>
          <w:rFonts w:eastAsiaTheme="minorEastAsia"/>
          <w:sz w:val="24"/>
        </w:rPr>
      </w:pPr>
      <w:r>
        <w:rPr>
          <w:rFonts w:hint="eastAsia" w:eastAsiaTheme="minorEastAsia"/>
          <w:sz w:val="24"/>
        </w:rPr>
        <w:t>（四）精准防控病害</w:t>
      </w:r>
    </w:p>
    <w:p>
      <w:pPr>
        <w:spacing w:line="360" w:lineRule="auto"/>
        <w:ind w:firstLine="426"/>
        <w:rPr>
          <w:rFonts w:eastAsiaTheme="minorEastAsia"/>
          <w:sz w:val="24"/>
        </w:rPr>
      </w:pPr>
      <w:r>
        <w:rPr>
          <w:rFonts w:hint="eastAsia" w:eastAsiaTheme="minorEastAsia"/>
          <w:sz w:val="24"/>
        </w:rPr>
        <w:t>1.预防为主。高温天气是细菌、病毒和寄生虫等病害的高发期，通过科学投喂和良好环境管理提高养殖动物自身抵抗力，避免频繁拉网或换水量过大引起应激。</w:t>
      </w:r>
    </w:p>
    <w:p>
      <w:pPr>
        <w:spacing w:line="360" w:lineRule="auto"/>
        <w:ind w:firstLine="426"/>
        <w:rPr>
          <w:rFonts w:eastAsiaTheme="minorEastAsia"/>
          <w:sz w:val="24"/>
        </w:rPr>
      </w:pPr>
      <w:r>
        <w:rPr>
          <w:rFonts w:hint="eastAsia" w:eastAsiaTheme="minorEastAsia"/>
          <w:sz w:val="24"/>
        </w:rPr>
        <w:t>2.科学用药。适时做好水体消毒工作。发病时到执业兽医处就诊，及时准确诊断病因。</w:t>
      </w:r>
    </w:p>
    <w:p>
      <w:pPr>
        <w:spacing w:line="360" w:lineRule="auto"/>
        <w:ind w:firstLine="426"/>
        <w:rPr>
          <w:rFonts w:eastAsiaTheme="minorEastAsia"/>
          <w:sz w:val="24"/>
        </w:rPr>
      </w:pPr>
      <w:r>
        <w:rPr>
          <w:rFonts w:hint="eastAsia" w:eastAsiaTheme="minorEastAsia"/>
          <w:sz w:val="24"/>
        </w:rPr>
        <w:t>3.及时处理。发现塘口异常要及时采取有效措施，按照《病死水生动物及病害水生动物产品无害化处理规范》（SC/T 7015-2022）对病死、濒死鱼进行无害化处理，防止病原扩散和二次污染。</w:t>
      </w:r>
    </w:p>
    <w:p>
      <w:pPr>
        <w:spacing w:line="360" w:lineRule="auto"/>
        <w:rPr>
          <w:rFonts w:eastAsiaTheme="minorEastAsia"/>
          <w:sz w:val="24"/>
        </w:rPr>
      </w:pPr>
      <w:r>
        <w:rPr>
          <w:rFonts w:hint="eastAsia" w:eastAsiaTheme="minorEastAsia"/>
          <w:sz w:val="24"/>
        </w:rPr>
        <w:t>二、高温期间河蟹养殖生产管理技术要点</w:t>
      </w:r>
    </w:p>
    <w:p>
      <w:pPr>
        <w:spacing w:line="360" w:lineRule="auto"/>
        <w:ind w:firstLine="426"/>
        <w:rPr>
          <w:rFonts w:eastAsiaTheme="minorEastAsia"/>
          <w:sz w:val="24"/>
        </w:rPr>
      </w:pPr>
      <w:r>
        <w:rPr>
          <w:rFonts w:hint="eastAsia" w:eastAsiaTheme="minorEastAsia"/>
          <w:sz w:val="24"/>
        </w:rPr>
        <w:t>1.加水换水。适当提高水位，降低下层水温，蟹池环沟水位应保持在1.2—1.5米。每隔2天左右加注新水一次，在后半夜或凌晨温度较低时采用多点冲水方式加水，避免将底质冲起，达到增氧和调节水质的双重效果。切勿加水过满，以防暴雨时漫塘。</w:t>
      </w:r>
    </w:p>
    <w:p>
      <w:pPr>
        <w:spacing w:line="360" w:lineRule="auto"/>
        <w:ind w:firstLine="426"/>
        <w:rPr>
          <w:rFonts w:eastAsiaTheme="minorEastAsia"/>
          <w:sz w:val="24"/>
        </w:rPr>
      </w:pPr>
      <w:r>
        <w:rPr>
          <w:rFonts w:hint="eastAsia" w:eastAsiaTheme="minorEastAsia"/>
          <w:sz w:val="24"/>
        </w:rPr>
        <w:t>2.管草护草。好的水草是河蟹安全度夏的关键，高温期要做好保草、护草、养草工作。要及时刈割露头水草，保持水草在水面下20—30厘米；及时将无生命活力水草打捞出池。对缺草、少草的河蟹养殖池，采用生物浮床形式移植部分水花生、水葫芦等，可起到较好的水质调控作用和遮阴效果。水草的总面积要占池塘面积的60%左右。</w:t>
      </w:r>
    </w:p>
    <w:p>
      <w:pPr>
        <w:spacing w:line="360" w:lineRule="auto"/>
        <w:ind w:firstLine="426"/>
        <w:rPr>
          <w:rFonts w:eastAsiaTheme="minorEastAsia"/>
          <w:sz w:val="24"/>
        </w:rPr>
      </w:pPr>
      <w:r>
        <w:rPr>
          <w:rFonts w:hint="eastAsia" w:eastAsiaTheme="minorEastAsia"/>
          <w:sz w:val="24"/>
        </w:rPr>
        <w:t>3.合理投喂。高温季节投喂时间一般选择在太阳落山时。水温高时，要提高植物性饵料的投喂比例，并降低投饵量。水温控制较好的塘口，可适当提高动物性饵料投喂比例。投饵量以两小时吃完为宜。</w:t>
      </w:r>
    </w:p>
    <w:p>
      <w:pPr>
        <w:spacing w:line="360" w:lineRule="auto"/>
        <w:ind w:firstLine="426"/>
        <w:rPr>
          <w:rFonts w:eastAsiaTheme="minorEastAsia"/>
          <w:sz w:val="24"/>
        </w:rPr>
      </w:pPr>
      <w:r>
        <w:rPr>
          <w:rFonts w:hint="eastAsia" w:eastAsiaTheme="minorEastAsia"/>
          <w:sz w:val="24"/>
        </w:rPr>
        <w:t>4.科学增氧。蟹池应配备立体增氧系统，如微孔增氧设备和水车式增氧机搭配。开机时间一般为每天21点至次日8点，如遇阴雨天或傍晚雷阵雨天气，可提前开机。高温天气河蟹在底层躲避，中午尽量不开机。</w:t>
      </w:r>
    </w:p>
    <w:p>
      <w:pPr>
        <w:spacing w:line="360" w:lineRule="auto"/>
        <w:ind w:firstLine="426"/>
        <w:rPr>
          <w:rFonts w:eastAsiaTheme="minorEastAsia"/>
          <w:sz w:val="24"/>
        </w:rPr>
      </w:pPr>
      <w:r>
        <w:rPr>
          <w:rFonts w:hint="eastAsia" w:eastAsiaTheme="minorEastAsia"/>
          <w:sz w:val="24"/>
        </w:rPr>
        <w:t>5.调水改底。高温加速有机物的分解，易造成水底环境恶化。定时监测亚硝酸盐、氨氮、硫化氢等水质指标，定期使用有益微生物制剂等改善水质。降雨后及时做好调水工作，维护好养殖水体。不得使用含氯和耗氧型底质改良剂；当pH、氨氮较高时，不得使用生石灰调水改底。</w:t>
      </w:r>
    </w:p>
    <w:p>
      <w:pPr>
        <w:spacing w:line="360" w:lineRule="auto"/>
        <w:ind w:firstLine="426"/>
        <w:rPr>
          <w:rFonts w:eastAsiaTheme="minorEastAsia"/>
          <w:sz w:val="24"/>
        </w:rPr>
      </w:pPr>
      <w:r>
        <w:rPr>
          <w:rFonts w:hint="eastAsia" w:eastAsiaTheme="minorEastAsia"/>
          <w:sz w:val="24"/>
        </w:rPr>
        <w:t>6.加强巡池。高温时容易发生蟹池缺氧，需密切注意河蟹的反常行为，如清晨或傍晚大量河蟹聚集在池塘岸边，受到惊动仍不下水，说明池水缺氧，需立即增氧、换水。巡池应注意观察河蟹摄食状况、蜕壳数量，检查防逃设施，防止敌害。</w:t>
      </w:r>
    </w:p>
    <w:p>
      <w:pPr>
        <w:spacing w:line="360" w:lineRule="auto"/>
        <w:rPr>
          <w:rFonts w:eastAsiaTheme="minorEastAsia"/>
          <w:sz w:val="24"/>
        </w:rPr>
      </w:pPr>
      <w:r>
        <w:rPr>
          <w:rFonts w:hint="eastAsia" w:eastAsiaTheme="minorEastAsia"/>
          <w:sz w:val="24"/>
        </w:rPr>
        <w:t>三、高温期间贝类养殖生产管理技术要点</w:t>
      </w:r>
    </w:p>
    <w:p>
      <w:pPr>
        <w:spacing w:line="360" w:lineRule="auto"/>
        <w:ind w:firstLine="426"/>
        <w:rPr>
          <w:rFonts w:eastAsiaTheme="minorEastAsia"/>
          <w:sz w:val="24"/>
        </w:rPr>
      </w:pPr>
      <w:r>
        <w:rPr>
          <w:rFonts w:hint="eastAsia" w:eastAsiaTheme="minorEastAsia"/>
          <w:sz w:val="24"/>
        </w:rPr>
        <w:t>1.调整养殖区域。在夏季高温季节，建议将养殖贝类从近岸浅水区迁至离岸深水区，改善养殖环境，避免雨水引起水体盐度变化带来的不利影响。同时，可通过疏苗、提前售卖达标产品等措施，适当降低贝类养殖密度。</w:t>
      </w:r>
    </w:p>
    <w:p>
      <w:pPr>
        <w:spacing w:line="360" w:lineRule="auto"/>
        <w:ind w:firstLine="426"/>
        <w:rPr>
          <w:rFonts w:eastAsiaTheme="minorEastAsia"/>
          <w:sz w:val="24"/>
        </w:rPr>
      </w:pPr>
      <w:r>
        <w:rPr>
          <w:rFonts w:hint="eastAsia" w:eastAsiaTheme="minorEastAsia"/>
          <w:sz w:val="24"/>
        </w:rPr>
        <w:t>2.调整养殖水层。为保证扇贝、牡蛎等筏式养殖贝类的度夏安全，可根据当地实际情况适当下调养殖水层。同时，及时清理、更换网笼、梗绳等设施上附着的杂藻、杂贝等，保障养殖笼内外水体流通。</w:t>
      </w:r>
    </w:p>
    <w:p>
      <w:pPr>
        <w:spacing w:line="360" w:lineRule="auto"/>
        <w:ind w:firstLine="426"/>
        <w:rPr>
          <w:rFonts w:eastAsiaTheme="minorEastAsia"/>
          <w:sz w:val="24"/>
        </w:rPr>
      </w:pPr>
      <w:r>
        <w:rPr>
          <w:rFonts w:hint="eastAsia" w:eastAsiaTheme="minorEastAsia"/>
          <w:sz w:val="24"/>
        </w:rPr>
        <w:t>3.加强日常管理。密切关注环境和气象变化，增加对水温、病原体等关键指标的监测频率。密切关注贝类生长和存活情况，及时采取补苗等措施。在进行分拣、分级、清洗等操作时，做好遮光、降温，避免高温对贝类成活率的影响。对于海水池塘养殖，应及时调节池塘水深，减轻强光照、强降水等不利因素的影响；定期检修进排水设施，为贝类生长创造良好环境。</w:t>
      </w:r>
    </w:p>
    <w:p>
      <w:pPr>
        <w:spacing w:line="360" w:lineRule="auto"/>
        <w:rPr>
          <w:rFonts w:eastAsiaTheme="minorEastAsia"/>
          <w:sz w:val="24"/>
        </w:rPr>
      </w:pPr>
      <w:r>
        <w:rPr>
          <w:rFonts w:hint="eastAsia" w:eastAsiaTheme="minorEastAsia"/>
          <w:sz w:val="24"/>
        </w:rPr>
        <w:t>四、高温期间海参养殖生产管理技术要点</w:t>
      </w:r>
    </w:p>
    <w:p>
      <w:pPr>
        <w:spacing w:line="360" w:lineRule="auto"/>
        <w:ind w:firstLine="426"/>
        <w:rPr>
          <w:rFonts w:eastAsiaTheme="minorEastAsia"/>
          <w:sz w:val="24"/>
        </w:rPr>
      </w:pPr>
      <w:r>
        <w:rPr>
          <w:rFonts w:hint="eastAsia" w:eastAsiaTheme="minorEastAsia"/>
          <w:sz w:val="24"/>
        </w:rPr>
        <w:t>（一）降温控温</w:t>
      </w:r>
    </w:p>
    <w:p>
      <w:pPr>
        <w:spacing w:line="360" w:lineRule="auto"/>
        <w:ind w:firstLine="426"/>
        <w:rPr>
          <w:rFonts w:eastAsiaTheme="minorEastAsia"/>
          <w:sz w:val="24"/>
        </w:rPr>
      </w:pPr>
      <w:r>
        <w:rPr>
          <w:rFonts w:hint="eastAsia" w:eastAsiaTheme="minorEastAsia"/>
          <w:sz w:val="24"/>
        </w:rPr>
        <w:t>池水达30℃以上时，刺参会应激或死亡。随着水温的不断升高，海参养殖池塘应尽可能提高水位，以保证底层水温、水质稳定。同时，可通过架设遮阳网等设施减轻强光照影响，遮阳网高度不应太低，以免影响池塘表面通风和热量扩散。有条件的养殖主体应及时启动降温设施（如冷温井水、制冷机组等），将池底水温控制在海参生存安全温度范围内，主动防御高温。</w:t>
      </w:r>
    </w:p>
    <w:p>
      <w:pPr>
        <w:spacing w:line="360" w:lineRule="auto"/>
        <w:ind w:firstLine="426"/>
        <w:rPr>
          <w:rFonts w:eastAsiaTheme="minorEastAsia"/>
          <w:sz w:val="24"/>
        </w:rPr>
      </w:pPr>
      <w:r>
        <w:rPr>
          <w:rFonts w:hint="eastAsia" w:eastAsiaTheme="minorEastAsia"/>
          <w:sz w:val="24"/>
        </w:rPr>
        <w:t>（二）增加溶氧</w:t>
      </w:r>
    </w:p>
    <w:p>
      <w:pPr>
        <w:spacing w:line="360" w:lineRule="auto"/>
        <w:ind w:firstLine="426"/>
        <w:rPr>
          <w:rFonts w:eastAsiaTheme="minorEastAsia"/>
          <w:sz w:val="24"/>
        </w:rPr>
      </w:pPr>
      <w:r>
        <w:rPr>
          <w:rFonts w:hint="eastAsia" w:eastAsiaTheme="minorEastAsia"/>
          <w:sz w:val="24"/>
        </w:rPr>
        <w:t>1.配备增氧设备。重点配备纳米管、微孔曝气管等底层增氧设施，并配套空压机、鼓风机，确保氧气直达池底。配合使用水车式增氧机、涌浪机，可强力打破水体分层（如温跃层、盐跃层），驱散底层有害气体，确保池塘底部溶氧充足。</w:t>
      </w:r>
    </w:p>
    <w:p>
      <w:pPr>
        <w:spacing w:line="360" w:lineRule="auto"/>
        <w:ind w:firstLine="426"/>
        <w:rPr>
          <w:rFonts w:eastAsiaTheme="minorEastAsia"/>
          <w:sz w:val="24"/>
        </w:rPr>
      </w:pPr>
      <w:r>
        <w:rPr>
          <w:rFonts w:hint="eastAsia" w:eastAsiaTheme="minorEastAsia"/>
          <w:sz w:val="24"/>
        </w:rPr>
        <w:t>2.定期改底。高温加速池塘底部有机质分解，易导致底热、底臭及氨氮、亚硝酸盐等超标。建议高温期将改底周期缩短至每7天左右一次，改底重点为下风口、投食区以及增氧机无法有效搅动的死角、淤泥沉降区域等。</w:t>
      </w:r>
    </w:p>
    <w:p>
      <w:pPr>
        <w:spacing w:line="360" w:lineRule="auto"/>
        <w:ind w:firstLine="426"/>
        <w:rPr>
          <w:rFonts w:eastAsiaTheme="minorEastAsia"/>
          <w:sz w:val="24"/>
        </w:rPr>
      </w:pPr>
      <w:r>
        <w:rPr>
          <w:rFonts w:hint="eastAsia" w:eastAsiaTheme="minorEastAsia"/>
          <w:sz w:val="24"/>
        </w:rPr>
        <w:t>3.科学换水。换水前需监测外源水水质，外源水与池水的水质差异不大时方可进水。换水容易导致水体分层，可用增氧设备、搅水设备等搅动水体。换水后需关注海参健康状态。</w:t>
      </w:r>
    </w:p>
    <w:p>
      <w:pPr>
        <w:spacing w:line="360" w:lineRule="auto"/>
        <w:ind w:firstLine="426"/>
        <w:rPr>
          <w:rFonts w:eastAsiaTheme="minorEastAsia"/>
          <w:sz w:val="24"/>
        </w:rPr>
      </w:pPr>
      <w:r>
        <w:rPr>
          <w:rFonts w:hint="eastAsia" w:eastAsiaTheme="minorEastAsia"/>
          <w:sz w:val="24"/>
        </w:rPr>
        <w:t>4.备足急救物品。准备充足化学增氧剂（过氧化钙等），存放于阴凉干燥处。紧急缺氧时，可先使用化学增氧剂进行增氧，然后再根据具体问题采取有效措施。</w:t>
      </w:r>
    </w:p>
    <w:p>
      <w:pPr>
        <w:spacing w:line="360" w:lineRule="auto"/>
        <w:ind w:firstLine="426"/>
        <w:rPr>
          <w:rFonts w:eastAsiaTheme="minorEastAsia"/>
          <w:sz w:val="24"/>
        </w:rPr>
      </w:pPr>
      <w:r>
        <w:rPr>
          <w:rFonts w:hint="eastAsia" w:eastAsiaTheme="minorEastAsia"/>
          <w:sz w:val="24"/>
        </w:rPr>
        <w:t>（三）预防倒藻</w:t>
      </w:r>
    </w:p>
    <w:p>
      <w:pPr>
        <w:spacing w:line="360" w:lineRule="auto"/>
        <w:ind w:firstLine="426"/>
        <w:rPr>
          <w:rFonts w:eastAsiaTheme="minorEastAsia"/>
          <w:sz w:val="24"/>
        </w:rPr>
      </w:pPr>
      <w:r>
        <w:rPr>
          <w:rFonts w:hint="eastAsia" w:eastAsiaTheme="minorEastAsia"/>
          <w:sz w:val="24"/>
        </w:rPr>
        <w:t>高温期，表层水中单胞藻受太阳长时间热射作用而衰败，池底水严重缺氧，易引发倒藻，造成水色突变和水质恶化。高温时应增加水质监测频次，定时观察水色变化，提早预防倒藻。养殖主体可通过充分换水</w:t>
      </w:r>
      <w:r>
        <w:rPr>
          <w:rFonts w:hint="eastAsia" w:ascii="微软雅黑" w:hAnsi="微软雅黑" w:eastAsia="微软雅黑" w:cs="微软雅黑"/>
          <w:sz w:val="24"/>
        </w:rPr>
        <w:t>､</w:t>
      </w:r>
      <w:r>
        <w:rPr>
          <w:rFonts w:hint="eastAsia" w:ascii="宋体" w:hAnsi="宋体" w:cs="宋体"/>
          <w:sz w:val="24"/>
        </w:rPr>
        <w:t>高效增氧</w:t>
      </w:r>
      <w:r>
        <w:rPr>
          <w:rFonts w:hint="eastAsia" w:ascii="微软雅黑" w:hAnsi="微软雅黑" w:eastAsia="微软雅黑" w:cs="微软雅黑"/>
          <w:sz w:val="24"/>
        </w:rPr>
        <w:t>､</w:t>
      </w:r>
      <w:r>
        <w:rPr>
          <w:rFonts w:hint="eastAsia" w:ascii="宋体" w:hAnsi="宋体" w:cs="宋体"/>
          <w:sz w:val="24"/>
        </w:rPr>
        <w:t>氧化池底等措施稳定池水水质</w:t>
      </w:r>
      <w:r>
        <w:rPr>
          <w:rFonts w:eastAsiaTheme="minorEastAsia"/>
          <w:sz w:val="24"/>
        </w:rPr>
        <w:t>,</w:t>
      </w:r>
      <w:r>
        <w:rPr>
          <w:rFonts w:hint="eastAsia" w:eastAsiaTheme="minorEastAsia"/>
          <w:sz w:val="24"/>
        </w:rPr>
        <w:t>避免倒藻的发生。</w:t>
      </w:r>
    </w:p>
    <w:p>
      <w:pPr>
        <w:spacing w:line="360" w:lineRule="auto"/>
        <w:ind w:firstLine="426"/>
        <w:rPr>
          <w:rFonts w:eastAsiaTheme="minorEastAsia"/>
          <w:sz w:val="24"/>
        </w:rPr>
      </w:pPr>
      <w:r>
        <w:rPr>
          <w:rFonts w:hint="eastAsia" w:eastAsiaTheme="minorEastAsia"/>
          <w:sz w:val="24"/>
        </w:rPr>
        <w:t>（四）改良底质</w:t>
      </w:r>
    </w:p>
    <w:p>
      <w:pPr>
        <w:spacing w:line="360" w:lineRule="auto"/>
        <w:ind w:firstLine="426"/>
        <w:rPr>
          <w:rFonts w:eastAsiaTheme="minorEastAsia"/>
          <w:sz w:val="24"/>
        </w:rPr>
      </w:pPr>
      <w:r>
        <w:rPr>
          <w:rFonts w:hint="eastAsia" w:eastAsiaTheme="minorEastAsia"/>
          <w:sz w:val="24"/>
        </w:rPr>
        <w:t>高温期，池底残饵、粪便、死亡藻类易产生氨氮、硫化氢等有害物质，造成海参死亡即“漂参”。养殖主体可定期施用氧化剂等改善底质氧化还原环境，减少有害物质积累，同时人工清除刚毛藻、硬毛藻、金膜藻等过度生长的大型藻类，避免底质恶化。</w:t>
      </w:r>
    </w:p>
    <w:p>
      <w:pPr>
        <w:spacing w:line="360" w:lineRule="auto"/>
        <w:ind w:firstLine="426"/>
        <w:rPr>
          <w:rFonts w:eastAsiaTheme="minorEastAsia"/>
          <w:sz w:val="24"/>
        </w:rPr>
      </w:pPr>
      <w:r>
        <w:rPr>
          <w:rFonts w:hint="eastAsia" w:eastAsiaTheme="minorEastAsia"/>
          <w:sz w:val="24"/>
        </w:rPr>
        <w:t>（五）加强监测与应急防控</w:t>
      </w:r>
    </w:p>
    <w:p>
      <w:pPr>
        <w:spacing w:line="360" w:lineRule="auto"/>
        <w:ind w:firstLine="426"/>
        <w:rPr>
          <w:rFonts w:eastAsiaTheme="minorEastAsia"/>
          <w:sz w:val="24"/>
        </w:rPr>
      </w:pPr>
      <w:r>
        <w:rPr>
          <w:rFonts w:hint="eastAsia" w:eastAsiaTheme="minorEastAsia"/>
          <w:sz w:val="24"/>
        </w:rPr>
        <w:t>1.坚持定期监测。坚持每日巡塘，观察水位、水色和透明度等变化，定期监测和调控水质。定期观察海参活动、摄食和健康状况，发现病死个体及时处理，防止病害扩散。</w:t>
      </w:r>
    </w:p>
    <w:p>
      <w:pPr>
        <w:spacing w:line="360" w:lineRule="auto"/>
        <w:ind w:firstLine="426"/>
        <w:rPr>
          <w:rFonts w:eastAsiaTheme="minorEastAsia"/>
          <w:sz w:val="24"/>
        </w:rPr>
      </w:pPr>
      <w:r>
        <w:rPr>
          <w:rFonts w:hint="eastAsia" w:eastAsiaTheme="minorEastAsia"/>
          <w:sz w:val="24"/>
        </w:rPr>
        <w:t>2.坚持预防在先。密切关注气象预警预报，坚持防重于治。采取有效预防措施可显著降低高温期海参养殖风险，保障养殖生产的顺利进行。</w:t>
      </w:r>
    </w:p>
    <w:p>
      <w:pPr>
        <w:spacing w:line="360" w:lineRule="auto"/>
        <w:ind w:firstLine="426"/>
        <w:jc w:val="right"/>
        <w:rPr>
          <w:rStyle w:val="96"/>
          <w:rFonts w:eastAsiaTheme="minorEastAsia"/>
          <w:szCs w:val="21"/>
        </w:rPr>
      </w:pPr>
      <w:r>
        <w:rPr>
          <w:rStyle w:val="96"/>
          <w:rFonts w:eastAsiaTheme="minorEastAsia"/>
          <w:szCs w:val="21"/>
        </w:rPr>
        <w:t>转摘自</w:t>
      </w:r>
      <w:r>
        <w:rPr>
          <w:rStyle w:val="96"/>
          <w:rFonts w:hint="eastAsia" w:eastAsiaTheme="minorEastAsia"/>
          <w:szCs w:val="21"/>
        </w:rPr>
        <w:t>农业农村部渔业渔政管理局</w:t>
      </w:r>
    </w:p>
    <w:p>
      <w:pPr>
        <w:jc w:val="center"/>
        <w:outlineLvl w:val="1"/>
        <w:rPr>
          <w:rFonts w:eastAsia="黑体"/>
          <w:b/>
          <w:bCs/>
          <w:sz w:val="32"/>
          <w:szCs w:val="32"/>
        </w:rPr>
      </w:pPr>
      <w:bookmarkStart w:id="5" w:name="_Toc206013188"/>
      <w:r>
        <w:rPr>
          <w:rFonts w:hint="eastAsia" w:eastAsia="黑体"/>
          <w:b/>
          <w:bCs/>
          <w:sz w:val="32"/>
          <w:szCs w:val="32"/>
        </w:rPr>
        <w:t>2024年我国渔业生态环境状况总体保持稳定</w:t>
      </w:r>
      <w:bookmarkEnd w:id="5"/>
    </w:p>
    <w:p>
      <w:pPr>
        <w:spacing w:line="360" w:lineRule="auto"/>
        <w:ind w:firstLine="426"/>
        <w:rPr>
          <w:rFonts w:eastAsiaTheme="minorEastAsia"/>
          <w:sz w:val="24"/>
        </w:rPr>
      </w:pPr>
      <w:r>
        <w:rPr>
          <w:rFonts w:hint="eastAsia" w:eastAsiaTheme="minorEastAsia"/>
          <w:sz w:val="24"/>
        </w:rPr>
        <w:t>今天（8月5日），农业农村部、生态环境部联合发布《中国渔业生态环境状况公报（2024）》。公报显示，2024年我国渔业生态环境状况总体保持稳定。</w:t>
      </w:r>
    </w:p>
    <w:p>
      <w:pPr>
        <w:spacing w:line="360" w:lineRule="auto"/>
        <w:ind w:firstLine="426"/>
        <w:rPr>
          <w:rFonts w:eastAsiaTheme="minorEastAsia"/>
          <w:sz w:val="24"/>
        </w:rPr>
      </w:pPr>
      <w:r>
        <w:rPr>
          <w:rFonts w:hint="eastAsia" w:eastAsiaTheme="minorEastAsia"/>
          <w:sz w:val="24"/>
        </w:rPr>
        <w:t>2024年，农业农村部组织全国渔业生态环境监测网所属42个监测中心（站），对159个海洋和内陆重要渔业水域环境状况进行常规监测。结果显示：</w:t>
      </w:r>
    </w:p>
    <w:p>
      <w:pPr>
        <w:spacing w:line="360" w:lineRule="auto"/>
        <w:ind w:firstLine="426"/>
        <w:rPr>
          <w:rFonts w:eastAsiaTheme="minorEastAsia"/>
          <w:sz w:val="24"/>
        </w:rPr>
      </w:pPr>
      <w:r>
        <w:rPr>
          <w:rFonts w:hint="eastAsia" w:eastAsiaTheme="minorEastAsia"/>
          <w:sz w:val="24"/>
        </w:rPr>
        <w:t>所有监测水域铅、镉和砷指标监测浓度均优于评价标准；与2023年相比，海洋重要渔业水域中化学需氧量指标的超标面积比例下降25%；内陆重要渔业水域中非离子氨、高锰酸盐指数指标的超标面积比例分别下降24.8%和32.1%。</w:t>
      </w:r>
    </w:p>
    <w:p>
      <w:pPr>
        <w:spacing w:line="360" w:lineRule="auto"/>
        <w:ind w:firstLine="426"/>
        <w:rPr>
          <w:rFonts w:eastAsiaTheme="minorEastAsia"/>
          <w:sz w:val="24"/>
        </w:rPr>
      </w:pPr>
      <w:r>
        <w:rPr>
          <w:rFonts w:hint="eastAsia" w:eastAsiaTheme="minorEastAsia"/>
          <w:sz w:val="24"/>
        </w:rPr>
        <w:t>农业农村部渔业渔政管理局副局长 袁晓初：监测范围新增了6个重要渔业水域，新增监测面积15万公顷。2024年我国渔业生态环境状况总体保持稳定。</w:t>
      </w:r>
    </w:p>
    <w:p>
      <w:pPr>
        <w:spacing w:line="360" w:lineRule="auto"/>
        <w:ind w:firstLine="426"/>
        <w:rPr>
          <w:rFonts w:eastAsiaTheme="minorEastAsia"/>
          <w:sz w:val="24"/>
        </w:rPr>
      </w:pPr>
      <w:r>
        <w:rPr>
          <w:rFonts w:hint="eastAsia" w:eastAsiaTheme="minorEastAsia"/>
          <w:sz w:val="24"/>
        </w:rPr>
        <w:t>近5年我国渔业生态环境状况稳中向好。</w:t>
      </w:r>
    </w:p>
    <w:p>
      <w:pPr>
        <w:spacing w:line="360" w:lineRule="auto"/>
        <w:ind w:firstLine="426"/>
        <w:rPr>
          <w:rFonts w:eastAsiaTheme="minorEastAsia"/>
          <w:sz w:val="24"/>
        </w:rPr>
      </w:pPr>
      <w:r>
        <w:rPr>
          <w:rFonts w:hint="eastAsia" w:eastAsiaTheme="minorEastAsia"/>
          <w:sz w:val="24"/>
        </w:rPr>
        <w:t>公报还首次公布了近5年我国渔业水域生态环境状况。</w:t>
      </w:r>
    </w:p>
    <w:p>
      <w:pPr>
        <w:spacing w:line="360" w:lineRule="auto"/>
        <w:ind w:firstLine="426"/>
        <w:rPr>
          <w:rFonts w:eastAsiaTheme="minorEastAsia"/>
          <w:sz w:val="24"/>
        </w:rPr>
      </w:pPr>
      <w:r>
        <w:rPr>
          <w:rFonts w:hint="eastAsia" w:eastAsiaTheme="minorEastAsia"/>
          <w:sz w:val="24"/>
        </w:rPr>
        <w:t>监测表明，我国海洋天然重要渔业水域中主要超标因子为无机氮和活性磷酸盐，与2020年相比，超标面积比例下降幅度分别为16%和50.4%。江河重要渔业水域中主要超标因子为总氮和总磷，总氮超标面积比例变化不大、总磷超标面积比例下降幅度为41.3%。湖泊水库重要渔业水域中主要超标因子为总氮、总磷和高锰酸盐指数，其超标面积比例总体稳定。</w:t>
      </w:r>
    </w:p>
    <w:p>
      <w:pPr>
        <w:spacing w:line="360" w:lineRule="auto"/>
        <w:ind w:firstLine="426"/>
        <w:rPr>
          <w:rFonts w:eastAsiaTheme="minorEastAsia"/>
          <w:sz w:val="24"/>
        </w:rPr>
      </w:pPr>
      <w:r>
        <w:rPr>
          <w:rFonts w:hint="eastAsia" w:eastAsiaTheme="minorEastAsia"/>
          <w:sz w:val="24"/>
        </w:rPr>
        <w:t>农业农村部渔业渔政管理局副局长 袁晓初：公报首次对近5年我国渔业水域生态环境状况和变化趋势进行了分析。监测的指标主要包括水质、沉积物、浮游生物三大类，共18项指标，总体状况稳中向好。</w:t>
      </w:r>
    </w:p>
    <w:p>
      <w:pPr>
        <w:spacing w:line="360" w:lineRule="auto"/>
        <w:ind w:firstLine="426"/>
        <w:rPr>
          <w:rFonts w:eastAsiaTheme="minorEastAsia"/>
          <w:sz w:val="24"/>
        </w:rPr>
      </w:pPr>
      <w:r>
        <w:rPr>
          <w:rFonts w:hint="eastAsia" w:eastAsiaTheme="minorEastAsia"/>
          <w:sz w:val="24"/>
        </w:rPr>
        <w:t>袁晓初表示，目前，渔业水域氮磷指标超标风险依然存在。下一步农业农村部将继续完善渔业水域生态环境质量评价办法，扩大监测水域范围，强化生态环境保护措施，“重点从氮磷消减端，发挥渔业净水、渔业碳汇的特殊作用上下功夫。综合采取多种渔业生态修复措施，系统降低氮磷含量。努力实现高水平保护与高质量发展相统一”。</w:t>
      </w:r>
    </w:p>
    <w:p>
      <w:pPr>
        <w:spacing w:line="360" w:lineRule="auto"/>
        <w:ind w:firstLine="426"/>
        <w:jc w:val="right"/>
        <w:rPr>
          <w:rStyle w:val="96"/>
          <w:rFonts w:eastAsiaTheme="minorEastAsia"/>
          <w:szCs w:val="21"/>
        </w:rPr>
      </w:pPr>
      <w:r>
        <w:rPr>
          <w:rStyle w:val="96"/>
          <w:rFonts w:eastAsiaTheme="minorEastAsia"/>
          <w:szCs w:val="21"/>
        </w:rPr>
        <w:t>转摘自</w:t>
      </w:r>
      <w:r>
        <w:rPr>
          <w:rStyle w:val="96"/>
          <w:rFonts w:hint="eastAsia" w:eastAsiaTheme="minorEastAsia"/>
          <w:szCs w:val="21"/>
        </w:rPr>
        <w:t>央视新闻</w:t>
      </w:r>
    </w:p>
    <w:p>
      <w:pPr>
        <w:jc w:val="center"/>
        <w:outlineLvl w:val="1"/>
        <w:rPr>
          <w:rFonts w:eastAsia="黑体"/>
          <w:sz w:val="24"/>
        </w:rPr>
      </w:pPr>
      <w:bookmarkStart w:id="6" w:name="_Toc206013189"/>
      <w:r>
        <w:rPr>
          <w:rFonts w:hint="eastAsia" w:eastAsia="黑体"/>
          <w:b/>
          <w:bCs/>
          <w:sz w:val="32"/>
          <w:szCs w:val="32"/>
        </w:rPr>
        <w:t>农业农村部、生态环境部联合发布《中国渔业生态环境状况公报（2024）》</w:t>
      </w:r>
      <w:bookmarkEnd w:id="6"/>
    </w:p>
    <w:p>
      <w:pPr>
        <w:spacing w:line="360" w:lineRule="auto"/>
        <w:ind w:firstLine="426"/>
        <w:rPr>
          <w:rFonts w:eastAsiaTheme="minorEastAsia"/>
          <w:sz w:val="24"/>
        </w:rPr>
      </w:pPr>
      <w:r>
        <w:rPr>
          <w:rFonts w:hint="eastAsia" w:eastAsiaTheme="minorEastAsia"/>
          <w:sz w:val="24"/>
        </w:rPr>
        <w:t>日前，农业农村部、生态环境部联合发布《中国渔业生态环境状况公报（2024）》（以下简称《公报》），公布2024年中国渔业水域水质、沉积物、浮游生物等18项指标的生态环境监测情况。《公报》显示，2024年我国渔业生态环境状况总体保持稳定，近5年呈稳中向好趋势，氮磷指标超标风险依然存在。</w:t>
      </w:r>
    </w:p>
    <w:p>
      <w:pPr>
        <w:spacing w:line="360" w:lineRule="auto"/>
        <w:ind w:firstLine="426"/>
        <w:rPr>
          <w:rFonts w:eastAsiaTheme="minorEastAsia"/>
          <w:sz w:val="24"/>
        </w:rPr>
      </w:pPr>
      <w:r>
        <w:rPr>
          <w:rFonts w:hint="eastAsia" w:eastAsiaTheme="minorEastAsia"/>
          <w:sz w:val="24"/>
        </w:rPr>
        <w:t>2024年，农业农村部组织全国渔业生态环境监测网络所属42个监测站，对159个、总面积1016万公顷的重要渔业水域环境状况进行常规监测。与2023年相比，分别增加了1个监测站､6个重要渔业水域､面积15万公顷</w:t>
      </w:r>
      <w:r>
        <w:rPr>
          <w:rFonts w:eastAsiaTheme="minorEastAsia"/>
          <w:sz w:val="24"/>
        </w:rPr>
        <w:t>;</w:t>
      </w:r>
      <w:r>
        <w:rPr>
          <w:rFonts w:hint="eastAsia" w:eastAsiaTheme="minorEastAsia"/>
          <w:sz w:val="24"/>
        </w:rPr>
        <w:t>所有监测水域铅､镉和砷指标监测浓度均优于评价标准；海洋重要渔业水域中化学需氧量指标的超标面积比例下降幅度为25%</w:t>
      </w:r>
      <w:r>
        <w:rPr>
          <w:rFonts w:eastAsiaTheme="minorEastAsia"/>
          <w:sz w:val="24"/>
        </w:rPr>
        <w:t>;</w:t>
      </w:r>
      <w:r>
        <w:rPr>
          <w:rFonts w:hint="eastAsia" w:eastAsiaTheme="minorEastAsia"/>
          <w:sz w:val="24"/>
        </w:rPr>
        <w:t>内陆重要渔业水域中非离子氨、高锰酸盐指数指标的超标面积比例下降幅度分别为25%和32%。</w:t>
      </w:r>
    </w:p>
    <w:p>
      <w:pPr>
        <w:spacing w:line="360" w:lineRule="auto"/>
        <w:ind w:firstLine="426"/>
        <w:rPr>
          <w:rFonts w:eastAsiaTheme="minorEastAsia"/>
          <w:sz w:val="24"/>
        </w:rPr>
      </w:pPr>
      <w:r>
        <w:rPr>
          <w:rFonts w:hint="eastAsia" w:eastAsiaTheme="minorEastAsia"/>
          <w:sz w:val="24"/>
        </w:rPr>
        <w:t>《公报》首次对近5年我国渔业水域生态环境状况和变化趋势进行了分析。与2020年相比，监测结果表明，我国海洋天然重要渔业水域中主要超标因子为无机氮和活性磷酸盐，其指标的超标面积比例下降幅度分别为16%和50%；江河重要渔业水域中主要超标因子为总氮和总磷，总氮超标面积比例变化不大、总磷超标面积比例下降幅度为41%；湖泊水库重要渔业水域中主要超标因子为总氮、总磷和高锰酸盐指数，其超标面积比例总体稳定，渔业水域氮磷指标超标风险依然存在。</w:t>
      </w:r>
    </w:p>
    <w:p>
      <w:pPr>
        <w:spacing w:line="360" w:lineRule="auto"/>
        <w:ind w:firstLine="426"/>
        <w:rPr>
          <w:rFonts w:eastAsiaTheme="minorEastAsia"/>
          <w:sz w:val="24"/>
        </w:rPr>
      </w:pPr>
      <w:r>
        <w:rPr>
          <w:rFonts w:hint="eastAsia" w:eastAsiaTheme="minorEastAsia"/>
          <w:sz w:val="24"/>
        </w:rPr>
        <w:t>自2000年起，农业农村部、生态环境部已连续25年联合发布《中国渔业生态环境状况公报》，向社会提供了重要渔业水域生态环境方面的权威数据。下一步，农业农村部将进一步完善渔业水域生态环境质量评价办法，扩大监测水域范围，继续组织开展渔业水域生态环境监测工作，强化生态环境保护措施，为促进渔业高质量发展提供基础支撑。</w:t>
      </w:r>
    </w:p>
    <w:p>
      <w:pPr>
        <w:spacing w:line="360" w:lineRule="auto"/>
        <w:ind w:firstLine="426"/>
        <w:jc w:val="right"/>
        <w:rPr>
          <w:rStyle w:val="96"/>
          <w:rFonts w:eastAsiaTheme="minorEastAsia"/>
          <w:szCs w:val="21"/>
        </w:rPr>
      </w:pPr>
      <w:r>
        <w:rPr>
          <w:rStyle w:val="96"/>
          <w:rFonts w:eastAsiaTheme="minorEastAsia"/>
          <w:szCs w:val="21"/>
        </w:rPr>
        <w:t>转摘自</w:t>
      </w:r>
      <w:r>
        <w:rPr>
          <w:rStyle w:val="96"/>
          <w:rFonts w:hint="eastAsia" w:eastAsiaTheme="minorEastAsia"/>
          <w:szCs w:val="21"/>
        </w:rPr>
        <w:t>农业农村部</w:t>
      </w:r>
    </w:p>
    <w:p>
      <w:pPr>
        <w:spacing w:line="360" w:lineRule="auto"/>
        <w:jc w:val="center"/>
        <w:outlineLvl w:val="1"/>
        <w:rPr>
          <w:rFonts w:eastAsia="黑体"/>
          <w:b/>
          <w:bCs/>
          <w:sz w:val="32"/>
          <w:szCs w:val="32"/>
        </w:rPr>
      </w:pPr>
      <w:bookmarkStart w:id="7" w:name="_Toc206013190"/>
      <w:r>
        <w:rPr>
          <w:rFonts w:hint="eastAsia" w:eastAsia="黑体"/>
          <w:b/>
          <w:bCs/>
          <w:sz w:val="32"/>
          <w:szCs w:val="32"/>
        </w:rPr>
        <w:t>2025年度水产品中药物残留快速检测产品筛选验证结果公布</w:t>
      </w:r>
      <w:bookmarkEnd w:id="7"/>
    </w:p>
    <w:p>
      <w:pPr>
        <w:spacing w:line="360" w:lineRule="auto"/>
        <w:ind w:firstLine="426"/>
        <w:rPr>
          <w:rFonts w:eastAsiaTheme="minorEastAsia"/>
          <w:sz w:val="24"/>
        </w:rPr>
      </w:pPr>
      <w:r>
        <w:rPr>
          <w:rFonts w:hint="eastAsia" w:eastAsiaTheme="minorEastAsia"/>
          <w:sz w:val="24"/>
        </w:rPr>
        <w:t>为支撑各地开展水产品药物残留突出问题整治工作，强化水产品药物残留现场监管，中国水产科学研究院于2025年6月上旬组织开展了水产品中药物残留快速检测产品筛选验证工作。本次验证工作由地方渔业主管部门、水产技术推广站及质检机构推荐、产品技术性能及企业生产能力核查和现场验证三部分工作组成，共对26家企业生产的快速检测产品进行现场验证。</w:t>
      </w:r>
    </w:p>
    <w:p>
      <w:pPr>
        <w:spacing w:line="360" w:lineRule="auto"/>
        <w:ind w:firstLine="426"/>
        <w:rPr>
          <w:rFonts w:eastAsiaTheme="minorEastAsia"/>
          <w:sz w:val="24"/>
        </w:rPr>
      </w:pPr>
      <w:r>
        <w:rPr>
          <w:rFonts w:hint="eastAsia" w:eastAsiaTheme="minorEastAsia"/>
          <w:sz w:val="24"/>
        </w:rPr>
        <w:t>依据评价标准，共有22种检测氯霉素、20种检测孔雀石绿、80种检测硝基呋喃类代谢物、21种检测氧氟沙星、20种检测地西泮、21种检测恩诺沙星的快速检测产品符合要求。现将符合要求的产品信息予以通报。</w:t>
      </w:r>
    </w:p>
    <w:p>
      <w:pPr>
        <w:spacing w:line="360" w:lineRule="auto"/>
        <w:ind w:firstLine="426"/>
        <w:rPr>
          <w:rFonts w:eastAsiaTheme="minorEastAsia"/>
          <w:sz w:val="24"/>
        </w:rPr>
      </w:pPr>
      <w:r>
        <w:rPr>
          <w:rFonts w:hint="eastAsia" w:eastAsiaTheme="minorEastAsia"/>
          <w:sz w:val="24"/>
        </w:rPr>
        <w:t>具体详见网址：</w:t>
      </w:r>
      <w:r>
        <w:fldChar w:fldCharType="begin"/>
      </w:r>
      <w:r>
        <w:instrText xml:space="preserve"> HYPERLINK "https://mp.weixin.qq.com/s/GMrSB1B6hB0YnaYDfHceGQ" </w:instrText>
      </w:r>
      <w:r>
        <w:fldChar w:fldCharType="separate"/>
      </w:r>
      <w:r>
        <w:rPr>
          <w:rStyle w:val="24"/>
          <w:rFonts w:hint="eastAsia" w:eastAsiaTheme="minorEastAsia"/>
          <w:sz w:val="24"/>
        </w:rPr>
        <w:t>https://mp.weixin.qq.com/s/GMrSB1B6hB0YnaYDfHceGQ</w:t>
      </w:r>
      <w:r>
        <w:rPr>
          <w:rStyle w:val="24"/>
          <w:rFonts w:hint="eastAsia" w:eastAsiaTheme="minorEastAsia"/>
          <w:sz w:val="24"/>
        </w:rPr>
        <w:fldChar w:fldCharType="end"/>
      </w:r>
      <w:r>
        <w:rPr>
          <w:rFonts w:hint="eastAsia" w:eastAsiaTheme="minorEastAsia"/>
          <w:sz w:val="24"/>
        </w:rPr>
        <w:t xml:space="preserve"> </w:t>
      </w:r>
    </w:p>
    <w:p>
      <w:pPr>
        <w:spacing w:line="360" w:lineRule="auto"/>
        <w:ind w:firstLine="426"/>
        <w:jc w:val="right"/>
        <w:rPr>
          <w:rStyle w:val="96"/>
          <w:rFonts w:eastAsiaTheme="minorEastAsia"/>
          <w:szCs w:val="21"/>
        </w:rPr>
      </w:pPr>
      <w:r>
        <w:rPr>
          <w:rStyle w:val="96"/>
          <w:rFonts w:eastAsiaTheme="minorEastAsia"/>
          <w:szCs w:val="21"/>
        </w:rPr>
        <w:t>转摘自</w:t>
      </w:r>
      <w:r>
        <w:rPr>
          <w:rStyle w:val="96"/>
          <w:rFonts w:hint="eastAsia" w:eastAsiaTheme="minorEastAsia"/>
          <w:szCs w:val="21"/>
        </w:rPr>
        <w:t>中国水产科学研究院</w:t>
      </w:r>
    </w:p>
    <w:p>
      <w:pPr>
        <w:jc w:val="center"/>
        <w:outlineLvl w:val="1"/>
        <w:rPr>
          <w:rFonts w:eastAsiaTheme="minorEastAsia"/>
          <w:sz w:val="24"/>
        </w:rPr>
      </w:pPr>
      <w:bookmarkStart w:id="8" w:name="_Toc206013191"/>
      <w:r>
        <w:rPr>
          <w:rFonts w:hint="eastAsia" w:eastAsia="黑体"/>
          <w:b/>
          <w:bCs/>
          <w:sz w:val="32"/>
          <w:szCs w:val="32"/>
        </w:rPr>
        <w:t>农业农村部渔业安全生产第三督查组赴福建开展督查</w:t>
      </w:r>
      <w:bookmarkEnd w:id="8"/>
    </w:p>
    <w:p>
      <w:pPr>
        <w:spacing w:line="360" w:lineRule="auto"/>
        <w:ind w:firstLine="426"/>
        <w:rPr>
          <w:rFonts w:eastAsiaTheme="minorEastAsia"/>
          <w:sz w:val="24"/>
        </w:rPr>
      </w:pPr>
      <w:r>
        <w:rPr>
          <w:rFonts w:hint="eastAsia" w:eastAsiaTheme="minorEastAsia"/>
          <w:sz w:val="24"/>
        </w:rPr>
        <w:t>按照农业农村部统一部署，7月17日—19日，农业农村部渔业安全生产第三督查组赴福建省开展督导检查和应急管理工作调研。</w:t>
      </w:r>
    </w:p>
    <w:p>
      <w:pPr>
        <w:spacing w:line="360" w:lineRule="auto"/>
        <w:ind w:firstLine="426"/>
        <w:rPr>
          <w:rFonts w:eastAsiaTheme="minorEastAsia"/>
          <w:sz w:val="24"/>
        </w:rPr>
      </w:pPr>
      <w:r>
        <w:rPr>
          <w:rFonts w:hint="eastAsia" w:eastAsiaTheme="minorEastAsia"/>
          <w:sz w:val="24"/>
        </w:rPr>
        <w:t>督查组采取分组工作、听取汇报、座谈交流、实地查访等方式，深入福建省福州、厦门、漳州等3市2县开展督查，并调研了省市县三级渔业安全应急中心及船管站管理运行情况。督查过程中，督查组现场点验渔船船位、查阅档案、拨打“95166”电话，检查渔船编组生产、船东船长责任落实和应急中心值守情况，并随机暗访登检了澳角、山前2座渔港的5艘渔船，检查渔船安全设施设备。</w:t>
      </w:r>
    </w:p>
    <w:p>
      <w:pPr>
        <w:spacing w:line="360" w:lineRule="auto"/>
        <w:ind w:firstLine="426"/>
        <w:rPr>
          <w:rFonts w:eastAsiaTheme="minorEastAsia"/>
          <w:sz w:val="24"/>
        </w:rPr>
      </w:pPr>
      <w:r>
        <w:rPr>
          <w:rFonts w:hint="eastAsia" w:eastAsiaTheme="minorEastAsia"/>
          <w:sz w:val="24"/>
        </w:rPr>
        <w:t>督查组充分肯定了福建省在乡镇船舶纳管、加强异地渔船监管和风险隐患排查整改等方面的工作成效，指出了部分地方存在的渔船本质安全水平不高、船东船长主体责任落实不到位、基层监管能力有待提升等问题。督查组强调要进一步压紧压实渔业部门监管责任和船东船长主体责任，健全责任体系链条，狠抓安全隐患排查和整改落实，持续深化应急体系建设，切实提升渔业本质安全水平。相关问题已及时反馈地方渔业部门。</w:t>
      </w:r>
    </w:p>
    <w:p>
      <w:pPr>
        <w:spacing w:line="360" w:lineRule="auto"/>
        <w:ind w:firstLine="426"/>
        <w:rPr>
          <w:rFonts w:eastAsiaTheme="minorEastAsia"/>
          <w:sz w:val="24"/>
        </w:rPr>
      </w:pPr>
      <w:r>
        <w:rPr>
          <w:rFonts w:hint="eastAsia" w:eastAsiaTheme="minorEastAsia"/>
          <w:sz w:val="24"/>
        </w:rPr>
        <w:t>期间，督查组还赴福建海洋职业技术学院调研了渔业船员培训机构建设情况。</w:t>
      </w:r>
    </w:p>
    <w:p>
      <w:pPr>
        <w:spacing w:line="360" w:lineRule="auto"/>
        <w:ind w:firstLine="420"/>
        <w:jc w:val="right"/>
        <w:rPr>
          <w:rStyle w:val="96"/>
          <w:rFonts w:eastAsiaTheme="minorEastAsia"/>
          <w:szCs w:val="21"/>
        </w:rPr>
      </w:pPr>
      <w:r>
        <w:rPr>
          <w:rStyle w:val="96"/>
          <w:rFonts w:eastAsiaTheme="minorEastAsia"/>
          <w:szCs w:val="21"/>
        </w:rPr>
        <w:t>转摘</w:t>
      </w:r>
      <w:r>
        <w:rPr>
          <w:rStyle w:val="96"/>
          <w:rFonts w:hint="eastAsia" w:eastAsiaTheme="minorEastAsia"/>
          <w:szCs w:val="21"/>
        </w:rPr>
        <w:t>自中国渔政</w:t>
      </w:r>
    </w:p>
    <w:p>
      <w:pPr>
        <w:jc w:val="center"/>
        <w:outlineLvl w:val="1"/>
        <w:rPr>
          <w:rFonts w:eastAsiaTheme="minorEastAsia"/>
          <w:sz w:val="24"/>
        </w:rPr>
      </w:pPr>
      <w:bookmarkStart w:id="9" w:name="_Toc206013192"/>
      <w:r>
        <w:rPr>
          <w:rFonts w:hint="eastAsia" w:eastAsia="黑体"/>
          <w:b/>
          <w:bCs/>
          <w:sz w:val="32"/>
          <w:szCs w:val="32"/>
        </w:rPr>
        <w:t>农业农村部渔业渔政管理局视频调度开渔前渔业安全生产工作情况</w:t>
      </w:r>
      <w:bookmarkEnd w:id="9"/>
    </w:p>
    <w:p>
      <w:pPr>
        <w:spacing w:line="360" w:lineRule="auto"/>
        <w:ind w:firstLine="426"/>
        <w:rPr>
          <w:rFonts w:eastAsiaTheme="minorEastAsia"/>
          <w:sz w:val="24"/>
        </w:rPr>
      </w:pPr>
      <w:r>
        <w:rPr>
          <w:rFonts w:hint="eastAsia" w:eastAsiaTheme="minorEastAsia"/>
          <w:sz w:val="24"/>
        </w:rPr>
        <w:t>为深入贯彻落实习近平总书记关于安全生产和防汛救灾重要指示批示精神，落实农业农村部相关工作部署，8月12日，渔业渔政管理局对渔业安全生产工作进行视频调度，上海、江苏、浙江、福建、广东、广西、海南7个省份渔业主管部门负责同志线上交流发言。</w:t>
      </w:r>
    </w:p>
    <w:p>
      <w:pPr>
        <w:spacing w:line="360" w:lineRule="auto"/>
        <w:ind w:firstLine="426"/>
        <w:rPr>
          <w:rFonts w:eastAsiaTheme="minorEastAsia"/>
          <w:sz w:val="24"/>
        </w:rPr>
      </w:pPr>
      <w:r>
        <w:rPr>
          <w:rFonts w:hint="eastAsia" w:eastAsiaTheme="minorEastAsia"/>
          <w:sz w:val="24"/>
        </w:rPr>
        <w:t>渔业渔政管理局指出，当前正值“七下八上”防汛救灾与南海及部分东海开渔在即的双重叠加期，渔业安全生产形势严峻复杂；强调，要扎实做好开渔前后渔业安全生产工作，以“四个强化”筑牢安全防线。一是强化出海前隐患排查，建立健全“自查—抽查—整改”闭环制度，重点检查10人以上渔船、异地作业及老旧渔船，坚决落实“不安全不出海”。二是强化“依港管船”，要求各地将执法力量向渔港倾斜，落实大中型渔船进出渔港报告制度；完善船籍港与靠泊港协同监管机制，严防渔船脱管失管。三是强化海上监测预警与应急处置，加强北斗、AIS在线情况动态监控；严格执行24小时应急值守，确保应急处置及时高效。四是强化各方责任落实，推动地方政府压实属地责任，配强监管力量；加强船东船员警示教育，督促船东船长落实主体责任。</w:t>
      </w:r>
    </w:p>
    <w:p>
      <w:pPr>
        <w:spacing w:line="360" w:lineRule="auto"/>
        <w:ind w:firstLine="420"/>
        <w:jc w:val="right"/>
        <w:rPr>
          <w:rStyle w:val="96"/>
          <w:rFonts w:eastAsiaTheme="minorEastAsia"/>
          <w:szCs w:val="21"/>
        </w:rPr>
      </w:pPr>
      <w:r>
        <w:rPr>
          <w:rStyle w:val="96"/>
          <w:rFonts w:eastAsiaTheme="minorEastAsia"/>
          <w:szCs w:val="21"/>
        </w:rPr>
        <w:t>转摘</w:t>
      </w:r>
      <w:r>
        <w:rPr>
          <w:rStyle w:val="96"/>
          <w:rFonts w:hint="eastAsia" w:eastAsiaTheme="minorEastAsia"/>
          <w:szCs w:val="21"/>
        </w:rPr>
        <w:t>自农业农村部渔业渔政管理局</w:t>
      </w:r>
    </w:p>
    <w:p>
      <w:pPr>
        <w:jc w:val="center"/>
        <w:outlineLvl w:val="1"/>
        <w:rPr>
          <w:rFonts w:eastAsiaTheme="minorEastAsia"/>
          <w:sz w:val="24"/>
        </w:rPr>
      </w:pPr>
      <w:bookmarkStart w:id="10" w:name="_Toc206013193"/>
      <w:r>
        <w:rPr>
          <w:rFonts w:hint="eastAsia" w:eastAsia="黑体"/>
          <w:b/>
          <w:bCs/>
          <w:sz w:val="32"/>
          <w:szCs w:val="32"/>
        </w:rPr>
        <w:t>2022—2024年度全国农牧渔业丰收奖开始申报</w:t>
      </w:r>
      <w:bookmarkEnd w:id="10"/>
    </w:p>
    <w:p>
      <w:pPr>
        <w:spacing w:line="360" w:lineRule="auto"/>
        <w:ind w:firstLine="426"/>
        <w:rPr>
          <w:rFonts w:eastAsiaTheme="minorEastAsia"/>
          <w:sz w:val="24"/>
        </w:rPr>
      </w:pPr>
      <w:r>
        <w:rPr>
          <w:rFonts w:hint="eastAsia" w:eastAsiaTheme="minorEastAsia"/>
          <w:sz w:val="24"/>
        </w:rPr>
        <w:t>为深入贯彻落实《中华人民共和国农业技术推广法》，调动广大农业科技人员的积极性和创造性，加快推进农业科技成果转化应用，助力农业农村现代化、乡村全面振兴和农业强国建设，根据新修订的《全国农牧渔业丰收奖奖励办法》，农业农村部决定组织开展2022—2024年度全国农牧渔业丰收奖（以下简称“丰收奖”）申报与奖励工作。</w:t>
      </w:r>
    </w:p>
    <w:p>
      <w:pPr>
        <w:spacing w:line="360" w:lineRule="auto"/>
        <w:ind w:firstLine="426"/>
        <w:rPr>
          <w:rFonts w:eastAsiaTheme="minorEastAsia"/>
          <w:sz w:val="24"/>
        </w:rPr>
      </w:pPr>
      <w:r>
        <w:rPr>
          <w:rFonts w:hint="eastAsia" w:eastAsiaTheme="minorEastAsia"/>
          <w:sz w:val="24"/>
        </w:rPr>
        <w:t>全国农牧渔业丰收奖，是经国务院批准设立的省部级奖项，开始于1987年，每三年开展一次，主要用于奖励在农业技术推广活动中作出突出贡献的集体和个人。</w:t>
      </w:r>
    </w:p>
    <w:p>
      <w:pPr>
        <w:spacing w:line="360" w:lineRule="auto"/>
        <w:ind w:firstLine="426"/>
        <w:rPr>
          <w:rFonts w:eastAsiaTheme="minorEastAsia"/>
          <w:sz w:val="24"/>
        </w:rPr>
      </w:pPr>
    </w:p>
    <w:p>
      <w:pPr>
        <w:spacing w:line="360" w:lineRule="auto"/>
        <w:rPr>
          <w:rFonts w:eastAsiaTheme="minorEastAsia"/>
          <w:sz w:val="24"/>
        </w:rPr>
      </w:pPr>
      <w:r>
        <w:rPr>
          <w:rFonts w:hint="eastAsia" w:eastAsiaTheme="minorEastAsia"/>
          <w:sz w:val="24"/>
        </w:rPr>
        <w:t xml:space="preserve">一、奖励范围和数量 </w:t>
      </w:r>
    </w:p>
    <w:p>
      <w:pPr>
        <w:spacing w:line="360" w:lineRule="auto"/>
        <w:ind w:firstLine="426"/>
        <w:rPr>
          <w:rFonts w:eastAsiaTheme="minorEastAsia"/>
          <w:sz w:val="24"/>
        </w:rPr>
      </w:pPr>
      <w:r>
        <w:rPr>
          <w:rFonts w:hint="eastAsia" w:eastAsiaTheme="minorEastAsia"/>
          <w:sz w:val="24"/>
        </w:rPr>
        <w:t>丰收奖包括农业技术推广成果奖、农业技术推广贡献奖和农业技术推广合作奖三种奖项。</w:t>
      </w:r>
    </w:p>
    <w:p>
      <w:pPr>
        <w:spacing w:line="360" w:lineRule="auto"/>
        <w:ind w:firstLine="426"/>
        <w:rPr>
          <w:rFonts w:eastAsiaTheme="minorEastAsia"/>
          <w:sz w:val="24"/>
        </w:rPr>
      </w:pPr>
      <w:r>
        <w:rPr>
          <w:rFonts w:hint="eastAsia" w:eastAsiaTheme="minorEastAsia"/>
          <w:sz w:val="24"/>
        </w:rPr>
        <w:t xml:space="preserve">农业技术推广成果奖（以下简称“成果奖”）奖励推动农业科技创新和产业创新深度融合，在农业技术集成熟化与推广应用活动中形成的具有显著经济、社会和生态效益的成果，鼓励推荐粮油作物大面积提单产等支撑“三农”重点工作的成果，本次奖励不超过400项，其中一等奖约占15%，二等奖约占40%，三等奖约占45%。 </w:t>
      </w:r>
    </w:p>
    <w:p>
      <w:pPr>
        <w:spacing w:line="360" w:lineRule="auto"/>
        <w:ind w:firstLine="426"/>
        <w:rPr>
          <w:rFonts w:eastAsiaTheme="minorEastAsia"/>
          <w:sz w:val="24"/>
        </w:rPr>
      </w:pPr>
      <w:r>
        <w:rPr>
          <w:rFonts w:hint="eastAsia" w:eastAsiaTheme="minorEastAsia"/>
          <w:sz w:val="24"/>
        </w:rPr>
        <w:t xml:space="preserve">农业技术推广贡献奖（以下简称“贡献奖”）奖励长期在农业生产一线（含境外）从事技术推广并作出突出贡献的各级国家农业技术推广机构人员、科研教学等单位从事农业技术推广工作的科技人员，以及农业企业、农民专业合作社、家庭农场、农业社会化服务主体等组织的技术人员，本次奖励不超过500人，其中县级及以下人员占70%以上。 </w:t>
      </w:r>
    </w:p>
    <w:p>
      <w:pPr>
        <w:spacing w:line="360" w:lineRule="auto"/>
        <w:ind w:firstLine="426"/>
        <w:rPr>
          <w:rFonts w:eastAsiaTheme="minorEastAsia"/>
          <w:sz w:val="24"/>
        </w:rPr>
      </w:pPr>
      <w:r>
        <w:rPr>
          <w:rFonts w:hint="eastAsia" w:eastAsiaTheme="minorEastAsia"/>
          <w:sz w:val="24"/>
        </w:rPr>
        <w:t>农业技术推广合作奖(以下简称“合作奖”)奖励在农业技术推广活动中联合协作并在机制创新等方面作出重要贡献的农科教､产学研､相关组织等合作团队</w:t>
      </w:r>
      <w:r>
        <w:rPr>
          <w:rFonts w:eastAsiaTheme="minorEastAsia"/>
          <w:sz w:val="24"/>
        </w:rPr>
        <w:t>,</w:t>
      </w:r>
      <w:r>
        <w:rPr>
          <w:rFonts w:hint="eastAsia" w:eastAsiaTheme="minorEastAsia"/>
          <w:sz w:val="24"/>
        </w:rPr>
        <w:t>本次奖励不超过20个｡</w:t>
      </w:r>
    </w:p>
    <w:p>
      <w:pPr>
        <w:spacing w:line="360" w:lineRule="auto"/>
        <w:ind w:firstLine="426"/>
        <w:rPr>
          <w:rFonts w:eastAsiaTheme="minorEastAsia"/>
          <w:sz w:val="24"/>
        </w:rPr>
      </w:pPr>
      <w:r>
        <w:rPr>
          <w:rFonts w:hint="eastAsia" w:eastAsiaTheme="minorEastAsia"/>
          <w:sz w:val="24"/>
        </w:rPr>
        <w:t xml:space="preserve">贡献奖和合作奖不分奖励等级，按丰收奖一等奖对待。 </w:t>
      </w:r>
    </w:p>
    <w:p>
      <w:pPr>
        <w:spacing w:line="360" w:lineRule="auto"/>
        <w:ind w:firstLine="426"/>
        <w:rPr>
          <w:rFonts w:eastAsiaTheme="minorEastAsia"/>
          <w:sz w:val="24"/>
        </w:rPr>
      </w:pPr>
      <w:r>
        <w:rPr>
          <w:rFonts w:hint="eastAsia" w:eastAsiaTheme="minorEastAsia"/>
          <w:sz w:val="24"/>
        </w:rPr>
        <w:t xml:space="preserve">2022—2024年度丰收奖各奖项按照实际奖励名额与推荐名额1∶1.5左右的比例分配至各推荐单位，请各推荐单位登录“全国农牧渔业丰收奖申报与服务平台”（网址：http://njtg.nercita.org.cn）查询。 </w:t>
      </w:r>
    </w:p>
    <w:p>
      <w:pPr>
        <w:spacing w:line="360" w:lineRule="auto"/>
        <w:rPr>
          <w:rFonts w:eastAsiaTheme="minorEastAsia"/>
          <w:sz w:val="24"/>
        </w:rPr>
      </w:pPr>
      <w:r>
        <w:rPr>
          <w:rFonts w:hint="eastAsia" w:eastAsiaTheme="minorEastAsia"/>
          <w:sz w:val="24"/>
        </w:rPr>
        <w:t xml:space="preserve">二、评审标准和申报条件 </w:t>
      </w:r>
    </w:p>
    <w:p>
      <w:pPr>
        <w:spacing w:line="360" w:lineRule="auto"/>
        <w:ind w:firstLine="426"/>
        <w:rPr>
          <w:rFonts w:eastAsiaTheme="minorEastAsia"/>
          <w:sz w:val="24"/>
        </w:rPr>
      </w:pPr>
      <w:r>
        <w:rPr>
          <w:rFonts w:hint="eastAsia" w:eastAsiaTheme="minorEastAsia"/>
          <w:sz w:val="24"/>
        </w:rPr>
        <w:t xml:space="preserve">（一）成果奖 </w:t>
      </w:r>
    </w:p>
    <w:p>
      <w:pPr>
        <w:spacing w:line="360" w:lineRule="auto"/>
        <w:ind w:firstLine="426"/>
        <w:rPr>
          <w:rFonts w:eastAsiaTheme="minorEastAsia"/>
          <w:sz w:val="24"/>
        </w:rPr>
      </w:pPr>
      <w:r>
        <w:rPr>
          <w:rFonts w:hint="eastAsia" w:eastAsiaTheme="minorEastAsia"/>
          <w:sz w:val="24"/>
        </w:rPr>
        <w:t xml:space="preserve">1. 一等奖评审标准。技术集成创新、熟化转化、推广应用能力很强；推广范围很广、规模很大、普及应用率很高，连续推广3年以上；推广方式方法与机制有重大创新；推进产业发展、乡村振兴，经济效益、社会效益和生态效益巨大，推动农业增效益、农民增收入、农村增活力作用很显著。 </w:t>
      </w:r>
    </w:p>
    <w:p>
      <w:pPr>
        <w:spacing w:line="360" w:lineRule="auto"/>
        <w:ind w:firstLine="426"/>
        <w:rPr>
          <w:rFonts w:eastAsiaTheme="minorEastAsia"/>
          <w:sz w:val="24"/>
        </w:rPr>
      </w:pPr>
      <w:r>
        <w:rPr>
          <w:rFonts w:hint="eastAsia" w:eastAsiaTheme="minorEastAsia"/>
          <w:sz w:val="24"/>
        </w:rPr>
        <w:t xml:space="preserve">2. 二、三等奖评审标准。技术集成创新、熟化转化、推广应用能力较强；推广范围广、规模大、普及应用率较高，连续推广3年以上；推广方式方法与机制有创新；推进产业发展、乡村振兴，经济效益、社会效益和生态效益大，推动农业增效益、农民增收入、农村增活力作用显著。 </w:t>
      </w:r>
    </w:p>
    <w:p>
      <w:pPr>
        <w:spacing w:line="360" w:lineRule="auto"/>
        <w:ind w:firstLine="426"/>
        <w:rPr>
          <w:rFonts w:eastAsiaTheme="minorEastAsia"/>
          <w:sz w:val="24"/>
        </w:rPr>
      </w:pPr>
      <w:r>
        <w:rPr>
          <w:rFonts w:hint="eastAsia" w:eastAsiaTheme="minorEastAsia"/>
          <w:sz w:val="24"/>
        </w:rPr>
        <w:t xml:space="preserve">3. 申报条件。申报成果奖的项目，为近3年内大范围推广应用的成果；推广活动中涉及的物化成果、生产规程等符合有关规定，不会造成农产品质量安全风险；具有推广应用证明；无重复报奖内容；成果无争议；产权明晰，无知识产权纠纷。 </w:t>
      </w:r>
    </w:p>
    <w:p>
      <w:pPr>
        <w:spacing w:line="360" w:lineRule="auto"/>
        <w:ind w:firstLine="426"/>
        <w:rPr>
          <w:rFonts w:eastAsiaTheme="minorEastAsia"/>
          <w:sz w:val="24"/>
        </w:rPr>
      </w:pPr>
      <w:r>
        <w:rPr>
          <w:rFonts w:hint="eastAsia" w:eastAsiaTheme="minorEastAsia"/>
          <w:sz w:val="24"/>
        </w:rPr>
        <w:t xml:space="preserve">（二）贡献奖 </w:t>
      </w:r>
    </w:p>
    <w:p>
      <w:pPr>
        <w:spacing w:line="360" w:lineRule="auto"/>
        <w:ind w:firstLine="426"/>
        <w:rPr>
          <w:rFonts w:eastAsiaTheme="minorEastAsia"/>
          <w:sz w:val="24"/>
        </w:rPr>
      </w:pPr>
      <w:r>
        <w:rPr>
          <w:rFonts w:hint="eastAsia" w:eastAsiaTheme="minorEastAsia"/>
          <w:sz w:val="24"/>
        </w:rPr>
        <w:t xml:space="preserve">1. 评审标准。为服务区域引进推广重大农业技术3项以上（其中，近3年来不少于1项），形成技术规范，普及应用范围广；示范推广重大集成技术，区域内具有独特性和引领性，并取得显著的经济效益、社会效益和生态效益；在创新基层农技推广方式方法和服务机制、培育新型农业经营主体和农业社会化服务主体、发展特色农业、加强农业生态环境保护等方面业绩突出；在防灾救灾减灾工作中发挥重大作用，为保障粮食和重要农产品稳定安全供给作出突出贡献。 </w:t>
      </w:r>
    </w:p>
    <w:p>
      <w:pPr>
        <w:spacing w:line="360" w:lineRule="auto"/>
        <w:ind w:firstLine="426"/>
        <w:rPr>
          <w:rFonts w:eastAsiaTheme="minorEastAsia"/>
          <w:sz w:val="24"/>
        </w:rPr>
      </w:pPr>
      <w:r>
        <w:rPr>
          <w:rFonts w:hint="eastAsia" w:eastAsiaTheme="minorEastAsia"/>
          <w:sz w:val="24"/>
        </w:rPr>
        <w:t xml:space="preserve">2. 申报条件。申报贡献奖的人员，要热爱祖国，拥护中国共产党领导，遵纪守法，具有良好的职业道德和社会公德；精通业务，常年深入生产一线开展服务，无技术事故或连带责任，为服务区域农业增效益、农民增收入、农村增活力作出突出贡献；得到服务区域农民群众的广泛认可；县级及以下国家农业技术推广机构人员须从事农业技术推广工作累计15年以上（不含以行政编制身份从事农业技术推广工作时间），常年有三分之二以上的工作时间在生产一线从事技术推广服务；地市级及以上国家农业技术推广机构人员须从事农业技术推广工作累计10年以上，常年有二分之一以上的工作时间在生产一线从事技术推广服务；科研教学等单位从事农业技术推广工作的科技人员，农业企业、农民专业合作社、家庭农场、农业社会化服务主体等组织的技术人员，须从事农业技术推广工作累计5年以上，常年有三分之二的工作时间在生产一线从事技术推广服务。 </w:t>
      </w:r>
    </w:p>
    <w:p>
      <w:pPr>
        <w:spacing w:line="360" w:lineRule="auto"/>
        <w:ind w:firstLine="426"/>
        <w:rPr>
          <w:rFonts w:eastAsiaTheme="minorEastAsia"/>
          <w:sz w:val="24"/>
        </w:rPr>
      </w:pPr>
      <w:r>
        <w:rPr>
          <w:rFonts w:hint="eastAsia" w:eastAsiaTheme="minorEastAsia"/>
          <w:sz w:val="24"/>
        </w:rPr>
        <w:t xml:space="preserve">曾获贡献奖的人员不得重复申报。 </w:t>
      </w:r>
    </w:p>
    <w:p>
      <w:pPr>
        <w:spacing w:line="360" w:lineRule="auto"/>
        <w:ind w:firstLine="426"/>
        <w:rPr>
          <w:rFonts w:eastAsiaTheme="minorEastAsia"/>
          <w:sz w:val="24"/>
        </w:rPr>
      </w:pPr>
      <w:r>
        <w:rPr>
          <w:rFonts w:hint="eastAsia" w:eastAsiaTheme="minorEastAsia"/>
          <w:sz w:val="24"/>
        </w:rPr>
        <w:t xml:space="preserve">（三）合作奖 </w:t>
      </w:r>
    </w:p>
    <w:p>
      <w:pPr>
        <w:spacing w:line="360" w:lineRule="auto"/>
        <w:ind w:firstLine="426"/>
        <w:rPr>
          <w:rFonts w:eastAsiaTheme="minorEastAsia"/>
          <w:sz w:val="24"/>
        </w:rPr>
      </w:pPr>
      <w:r>
        <w:rPr>
          <w:rFonts w:hint="eastAsia" w:eastAsiaTheme="minorEastAsia"/>
          <w:sz w:val="24"/>
        </w:rPr>
        <w:t xml:space="preserve">1. 评审标准。连续多年合作开展农业技术推广工作，取得显著的经济效益、社会效益和生态效益；具有明确的目标任务、长效的协同推广机制，形成具有重要价值的农业技术推广模式；带动基层农业技术推广服务能力明显提升，对促进区域产业发展作出突出贡献。 </w:t>
      </w:r>
    </w:p>
    <w:p>
      <w:pPr>
        <w:spacing w:line="360" w:lineRule="auto"/>
        <w:ind w:firstLine="426"/>
        <w:rPr>
          <w:rFonts w:eastAsiaTheme="minorEastAsia"/>
          <w:sz w:val="24"/>
        </w:rPr>
      </w:pPr>
      <w:r>
        <w:rPr>
          <w:rFonts w:hint="eastAsia" w:eastAsiaTheme="minorEastAsia"/>
          <w:sz w:val="24"/>
        </w:rPr>
        <w:t xml:space="preserve">2. 申报条件。两个系统以上的单位在基层紧密合作开展农业技术推广活动；合作成果在推动绿色发展、产品品质提升、农业增效和农民增收中发挥突出作用，得到当地政府和农民的认可；连续合作3年以上。 </w:t>
      </w:r>
    </w:p>
    <w:p>
      <w:pPr>
        <w:spacing w:line="360" w:lineRule="auto"/>
        <w:rPr>
          <w:rFonts w:eastAsiaTheme="minorEastAsia"/>
          <w:sz w:val="24"/>
        </w:rPr>
      </w:pPr>
      <w:r>
        <w:rPr>
          <w:rFonts w:hint="eastAsia" w:eastAsiaTheme="minorEastAsia"/>
          <w:sz w:val="24"/>
        </w:rPr>
        <w:t xml:space="preserve">三、主要完成人和单位 </w:t>
      </w:r>
    </w:p>
    <w:p>
      <w:pPr>
        <w:spacing w:line="360" w:lineRule="auto"/>
        <w:ind w:firstLine="426"/>
        <w:rPr>
          <w:rFonts w:eastAsiaTheme="minorEastAsia"/>
          <w:sz w:val="24"/>
        </w:rPr>
      </w:pPr>
      <w:r>
        <w:rPr>
          <w:rFonts w:hint="eastAsia" w:eastAsiaTheme="minorEastAsia"/>
          <w:sz w:val="24"/>
        </w:rPr>
        <w:t xml:space="preserve">（一）成果奖主要完成人和主要完成单位 </w:t>
      </w:r>
    </w:p>
    <w:p>
      <w:pPr>
        <w:spacing w:line="360" w:lineRule="auto"/>
        <w:ind w:firstLine="426"/>
        <w:rPr>
          <w:rFonts w:eastAsiaTheme="minorEastAsia"/>
          <w:sz w:val="24"/>
        </w:rPr>
      </w:pPr>
      <w:r>
        <w:rPr>
          <w:rFonts w:hint="eastAsia" w:eastAsiaTheme="minorEastAsia"/>
          <w:sz w:val="24"/>
        </w:rPr>
        <w:t>1. 主要完成人。主要完成人最多25人；主要完成人必须参加成果实施周期一半以上，在技术集成、示范推广、咨询指导等方面作出重要贡献，须在申报材料中具体说明；主要完成人中县级及以下人员占比不得低于70%；主要完成人按照贡献大小排序，仅从事协调组织、事务管理或辅助服务的人员，不得作为主要完成人。填写主要完成人情况表，并由本人签名，所在单位盖章。</w:t>
      </w:r>
    </w:p>
    <w:p>
      <w:pPr>
        <w:spacing w:line="360" w:lineRule="auto"/>
        <w:ind w:firstLine="426"/>
        <w:rPr>
          <w:rFonts w:eastAsiaTheme="minorEastAsia"/>
          <w:sz w:val="24"/>
        </w:rPr>
      </w:pPr>
      <w:r>
        <w:rPr>
          <w:rFonts w:hint="eastAsia" w:eastAsiaTheme="minorEastAsia"/>
          <w:sz w:val="24"/>
        </w:rPr>
        <w:t>2. 主要完成单位。主要完成单位必须是在农业技术推广工作中作出突出贡献的单位，并且须具有法人资格；主要完成单位最多8个。</w:t>
      </w:r>
    </w:p>
    <w:p>
      <w:pPr>
        <w:spacing w:line="360" w:lineRule="auto"/>
        <w:ind w:firstLine="426"/>
        <w:rPr>
          <w:rFonts w:eastAsiaTheme="minorEastAsia"/>
          <w:sz w:val="24"/>
        </w:rPr>
      </w:pPr>
      <w:r>
        <w:rPr>
          <w:rFonts w:hint="eastAsia" w:eastAsiaTheme="minorEastAsia"/>
          <w:sz w:val="24"/>
        </w:rPr>
        <w:t>（二）合作奖主要完成人和单位</w:t>
      </w:r>
    </w:p>
    <w:p>
      <w:pPr>
        <w:spacing w:line="360" w:lineRule="auto"/>
        <w:ind w:firstLine="426"/>
        <w:rPr>
          <w:rFonts w:eastAsiaTheme="minorEastAsia"/>
          <w:sz w:val="24"/>
        </w:rPr>
      </w:pPr>
      <w:r>
        <w:rPr>
          <w:rFonts w:hint="eastAsia" w:eastAsiaTheme="minorEastAsia"/>
          <w:sz w:val="24"/>
        </w:rPr>
        <w:t>每个合作单位主要完成人不超过10人，主要完成人总数不超过30人；主要合作单位不得少于3个；主要完成人按照实际贡献大小排序，填写主要完成人情况表，并由本人签名，所在单位盖章。</w:t>
      </w:r>
    </w:p>
    <w:p>
      <w:pPr>
        <w:spacing w:line="360" w:lineRule="auto"/>
        <w:ind w:firstLine="426"/>
        <w:rPr>
          <w:rFonts w:eastAsiaTheme="minorEastAsia"/>
          <w:sz w:val="24"/>
        </w:rPr>
      </w:pPr>
      <w:r>
        <w:rPr>
          <w:rFonts w:hint="eastAsia" w:eastAsiaTheme="minorEastAsia"/>
          <w:sz w:val="24"/>
        </w:rPr>
        <w:t>行政机关、公务员不得申报丰收奖。一个人同一年度不得同时作为丰收奖两个及以上报奖项目的主要完成人。</w:t>
      </w:r>
    </w:p>
    <w:p>
      <w:pPr>
        <w:spacing w:line="360" w:lineRule="auto"/>
        <w:rPr>
          <w:rFonts w:eastAsiaTheme="minorEastAsia"/>
          <w:sz w:val="24"/>
        </w:rPr>
      </w:pPr>
      <w:r>
        <w:rPr>
          <w:rFonts w:hint="eastAsia" w:eastAsiaTheme="minorEastAsia"/>
          <w:sz w:val="24"/>
        </w:rPr>
        <w:t>四、成果奖效益测算</w:t>
      </w:r>
    </w:p>
    <w:p>
      <w:pPr>
        <w:spacing w:line="360" w:lineRule="auto"/>
        <w:ind w:firstLine="426"/>
        <w:rPr>
          <w:rFonts w:eastAsiaTheme="minorEastAsia"/>
          <w:sz w:val="24"/>
        </w:rPr>
      </w:pPr>
      <w:r>
        <w:rPr>
          <w:rFonts w:hint="eastAsia" w:eastAsiaTheme="minorEastAsia"/>
          <w:sz w:val="24"/>
        </w:rPr>
        <w:t>（一）经济效益测算包括成果产品总产量、带动增产量、产品收入总额、带动收入增长量、投入产出比、节省支出金额、产品附加值等方面；</w:t>
      </w:r>
    </w:p>
    <w:p>
      <w:pPr>
        <w:spacing w:line="360" w:lineRule="auto"/>
        <w:ind w:firstLine="426"/>
        <w:rPr>
          <w:rFonts w:eastAsiaTheme="minorEastAsia"/>
          <w:sz w:val="24"/>
        </w:rPr>
      </w:pPr>
      <w:r>
        <w:rPr>
          <w:rFonts w:hint="eastAsia" w:eastAsiaTheme="minorEastAsia"/>
          <w:sz w:val="24"/>
        </w:rPr>
        <w:t>（二）社会效益测算包括成果推广应用规模等；</w:t>
      </w:r>
    </w:p>
    <w:p>
      <w:pPr>
        <w:spacing w:line="360" w:lineRule="auto"/>
        <w:ind w:firstLine="426"/>
        <w:rPr>
          <w:rFonts w:eastAsiaTheme="minorEastAsia"/>
          <w:sz w:val="24"/>
        </w:rPr>
      </w:pPr>
      <w:r>
        <w:rPr>
          <w:rFonts w:hint="eastAsia" w:eastAsiaTheme="minorEastAsia"/>
          <w:sz w:val="24"/>
        </w:rPr>
        <w:t>（三）生态效益测算包括化肥、农药、农膜等农业投入品科学使用情况和残留减少量、农业源污染综合治理成效、产地环境改善等。</w:t>
      </w:r>
    </w:p>
    <w:p>
      <w:pPr>
        <w:spacing w:line="360" w:lineRule="auto"/>
        <w:rPr>
          <w:rFonts w:eastAsiaTheme="minorEastAsia"/>
          <w:sz w:val="24"/>
        </w:rPr>
      </w:pPr>
      <w:r>
        <w:rPr>
          <w:rFonts w:hint="eastAsia" w:eastAsiaTheme="minorEastAsia"/>
          <w:sz w:val="24"/>
        </w:rPr>
        <w:t xml:space="preserve">五、申报材料 </w:t>
      </w:r>
    </w:p>
    <w:p>
      <w:pPr>
        <w:spacing w:line="360" w:lineRule="auto"/>
        <w:ind w:firstLine="426"/>
        <w:rPr>
          <w:rFonts w:eastAsiaTheme="minorEastAsia"/>
          <w:sz w:val="24"/>
        </w:rPr>
      </w:pPr>
      <w:r>
        <w:rPr>
          <w:rFonts w:hint="eastAsia" w:eastAsiaTheme="minorEastAsia"/>
          <w:sz w:val="24"/>
        </w:rPr>
        <w:t xml:space="preserve">（一）成果奖 </w:t>
      </w:r>
    </w:p>
    <w:p>
      <w:pPr>
        <w:spacing w:line="360" w:lineRule="auto"/>
        <w:ind w:firstLine="426"/>
        <w:rPr>
          <w:rFonts w:eastAsiaTheme="minorEastAsia"/>
          <w:sz w:val="24"/>
        </w:rPr>
      </w:pPr>
      <w:r>
        <w:rPr>
          <w:rFonts w:hint="eastAsia" w:eastAsiaTheme="minorEastAsia"/>
          <w:sz w:val="24"/>
        </w:rPr>
        <w:t>申报成果奖须提供材料包括：</w:t>
      </w:r>
    </w:p>
    <w:p>
      <w:pPr>
        <w:spacing w:line="360" w:lineRule="auto"/>
        <w:ind w:firstLine="426"/>
        <w:rPr>
          <w:rFonts w:eastAsiaTheme="minorEastAsia"/>
          <w:sz w:val="24"/>
        </w:rPr>
      </w:pPr>
      <w:r>
        <w:rPr>
          <w:rFonts w:hint="eastAsia" w:eastAsiaTheme="minorEastAsia"/>
          <w:sz w:val="24"/>
        </w:rPr>
        <w:t>1. 农业技术推广成果奖申报书（附件1）；</w:t>
      </w:r>
    </w:p>
    <w:p>
      <w:pPr>
        <w:spacing w:line="360" w:lineRule="auto"/>
        <w:ind w:firstLine="426"/>
        <w:rPr>
          <w:rFonts w:eastAsiaTheme="minorEastAsia"/>
          <w:sz w:val="24"/>
        </w:rPr>
      </w:pPr>
      <w:r>
        <w:rPr>
          <w:rFonts w:hint="eastAsia" w:eastAsiaTheme="minorEastAsia"/>
          <w:sz w:val="24"/>
        </w:rPr>
        <w:t>2. 工作总结报告、技术总结报告；</w:t>
      </w:r>
    </w:p>
    <w:p>
      <w:pPr>
        <w:spacing w:line="360" w:lineRule="auto"/>
        <w:ind w:firstLine="426"/>
        <w:rPr>
          <w:rFonts w:eastAsiaTheme="minorEastAsia"/>
          <w:sz w:val="24"/>
        </w:rPr>
      </w:pPr>
      <w:r>
        <w:rPr>
          <w:rFonts w:hint="eastAsia" w:eastAsiaTheme="minorEastAsia"/>
          <w:sz w:val="24"/>
        </w:rPr>
        <w:t>3. 能有效体现成果水平和质量的材料；</w:t>
      </w:r>
    </w:p>
    <w:p>
      <w:pPr>
        <w:spacing w:line="360" w:lineRule="auto"/>
        <w:ind w:firstLine="426"/>
        <w:rPr>
          <w:rFonts w:eastAsiaTheme="minorEastAsia"/>
          <w:sz w:val="24"/>
        </w:rPr>
      </w:pPr>
      <w:r>
        <w:rPr>
          <w:rFonts w:hint="eastAsia" w:eastAsiaTheme="minorEastAsia"/>
          <w:sz w:val="24"/>
        </w:rPr>
        <w:t>4. 效益测算报告（含计算过程）；</w:t>
      </w:r>
    </w:p>
    <w:p>
      <w:pPr>
        <w:spacing w:line="360" w:lineRule="auto"/>
        <w:ind w:firstLine="426"/>
        <w:rPr>
          <w:rFonts w:eastAsiaTheme="minorEastAsia"/>
          <w:sz w:val="24"/>
        </w:rPr>
      </w:pPr>
      <w:r>
        <w:rPr>
          <w:rFonts w:hint="eastAsia" w:eastAsiaTheme="minorEastAsia"/>
          <w:sz w:val="24"/>
        </w:rPr>
        <w:t>5. 推广应用证明等材料。</w:t>
      </w:r>
    </w:p>
    <w:p>
      <w:pPr>
        <w:spacing w:line="360" w:lineRule="auto"/>
        <w:ind w:firstLine="426"/>
        <w:rPr>
          <w:rFonts w:eastAsiaTheme="minorEastAsia"/>
          <w:sz w:val="24"/>
        </w:rPr>
      </w:pPr>
      <w:r>
        <w:rPr>
          <w:rFonts w:hint="eastAsia" w:eastAsiaTheme="minorEastAsia"/>
          <w:sz w:val="24"/>
        </w:rPr>
        <w:t xml:space="preserve">（二）贡献奖 </w:t>
      </w:r>
    </w:p>
    <w:p>
      <w:pPr>
        <w:spacing w:line="360" w:lineRule="auto"/>
        <w:ind w:firstLine="426"/>
        <w:rPr>
          <w:rFonts w:eastAsiaTheme="minorEastAsia"/>
          <w:sz w:val="24"/>
        </w:rPr>
      </w:pPr>
      <w:r>
        <w:rPr>
          <w:rFonts w:hint="eastAsia" w:eastAsiaTheme="minorEastAsia"/>
          <w:sz w:val="24"/>
        </w:rPr>
        <w:t>申报贡献奖须提供材料包括：</w:t>
      </w:r>
    </w:p>
    <w:p>
      <w:pPr>
        <w:spacing w:line="360" w:lineRule="auto"/>
        <w:ind w:firstLine="426"/>
        <w:rPr>
          <w:rFonts w:eastAsiaTheme="minorEastAsia"/>
          <w:sz w:val="24"/>
        </w:rPr>
      </w:pPr>
      <w:r>
        <w:rPr>
          <w:rFonts w:hint="eastAsia" w:eastAsiaTheme="minorEastAsia"/>
          <w:sz w:val="24"/>
        </w:rPr>
        <w:t>1. 农业技术推广贡献奖申报书（附件2）；</w:t>
      </w:r>
    </w:p>
    <w:p>
      <w:pPr>
        <w:spacing w:line="360" w:lineRule="auto"/>
        <w:ind w:firstLine="426"/>
        <w:rPr>
          <w:rFonts w:eastAsiaTheme="minorEastAsia"/>
          <w:sz w:val="24"/>
        </w:rPr>
      </w:pPr>
      <w:r>
        <w:rPr>
          <w:rFonts w:hint="eastAsia" w:eastAsiaTheme="minorEastAsia"/>
          <w:sz w:val="24"/>
        </w:rPr>
        <w:t>2. 相关应用证明；</w:t>
      </w:r>
    </w:p>
    <w:p>
      <w:pPr>
        <w:spacing w:line="360" w:lineRule="auto"/>
        <w:ind w:firstLine="426"/>
        <w:rPr>
          <w:rFonts w:eastAsiaTheme="minorEastAsia"/>
          <w:sz w:val="24"/>
        </w:rPr>
      </w:pPr>
      <w:r>
        <w:rPr>
          <w:rFonts w:hint="eastAsia" w:eastAsiaTheme="minorEastAsia"/>
          <w:sz w:val="24"/>
        </w:rPr>
        <w:t>3. 其他相关证明材料。</w:t>
      </w:r>
    </w:p>
    <w:p>
      <w:pPr>
        <w:spacing w:line="360" w:lineRule="auto"/>
        <w:ind w:firstLine="426"/>
        <w:rPr>
          <w:rFonts w:eastAsiaTheme="minorEastAsia"/>
          <w:sz w:val="24"/>
        </w:rPr>
      </w:pPr>
      <w:r>
        <w:rPr>
          <w:rFonts w:hint="eastAsia" w:eastAsiaTheme="minorEastAsia"/>
          <w:sz w:val="24"/>
        </w:rPr>
        <w:t xml:space="preserve">（三）合作奖 </w:t>
      </w:r>
    </w:p>
    <w:p>
      <w:pPr>
        <w:spacing w:line="360" w:lineRule="auto"/>
        <w:ind w:firstLine="426"/>
        <w:rPr>
          <w:rFonts w:eastAsiaTheme="minorEastAsia"/>
          <w:sz w:val="24"/>
        </w:rPr>
      </w:pPr>
      <w:r>
        <w:rPr>
          <w:rFonts w:hint="eastAsia" w:eastAsiaTheme="minorEastAsia"/>
          <w:sz w:val="24"/>
        </w:rPr>
        <w:t>申报合作奖须提供材料包括：</w:t>
      </w:r>
    </w:p>
    <w:p>
      <w:pPr>
        <w:spacing w:line="360" w:lineRule="auto"/>
        <w:ind w:firstLine="426"/>
        <w:rPr>
          <w:rFonts w:eastAsiaTheme="minorEastAsia"/>
          <w:sz w:val="24"/>
        </w:rPr>
      </w:pPr>
      <w:r>
        <w:rPr>
          <w:rFonts w:hint="eastAsia" w:eastAsiaTheme="minorEastAsia"/>
          <w:sz w:val="24"/>
        </w:rPr>
        <w:t>1. 农业技术推广合作奖申报书（附件3）；</w:t>
      </w:r>
    </w:p>
    <w:p>
      <w:pPr>
        <w:spacing w:line="360" w:lineRule="auto"/>
        <w:ind w:firstLine="426"/>
        <w:rPr>
          <w:rFonts w:eastAsiaTheme="minorEastAsia"/>
          <w:sz w:val="24"/>
        </w:rPr>
      </w:pPr>
      <w:r>
        <w:rPr>
          <w:rFonts w:hint="eastAsia" w:eastAsiaTheme="minorEastAsia"/>
          <w:sz w:val="24"/>
        </w:rPr>
        <w:t>2. 工作总结报告；</w:t>
      </w:r>
    </w:p>
    <w:p>
      <w:pPr>
        <w:spacing w:line="360" w:lineRule="auto"/>
        <w:ind w:firstLine="426"/>
        <w:rPr>
          <w:rFonts w:eastAsiaTheme="minorEastAsia"/>
          <w:sz w:val="24"/>
        </w:rPr>
      </w:pPr>
      <w:r>
        <w:rPr>
          <w:rFonts w:hint="eastAsia" w:eastAsiaTheme="minorEastAsia"/>
          <w:sz w:val="24"/>
        </w:rPr>
        <w:t>3. 合作证明；</w:t>
      </w:r>
    </w:p>
    <w:p>
      <w:pPr>
        <w:spacing w:line="360" w:lineRule="auto"/>
        <w:ind w:firstLine="426"/>
        <w:rPr>
          <w:rFonts w:eastAsiaTheme="minorEastAsia"/>
          <w:sz w:val="24"/>
        </w:rPr>
      </w:pPr>
      <w:r>
        <w:rPr>
          <w:rFonts w:hint="eastAsia" w:eastAsiaTheme="minorEastAsia"/>
          <w:sz w:val="24"/>
        </w:rPr>
        <w:t>4. 相关应用证明；</w:t>
      </w:r>
    </w:p>
    <w:p>
      <w:pPr>
        <w:spacing w:line="360" w:lineRule="auto"/>
        <w:ind w:firstLine="426"/>
        <w:rPr>
          <w:rFonts w:eastAsiaTheme="minorEastAsia"/>
          <w:sz w:val="24"/>
        </w:rPr>
      </w:pPr>
      <w:r>
        <w:rPr>
          <w:rFonts w:hint="eastAsia" w:eastAsiaTheme="minorEastAsia"/>
          <w:sz w:val="24"/>
        </w:rPr>
        <w:t>5. 其他相关证明材料。</w:t>
      </w:r>
    </w:p>
    <w:p>
      <w:pPr>
        <w:spacing w:line="360" w:lineRule="auto"/>
        <w:rPr>
          <w:rFonts w:eastAsiaTheme="minorEastAsia"/>
          <w:sz w:val="24"/>
        </w:rPr>
      </w:pPr>
      <w:r>
        <w:rPr>
          <w:rFonts w:hint="eastAsia" w:eastAsiaTheme="minorEastAsia"/>
          <w:sz w:val="24"/>
        </w:rPr>
        <w:t>六、省级初评</w:t>
      </w:r>
    </w:p>
    <w:p>
      <w:pPr>
        <w:spacing w:line="360" w:lineRule="auto"/>
        <w:ind w:firstLine="426"/>
        <w:rPr>
          <w:rFonts w:eastAsiaTheme="minorEastAsia"/>
          <w:sz w:val="24"/>
        </w:rPr>
      </w:pPr>
      <w:r>
        <w:rPr>
          <w:rFonts w:hint="eastAsia" w:eastAsiaTheme="minorEastAsia"/>
          <w:sz w:val="24"/>
        </w:rPr>
        <w:t>各省、自治区、直辖市、计划单列市和新疆生产建设兵团农业农村厅（局、委）等牵头，会同农机、畜牧、兽医、农垦和渔业等部门成立丰收奖省级评审小组，负责本省（计划单列市、兵团）丰收奖的申报、初评、推荐和异议处理等工作。省级评审小组人员由农业推广､行政､科研､教学等单位专家</w:t>
      </w:r>
      <w:r>
        <w:rPr>
          <w:rFonts w:eastAsiaTheme="minorEastAsia"/>
          <w:sz w:val="24"/>
        </w:rPr>
        <w:t>7—9</w:t>
      </w:r>
      <w:r>
        <w:rPr>
          <w:rFonts w:hint="eastAsia" w:eastAsiaTheme="minorEastAsia"/>
          <w:sz w:val="24"/>
        </w:rPr>
        <w:t>人组成(其中行政管理人员不超过</w:t>
      </w:r>
      <w:r>
        <w:rPr>
          <w:rFonts w:eastAsiaTheme="minorEastAsia"/>
          <w:sz w:val="24"/>
        </w:rPr>
        <w:t>2</w:t>
      </w:r>
      <w:r>
        <w:rPr>
          <w:rFonts w:hint="eastAsia" w:eastAsiaTheme="minorEastAsia"/>
          <w:sz w:val="24"/>
        </w:rPr>
        <w:t>人,有关行业专家</w:t>
      </w:r>
      <w:r>
        <w:rPr>
          <w:rFonts w:eastAsiaTheme="minorEastAsia"/>
          <w:sz w:val="24"/>
        </w:rPr>
        <w:t>5—7</w:t>
      </w:r>
      <w:r>
        <w:rPr>
          <w:rFonts w:hint="eastAsia" w:eastAsiaTheme="minorEastAsia"/>
          <w:sz w:val="24"/>
        </w:rPr>
        <w:t>人</w:t>
      </w:r>
      <w:r>
        <w:rPr>
          <w:rFonts w:eastAsiaTheme="minorEastAsia"/>
          <w:sz w:val="24"/>
        </w:rPr>
        <w:t>)</w:t>
      </w:r>
      <w:r>
        <w:rPr>
          <w:rFonts w:hint="eastAsia" w:eastAsiaTheme="minorEastAsia"/>
          <w:sz w:val="24"/>
        </w:rPr>
        <w:t>｡省级评审小组人员名单报丰收奖奖励工作办公室</w:t>
      </w:r>
      <w:r>
        <w:rPr>
          <w:rFonts w:eastAsiaTheme="minorEastAsia"/>
          <w:sz w:val="24"/>
        </w:rPr>
        <w:t>(</w:t>
      </w:r>
      <w:r>
        <w:rPr>
          <w:rFonts w:hint="eastAsia" w:eastAsiaTheme="minorEastAsia"/>
          <w:sz w:val="24"/>
        </w:rPr>
        <w:t>设在农业农村部科学技术司</w:t>
      </w:r>
      <w:r>
        <w:rPr>
          <w:rFonts w:eastAsiaTheme="minorEastAsia"/>
          <w:sz w:val="24"/>
        </w:rPr>
        <w:t>)</w:t>
      </w:r>
      <w:r>
        <w:rPr>
          <w:rFonts w:hint="eastAsia" w:eastAsiaTheme="minorEastAsia"/>
          <w:sz w:val="24"/>
        </w:rPr>
        <w:t>备案｡</w:t>
      </w:r>
    </w:p>
    <w:p>
      <w:pPr>
        <w:spacing w:line="360" w:lineRule="auto"/>
        <w:ind w:firstLine="426"/>
        <w:rPr>
          <w:rFonts w:eastAsiaTheme="minorEastAsia"/>
          <w:sz w:val="24"/>
        </w:rPr>
      </w:pPr>
      <w:r>
        <w:rPr>
          <w:rFonts w:hint="eastAsia" w:eastAsiaTheme="minorEastAsia"/>
          <w:sz w:val="24"/>
        </w:rPr>
        <w:t>省级评审小组根据农业农村部分配的推荐名额和要求，组织开展本省（计划单列市、兵团）申报和初评工作。申报单位对申报项目（人、团队）进行为期3天的公示。初评结果须在本省（计划单列市、兵团）农业农村部门官网首页显著位置公示3天。</w:t>
      </w:r>
    </w:p>
    <w:p>
      <w:pPr>
        <w:spacing w:line="360" w:lineRule="auto"/>
        <w:ind w:firstLine="426"/>
        <w:rPr>
          <w:rFonts w:eastAsiaTheme="minorEastAsia"/>
          <w:sz w:val="24"/>
        </w:rPr>
      </w:pPr>
      <w:r>
        <w:rPr>
          <w:rFonts w:hint="eastAsia" w:eastAsiaTheme="minorEastAsia"/>
          <w:sz w:val="24"/>
        </w:rPr>
        <w:t>农业农村部部属有关单位等申报的丰收奖由所在单位组织农业推广、行政、科研、教学单位专家7—9人进行初评，并经单位领导班子集体研究后推荐上报。申报单位对申报项目（人、团队）进行为期3天的公示。初评结果须在本单位官网首页显著位置公示3天，无网站的单位在单位公告栏公示。</w:t>
      </w:r>
    </w:p>
    <w:p>
      <w:pPr>
        <w:spacing w:line="360" w:lineRule="auto"/>
        <w:rPr>
          <w:rFonts w:eastAsiaTheme="minorEastAsia"/>
          <w:sz w:val="24"/>
        </w:rPr>
      </w:pPr>
      <w:r>
        <w:rPr>
          <w:rFonts w:hint="eastAsia" w:eastAsiaTheme="minorEastAsia"/>
          <w:sz w:val="24"/>
        </w:rPr>
        <w:t xml:space="preserve">七、异议处理 </w:t>
      </w:r>
    </w:p>
    <w:p>
      <w:pPr>
        <w:spacing w:line="360" w:lineRule="auto"/>
        <w:ind w:firstLine="426"/>
        <w:rPr>
          <w:rFonts w:eastAsiaTheme="minorEastAsia"/>
          <w:sz w:val="24"/>
        </w:rPr>
      </w:pPr>
      <w:r>
        <w:rPr>
          <w:rFonts w:hint="eastAsia" w:eastAsiaTheme="minorEastAsia"/>
          <w:sz w:val="24"/>
        </w:rPr>
        <w:t>丰收奖奖励工作办公室组织完成评审后，将对评审结果进行公示。任何单位或者个人可在评审结果公示期间向丰收奖奖励工作办公室提出书面异议，同时必须提供相关的证明材料。单位提出异议的，应在异议材料上加盖公章并注明联系方式；个人提出异议的，需写明工作单位和联系方式，签署真实姓名。逾期提出或者不符合要求的异议不予受理。奖励等级不属于异议范围。</w:t>
      </w:r>
    </w:p>
    <w:p>
      <w:pPr>
        <w:spacing w:line="360" w:lineRule="auto"/>
        <w:ind w:firstLine="426"/>
        <w:rPr>
          <w:rFonts w:eastAsiaTheme="minorEastAsia"/>
          <w:sz w:val="24"/>
        </w:rPr>
      </w:pPr>
      <w:r>
        <w:rPr>
          <w:rFonts w:hint="eastAsia" w:eastAsiaTheme="minorEastAsia"/>
          <w:sz w:val="24"/>
        </w:rPr>
        <w:t xml:space="preserve">异议自评审结果公示之日起20个工作日内未处理完毕的，取消候选项目（人、团队）本次获奖资格；20个工作日以后处理完毕且无异议的，以后可重新申报。 </w:t>
      </w:r>
    </w:p>
    <w:p>
      <w:pPr>
        <w:spacing w:line="360" w:lineRule="auto"/>
        <w:rPr>
          <w:rFonts w:eastAsiaTheme="minorEastAsia"/>
          <w:sz w:val="24"/>
        </w:rPr>
      </w:pPr>
      <w:r>
        <w:rPr>
          <w:rFonts w:hint="eastAsia" w:eastAsiaTheme="minorEastAsia"/>
          <w:sz w:val="24"/>
        </w:rPr>
        <w:t xml:space="preserve">八、其他有关要求 </w:t>
      </w:r>
    </w:p>
    <w:p>
      <w:pPr>
        <w:spacing w:line="360" w:lineRule="auto"/>
        <w:ind w:firstLine="426"/>
        <w:rPr>
          <w:rFonts w:eastAsiaTheme="minorEastAsia"/>
          <w:sz w:val="24"/>
        </w:rPr>
      </w:pPr>
      <w:r>
        <w:rPr>
          <w:rFonts w:hint="eastAsia" w:eastAsiaTheme="minorEastAsia"/>
          <w:sz w:val="24"/>
        </w:rPr>
        <w:t xml:space="preserve">（一）各推荐单位要高度重视丰收奖申报工作，严格按照本通知要求组织申报。丰收奖申报材料形式审查不合格的不予补正。 </w:t>
      </w:r>
    </w:p>
    <w:p>
      <w:pPr>
        <w:spacing w:line="360" w:lineRule="auto"/>
        <w:ind w:firstLine="426"/>
        <w:rPr>
          <w:rFonts w:eastAsiaTheme="minorEastAsia"/>
          <w:sz w:val="24"/>
        </w:rPr>
      </w:pPr>
      <w:r>
        <w:rPr>
          <w:rFonts w:hint="eastAsia" w:eastAsiaTheme="minorEastAsia"/>
          <w:sz w:val="24"/>
        </w:rPr>
        <w:t xml:space="preserve">（二）各推荐单位推荐的贡献奖应符合“县级及以下人员占70%以上”的要求。 </w:t>
      </w:r>
    </w:p>
    <w:p>
      <w:pPr>
        <w:spacing w:line="360" w:lineRule="auto"/>
        <w:ind w:firstLine="426"/>
        <w:rPr>
          <w:rFonts w:eastAsiaTheme="minorEastAsia"/>
          <w:sz w:val="24"/>
        </w:rPr>
      </w:pPr>
      <w:r>
        <w:rPr>
          <w:rFonts w:hint="eastAsia" w:eastAsiaTheme="minorEastAsia"/>
          <w:sz w:val="24"/>
        </w:rPr>
        <w:t xml:space="preserve">（三）本次丰收奖申报全程线上办理，无须寄送纸质版材料。各推荐单位接到通知后，登录“全国农牧渔业丰收奖申报与服务平台”，于2025年9月1日前组织完成初评、公示及网上填报工作，网上填报9月1日18:00截止。推荐函、评审小组名单等上传系统。推荐函包括推荐项目数量、名称、第一完成单位、第一完成人、奖别、等级以及公示情况等内容，并附丰收奖推荐汇总表（附件4）。 </w:t>
      </w:r>
    </w:p>
    <w:p>
      <w:pPr>
        <w:spacing w:line="360" w:lineRule="auto"/>
        <w:ind w:firstLine="426"/>
        <w:rPr>
          <w:rFonts w:eastAsiaTheme="minorEastAsia"/>
          <w:sz w:val="24"/>
        </w:rPr>
      </w:pPr>
      <w:r>
        <w:rPr>
          <w:rFonts w:hint="eastAsia" w:eastAsiaTheme="minorEastAsia"/>
          <w:sz w:val="24"/>
        </w:rPr>
        <w:t xml:space="preserve">（四）各推荐单位完成初评后，及时组织通过初评的项目牵头单位或个人登录“全国农牧渔业丰收奖申报与服务平台”填报申报书、附件材料，填报后下载系统生成的申报书盖章，再将盖章后的申报书上传系统。 </w:t>
      </w:r>
    </w:p>
    <w:p>
      <w:pPr>
        <w:spacing w:line="360" w:lineRule="auto"/>
        <w:ind w:firstLine="426"/>
        <w:rPr>
          <w:rFonts w:eastAsiaTheme="minorEastAsia"/>
          <w:sz w:val="24"/>
        </w:rPr>
      </w:pPr>
      <w:r>
        <w:rPr>
          <w:rFonts w:hint="eastAsia" w:eastAsiaTheme="minorEastAsia"/>
          <w:sz w:val="24"/>
        </w:rPr>
        <w:t xml:space="preserve">（五）各推荐单位要严格落实中央八项规定及其实施细则精神、整治形式主义为基层减负要求。要确保成果数据资料真实可信，严肃抵制材料造假、“说情打招呼”“跑找要”等失信行为，引导监督被推荐者及所在单位恪守学术道德、遵守评审纪律，持续加强作风和学风建设，共同营造风清气正的评奖环境，维护评审公正性和严肃性。 </w:t>
      </w:r>
    </w:p>
    <w:p>
      <w:pPr>
        <w:spacing w:line="360" w:lineRule="auto"/>
        <w:rPr>
          <w:rFonts w:eastAsiaTheme="minorEastAsia"/>
          <w:sz w:val="24"/>
        </w:rPr>
      </w:pPr>
      <w:r>
        <w:rPr>
          <w:rFonts w:hint="eastAsia" w:eastAsiaTheme="minorEastAsia"/>
          <w:sz w:val="24"/>
        </w:rPr>
        <w:t xml:space="preserve">九、联系方式 </w:t>
      </w:r>
    </w:p>
    <w:p>
      <w:pPr>
        <w:spacing w:line="360" w:lineRule="auto"/>
        <w:ind w:firstLine="426"/>
        <w:rPr>
          <w:rFonts w:eastAsiaTheme="minorEastAsia"/>
          <w:sz w:val="24"/>
        </w:rPr>
      </w:pPr>
      <w:r>
        <w:rPr>
          <w:rFonts w:hint="eastAsia" w:eastAsiaTheme="minorEastAsia"/>
          <w:sz w:val="24"/>
        </w:rPr>
        <w:t xml:space="preserve">（一）中国农村技术开发中心 </w:t>
      </w:r>
    </w:p>
    <w:p>
      <w:pPr>
        <w:spacing w:line="360" w:lineRule="auto"/>
        <w:ind w:firstLine="426"/>
        <w:rPr>
          <w:rFonts w:eastAsiaTheme="minorEastAsia"/>
          <w:sz w:val="24"/>
        </w:rPr>
      </w:pPr>
      <w:r>
        <w:rPr>
          <w:rFonts w:hint="eastAsia" w:eastAsiaTheme="minorEastAsia"/>
          <w:sz w:val="24"/>
        </w:rPr>
        <w:t xml:space="preserve">联系电话：010－68510207 </w:t>
      </w:r>
    </w:p>
    <w:p>
      <w:pPr>
        <w:spacing w:line="360" w:lineRule="auto"/>
        <w:ind w:firstLine="426"/>
        <w:rPr>
          <w:rFonts w:eastAsiaTheme="minorEastAsia"/>
          <w:sz w:val="24"/>
        </w:rPr>
      </w:pPr>
      <w:r>
        <w:rPr>
          <w:rFonts w:hint="eastAsia" w:eastAsiaTheme="minorEastAsia"/>
          <w:sz w:val="24"/>
        </w:rPr>
        <w:t xml:space="preserve">（二）农业农村部科学技术司 </w:t>
      </w:r>
    </w:p>
    <w:p>
      <w:pPr>
        <w:spacing w:line="360" w:lineRule="auto"/>
        <w:ind w:firstLine="426"/>
        <w:rPr>
          <w:rFonts w:eastAsiaTheme="minorEastAsia"/>
          <w:sz w:val="24"/>
        </w:rPr>
      </w:pPr>
      <w:r>
        <w:rPr>
          <w:rFonts w:hint="eastAsia" w:eastAsiaTheme="minorEastAsia"/>
          <w:sz w:val="24"/>
        </w:rPr>
        <w:t xml:space="preserve">联系电话：010－59191946 </w:t>
      </w:r>
    </w:p>
    <w:p>
      <w:pPr>
        <w:spacing w:line="360" w:lineRule="auto"/>
        <w:ind w:firstLine="426"/>
        <w:rPr>
          <w:rFonts w:eastAsiaTheme="minorEastAsia"/>
          <w:sz w:val="24"/>
        </w:rPr>
      </w:pPr>
      <w:r>
        <w:rPr>
          <w:rFonts w:hint="eastAsia" w:eastAsiaTheme="minorEastAsia"/>
          <w:sz w:val="24"/>
        </w:rPr>
        <w:t xml:space="preserve">（三）全国农牧渔业丰收奖申报与服务平台技术支持 </w:t>
      </w:r>
    </w:p>
    <w:p>
      <w:pPr>
        <w:spacing w:line="360" w:lineRule="auto"/>
        <w:ind w:firstLine="426"/>
        <w:rPr>
          <w:rFonts w:eastAsiaTheme="minorEastAsia"/>
          <w:sz w:val="24"/>
        </w:rPr>
      </w:pPr>
      <w:r>
        <w:rPr>
          <w:rFonts w:hint="eastAsia" w:eastAsiaTheme="minorEastAsia"/>
          <w:sz w:val="24"/>
        </w:rPr>
        <w:t>联系电话：010－81128401/8406。</w:t>
      </w:r>
    </w:p>
    <w:p>
      <w:pPr>
        <w:spacing w:line="360" w:lineRule="auto"/>
        <w:ind w:firstLine="420"/>
        <w:jc w:val="right"/>
        <w:rPr>
          <w:rStyle w:val="96"/>
          <w:rFonts w:eastAsiaTheme="minorEastAsia"/>
          <w:szCs w:val="21"/>
        </w:rPr>
      </w:pPr>
      <w:r>
        <w:rPr>
          <w:rStyle w:val="96"/>
          <w:rFonts w:eastAsiaTheme="minorEastAsia"/>
          <w:szCs w:val="21"/>
        </w:rPr>
        <w:t>转摘</w:t>
      </w:r>
      <w:r>
        <w:rPr>
          <w:rStyle w:val="96"/>
          <w:rFonts w:hint="eastAsia" w:eastAsiaTheme="minorEastAsia"/>
          <w:szCs w:val="21"/>
        </w:rPr>
        <w:t>自农业农村部</w:t>
      </w:r>
    </w:p>
    <w:p>
      <w:pPr>
        <w:spacing w:line="360" w:lineRule="auto"/>
        <w:ind w:firstLine="420"/>
        <w:jc w:val="right"/>
        <w:rPr>
          <w:rStyle w:val="96"/>
          <w:rFonts w:eastAsiaTheme="minorEastAsia"/>
          <w:szCs w:val="21"/>
        </w:rPr>
      </w:pPr>
    </w:p>
    <w:p>
      <w:pPr>
        <w:spacing w:line="360" w:lineRule="auto"/>
        <w:ind w:firstLine="420"/>
        <w:jc w:val="right"/>
        <w:rPr>
          <w:rStyle w:val="96"/>
          <w:rFonts w:hint="eastAsia" w:eastAsiaTheme="minorEastAsia"/>
          <w:szCs w:val="21"/>
        </w:rPr>
      </w:pPr>
    </w:p>
    <w:p>
      <w:pPr>
        <w:spacing w:line="360" w:lineRule="auto"/>
        <w:ind w:firstLine="420"/>
        <w:jc w:val="right"/>
        <w:rPr>
          <w:rStyle w:val="96"/>
          <w:rFonts w:eastAsiaTheme="minorEastAsia"/>
          <w:szCs w:val="21"/>
        </w:rPr>
      </w:pPr>
    </w:p>
    <w:bookmarkEnd w:id="4"/>
    <w:p>
      <w:pPr>
        <w:spacing w:line="276" w:lineRule="auto"/>
        <w:jc w:val="left"/>
        <w:outlineLvl w:val="0"/>
        <w:rPr>
          <w:rStyle w:val="96"/>
          <w:rFonts w:eastAsia="黑体"/>
          <w:b/>
          <w:bCs/>
          <w:sz w:val="32"/>
          <w:szCs w:val="32"/>
          <w:bdr w:val="single" w:color="auto" w:sz="4" w:space="0"/>
        </w:rPr>
      </w:pPr>
      <w:bookmarkStart w:id="11" w:name="_Toc206013194"/>
      <w:r>
        <w:rPr>
          <w:rStyle w:val="96"/>
          <w:rFonts w:eastAsia="黑体"/>
          <w:b/>
          <w:bCs/>
          <w:sz w:val="32"/>
          <w:szCs w:val="32"/>
          <w:bdr w:val="single" w:color="auto" w:sz="4" w:space="0"/>
        </w:rPr>
        <w:t>行业资讯</w:t>
      </w:r>
      <w:bookmarkEnd w:id="11"/>
    </w:p>
    <w:p>
      <w:pPr>
        <w:spacing w:line="360" w:lineRule="auto"/>
        <w:jc w:val="center"/>
        <w:outlineLvl w:val="1"/>
        <w:rPr>
          <w:rFonts w:eastAsia="黑体"/>
          <w:b/>
          <w:bCs/>
          <w:sz w:val="32"/>
          <w:szCs w:val="32"/>
        </w:rPr>
      </w:pPr>
      <w:bookmarkStart w:id="12" w:name="_Toc206013195"/>
      <w:r>
        <w:rPr>
          <w:rFonts w:hint="eastAsia" w:eastAsia="黑体"/>
          <w:b/>
          <w:bCs/>
          <w:sz w:val="32"/>
          <w:szCs w:val="32"/>
        </w:rPr>
        <w:t>福建首次发布海洋生态预警监测公报</w:t>
      </w:r>
      <w:bookmarkEnd w:id="12"/>
    </w:p>
    <w:p>
      <w:pPr>
        <w:spacing w:line="360" w:lineRule="auto"/>
        <w:ind w:firstLine="420"/>
        <w:rPr>
          <w:rFonts w:eastAsiaTheme="minorEastAsia"/>
          <w:sz w:val="24"/>
        </w:rPr>
      </w:pPr>
      <w:r>
        <w:rPr>
          <w:rFonts w:hint="eastAsia" w:eastAsiaTheme="minorEastAsia"/>
          <w:sz w:val="24"/>
        </w:rPr>
        <w:t>2024年，福建省</w:t>
      </w:r>
      <w:r>
        <w:rPr>
          <w:rFonts w:hint="eastAsia" w:eastAsiaTheme="minorEastAsia"/>
          <w:sz w:val="24"/>
          <w:lang w:eastAsia="zh-CN"/>
        </w:rPr>
        <w:t>海洋产业生产总值</w:t>
      </w:r>
      <w:r>
        <w:rPr>
          <w:rFonts w:hint="eastAsia" w:eastAsiaTheme="minorEastAsia"/>
          <w:sz w:val="24"/>
        </w:rPr>
        <w:t>1.25万亿元、同比增长6.1%，水产品总产量924.7万吨、同比增长3.9%，均居全国第三。我省人均水产品占有量、水产品出口额、海水养殖产量、深远海养殖规模等多项指标均居全国第一……这是7月31日，记者从省政府新闻办召开的《2024年福建省海洋生态预警监测公报》新闻发布会上获悉的。这也是福建首次发布海洋生态预警监测公报。</w:t>
      </w:r>
    </w:p>
    <w:p>
      <w:pPr>
        <w:spacing w:line="360" w:lineRule="auto"/>
        <w:ind w:firstLine="420"/>
        <w:rPr>
          <w:rFonts w:eastAsiaTheme="minorEastAsia"/>
          <w:sz w:val="24"/>
        </w:rPr>
      </w:pPr>
      <w:r>
        <w:rPr>
          <w:rFonts w:hint="eastAsia" w:eastAsiaTheme="minorEastAsia"/>
          <w:sz w:val="24"/>
        </w:rPr>
        <w:t>为让社会公众和政府部门更了解海洋生态状况</w:t>
      </w:r>
      <w:r>
        <w:rPr>
          <w:rFonts w:eastAsiaTheme="minorEastAsia"/>
          <w:sz w:val="24"/>
        </w:rPr>
        <w:t>,</w:t>
      </w:r>
      <w:r>
        <w:rPr>
          <w:rFonts w:hint="eastAsia" w:eastAsiaTheme="minorEastAsia"/>
          <w:sz w:val="24"/>
        </w:rPr>
        <w:t>加强海洋生态系统保护</w:t>
      </w:r>
      <w:r>
        <w:rPr>
          <w:rFonts w:eastAsiaTheme="minorEastAsia"/>
          <w:sz w:val="24"/>
        </w:rPr>
        <w:t>,</w:t>
      </w:r>
      <w:r>
        <w:rPr>
          <w:rFonts w:hint="eastAsia" w:eastAsiaTheme="minorEastAsia"/>
          <w:sz w:val="24"/>
        </w:rPr>
        <w:t>筑牢生态安全屏障</w:t>
      </w:r>
      <w:r>
        <w:rPr>
          <w:rFonts w:eastAsiaTheme="minorEastAsia"/>
          <w:sz w:val="24"/>
        </w:rPr>
        <w:t>,</w:t>
      </w:r>
      <w:r>
        <w:rPr>
          <w:rFonts w:hint="eastAsia" w:eastAsiaTheme="minorEastAsia"/>
          <w:sz w:val="24"/>
        </w:rPr>
        <w:t>助力海洋经济高质量发展､海洋强省建设</w:t>
      </w:r>
      <w:r>
        <w:rPr>
          <w:rFonts w:eastAsiaTheme="minorEastAsia"/>
          <w:sz w:val="24"/>
        </w:rPr>
        <w:t>,</w:t>
      </w:r>
      <w:r>
        <w:rPr>
          <w:rFonts w:hint="eastAsia" w:eastAsiaTheme="minorEastAsia"/>
          <w:sz w:val="24"/>
        </w:rPr>
        <w:t>2024年,我省组织开展近岸海域趋势性监测。</w:t>
      </w:r>
    </w:p>
    <w:p>
      <w:pPr>
        <w:spacing w:line="360" w:lineRule="auto"/>
        <w:ind w:firstLine="420"/>
        <w:rPr>
          <w:rFonts w:eastAsiaTheme="minorEastAsia"/>
          <w:sz w:val="24"/>
        </w:rPr>
      </w:pPr>
      <w:r>
        <w:rPr>
          <w:rFonts w:hint="eastAsia" w:eastAsiaTheme="minorEastAsia"/>
          <w:sz w:val="24"/>
        </w:rPr>
        <w:t>省海洋与渔业局党组成员、副局长江毅海介绍，我省对海湾、河口、泥质海岸、砂质海岸、红树林和珊瑚礁等共6类10个典型生态系统实施调查监测，对5个赤潮灾害高风险区开展早期预警监测，并对赤潮灾害进行了跟踪监测，获得较好监测成果，形成《公报》。</w:t>
      </w:r>
    </w:p>
    <w:p>
      <w:pPr>
        <w:spacing w:line="360" w:lineRule="auto"/>
        <w:ind w:firstLine="420"/>
        <w:rPr>
          <w:rFonts w:eastAsiaTheme="minorEastAsia"/>
          <w:sz w:val="24"/>
        </w:rPr>
      </w:pPr>
      <w:r>
        <w:rPr>
          <w:rFonts w:hint="eastAsia" w:eastAsiaTheme="minorEastAsia"/>
          <w:sz w:val="24"/>
        </w:rPr>
        <w:t>《公报》显示，2024年，在海洋生态基础状况方面，我省近岸海域海洋生态基础状况良好，水体环境总体良好，近岸海域海洋生物种类丰富，多样性指数平均为1.71～3.43，沉积物质量状况良好。</w:t>
      </w:r>
    </w:p>
    <w:p>
      <w:pPr>
        <w:spacing w:line="360" w:lineRule="auto"/>
        <w:ind w:firstLine="420"/>
        <w:rPr>
          <w:rFonts w:eastAsiaTheme="minorEastAsia"/>
          <w:sz w:val="24"/>
        </w:rPr>
      </w:pPr>
      <w:r>
        <w:rPr>
          <w:rFonts w:hint="eastAsia" w:eastAsiaTheme="minorEastAsia"/>
          <w:sz w:val="24"/>
        </w:rPr>
        <w:t>在典型生态系统状况方面，我省近岸海域典型海洋生态系统类型丰富、特色鲜明；三沙湾和厦门湾、闽江口、诏安湾和沙埕港泥质海岸、长乐象鼻澳和晋江市深沪湾砂质海岸、闽江口粗芦岛和厦门下潭尾红树林、东山珊瑚礁等典型生态系统，其关键物种、生境指标和压力要素状况良好。</w:t>
      </w:r>
    </w:p>
    <w:p>
      <w:pPr>
        <w:spacing w:line="360" w:lineRule="auto"/>
        <w:ind w:firstLine="420"/>
        <w:rPr>
          <w:rFonts w:eastAsiaTheme="minorEastAsia"/>
          <w:sz w:val="24"/>
        </w:rPr>
      </w:pPr>
      <w:r>
        <w:rPr>
          <w:rFonts w:hint="eastAsia" w:eastAsiaTheme="minorEastAsia"/>
          <w:sz w:val="24"/>
        </w:rPr>
        <w:t>在海洋生态灾害应对方面，2024年全省近岸海域共发现赤潮16次，经有效应对，未发生水产品质量安全事故和人员伤亡事件。</w:t>
      </w:r>
    </w:p>
    <w:p>
      <w:pPr>
        <w:spacing w:line="360" w:lineRule="auto"/>
        <w:ind w:firstLine="420"/>
        <w:rPr>
          <w:rFonts w:eastAsiaTheme="minorEastAsia"/>
          <w:sz w:val="24"/>
        </w:rPr>
      </w:pPr>
      <w:r>
        <w:rPr>
          <w:rFonts w:hint="eastAsia" w:eastAsiaTheme="minorEastAsia"/>
          <w:sz w:val="24"/>
        </w:rPr>
        <w:t>为守护碧海银滩，我省将海洋生态保护纳入海洋强省建设整体布局，多方合力、因地制宜，构建从山顶到海洋的保护治理大格局，持续提升海洋生态环境质量。</w:t>
      </w:r>
    </w:p>
    <w:p>
      <w:pPr>
        <w:spacing w:line="360" w:lineRule="auto"/>
        <w:ind w:firstLine="420"/>
        <w:rPr>
          <w:rFonts w:eastAsiaTheme="minorEastAsia"/>
          <w:sz w:val="24"/>
        </w:rPr>
      </w:pPr>
      <w:r>
        <w:rPr>
          <w:rFonts w:hint="eastAsia" w:eastAsiaTheme="minorEastAsia"/>
          <w:sz w:val="24"/>
        </w:rPr>
        <w:t>在海洋生态修复上，全省构建了统一的海洋生态安全格局；沿海地市谋划实施18个中央支持海洋生态保护修复项目，其中9个项目已完成验收，共修复滨海湿地4.5万亩、岸线78千米，营造修复红树林5.1万亩。</w:t>
      </w:r>
    </w:p>
    <w:p>
      <w:pPr>
        <w:spacing w:line="360" w:lineRule="auto"/>
        <w:ind w:firstLine="420"/>
        <w:rPr>
          <w:rFonts w:eastAsiaTheme="minorEastAsia"/>
          <w:sz w:val="24"/>
        </w:rPr>
      </w:pPr>
      <w:r>
        <w:rPr>
          <w:rFonts w:hint="eastAsia" w:eastAsiaTheme="minorEastAsia"/>
          <w:sz w:val="24"/>
        </w:rPr>
        <w:t>在湿地保护修复上，全省保护制度不断完善、湿地保护体系初步建立，累计营造修复红树林5.1万亩，全面完成13.7万亩互花米草除治，完成生态修复2.9万亩。</w:t>
      </w:r>
    </w:p>
    <w:p>
      <w:pPr>
        <w:spacing w:line="360" w:lineRule="auto"/>
        <w:ind w:firstLine="420"/>
        <w:rPr>
          <w:rFonts w:eastAsiaTheme="minorEastAsia"/>
          <w:sz w:val="24"/>
        </w:rPr>
      </w:pPr>
      <w:r>
        <w:rPr>
          <w:rFonts w:hint="eastAsia" w:eastAsiaTheme="minorEastAsia"/>
          <w:sz w:val="24"/>
        </w:rPr>
        <w:t>在渔业水域生态和资源涵养上，“十四五”期间，全省投入各类资金超2亿元，放流水生经济物种及珍稀濒危物种56种、苗种超269亿单位。</w:t>
      </w:r>
    </w:p>
    <w:p>
      <w:pPr>
        <w:spacing w:line="360" w:lineRule="auto"/>
        <w:ind w:firstLine="420"/>
        <w:rPr>
          <w:rFonts w:eastAsiaTheme="minorEastAsia"/>
          <w:sz w:val="24"/>
        </w:rPr>
      </w:pPr>
      <w:r>
        <w:rPr>
          <w:rFonts w:hint="eastAsia" w:eastAsiaTheme="minorEastAsia"/>
          <w:sz w:val="24"/>
        </w:rPr>
        <w:t>在海洋生态环境治理上，全省每年制定实施“碧海工程”行动计划，分类梯度建设美丽海湾，围绕“水更清”“滩更净”“湾更美”开展系统治理。今年春季，我省各重点海湾水质均明显提升，近岸海域优良海水比例达96.5%，为历史同期最好水平。</w:t>
      </w:r>
    </w:p>
    <w:p>
      <w:pPr>
        <w:spacing w:line="360" w:lineRule="auto"/>
        <w:ind w:firstLine="420"/>
        <w:jc w:val="right"/>
        <w:rPr>
          <w:rStyle w:val="96"/>
          <w:rFonts w:eastAsiaTheme="minorEastAsia"/>
          <w:szCs w:val="21"/>
        </w:rPr>
      </w:pPr>
      <w:r>
        <w:rPr>
          <w:rStyle w:val="96"/>
          <w:rFonts w:eastAsiaTheme="minorEastAsia"/>
          <w:szCs w:val="21"/>
        </w:rPr>
        <w:t>转摘</w:t>
      </w:r>
      <w:r>
        <w:rPr>
          <w:rStyle w:val="96"/>
          <w:rFonts w:hint="eastAsia" w:eastAsiaTheme="minorEastAsia"/>
          <w:szCs w:val="21"/>
        </w:rPr>
        <w:t>自福建日报</w:t>
      </w:r>
    </w:p>
    <w:p>
      <w:pPr>
        <w:spacing w:line="360" w:lineRule="auto"/>
        <w:jc w:val="center"/>
        <w:outlineLvl w:val="1"/>
        <w:rPr>
          <w:rFonts w:eastAsia="黑体"/>
          <w:b/>
          <w:bCs/>
          <w:sz w:val="32"/>
          <w:szCs w:val="32"/>
        </w:rPr>
      </w:pPr>
      <w:bookmarkStart w:id="13" w:name="_Toc206013196"/>
      <w:r>
        <w:rPr>
          <w:rFonts w:hint="eastAsia" w:eastAsia="黑体"/>
          <w:b/>
          <w:bCs/>
          <w:sz w:val="32"/>
          <w:szCs w:val="32"/>
        </w:rPr>
        <w:t>农业农村部渔业渔政管理局发布大黄鱼虹彩病毒病防控措施参考</w:t>
      </w:r>
      <w:bookmarkEnd w:id="13"/>
    </w:p>
    <w:p>
      <w:pPr>
        <w:spacing w:line="360" w:lineRule="auto"/>
        <w:rPr>
          <w:rFonts w:eastAsiaTheme="minorEastAsia"/>
          <w:sz w:val="24"/>
        </w:rPr>
      </w:pPr>
      <w:r>
        <w:rPr>
          <w:rFonts w:hint="eastAsia" w:eastAsiaTheme="minorEastAsia"/>
          <w:sz w:val="24"/>
        </w:rPr>
        <w:t>一、大黄鱼虹彩病毒病流行病学特点</w:t>
      </w:r>
    </w:p>
    <w:p>
      <w:pPr>
        <w:spacing w:line="360" w:lineRule="auto"/>
        <w:ind w:firstLine="420"/>
        <w:rPr>
          <w:rFonts w:eastAsiaTheme="minorEastAsia"/>
          <w:sz w:val="24"/>
        </w:rPr>
      </w:pPr>
      <w:r>
        <w:rPr>
          <w:rFonts w:hint="eastAsia" w:eastAsiaTheme="minorEastAsia"/>
          <w:sz w:val="24"/>
        </w:rPr>
        <w:t>1.病原。大黄鱼虹彩病毒病病原为大黄鱼虹彩病毒（Large Yellow Croaker Iridovirus，LYCIV）。LYCIV是一类二十面体、大型细胞质DNA病毒，属于虹彩病毒科肿大细胞病毒属，还可感染真鲷、鳜鱼、大口黑鲈、大菱鲆等鱼类。</w:t>
      </w:r>
    </w:p>
    <w:p>
      <w:pPr>
        <w:spacing w:line="360" w:lineRule="auto"/>
        <w:ind w:firstLine="420"/>
        <w:rPr>
          <w:rFonts w:eastAsiaTheme="minorEastAsia"/>
          <w:sz w:val="24"/>
        </w:rPr>
      </w:pPr>
      <w:r>
        <w:rPr>
          <w:rFonts w:hint="eastAsia" w:eastAsiaTheme="minorEastAsia"/>
          <w:sz w:val="24"/>
        </w:rPr>
        <w:t>2.主要症状。大黄鱼虹彩病毒病临床症状多表现为游动缓慢､鱼体消瘦､体色变黑</w:t>
      </w:r>
      <w:r>
        <w:rPr>
          <w:rFonts w:eastAsiaTheme="minorEastAsia"/>
          <w:sz w:val="24"/>
        </w:rPr>
        <w:t>,</w:t>
      </w:r>
      <w:r>
        <w:rPr>
          <w:rFonts w:hint="eastAsia" w:eastAsiaTheme="minorEastAsia"/>
          <w:sz w:val="24"/>
        </w:rPr>
        <w:t>部分病鱼下颌充血发红</w:t>
      </w:r>
      <w:r>
        <w:rPr>
          <w:rFonts w:eastAsiaTheme="minorEastAsia"/>
          <w:sz w:val="24"/>
        </w:rPr>
        <w:t>,</w:t>
      </w:r>
      <w:r>
        <w:rPr>
          <w:rFonts w:hint="eastAsia" w:eastAsiaTheme="minorEastAsia"/>
          <w:sz w:val="24"/>
        </w:rPr>
        <w:t>解剖可见鳃苍白､脾脏和肾脏肿大､肝脏边缘充血</w:t>
      </w:r>
      <w:r>
        <w:rPr>
          <w:rFonts w:eastAsiaTheme="minorEastAsia"/>
          <w:sz w:val="24"/>
        </w:rPr>
        <w:t>,</w:t>
      </w:r>
      <w:r>
        <w:rPr>
          <w:rFonts w:hint="eastAsia" w:eastAsiaTheme="minorEastAsia"/>
          <w:sz w:val="24"/>
        </w:rPr>
        <w:t>肝脏常呈花斑样病变｡</w:t>
      </w:r>
    </w:p>
    <w:p>
      <w:pPr>
        <w:spacing w:line="360" w:lineRule="auto"/>
        <w:ind w:firstLine="420"/>
        <w:rPr>
          <w:rFonts w:eastAsiaTheme="minorEastAsia"/>
          <w:sz w:val="24"/>
        </w:rPr>
      </w:pPr>
      <w:r>
        <w:rPr>
          <w:rFonts w:hint="eastAsia" w:eastAsiaTheme="minorEastAsia"/>
          <w:sz w:val="24"/>
        </w:rPr>
        <w:t>3.流行特点。大黄鱼虹彩病毒病流行季节为6—9月，7—8月为发病高峰期，该病可迅速蔓延，各生长阶段大黄鱼均可感染，一龄幼鱼更为易感，死亡率较高。</w:t>
      </w:r>
    </w:p>
    <w:p>
      <w:pPr>
        <w:spacing w:line="360" w:lineRule="auto"/>
        <w:rPr>
          <w:rFonts w:eastAsiaTheme="minorEastAsia"/>
          <w:sz w:val="24"/>
        </w:rPr>
      </w:pPr>
      <w:r>
        <w:rPr>
          <w:rFonts w:hint="eastAsia" w:eastAsiaTheme="minorEastAsia"/>
          <w:sz w:val="24"/>
        </w:rPr>
        <w:t>二、养殖过程防控技术措施</w:t>
      </w:r>
    </w:p>
    <w:p>
      <w:pPr>
        <w:spacing w:line="360" w:lineRule="auto"/>
        <w:ind w:firstLine="420"/>
        <w:rPr>
          <w:rFonts w:eastAsiaTheme="minorEastAsia"/>
          <w:sz w:val="24"/>
        </w:rPr>
      </w:pPr>
      <w:r>
        <w:rPr>
          <w:rFonts w:hint="eastAsia" w:eastAsiaTheme="minorEastAsia"/>
          <w:sz w:val="24"/>
        </w:rPr>
        <w:t>大黄鱼虹彩病毒病目前尚无有效的治疗方法，主要以预防为主。养殖主体可参考以下措施进行预防。</w:t>
      </w:r>
    </w:p>
    <w:p>
      <w:pPr>
        <w:spacing w:line="360" w:lineRule="auto"/>
        <w:ind w:firstLine="420"/>
        <w:rPr>
          <w:rFonts w:eastAsiaTheme="minorEastAsia"/>
          <w:sz w:val="24"/>
        </w:rPr>
      </w:pPr>
      <w:r>
        <w:rPr>
          <w:rFonts w:hint="eastAsia" w:eastAsiaTheme="minorEastAsia"/>
          <w:sz w:val="24"/>
        </w:rPr>
        <w:t>1.选用无病苗种。做好苗种产地检疫，选择健壮、未携带病原的苗种进行放养，从源头杜绝病毒的传播。</w:t>
      </w:r>
    </w:p>
    <w:p>
      <w:pPr>
        <w:spacing w:line="360" w:lineRule="auto"/>
        <w:ind w:firstLine="420"/>
        <w:rPr>
          <w:rFonts w:eastAsiaTheme="minorEastAsia"/>
          <w:sz w:val="24"/>
        </w:rPr>
      </w:pPr>
      <w:r>
        <w:rPr>
          <w:rFonts w:hint="eastAsia" w:eastAsiaTheme="minorEastAsia"/>
          <w:sz w:val="24"/>
        </w:rPr>
        <w:t>2.喂食配合饲料。该病毒可感染多种海水鱼，为防止病毒由其他鱼类传播到大黄鱼，应采用优质配合饲料替代冰鲜杂鱼饵料。</w:t>
      </w:r>
    </w:p>
    <w:p>
      <w:pPr>
        <w:spacing w:line="360" w:lineRule="auto"/>
        <w:ind w:firstLine="420"/>
        <w:rPr>
          <w:rFonts w:eastAsiaTheme="minorEastAsia"/>
          <w:sz w:val="24"/>
        </w:rPr>
      </w:pPr>
      <w:r>
        <w:rPr>
          <w:rFonts w:hint="eastAsia" w:eastAsiaTheme="minorEastAsia"/>
          <w:sz w:val="24"/>
        </w:rPr>
        <w:t>3.加强养殖管理。密切关注鱼群状态，及时清除网箱网衣附着物或更换网衣，保持网箱内外水流通畅。加强巡查，如果鱼体出现鳃苍白、脾脏肿大、肝脏边缘充血或发红等疑似症状，应及时将病样送至相关机构进行病原检测。</w:t>
      </w:r>
    </w:p>
    <w:p>
      <w:pPr>
        <w:spacing w:line="360" w:lineRule="auto"/>
        <w:ind w:firstLine="420"/>
        <w:rPr>
          <w:rFonts w:eastAsiaTheme="minorEastAsia"/>
          <w:sz w:val="24"/>
        </w:rPr>
      </w:pPr>
      <w:r>
        <w:rPr>
          <w:rFonts w:hint="eastAsia" w:eastAsiaTheme="minorEastAsia"/>
          <w:sz w:val="24"/>
        </w:rPr>
        <w:t>4.设置警示物种。篮子鱼对虹彩病毒高度敏感，可在网箱中混养少量篮子鱼作为预警指示种，一旦篮子鱼出现黑身或死亡等预示虹彩病毒感染的症状，应加强病鱼隔离管控，防止病毒在不同鱼群之间传播，并及时采样送检。</w:t>
      </w:r>
    </w:p>
    <w:p>
      <w:pPr>
        <w:spacing w:line="360" w:lineRule="auto"/>
        <w:ind w:firstLine="420"/>
        <w:rPr>
          <w:rFonts w:eastAsiaTheme="minorEastAsia"/>
          <w:sz w:val="24"/>
        </w:rPr>
      </w:pPr>
      <w:r>
        <w:rPr>
          <w:rFonts w:hint="eastAsia" w:eastAsiaTheme="minorEastAsia"/>
          <w:sz w:val="24"/>
        </w:rPr>
        <w:t>5.规范染病处置。鱼群出现染病症状时应立即停食，不得大剂量频繁使用消毒剂、杀虫药等，防止损伤鱼体免疫机能或破坏水体微生态平衡。鱼群状况转好后可减控饵料投喂</w:t>
      </w:r>
      <w:r>
        <w:rPr>
          <w:rFonts w:eastAsiaTheme="minorEastAsia"/>
          <w:sz w:val="24"/>
        </w:rPr>
        <w:t>,</w:t>
      </w:r>
      <w:r>
        <w:rPr>
          <w:rFonts w:hint="eastAsia" w:eastAsiaTheme="minorEastAsia"/>
          <w:sz w:val="24"/>
        </w:rPr>
        <w:t>并适量添加黄芪多糖等提高鱼体免疫力｡发现病死､濒死鱼立即打捞上岸</w:t>
      </w:r>
      <w:r>
        <w:rPr>
          <w:rFonts w:eastAsiaTheme="minorEastAsia"/>
          <w:sz w:val="24"/>
        </w:rPr>
        <w:t>,</w:t>
      </w:r>
      <w:r>
        <w:rPr>
          <w:rFonts w:hint="eastAsia" w:eastAsiaTheme="minorEastAsia"/>
          <w:sz w:val="24"/>
        </w:rPr>
        <w:t>按照《病死水生动物及病害水生动物产品无害化处理规范》（SC/T 7015-2022）进行无害化处理,减少病原传播。</w:t>
      </w:r>
    </w:p>
    <w:p>
      <w:pPr>
        <w:spacing w:line="360" w:lineRule="auto"/>
        <w:ind w:firstLine="420"/>
        <w:jc w:val="right"/>
        <w:rPr>
          <w:rStyle w:val="96"/>
          <w:rFonts w:eastAsiaTheme="minorEastAsia"/>
          <w:szCs w:val="21"/>
        </w:rPr>
      </w:pPr>
      <w:r>
        <w:rPr>
          <w:rStyle w:val="96"/>
          <w:rFonts w:eastAsiaTheme="minorEastAsia"/>
          <w:szCs w:val="21"/>
        </w:rPr>
        <w:t>转摘</w:t>
      </w:r>
      <w:r>
        <w:rPr>
          <w:rStyle w:val="96"/>
          <w:rFonts w:hint="eastAsia" w:eastAsiaTheme="minorEastAsia"/>
          <w:szCs w:val="21"/>
        </w:rPr>
        <w:t>自农业农村部渔业渔政管理局</w:t>
      </w:r>
    </w:p>
    <w:p>
      <w:pPr>
        <w:spacing w:line="360" w:lineRule="auto"/>
        <w:jc w:val="center"/>
        <w:outlineLvl w:val="1"/>
        <w:rPr>
          <w:rFonts w:eastAsia="黑体"/>
          <w:b/>
          <w:bCs/>
          <w:sz w:val="32"/>
          <w:szCs w:val="32"/>
        </w:rPr>
      </w:pPr>
      <w:bookmarkStart w:id="14" w:name="_Toc206013197"/>
      <w:r>
        <w:rPr>
          <w:rFonts w:hint="eastAsia" w:eastAsia="黑体"/>
          <w:b/>
          <w:bCs/>
          <w:sz w:val="32"/>
          <w:szCs w:val="32"/>
        </w:rPr>
        <w:t>辽宁大连：好海参的营养密码</w:t>
      </w:r>
      <w:bookmarkEnd w:id="14"/>
    </w:p>
    <w:p>
      <w:pPr>
        <w:spacing w:line="360" w:lineRule="auto"/>
        <w:ind w:firstLine="420"/>
        <w:rPr>
          <w:rFonts w:eastAsiaTheme="minorEastAsia"/>
          <w:sz w:val="24"/>
        </w:rPr>
      </w:pPr>
      <w:r>
        <w:rPr>
          <w:rFonts w:hint="eastAsia" w:eastAsiaTheme="minorEastAsia"/>
          <w:sz w:val="24"/>
        </w:rPr>
        <w:t>01辽参：北纬39°孕育的海洋珍馐</w:t>
      </w:r>
    </w:p>
    <w:p>
      <w:pPr>
        <w:spacing w:line="360" w:lineRule="auto"/>
        <w:ind w:firstLine="420"/>
        <w:rPr>
          <w:rFonts w:eastAsiaTheme="minorEastAsia"/>
          <w:sz w:val="24"/>
        </w:rPr>
      </w:pPr>
      <w:r>
        <w:rPr>
          <w:rFonts w:hint="eastAsia" w:eastAsiaTheme="minorEastAsia"/>
          <w:sz w:val="24"/>
        </w:rPr>
        <w:t>长白山的余脉千山山脉在辽东半岛一路绵延，最终在金州地峡面前势穷力竭，一头跌落海中。但依旧有很多山峰顽强地探出海平面，于是形成蜿蜒曲折的海岸线。2211千米的海岸线，冠绝全国。</w:t>
      </w:r>
    </w:p>
    <w:p>
      <w:pPr>
        <w:spacing w:line="360" w:lineRule="auto"/>
        <w:ind w:firstLine="420"/>
        <w:rPr>
          <w:rFonts w:eastAsiaTheme="minorEastAsia"/>
          <w:sz w:val="24"/>
        </w:rPr>
      </w:pPr>
      <w:r>
        <w:rPr>
          <w:rFonts w:hint="eastAsia" w:eastAsiaTheme="minorEastAsia"/>
          <w:sz w:val="24"/>
        </w:rPr>
        <w:t>绵长的海岸不仅带来了非比寻常的景观，更造就了优异的海洋生态环境。坐落在黄海与渤海交汇的“海洋十字路口”，大连被神奇的北纬39°线穿过，这是被誉为海洋生物生长的“黄金纬度”。</w:t>
      </w:r>
    </w:p>
    <w:p>
      <w:pPr>
        <w:spacing w:line="360" w:lineRule="auto"/>
        <w:ind w:firstLine="420"/>
        <w:rPr>
          <w:rFonts w:eastAsiaTheme="minorEastAsia"/>
          <w:sz w:val="24"/>
        </w:rPr>
      </w:pPr>
      <w:r>
        <w:rPr>
          <w:rFonts w:hint="eastAsia" w:eastAsiaTheme="minorEastAsia"/>
          <w:sz w:val="24"/>
        </w:rPr>
        <w:t>来自东北大陆江河寒冷淡水的低温低盐海水，与南方高温、高盐度的暖流形成冷暖对冲，水体交换快、洁净却不乏营养，大连海域的浮游生物和藻类特别丰富，为辽参提供一座天然的“五星级海景豪宅”。</w:t>
      </w:r>
    </w:p>
    <w:p>
      <w:pPr>
        <w:spacing w:line="360" w:lineRule="auto"/>
        <w:ind w:firstLine="420"/>
        <w:rPr>
          <w:rFonts w:eastAsiaTheme="minorEastAsia"/>
          <w:sz w:val="24"/>
        </w:rPr>
      </w:pPr>
      <w:r>
        <w:rPr>
          <w:rFonts w:hint="eastAsia" w:eastAsiaTheme="minorEastAsia"/>
          <w:sz w:val="24"/>
        </w:rPr>
        <w:t>辽参自古被视为高品质滋补品。清代《本草纲目拾遗》载：“海参辽产最佳，吴、浙、闽、粤者肥大无味”，直接让辽参封神。</w:t>
      </w:r>
    </w:p>
    <w:p>
      <w:pPr>
        <w:spacing w:line="360" w:lineRule="auto"/>
        <w:ind w:firstLine="420"/>
        <w:rPr>
          <w:rFonts w:eastAsiaTheme="minorEastAsia"/>
          <w:sz w:val="24"/>
        </w:rPr>
      </w:pPr>
      <w:r>
        <w:rPr>
          <w:rFonts w:hint="eastAsia" w:eastAsiaTheme="minorEastAsia"/>
          <w:sz w:val="24"/>
        </w:rPr>
        <w:t>然而，即使是大连人，也可能辨别不清好海参到底长啥样。为此，中国国家地理团队展开了一场辽参的深度溯源。</w:t>
      </w:r>
    </w:p>
    <w:p>
      <w:pPr>
        <w:spacing w:line="360" w:lineRule="auto"/>
        <w:ind w:firstLine="420"/>
        <w:rPr>
          <w:rFonts w:eastAsiaTheme="minorEastAsia"/>
          <w:sz w:val="24"/>
        </w:rPr>
      </w:pPr>
      <w:r>
        <w:rPr>
          <w:rFonts w:hint="eastAsia" w:eastAsiaTheme="minorEastAsia"/>
          <w:sz w:val="24"/>
        </w:rPr>
        <w:t>02好海参长啥样</w:t>
      </w:r>
    </w:p>
    <w:p>
      <w:pPr>
        <w:spacing w:line="360" w:lineRule="auto"/>
        <w:ind w:firstLine="420"/>
        <w:rPr>
          <w:rFonts w:eastAsiaTheme="minorEastAsia"/>
          <w:sz w:val="24"/>
        </w:rPr>
      </w:pPr>
      <w:r>
        <w:rPr>
          <w:rFonts w:hint="eastAsia" w:eastAsiaTheme="minorEastAsia"/>
          <w:sz w:val="24"/>
        </w:rPr>
        <w:t>在大连人的饮食辞典中，「好海参得姓“辽”」这是对品质的执着宣言。</w:t>
      </w:r>
    </w:p>
    <w:p>
      <w:pPr>
        <w:spacing w:line="360" w:lineRule="auto"/>
        <w:ind w:firstLine="420"/>
        <w:rPr>
          <w:rFonts w:eastAsiaTheme="minorEastAsia"/>
          <w:sz w:val="24"/>
        </w:rPr>
      </w:pPr>
      <w:r>
        <w:rPr>
          <w:rFonts w:hint="eastAsia" w:eastAsiaTheme="minorEastAsia"/>
          <w:sz w:val="24"/>
        </w:rPr>
        <w:t>粗壮的参刺是经历风浪的勋章</w:t>
      </w:r>
      <w:r>
        <w:rPr>
          <w:rFonts w:eastAsiaTheme="minorEastAsia"/>
          <w:sz w:val="24"/>
        </w:rPr>
        <w:t>,</w:t>
      </w:r>
      <w:r>
        <w:rPr>
          <w:rFonts w:hint="eastAsia" w:eastAsiaTheme="minorEastAsia"/>
          <w:sz w:val="24"/>
        </w:rPr>
        <w:t>密集的腹足是长于海底的证明｡如同顶级葡萄酒讲究“风土”</w:t>
      </w:r>
      <w:r>
        <w:rPr>
          <w:rFonts w:eastAsiaTheme="minorEastAsia"/>
          <w:sz w:val="24"/>
        </w:rPr>
        <w:t>,</w:t>
      </w:r>
      <w:r>
        <w:rPr>
          <w:rFonts w:hint="eastAsia" w:eastAsiaTheme="minorEastAsia"/>
          <w:sz w:val="24"/>
        </w:rPr>
        <w:t>海参的品质同样深植于其生长环境｡“一方水土养一方参”的智慧在此完美印证｡</w:t>
      </w:r>
    </w:p>
    <w:p>
      <w:pPr>
        <w:spacing w:line="360" w:lineRule="auto"/>
        <w:ind w:firstLine="420"/>
        <w:rPr>
          <w:rFonts w:eastAsiaTheme="minorEastAsia"/>
          <w:sz w:val="24"/>
        </w:rPr>
      </w:pPr>
      <w:r>
        <w:rPr>
          <w:rFonts w:hint="eastAsia" w:eastAsiaTheme="minorEastAsia"/>
          <w:sz w:val="24"/>
        </w:rPr>
        <w:t>「好海参长得慢」它们每年仅有春秋两季短暂摄食，其余时间则进入漫长的休眠。这种近乎“佛系”的缓慢生长，却造就了辽参紧实肥厚的肉质。</w:t>
      </w:r>
    </w:p>
    <w:p>
      <w:pPr>
        <w:spacing w:line="360" w:lineRule="auto"/>
        <w:ind w:firstLine="420"/>
        <w:rPr>
          <w:rFonts w:eastAsiaTheme="minorEastAsia"/>
          <w:sz w:val="24"/>
        </w:rPr>
      </w:pPr>
      <w:r>
        <w:rPr>
          <w:rFonts w:hint="eastAsia" w:eastAsiaTheme="minorEastAsia"/>
          <w:sz w:val="24"/>
        </w:rPr>
        <w:t>一只辽参通常需3至5年自然生长才能达到捕捞标准，未足龄的幼参则会被海猛子放归大海继续“参造”。辽参，每一寸肉质都沉淀着海洋的精华。</w:t>
      </w:r>
    </w:p>
    <w:p>
      <w:pPr>
        <w:spacing w:line="360" w:lineRule="auto"/>
        <w:ind w:firstLine="420"/>
        <w:rPr>
          <w:rFonts w:eastAsiaTheme="minorEastAsia"/>
          <w:sz w:val="24"/>
        </w:rPr>
      </w:pPr>
      <w:r>
        <w:rPr>
          <w:rFonts w:hint="eastAsia" w:eastAsiaTheme="minorEastAsia"/>
          <w:sz w:val="24"/>
        </w:rPr>
        <w:t>「好海参很怕热」当水温超过20℃时，辽参便会集体进入"夏眠"状态，代谢活动降至最低。这也使大连海域的含金量进一步上升——唯有水深充足、温度稳定、藻类丰富的海域，才能孕育出优质辽参。</w:t>
      </w:r>
    </w:p>
    <w:p>
      <w:pPr>
        <w:spacing w:line="360" w:lineRule="auto"/>
        <w:ind w:firstLine="420"/>
        <w:rPr>
          <w:rFonts w:eastAsiaTheme="minorEastAsia"/>
          <w:sz w:val="24"/>
        </w:rPr>
      </w:pPr>
      <w:r>
        <w:rPr>
          <w:rFonts w:hint="eastAsia" w:eastAsiaTheme="minorEastAsia"/>
          <w:sz w:val="24"/>
        </w:rPr>
        <w:t>在大连，每一只足龄海参都历经时光的淬炼，将黄渤海的天然精华，凝聚成饱满的胶质与丰厚的营养。</w:t>
      </w:r>
    </w:p>
    <w:p>
      <w:pPr>
        <w:spacing w:line="360" w:lineRule="auto"/>
        <w:ind w:firstLine="420"/>
        <w:rPr>
          <w:rFonts w:eastAsiaTheme="minorEastAsia"/>
          <w:sz w:val="24"/>
        </w:rPr>
      </w:pPr>
      <w:r>
        <w:rPr>
          <w:rFonts w:hint="eastAsia" w:eastAsiaTheme="minorEastAsia"/>
          <w:sz w:val="24"/>
        </w:rPr>
        <w:t>03好海参的营养密码</w:t>
      </w:r>
    </w:p>
    <w:p>
      <w:pPr>
        <w:spacing w:line="360" w:lineRule="auto"/>
        <w:ind w:firstLine="420"/>
        <w:rPr>
          <w:rFonts w:eastAsiaTheme="minorEastAsia"/>
          <w:sz w:val="24"/>
        </w:rPr>
      </w:pPr>
      <w:r>
        <w:rPr>
          <w:rFonts w:hint="eastAsia" w:eastAsiaTheme="minorEastAsia"/>
          <w:sz w:val="24"/>
        </w:rPr>
        <w:t>海参在民间素有“海中人参”的美誉，更是位列“海八珍”之首。</w:t>
      </w:r>
    </w:p>
    <w:p>
      <w:pPr>
        <w:spacing w:line="360" w:lineRule="auto"/>
        <w:ind w:firstLine="420"/>
        <w:rPr>
          <w:rFonts w:eastAsiaTheme="minorEastAsia"/>
          <w:sz w:val="24"/>
        </w:rPr>
      </w:pPr>
      <w:r>
        <w:rPr>
          <w:rFonts w:hint="eastAsia" w:eastAsiaTheme="minorEastAsia"/>
          <w:sz w:val="24"/>
        </w:rPr>
        <w:t>经科学研究发现，海参具有高蛋白、低脂肪的理想营养结构，中国海洋大学食品科学与工程学院王玉明教授表示“海参里特有的营养功效成分有海参多糖和海参皂苷”。</w:t>
      </w:r>
    </w:p>
    <w:p>
      <w:pPr>
        <w:spacing w:line="360" w:lineRule="auto"/>
        <w:ind w:firstLine="420"/>
        <w:rPr>
          <w:rFonts w:eastAsiaTheme="minorEastAsia"/>
          <w:sz w:val="24"/>
        </w:rPr>
      </w:pPr>
      <w:r>
        <w:rPr>
          <w:rFonts w:hint="eastAsia" w:eastAsiaTheme="minorEastAsia"/>
          <w:sz w:val="24"/>
        </w:rPr>
        <w:t>海参多糖，被誉为“海洋免疫黄金”，对提高免疫力、抗病毒等方面具有积极推动作用。</w:t>
      </w:r>
    </w:p>
    <w:p>
      <w:pPr>
        <w:spacing w:line="360" w:lineRule="auto"/>
        <w:ind w:firstLine="420"/>
        <w:rPr>
          <w:rFonts w:eastAsiaTheme="minorEastAsia"/>
          <w:sz w:val="24"/>
        </w:rPr>
      </w:pPr>
      <w:r>
        <w:rPr>
          <w:rFonts w:hint="eastAsia" w:eastAsiaTheme="minorEastAsia"/>
          <w:sz w:val="24"/>
        </w:rPr>
        <w:t>海参皂苷（又称海参素），具有提升免疫力、抗肿瘤、抗血栓等潜在功效。</w:t>
      </w:r>
    </w:p>
    <w:p>
      <w:pPr>
        <w:spacing w:line="360" w:lineRule="auto"/>
        <w:ind w:firstLine="420"/>
        <w:rPr>
          <w:rFonts w:eastAsiaTheme="minorEastAsia"/>
          <w:sz w:val="24"/>
        </w:rPr>
      </w:pPr>
      <w:r>
        <w:rPr>
          <w:rFonts w:hint="eastAsia" w:eastAsiaTheme="minorEastAsia"/>
          <w:sz w:val="24"/>
        </w:rPr>
        <w:t>站在北纬39°的海岸线上，溯源本真，品海参之鲜。</w:t>
      </w:r>
    </w:p>
    <w:p>
      <w:pPr>
        <w:spacing w:line="360" w:lineRule="auto"/>
        <w:ind w:firstLine="420"/>
        <w:jc w:val="right"/>
        <w:rPr>
          <w:rStyle w:val="96"/>
          <w:rFonts w:eastAsiaTheme="minorEastAsia"/>
          <w:szCs w:val="21"/>
        </w:rPr>
      </w:pPr>
      <w:r>
        <w:rPr>
          <w:rStyle w:val="96"/>
          <w:rFonts w:eastAsiaTheme="minorEastAsia"/>
          <w:szCs w:val="21"/>
        </w:rPr>
        <w:t>转摘</w:t>
      </w:r>
      <w:r>
        <w:rPr>
          <w:rStyle w:val="96"/>
          <w:rFonts w:hint="eastAsia" w:eastAsiaTheme="minorEastAsia"/>
          <w:szCs w:val="21"/>
        </w:rPr>
        <w:t>自“中国国家地理”微信公众号</w:t>
      </w:r>
    </w:p>
    <w:p>
      <w:pPr>
        <w:spacing w:line="360" w:lineRule="auto"/>
        <w:jc w:val="center"/>
        <w:outlineLvl w:val="1"/>
        <w:rPr>
          <w:rFonts w:eastAsia="黑体"/>
          <w:b/>
          <w:bCs/>
          <w:sz w:val="32"/>
          <w:szCs w:val="32"/>
        </w:rPr>
      </w:pPr>
      <w:bookmarkStart w:id="15" w:name="_Toc206013198"/>
      <w:r>
        <w:rPr>
          <w:rFonts w:hint="eastAsia" w:eastAsia="黑体"/>
          <w:b/>
          <w:bCs/>
          <w:sz w:val="32"/>
          <w:szCs w:val="32"/>
        </w:rPr>
        <w:t>货值上亿！海南这尾鱼出息了</w:t>
      </w:r>
      <w:bookmarkEnd w:id="15"/>
    </w:p>
    <w:p>
      <w:pPr>
        <w:spacing w:line="360" w:lineRule="auto"/>
        <w:ind w:firstLine="420"/>
        <w:rPr>
          <w:rFonts w:eastAsiaTheme="minorEastAsia"/>
          <w:sz w:val="24"/>
        </w:rPr>
      </w:pPr>
      <w:r>
        <w:rPr>
          <w:rFonts w:hint="eastAsia" w:eastAsiaTheme="minorEastAsia"/>
          <w:sz w:val="24"/>
        </w:rPr>
        <w:t>日前，万宁大洲岛海阔天空，水上养殖渔排已是一派忙碌景象。数十位渔民一块开展装载作业，先合力拉网将一网网活蹦乱跳的章雄鱼苗打捞出水，再转运登上“第二十一住宝丸”日籍渔船，</w:t>
      </w:r>
      <w:r>
        <w:rPr>
          <w:rFonts w:hint="eastAsia" w:eastAsiaTheme="minorEastAsia"/>
          <w:sz w:val="24"/>
          <w:lang w:eastAsia="zh-CN"/>
        </w:rPr>
        <w:t>将鱼苗陆续投入</w:t>
      </w:r>
      <w:r>
        <w:rPr>
          <w:rFonts w:hint="eastAsia" w:eastAsiaTheme="minorEastAsia"/>
          <w:sz w:val="24"/>
        </w:rPr>
        <w:t>早已虚位以待的蓄鱼舱内，鱼儿活跃激荡起阵阵水花。</w:t>
      </w:r>
    </w:p>
    <w:p>
      <w:pPr>
        <w:spacing w:line="360" w:lineRule="auto"/>
        <w:ind w:firstLine="420"/>
        <w:rPr>
          <w:rFonts w:eastAsiaTheme="minorEastAsia"/>
          <w:sz w:val="24"/>
        </w:rPr>
      </w:pPr>
      <w:r>
        <w:rPr>
          <w:rFonts w:hint="eastAsia" w:eastAsiaTheme="minorEastAsia"/>
          <w:sz w:val="24"/>
        </w:rPr>
        <w:t>一尾鱼能打开怎样的新天地？在海南，章雄鱼生于蔚蓝大海，跳跃欢腾，“游”出产值过亿元的产业，成为海南外贸中的特色水产“名片”。</w:t>
      </w:r>
    </w:p>
    <w:p>
      <w:pPr>
        <w:spacing w:line="360" w:lineRule="auto"/>
        <w:ind w:firstLine="420"/>
        <w:rPr>
          <w:rFonts w:eastAsiaTheme="minorEastAsia"/>
          <w:sz w:val="24"/>
        </w:rPr>
      </w:pPr>
      <w:r>
        <w:rPr>
          <w:rFonts w:hint="eastAsia" w:eastAsiaTheme="minorEastAsia"/>
          <w:sz w:val="24"/>
        </w:rPr>
        <w:t>据海口海关统计，2025年海关共监管海南章雄鱼苗出口41批次527.25万尾，货值约1.64亿元，同比分别增长20.59%、17.90%、42.60%。“中国出口的章雄鱼苗中，每10尾，至少有7尾来自海南。”海口海关所属文昌海关副关长林泳麟介绍，海南章雄鱼苗养殖主要集中在万宁大洲岛临时开放水域，而章雄鱼苗出口已成为文昌海关辖区的特色业务，整体出口量占全国的七成以上。</w:t>
      </w:r>
    </w:p>
    <w:p>
      <w:pPr>
        <w:spacing w:line="360" w:lineRule="auto"/>
        <w:ind w:firstLine="420"/>
        <w:rPr>
          <w:rFonts w:eastAsiaTheme="minorEastAsia"/>
          <w:sz w:val="24"/>
        </w:rPr>
      </w:pPr>
      <w:r>
        <w:rPr>
          <w:rFonts w:hint="eastAsia" w:eastAsiaTheme="minorEastAsia"/>
          <w:sz w:val="24"/>
        </w:rPr>
        <w:t>好水出好鱼。林泳麟深知，章雄鱼苗作为洄游鱼类对水质、水温极为敏感。而海南万宁等东部海域成为章雄鱼苗生长的“天选之地”——这里海域水质清澈洁净，气候适宜，章雄鱼青睐在此繁殖生产。</w:t>
      </w:r>
    </w:p>
    <w:p>
      <w:pPr>
        <w:spacing w:line="360" w:lineRule="auto"/>
        <w:ind w:firstLine="420"/>
        <w:rPr>
          <w:rFonts w:eastAsiaTheme="minorEastAsia"/>
          <w:sz w:val="24"/>
        </w:rPr>
      </w:pPr>
      <w:r>
        <w:rPr>
          <w:rFonts w:hint="eastAsia" w:eastAsiaTheme="minorEastAsia"/>
          <w:sz w:val="24"/>
        </w:rPr>
        <w:t>“每年冬季章雄鱼苗成群游到该海域过冬产卵！”常年从事章雄鱼苗出口的万宁鸿洋贸易有限公司总经理宋小刚说，海南渔民开展适度捕捞后，通过网箱科学养育，“经过一段时间围养的章雄鱼苗成长周期短、品质好，成活率高，备受日本养殖户的青睐。”</w:t>
      </w:r>
    </w:p>
    <w:p>
      <w:pPr>
        <w:spacing w:line="360" w:lineRule="auto"/>
        <w:ind w:firstLine="420"/>
        <w:rPr>
          <w:rFonts w:eastAsiaTheme="minorEastAsia"/>
          <w:sz w:val="24"/>
        </w:rPr>
      </w:pPr>
      <w:r>
        <w:rPr>
          <w:rFonts w:hint="eastAsia" w:eastAsiaTheme="minorEastAsia"/>
          <w:sz w:val="24"/>
        </w:rPr>
        <w:t>好鱼需“游”得快。作为主打出口的水产品，章雄鱼苗要“出国”，</w:t>
      </w:r>
      <w:r>
        <w:rPr>
          <w:rFonts w:hint="eastAsia" w:eastAsiaTheme="minorEastAsia"/>
          <w:sz w:val="24"/>
          <w:lang w:eastAsia="zh-CN"/>
        </w:rPr>
        <w:t>必须</w:t>
      </w:r>
      <w:r>
        <w:rPr>
          <w:rFonts w:hint="eastAsia" w:eastAsiaTheme="minorEastAsia"/>
          <w:sz w:val="24"/>
        </w:rPr>
        <w:t>经过海关的“体检”，确保符合出口监管标准。但是，鱼苗对水温环境要求较高，“体检”的效率直接影响鱼苗的成活率，进而影响企业出口的收入。</w:t>
      </w:r>
    </w:p>
    <w:p>
      <w:pPr>
        <w:spacing w:line="360" w:lineRule="auto"/>
        <w:ind w:firstLine="420"/>
        <w:rPr>
          <w:rFonts w:eastAsiaTheme="minorEastAsia"/>
          <w:sz w:val="24"/>
        </w:rPr>
      </w:pPr>
      <w:r>
        <w:rPr>
          <w:rFonts w:hint="eastAsia" w:eastAsiaTheme="minorEastAsia"/>
          <w:sz w:val="24"/>
        </w:rPr>
        <w:t>“既要‘管得住’，也要‘放得活’！”文昌海关监管科干部云金玉说，针对企业实际诉求，该关在确保有效监管的前提下，对出口鱼苗创新实施“视频监装+随机抽查”的监管方式，借助“智慧海关”，更高效监管，保障出口章雄鱼苗极速通关。同时，设立鱼苗出口“绿色通道”，将监管现场从开放口岸前移至鱼苗养殖区域，为出口企业提供“提前申报”“预约通关”“船边验放”“海上监装”等一整套海关组合式服务。</w:t>
      </w:r>
    </w:p>
    <w:p>
      <w:pPr>
        <w:spacing w:line="360" w:lineRule="auto"/>
        <w:ind w:firstLine="420"/>
        <w:rPr>
          <w:rFonts w:eastAsiaTheme="minorEastAsia"/>
          <w:sz w:val="24"/>
        </w:rPr>
      </w:pPr>
      <w:r>
        <w:rPr>
          <w:rFonts w:hint="eastAsia" w:eastAsiaTheme="minorEastAsia"/>
          <w:sz w:val="24"/>
        </w:rPr>
        <w:t>新方式带来新变化，宋小刚的感受大不同：以前，企业要想顺利装船出口，需要先经过海关的现场人工监管查验。海关关员从文昌清澜港附近的办公点出发，驱车130多公里、耗时近2小时才能到岸边，再转乘渔船到水上鱼排装载作业区，如果碰到大雨天，时间会更久；现在</w:t>
      </w:r>
      <w:r>
        <w:rPr>
          <w:rFonts w:eastAsiaTheme="minorEastAsia"/>
          <w:sz w:val="24"/>
        </w:rPr>
        <w:t>,</w:t>
      </w:r>
      <w:r>
        <w:rPr>
          <w:rFonts w:hint="eastAsia" w:eastAsiaTheme="minorEastAsia"/>
          <w:sz w:val="24"/>
        </w:rPr>
        <w:t>海关远程智慧监管</w:t>
      </w:r>
      <w:r>
        <w:rPr>
          <w:rFonts w:eastAsiaTheme="minorEastAsia"/>
          <w:sz w:val="24"/>
        </w:rPr>
        <w:t>,</w:t>
      </w:r>
      <w:r>
        <w:rPr>
          <w:rFonts w:hint="eastAsia" w:eastAsiaTheme="minorEastAsia"/>
          <w:sz w:val="24"/>
        </w:rPr>
        <w:t>关员可直接在屏幕前开展监装作业</w:t>
      </w:r>
      <w:r>
        <w:rPr>
          <w:rFonts w:eastAsiaTheme="minorEastAsia"/>
          <w:sz w:val="24"/>
        </w:rPr>
        <w:t>,</w:t>
      </w:r>
      <w:r>
        <w:rPr>
          <w:rFonts w:hint="eastAsia" w:eastAsiaTheme="minorEastAsia"/>
          <w:sz w:val="24"/>
        </w:rPr>
        <w:t>有效提升了监管效能｡</w:t>
      </w:r>
    </w:p>
    <w:p>
      <w:pPr>
        <w:spacing w:line="360" w:lineRule="auto"/>
        <w:ind w:firstLine="420"/>
        <w:rPr>
          <w:rFonts w:eastAsiaTheme="minorEastAsia"/>
          <w:sz w:val="24"/>
        </w:rPr>
      </w:pPr>
      <w:r>
        <w:rPr>
          <w:rFonts w:hint="eastAsia" w:eastAsiaTheme="minorEastAsia"/>
          <w:sz w:val="24"/>
        </w:rPr>
        <w:t>章雄鱼也被称为鰤鱼，是日料里的顶级食材。根据日本进口商反馈，采用新模式后，海南章雄鱼苗损耗减少30%以上，平均下来每船可提早装船约90分钟，每船次综合费用降低超3500元。</w:t>
      </w:r>
    </w:p>
    <w:p>
      <w:pPr>
        <w:spacing w:line="360" w:lineRule="auto"/>
        <w:ind w:firstLine="420"/>
        <w:rPr>
          <w:rFonts w:eastAsiaTheme="minorEastAsia"/>
          <w:sz w:val="24"/>
        </w:rPr>
      </w:pPr>
      <w:r>
        <w:rPr>
          <w:rFonts w:hint="eastAsia" w:eastAsiaTheme="minorEastAsia"/>
          <w:sz w:val="24"/>
        </w:rPr>
        <w:t>“一尾鱼，变身海南水产出口名片！”宋小刚说，监管方式的创新变化，不仅节约了企业的成本，增加企业出口效益，还提升了海南水产品出口的国际竞争力，赢得了更佳的外贸好口碑。据悉，海南章雄鱼苗出口历史已超过40年，出口品质获得国外客户的好评。</w:t>
      </w:r>
    </w:p>
    <w:p>
      <w:pPr>
        <w:spacing w:line="360" w:lineRule="auto"/>
        <w:ind w:firstLine="420"/>
        <w:jc w:val="right"/>
        <w:rPr>
          <w:rStyle w:val="96"/>
          <w:rFonts w:eastAsiaTheme="minorEastAsia"/>
          <w:szCs w:val="21"/>
        </w:rPr>
      </w:pPr>
      <w:bookmarkStart w:id="16" w:name="OLE_LINK2"/>
      <w:r>
        <w:rPr>
          <w:rStyle w:val="96"/>
          <w:rFonts w:eastAsiaTheme="minorEastAsia"/>
          <w:szCs w:val="21"/>
        </w:rPr>
        <w:t>转摘</w:t>
      </w:r>
      <w:r>
        <w:rPr>
          <w:rStyle w:val="96"/>
          <w:rFonts w:hint="eastAsia" w:eastAsiaTheme="minorEastAsia"/>
          <w:szCs w:val="21"/>
        </w:rPr>
        <w:t>自海南日报</w:t>
      </w:r>
    </w:p>
    <w:bookmarkEnd w:id="16"/>
    <w:p>
      <w:pPr>
        <w:spacing w:line="276" w:lineRule="auto"/>
        <w:jc w:val="left"/>
        <w:outlineLvl w:val="0"/>
        <w:rPr>
          <w:rStyle w:val="96"/>
          <w:rFonts w:eastAsia="黑体"/>
          <w:b/>
          <w:bCs/>
          <w:sz w:val="32"/>
          <w:szCs w:val="32"/>
          <w:bdr w:val="single" w:color="auto" w:sz="4" w:space="0"/>
        </w:rPr>
      </w:pPr>
      <w:bookmarkStart w:id="17" w:name="_Toc206013199"/>
      <w:r>
        <w:rPr>
          <w:rStyle w:val="96"/>
          <w:rFonts w:hint="eastAsia" w:eastAsia="黑体"/>
          <w:b/>
          <w:bCs/>
          <w:sz w:val="32"/>
          <w:szCs w:val="32"/>
          <w:bdr w:val="single" w:color="auto" w:sz="4" w:space="0"/>
        </w:rPr>
        <w:t>典型案例</w:t>
      </w:r>
      <w:bookmarkEnd w:id="17"/>
    </w:p>
    <w:p>
      <w:pPr>
        <w:spacing w:line="360" w:lineRule="auto"/>
        <w:jc w:val="center"/>
        <w:outlineLvl w:val="1"/>
        <w:rPr>
          <w:rFonts w:eastAsia="黑体"/>
          <w:b/>
          <w:bCs/>
          <w:sz w:val="32"/>
          <w:szCs w:val="32"/>
        </w:rPr>
      </w:pPr>
      <w:bookmarkStart w:id="18" w:name="_Toc206013200"/>
      <w:r>
        <w:rPr>
          <w:rFonts w:hint="eastAsia" w:eastAsia="黑体"/>
          <w:b/>
          <w:bCs/>
          <w:sz w:val="32"/>
          <w:szCs w:val="32"/>
        </w:rPr>
        <w:t>稻渔综合种养共富主体典型案例简介</w:t>
      </w:r>
      <w:bookmarkEnd w:id="18"/>
    </w:p>
    <w:p>
      <w:pPr>
        <w:spacing w:line="360" w:lineRule="auto"/>
        <w:ind w:firstLine="420"/>
        <w:rPr>
          <w:rFonts w:eastAsiaTheme="minorEastAsia"/>
          <w:sz w:val="24"/>
        </w:rPr>
      </w:pPr>
      <w:r>
        <w:rPr>
          <w:rFonts w:hint="eastAsia" w:eastAsiaTheme="minorEastAsia"/>
          <w:sz w:val="24"/>
        </w:rPr>
        <w:t>近年来，各地在推进稻渔综合种养产业高质量发展中，培育了一批技术模式好、经营水平高、带动能力强的稻渔综合种养经营主体，形成了联农带农的好经验好做法。为发挥好示范带动作用，进一步提升稻渔综合种养富民增收效果，全国水产技术推广总站组织开展了稻渔综合种养共富主体典型案例遴选推介，拟用3年时间遴选推介100个典型案例。2025年，全国水产技术推广总站遴选出第一批34家联动带农益农效果好的经营主体，并印发《全国水产技术推广总站关于推介稻渔综合种养共富主体典型案例的通知》，鼓励各地因地制宜开展典型培树和宣传推介。</w:t>
      </w:r>
    </w:p>
    <w:p>
      <w:pPr>
        <w:spacing w:line="360" w:lineRule="auto"/>
        <w:ind w:firstLine="420"/>
        <w:rPr>
          <w:rFonts w:eastAsiaTheme="minorEastAsia"/>
          <w:sz w:val="24"/>
        </w:rPr>
      </w:pPr>
      <w:r>
        <w:rPr>
          <w:rFonts w:hint="eastAsia" w:eastAsiaTheme="minorEastAsia"/>
          <w:sz w:val="24"/>
        </w:rPr>
        <w:t>现将共富主体案例材料刊出，供各地学习借鉴。</w:t>
      </w:r>
    </w:p>
    <w:p>
      <w:pPr>
        <w:spacing w:line="360" w:lineRule="auto"/>
        <w:ind w:firstLine="420"/>
        <w:rPr>
          <w:rFonts w:eastAsiaTheme="minorEastAsia"/>
          <w:sz w:val="24"/>
        </w:rPr>
      </w:pPr>
      <w:r>
        <w:rPr>
          <w:rFonts w:hint="eastAsia" w:eastAsiaTheme="minorEastAsia"/>
          <w:sz w:val="24"/>
        </w:rPr>
        <w:t>31.桓仁大雅河绿色水稻种植专业合作社：稻虾共作创新路 科技兴农富万家</w:t>
      </w:r>
    </w:p>
    <w:p>
      <w:pPr>
        <w:spacing w:line="360" w:lineRule="auto"/>
        <w:ind w:firstLine="420"/>
        <w:rPr>
          <w:rFonts w:eastAsiaTheme="minorEastAsia"/>
          <w:sz w:val="24"/>
        </w:rPr>
      </w:pPr>
      <w:r>
        <w:rPr>
          <w:rFonts w:hint="eastAsia" w:eastAsiaTheme="minorEastAsia"/>
          <w:sz w:val="24"/>
        </w:rPr>
        <w:t>辽宁省桓仁大雅河绿色水稻种植专业合作社成立于2015年，主营稻虾综合种养。合作社拥有成员118户，负责管理和经营4000亩绿色稻米种植区，其中包括200亩流转土地、3100亩订单农田和700亩合作社基地。合作社通过土地入股分红、规范化种植与优惠政策、提供就业机会等多元收益模式，带动周边1200余户农户共同参与绿色稻米种植。目前，合作社直接带动了81户241名农户，确保他们每年收益均超过5000元。合作社获评国家级农民专业合作社示范社、省级示范社。</w:t>
      </w:r>
    </w:p>
    <w:p>
      <w:pPr>
        <w:spacing w:line="360" w:lineRule="auto"/>
        <w:ind w:firstLine="420"/>
        <w:rPr>
          <w:rFonts w:eastAsiaTheme="minorEastAsia"/>
          <w:sz w:val="24"/>
        </w:rPr>
      </w:pPr>
      <w:r>
        <w:rPr>
          <w:rFonts w:hint="eastAsia" w:eastAsiaTheme="minorEastAsia"/>
          <w:sz w:val="24"/>
        </w:rPr>
        <w:t>推荐单位：桓仁满族自治县农业农村局</w:t>
      </w:r>
    </w:p>
    <w:p>
      <w:pPr>
        <w:spacing w:line="360" w:lineRule="auto"/>
        <w:ind w:firstLine="420"/>
        <w:rPr>
          <w:rFonts w:eastAsiaTheme="minorEastAsia"/>
          <w:sz w:val="24"/>
        </w:rPr>
      </w:pPr>
      <w:r>
        <w:rPr>
          <w:rFonts w:hint="eastAsia" w:eastAsiaTheme="minorEastAsia"/>
          <w:sz w:val="24"/>
        </w:rPr>
        <w:t>32.罗山县林道静种植农民专业合作社：稻渔共作促增长 开启乡村共富路</w:t>
      </w:r>
    </w:p>
    <w:p>
      <w:pPr>
        <w:spacing w:line="360" w:lineRule="auto"/>
        <w:ind w:firstLine="420"/>
        <w:rPr>
          <w:rFonts w:eastAsiaTheme="minorEastAsia"/>
          <w:sz w:val="24"/>
        </w:rPr>
      </w:pPr>
      <w:r>
        <w:rPr>
          <w:rFonts w:hint="eastAsia" w:eastAsiaTheme="minorEastAsia"/>
          <w:sz w:val="24"/>
        </w:rPr>
        <w:t>河南省信阳市罗山县林道静种植农民专业合作社成立于2017年，以稻虾共作为主导，兼营稻蟹、稻鱼综合种养等，面积3200亩。采用“合作社+基地+农户”模式，为农户提供苗种供应、技术培训、订单销售等全流程服务。统一采购生产资料降低农户成本15%，订单收购高于市场价30%，带动农户亩均增收3000元。累计培训稻渔种养能手70余名，吸纳60余名村民长期务工，辐射周边发展稻渔种养面积1.8万亩。融入“十里稻香”生态产业带，联动6个村庄发展农旅融合，通过土地流转、务工、分红等渠道，帮助农户实现“租金+薪金+股金”多元增收，村集体年均增收超50万元。合作社获评国家级水产健康养殖示范场、国家级生态农场、河南省知名农产品品牌。</w:t>
      </w:r>
    </w:p>
    <w:p>
      <w:pPr>
        <w:spacing w:line="360" w:lineRule="auto"/>
        <w:ind w:firstLine="420"/>
        <w:rPr>
          <w:rFonts w:eastAsiaTheme="minorEastAsia"/>
          <w:sz w:val="24"/>
        </w:rPr>
      </w:pPr>
      <w:r>
        <w:rPr>
          <w:rFonts w:hint="eastAsia" w:eastAsiaTheme="minorEastAsia"/>
          <w:sz w:val="24"/>
        </w:rPr>
        <w:t>推荐单位：河南省水产技术推广站</w:t>
      </w:r>
    </w:p>
    <w:p>
      <w:pPr>
        <w:spacing w:line="360" w:lineRule="auto"/>
        <w:ind w:firstLine="420"/>
        <w:rPr>
          <w:rFonts w:eastAsiaTheme="minorEastAsia"/>
          <w:sz w:val="24"/>
        </w:rPr>
      </w:pPr>
      <w:r>
        <w:rPr>
          <w:rFonts w:hint="eastAsia" w:eastAsiaTheme="minorEastAsia"/>
          <w:sz w:val="24"/>
        </w:rPr>
        <w:t>33.广东省卓越农业科技发展有限公司：经营主体牵头稻虾共生 联农带农实现双产增收</w:t>
      </w:r>
    </w:p>
    <w:p>
      <w:pPr>
        <w:spacing w:line="360" w:lineRule="auto"/>
        <w:ind w:firstLine="420"/>
        <w:rPr>
          <w:rFonts w:eastAsiaTheme="minorEastAsia"/>
          <w:sz w:val="24"/>
        </w:rPr>
      </w:pPr>
      <w:r>
        <w:rPr>
          <w:rFonts w:hint="eastAsia" w:eastAsiaTheme="minorEastAsia"/>
          <w:sz w:val="24"/>
        </w:rPr>
        <w:t>广东省中山市广东卓越农业科技发展有限公司成立于2020年，主营“水稻+澳洲淡水龙虾”共生模式，配套智慧化管理系统，经营规模850亩。公司构建“科研+基地+农户”全产业链生态，组建20人技术团队累计开展田间培训5000人次，培养“土专家”30名；建设种苗繁育中心、标准化加工车间，与顺丰冷链物流合作，实现“从塘头到餐桌”24小时直达。通过土地流转、增加就业岗位等机制，带动村集体年增收30万元，农户通过分红户均增收4.2万元｡公司获评广东省乡村振兴创新典型案例､粤港澳大湾区菜篮子生产基地｡</w:t>
      </w:r>
    </w:p>
    <w:p>
      <w:pPr>
        <w:spacing w:line="360" w:lineRule="auto"/>
        <w:ind w:firstLine="420"/>
        <w:rPr>
          <w:rFonts w:eastAsiaTheme="minorEastAsia"/>
          <w:sz w:val="24"/>
        </w:rPr>
      </w:pPr>
      <w:r>
        <w:rPr>
          <w:rFonts w:hint="eastAsia" w:eastAsiaTheme="minorEastAsia"/>
          <w:sz w:val="24"/>
        </w:rPr>
        <w:t>推荐单位：广东省农业技术推广中心</w:t>
      </w:r>
    </w:p>
    <w:p>
      <w:pPr>
        <w:spacing w:line="360" w:lineRule="auto"/>
        <w:ind w:firstLine="420"/>
        <w:rPr>
          <w:rFonts w:eastAsiaTheme="minorEastAsia"/>
          <w:sz w:val="24"/>
        </w:rPr>
      </w:pPr>
      <w:r>
        <w:rPr>
          <w:rFonts w:hint="eastAsia" w:eastAsiaTheme="minorEastAsia"/>
          <w:sz w:val="24"/>
        </w:rPr>
        <w:t>34.马龙区金丰源家庭农场：品牌建设显成效 订单生产同致富</w:t>
      </w:r>
    </w:p>
    <w:p>
      <w:pPr>
        <w:spacing w:line="360" w:lineRule="auto"/>
        <w:ind w:firstLine="420"/>
        <w:rPr>
          <w:rFonts w:eastAsiaTheme="minorEastAsia"/>
          <w:sz w:val="24"/>
        </w:rPr>
      </w:pPr>
      <w:r>
        <w:rPr>
          <w:rFonts w:hint="eastAsia" w:eastAsiaTheme="minorEastAsia"/>
          <w:sz w:val="24"/>
        </w:rPr>
        <w:t>云南省曲靖市马龙区金丰源家庭农场成立于2019年，主营稻渔综合种养，核心示范区200亩。通过“土地保底金+股权分红+劳务协同”联农机制，形成“农户获租金薪金、集体享资产收益、主体得规模效益”的共生格局。农户以土地入股，保底分红800元/亩，盈利部分的20%进行二次分红。家庭农场提供种苗、技术指导，与农户签订保价收购协议，降低农户市场风险。建立灾害保险机制，覆盖自然灾害损失。优先吸纳周边农户就业，常年稳定雇佣15人，季节性用工超200人次。构建“核心示范+村级推广”两级培训机制，累计开展实操培训20场次，覆盖农户800人次。带动全区发展稻渔3000亩，标准化种养占比达70%。</w:t>
      </w:r>
    </w:p>
    <w:p>
      <w:pPr>
        <w:spacing w:line="360" w:lineRule="auto"/>
        <w:jc w:val="right"/>
        <w:rPr>
          <w:rStyle w:val="96"/>
          <w:rFonts w:eastAsiaTheme="minorEastAsia"/>
          <w:szCs w:val="21"/>
        </w:rPr>
      </w:pPr>
      <w:r>
        <w:rPr>
          <w:rStyle w:val="96"/>
          <w:rFonts w:hint="eastAsia" w:eastAsiaTheme="minorEastAsia"/>
          <w:szCs w:val="21"/>
        </w:rPr>
        <w:t>转摘自全国水产技术推广总站</w:t>
      </w:r>
    </w:p>
    <w:p>
      <w:pPr>
        <w:spacing w:line="276" w:lineRule="auto"/>
        <w:jc w:val="left"/>
        <w:rPr>
          <w:rStyle w:val="96"/>
          <w:rFonts w:eastAsia="黑体"/>
          <w:b/>
          <w:bCs/>
          <w:sz w:val="32"/>
          <w:szCs w:val="32"/>
          <w:bdr w:val="single" w:color="auto" w:sz="4" w:space="0"/>
        </w:rPr>
      </w:pPr>
      <w:r>
        <w:rPr>
          <w:rStyle w:val="96"/>
          <w:rFonts w:hint="eastAsia" w:eastAsia="黑体"/>
          <w:b/>
          <w:bCs/>
          <w:sz w:val="32"/>
          <w:szCs w:val="32"/>
          <w:bdr w:val="single" w:color="auto" w:sz="4" w:space="0"/>
        </w:rPr>
        <w:t>本会动态</w:t>
      </w:r>
    </w:p>
    <w:p>
      <w:pPr>
        <w:spacing w:line="360" w:lineRule="auto"/>
        <w:jc w:val="center"/>
        <w:rPr>
          <w:rFonts w:eastAsia="黑体"/>
          <w:b/>
          <w:bCs/>
          <w:sz w:val="32"/>
          <w:szCs w:val="32"/>
        </w:rPr>
      </w:pPr>
      <w:r>
        <w:rPr>
          <w:rFonts w:hint="eastAsia" w:eastAsia="黑体"/>
          <w:b/>
          <w:bCs/>
          <w:sz w:val="32"/>
          <w:szCs w:val="32"/>
        </w:rPr>
        <w:t>本会赴闽南地区走访部分团体会员单位</w:t>
      </w:r>
    </w:p>
    <w:p>
      <w:pPr>
        <w:spacing w:line="360" w:lineRule="auto"/>
        <w:ind w:firstLine="420"/>
        <w:rPr>
          <w:rFonts w:eastAsiaTheme="minorEastAsia"/>
          <w:sz w:val="24"/>
        </w:rPr>
      </w:pPr>
      <w:r>
        <w:rPr>
          <w:rFonts w:hint="eastAsia" w:eastAsiaTheme="minorEastAsia"/>
          <w:sz w:val="24"/>
        </w:rPr>
        <w:t>8月4日~5日，本会艾春香理事长携翟少伟秘书长、邵建春副秘书长赴闽南地区走访部分团体会员单位。艾春香理事长一行先后走访了福建大北农华有水产科技集团有限公司、福建澳华农牧科技有限公司、福建嘉康饲料有限公司、漳州海之味生物科技有限公司、福建粤海饲料有限公司、漳州海瑞生物科技有限公司、漳州市海新水产饲料有限公司，与团体会员企业负责人进行了座谈，分别就研究会本年度换届工作、研究会如何更好服务团体会员单位及当前福建水产养殖产业现状和发展方向等问题开展了深入交流，本次走访加深了研究会与会员单位的联系，也为会员单位在当前形势下如何降本增效、保持持续增长指明了方向。</w:t>
      </w:r>
    </w:p>
    <w:p>
      <w:pPr>
        <w:spacing w:line="360" w:lineRule="auto"/>
        <w:jc w:val="center"/>
        <w:rPr>
          <w:rFonts w:eastAsiaTheme="minorEastAsia"/>
          <w:sz w:val="24"/>
        </w:rPr>
      </w:pPr>
      <w:r>
        <w:rPr>
          <w:rFonts w:hint="eastAsia" w:eastAsiaTheme="minorEastAsia"/>
          <w:sz w:val="24"/>
        </w:rPr>
        <w:drawing>
          <wp:inline distT="0" distB="0" distL="114300" distR="114300">
            <wp:extent cx="3521075" cy="2641600"/>
            <wp:effectExtent l="0" t="0" r="3175" b="6350"/>
            <wp:docPr id="9" name="图片 9" descr="76c9f8df9f897b851e649395f378084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76c9f8df9f897b851e649395f378084b"/>
                    <pic:cNvPicPr>
                      <a:picLocks noChangeAspect="1"/>
                    </pic:cNvPicPr>
                  </pic:nvPicPr>
                  <pic:blipFill>
                    <a:blip r:embed="rId8"/>
                    <a:stretch>
                      <a:fillRect/>
                    </a:stretch>
                  </pic:blipFill>
                  <pic:spPr>
                    <a:xfrm>
                      <a:off x="0" y="0"/>
                      <a:ext cx="3536001" cy="2652651"/>
                    </a:xfrm>
                    <a:prstGeom prst="rect">
                      <a:avLst/>
                    </a:prstGeom>
                  </pic:spPr>
                </pic:pic>
              </a:graphicData>
            </a:graphic>
          </wp:inline>
        </w:drawing>
      </w:r>
    </w:p>
    <w:p>
      <w:pPr>
        <w:spacing w:line="360" w:lineRule="auto"/>
        <w:jc w:val="center"/>
        <w:rPr>
          <w:rFonts w:eastAsiaTheme="minorEastAsia"/>
          <w:szCs w:val="21"/>
        </w:rPr>
      </w:pPr>
      <w:r>
        <w:rPr>
          <w:rFonts w:hint="eastAsia" w:eastAsiaTheme="minorEastAsia"/>
          <w:szCs w:val="21"/>
        </w:rPr>
        <w:t>艾春香理事长一行走访福建大北农华有水产科技集团有限公司</w:t>
      </w:r>
    </w:p>
    <w:p>
      <w:pPr>
        <w:spacing w:line="360" w:lineRule="auto"/>
        <w:jc w:val="center"/>
        <w:rPr>
          <w:rFonts w:eastAsiaTheme="minorEastAsia"/>
          <w:szCs w:val="21"/>
        </w:rPr>
      </w:pPr>
      <w:r>
        <w:rPr>
          <w:rFonts w:hint="eastAsia" w:eastAsiaTheme="minorEastAsia"/>
          <w:szCs w:val="21"/>
        </w:rPr>
        <w:drawing>
          <wp:inline distT="0" distB="0" distL="114300" distR="114300">
            <wp:extent cx="3397250" cy="2548890"/>
            <wp:effectExtent l="0" t="0" r="12700" b="3810"/>
            <wp:docPr id="10" name="图片 10" descr="c52e505a724a6dd04be7b91caa6c9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52e505a724a6dd04be7b91caa6c9232"/>
                    <pic:cNvPicPr>
                      <a:picLocks noChangeAspect="1"/>
                    </pic:cNvPicPr>
                  </pic:nvPicPr>
                  <pic:blipFill>
                    <a:blip r:embed="rId9"/>
                    <a:stretch>
                      <a:fillRect/>
                    </a:stretch>
                  </pic:blipFill>
                  <pic:spPr>
                    <a:xfrm>
                      <a:off x="0" y="0"/>
                      <a:ext cx="3397250" cy="2548890"/>
                    </a:xfrm>
                    <a:prstGeom prst="rect">
                      <a:avLst/>
                    </a:prstGeom>
                  </pic:spPr>
                </pic:pic>
              </a:graphicData>
            </a:graphic>
          </wp:inline>
        </w:drawing>
      </w:r>
    </w:p>
    <w:p>
      <w:pPr>
        <w:spacing w:line="360" w:lineRule="auto"/>
        <w:jc w:val="center"/>
        <w:rPr>
          <w:rFonts w:eastAsiaTheme="minorEastAsia"/>
          <w:szCs w:val="21"/>
        </w:rPr>
      </w:pPr>
      <w:r>
        <w:rPr>
          <w:rFonts w:hint="eastAsia" w:eastAsiaTheme="minorEastAsia"/>
          <w:szCs w:val="21"/>
        </w:rPr>
        <w:t>艾春香理事长一行走访福建澳华农牧科技有限公司</w:t>
      </w:r>
    </w:p>
    <w:p>
      <w:pPr>
        <w:spacing w:line="360" w:lineRule="auto"/>
        <w:jc w:val="center"/>
        <w:rPr>
          <w:rFonts w:eastAsiaTheme="minorEastAsia"/>
          <w:szCs w:val="21"/>
        </w:rPr>
      </w:pPr>
      <w:r>
        <w:rPr>
          <w:rFonts w:eastAsiaTheme="minorEastAsia"/>
          <w:szCs w:val="21"/>
        </w:rPr>
        <w:drawing>
          <wp:inline distT="0" distB="0" distL="114300" distR="114300">
            <wp:extent cx="3354070" cy="2515870"/>
            <wp:effectExtent l="0" t="0" r="17780" b="17780"/>
            <wp:docPr id="11" name="图片 11" descr="4fa4ddfd7f5f62d71aad66f1e64ac47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4fa4ddfd7f5f62d71aad66f1e64ac47f"/>
                    <pic:cNvPicPr>
                      <a:picLocks noChangeAspect="1"/>
                    </pic:cNvPicPr>
                  </pic:nvPicPr>
                  <pic:blipFill>
                    <a:blip r:embed="rId10"/>
                    <a:stretch>
                      <a:fillRect/>
                    </a:stretch>
                  </pic:blipFill>
                  <pic:spPr>
                    <a:xfrm>
                      <a:off x="0" y="0"/>
                      <a:ext cx="3354070" cy="2515870"/>
                    </a:xfrm>
                    <a:prstGeom prst="rect">
                      <a:avLst/>
                    </a:prstGeom>
                  </pic:spPr>
                </pic:pic>
              </a:graphicData>
            </a:graphic>
          </wp:inline>
        </w:drawing>
      </w:r>
    </w:p>
    <w:p>
      <w:pPr>
        <w:spacing w:line="360" w:lineRule="auto"/>
        <w:jc w:val="center"/>
        <w:rPr>
          <w:rFonts w:eastAsiaTheme="minorEastAsia"/>
          <w:szCs w:val="21"/>
        </w:rPr>
      </w:pPr>
      <w:r>
        <w:rPr>
          <w:rFonts w:hint="eastAsia" w:eastAsiaTheme="minorEastAsia"/>
          <w:szCs w:val="21"/>
        </w:rPr>
        <w:t>艾春香理事长一行走访福建嘉康饲料有限公司</w:t>
      </w:r>
    </w:p>
    <w:p>
      <w:pPr>
        <w:spacing w:line="360" w:lineRule="auto"/>
        <w:jc w:val="center"/>
        <w:rPr>
          <w:rFonts w:eastAsiaTheme="minorEastAsia"/>
          <w:szCs w:val="21"/>
        </w:rPr>
      </w:pPr>
      <w:r>
        <w:rPr>
          <w:rFonts w:hint="eastAsia" w:eastAsiaTheme="minorEastAsia"/>
          <w:szCs w:val="21"/>
        </w:rPr>
        <w:drawing>
          <wp:inline distT="0" distB="0" distL="114300" distR="114300">
            <wp:extent cx="3591560" cy="2693670"/>
            <wp:effectExtent l="0" t="0" r="8890" b="11430"/>
            <wp:docPr id="12" name="图片 12" descr="bbf79d197bba09a8d0c4893cea8c3d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bbf79d197bba09a8d0c4893cea8c3dfa"/>
                    <pic:cNvPicPr>
                      <a:picLocks noChangeAspect="1"/>
                    </pic:cNvPicPr>
                  </pic:nvPicPr>
                  <pic:blipFill>
                    <a:blip r:embed="rId11"/>
                    <a:stretch>
                      <a:fillRect/>
                    </a:stretch>
                  </pic:blipFill>
                  <pic:spPr>
                    <a:xfrm>
                      <a:off x="0" y="0"/>
                      <a:ext cx="3591560" cy="2693670"/>
                    </a:xfrm>
                    <a:prstGeom prst="rect">
                      <a:avLst/>
                    </a:prstGeom>
                  </pic:spPr>
                </pic:pic>
              </a:graphicData>
            </a:graphic>
          </wp:inline>
        </w:drawing>
      </w:r>
    </w:p>
    <w:p>
      <w:pPr>
        <w:spacing w:line="360" w:lineRule="auto"/>
        <w:jc w:val="center"/>
        <w:rPr>
          <w:rFonts w:eastAsiaTheme="minorEastAsia"/>
          <w:szCs w:val="21"/>
        </w:rPr>
      </w:pPr>
      <w:r>
        <w:rPr>
          <w:rFonts w:hint="eastAsia" w:eastAsiaTheme="minorEastAsia"/>
          <w:szCs w:val="21"/>
        </w:rPr>
        <w:t>艾春香理事长一行走访漳州海之味生物科技有限公司</w:t>
      </w:r>
    </w:p>
    <w:p>
      <w:pPr>
        <w:spacing w:line="360" w:lineRule="auto"/>
        <w:jc w:val="center"/>
        <w:rPr>
          <w:rFonts w:eastAsiaTheme="minorEastAsia"/>
          <w:szCs w:val="21"/>
        </w:rPr>
      </w:pPr>
      <w:r>
        <w:rPr>
          <w:rFonts w:hint="eastAsia" w:eastAsiaTheme="minorEastAsia"/>
          <w:szCs w:val="21"/>
        </w:rPr>
        <w:drawing>
          <wp:inline distT="0" distB="0" distL="114300" distR="114300">
            <wp:extent cx="3402330" cy="2552700"/>
            <wp:effectExtent l="0" t="0" r="7620" b="0"/>
            <wp:docPr id="13" name="图片 13" descr="6716962e876ded3b7ff8ed814bef8c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6716962e876ded3b7ff8ed814bef8c04"/>
                    <pic:cNvPicPr>
                      <a:picLocks noChangeAspect="1"/>
                    </pic:cNvPicPr>
                  </pic:nvPicPr>
                  <pic:blipFill>
                    <a:blip r:embed="rId12"/>
                    <a:stretch>
                      <a:fillRect/>
                    </a:stretch>
                  </pic:blipFill>
                  <pic:spPr>
                    <a:xfrm>
                      <a:off x="0" y="0"/>
                      <a:ext cx="3406979" cy="2555885"/>
                    </a:xfrm>
                    <a:prstGeom prst="rect">
                      <a:avLst/>
                    </a:prstGeom>
                  </pic:spPr>
                </pic:pic>
              </a:graphicData>
            </a:graphic>
          </wp:inline>
        </w:drawing>
      </w:r>
    </w:p>
    <w:p>
      <w:pPr>
        <w:spacing w:line="360" w:lineRule="auto"/>
        <w:jc w:val="center"/>
        <w:rPr>
          <w:rFonts w:eastAsiaTheme="minorEastAsia"/>
          <w:szCs w:val="21"/>
        </w:rPr>
      </w:pPr>
      <w:r>
        <w:rPr>
          <w:rFonts w:hint="eastAsia" w:eastAsiaTheme="minorEastAsia"/>
          <w:szCs w:val="21"/>
        </w:rPr>
        <w:t>艾春香理事长一行走访福建粤海饲料有限公司</w:t>
      </w:r>
    </w:p>
    <w:p>
      <w:pPr>
        <w:spacing w:line="360" w:lineRule="auto"/>
        <w:jc w:val="center"/>
        <w:rPr>
          <w:rFonts w:eastAsiaTheme="minorEastAsia"/>
          <w:szCs w:val="21"/>
        </w:rPr>
      </w:pPr>
      <w:r>
        <w:rPr>
          <w:rFonts w:hint="eastAsia" w:eastAsiaTheme="minorEastAsia"/>
          <w:szCs w:val="21"/>
        </w:rPr>
        <w:drawing>
          <wp:inline distT="0" distB="0" distL="114300" distR="114300">
            <wp:extent cx="3379470" cy="2534920"/>
            <wp:effectExtent l="0" t="0" r="0" b="0"/>
            <wp:docPr id="14" name="图片 14" descr="bb3ca44953ec2d81f911729f5e32c4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bb3ca44953ec2d81f911729f5e32c4e6"/>
                    <pic:cNvPicPr>
                      <a:picLocks noChangeAspect="1"/>
                    </pic:cNvPicPr>
                  </pic:nvPicPr>
                  <pic:blipFill>
                    <a:blip r:embed="rId13"/>
                    <a:stretch>
                      <a:fillRect/>
                    </a:stretch>
                  </pic:blipFill>
                  <pic:spPr>
                    <a:xfrm>
                      <a:off x="0" y="0"/>
                      <a:ext cx="3379475" cy="2534928"/>
                    </a:xfrm>
                    <a:prstGeom prst="rect">
                      <a:avLst/>
                    </a:prstGeom>
                  </pic:spPr>
                </pic:pic>
              </a:graphicData>
            </a:graphic>
          </wp:inline>
        </w:drawing>
      </w:r>
    </w:p>
    <w:p>
      <w:pPr>
        <w:spacing w:line="360" w:lineRule="auto"/>
        <w:jc w:val="center"/>
        <w:rPr>
          <w:rFonts w:eastAsiaTheme="minorEastAsia"/>
          <w:szCs w:val="21"/>
        </w:rPr>
      </w:pPr>
      <w:r>
        <w:rPr>
          <w:rFonts w:hint="eastAsia" w:eastAsiaTheme="minorEastAsia"/>
          <w:szCs w:val="21"/>
        </w:rPr>
        <w:t>艾春香理事长一行走访漳州海瑞生物科技有限公司</w:t>
      </w:r>
    </w:p>
    <w:p>
      <w:pPr>
        <w:spacing w:line="360" w:lineRule="auto"/>
        <w:jc w:val="center"/>
        <w:rPr>
          <w:rFonts w:eastAsiaTheme="minorEastAsia"/>
          <w:szCs w:val="21"/>
        </w:rPr>
      </w:pPr>
      <w:r>
        <w:rPr>
          <w:rFonts w:hint="eastAsia" w:eastAsiaTheme="minorEastAsia"/>
          <w:szCs w:val="21"/>
        </w:rPr>
        <w:drawing>
          <wp:inline distT="0" distB="0" distL="114300" distR="114300">
            <wp:extent cx="3390900" cy="2543175"/>
            <wp:effectExtent l="0" t="0" r="0" b="9525"/>
            <wp:docPr id="15" name="图片 15" descr="bcee2e7893486b08aea2e7b8d4d5f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bcee2e7893486b08aea2e7b8d4d5f752"/>
                    <pic:cNvPicPr>
                      <a:picLocks noChangeAspect="1"/>
                    </pic:cNvPicPr>
                  </pic:nvPicPr>
                  <pic:blipFill>
                    <a:blip r:embed="rId14"/>
                    <a:stretch>
                      <a:fillRect/>
                    </a:stretch>
                  </pic:blipFill>
                  <pic:spPr>
                    <a:xfrm>
                      <a:off x="0" y="0"/>
                      <a:ext cx="3395746" cy="2546810"/>
                    </a:xfrm>
                    <a:prstGeom prst="rect">
                      <a:avLst/>
                    </a:prstGeom>
                  </pic:spPr>
                </pic:pic>
              </a:graphicData>
            </a:graphic>
          </wp:inline>
        </w:drawing>
      </w:r>
    </w:p>
    <w:p>
      <w:pPr>
        <w:spacing w:line="360" w:lineRule="auto"/>
        <w:jc w:val="center"/>
        <w:rPr>
          <w:rFonts w:eastAsiaTheme="minorEastAsia"/>
          <w:szCs w:val="21"/>
        </w:rPr>
      </w:pPr>
      <w:r>
        <w:rPr>
          <w:rFonts w:hint="eastAsia" w:eastAsiaTheme="minorEastAsia"/>
          <w:szCs w:val="21"/>
        </w:rPr>
        <w:t>艾春香理事长一行走访漳州市海新水产饲料有限公司</w:t>
      </w:r>
    </w:p>
    <w:p>
      <w:pPr>
        <w:spacing w:line="360" w:lineRule="auto"/>
        <w:jc w:val="right"/>
        <w:rPr>
          <w:rStyle w:val="96"/>
          <w:rFonts w:eastAsiaTheme="minorEastAsia"/>
          <w:szCs w:val="21"/>
        </w:rPr>
      </w:pPr>
      <w:r>
        <w:rPr>
          <w:rStyle w:val="96"/>
          <w:rFonts w:hint="eastAsia" w:eastAsiaTheme="minorEastAsia"/>
          <w:szCs w:val="21"/>
        </w:rPr>
        <w:t>本会秘书处供稿</w:t>
      </w:r>
    </w:p>
    <w:p>
      <w:pPr>
        <w:spacing w:line="276" w:lineRule="auto"/>
        <w:jc w:val="left"/>
        <w:outlineLvl w:val="0"/>
        <w:rPr>
          <w:rStyle w:val="96"/>
          <w:rFonts w:eastAsia="黑体"/>
          <w:b/>
          <w:bCs/>
          <w:sz w:val="32"/>
          <w:szCs w:val="32"/>
          <w:bdr w:val="single" w:color="auto" w:sz="4" w:space="0"/>
        </w:rPr>
      </w:pPr>
      <w:bookmarkStart w:id="19" w:name="_Toc206013201"/>
      <w:r>
        <w:rPr>
          <w:rStyle w:val="96"/>
          <w:rFonts w:hint="eastAsia" w:eastAsia="黑体"/>
          <w:b/>
          <w:bCs/>
          <w:sz w:val="32"/>
          <w:szCs w:val="32"/>
          <w:bdr w:val="single" w:color="auto" w:sz="4" w:space="0"/>
        </w:rPr>
        <w:t>会议传递</w:t>
      </w:r>
      <w:bookmarkEnd w:id="19"/>
    </w:p>
    <w:p>
      <w:pPr>
        <w:spacing w:line="360" w:lineRule="auto"/>
        <w:jc w:val="center"/>
        <w:outlineLvl w:val="1"/>
        <w:rPr>
          <w:rFonts w:eastAsia="黑体"/>
          <w:b/>
          <w:bCs/>
          <w:sz w:val="32"/>
          <w:szCs w:val="32"/>
        </w:rPr>
      </w:pPr>
      <w:bookmarkStart w:id="20" w:name="_Toc206013202"/>
      <w:r>
        <w:rPr>
          <w:rFonts w:hint="eastAsia" w:eastAsia="黑体"/>
          <w:b/>
          <w:bCs/>
          <w:sz w:val="32"/>
          <w:szCs w:val="32"/>
        </w:rPr>
        <w:t>第四届中国国际循环水养虾大会将在山东博兴举办</w:t>
      </w:r>
      <w:bookmarkEnd w:id="20"/>
    </w:p>
    <w:p>
      <w:pPr>
        <w:spacing w:line="360" w:lineRule="auto"/>
        <w:ind w:firstLine="420"/>
        <w:rPr>
          <w:rFonts w:eastAsiaTheme="minorEastAsia"/>
          <w:sz w:val="24"/>
        </w:rPr>
      </w:pPr>
      <w:r>
        <w:rPr>
          <w:rFonts w:hint="eastAsia" w:eastAsiaTheme="minorEastAsia"/>
          <w:sz w:val="24"/>
        </w:rPr>
        <w:t>据统计，中国工厂化养虾面积超过800万㎡，山东、江苏、广东、福建等地已形成规模化工厂化养虾产业集群，部分养殖企业单产可达20-25公斤/m³，产量在国际已处于先进水平。然而，工厂化养虾并非完全的循环水养虾，后者的发展仍然进度有限，行业仍面临诸多挑战：病害防控压力大，制约产能稳定性；标准化程度不足，从水质调控到投喂管理，尚未形成可复制的成熟模式；系统能耗与成本高，部分企业因技术和管理不足，导致运营成本居高不下；智慧化水平待提升，自动化监测、大数据决策等技术的应用尚未普及。</w:t>
      </w:r>
    </w:p>
    <w:p>
      <w:pPr>
        <w:spacing w:line="360" w:lineRule="auto"/>
        <w:ind w:firstLine="420"/>
        <w:rPr>
          <w:rFonts w:eastAsiaTheme="minorEastAsia"/>
          <w:sz w:val="24"/>
        </w:rPr>
      </w:pPr>
      <w:r>
        <w:rPr>
          <w:rFonts w:hint="eastAsia" w:eastAsiaTheme="minorEastAsia"/>
          <w:sz w:val="24"/>
        </w:rPr>
        <w:t>而理想的循环水养虾系统应实现“零污染、低能耗、全可控”的闭环生产：通过物理过滤、生物净化、臭氧杀菌等技术，使水体重复利用率超95%，大幅降低环境负荷；依托物联网传感器、AI算法实时监测溶氧、pH、氨氮等参数，动态优化养殖环境；结合光伏、余热回收等技术降低能耗，推动碳中和目标；从种苗、饲料、动保到设备服务，形成标准化、可追溯的产业生态链。</w:t>
      </w:r>
    </w:p>
    <w:p>
      <w:pPr>
        <w:spacing w:line="360" w:lineRule="auto"/>
        <w:ind w:firstLine="420"/>
        <w:rPr>
          <w:rFonts w:eastAsiaTheme="minorEastAsia"/>
          <w:sz w:val="24"/>
        </w:rPr>
      </w:pPr>
      <w:r>
        <w:rPr>
          <w:rFonts w:hint="eastAsia" w:eastAsiaTheme="minorEastAsia"/>
          <w:sz w:val="24"/>
        </w:rPr>
        <w:t>2025年9月26-28日，由水产前沿、博兴县渔业协会、中国水产前沿展、博兴县千乘文旅体育产业集团有限公司、工业化水产圈联合主办的“第四届中国国际循环水养虾大会”拟选址山东滨州·博兴县，将围绕“病害防控、饲料营养、动保产品、智慧设备”四大维度，汇聚国内外科研机构、龙头企业、设备厂商、规模养殖者，通过专题报告、技术路演、圆桌对话等形式，探讨行业发展。</w:t>
      </w:r>
    </w:p>
    <w:p>
      <w:pPr>
        <w:spacing w:line="360" w:lineRule="auto"/>
        <w:ind w:firstLine="420"/>
        <w:rPr>
          <w:rFonts w:eastAsiaTheme="minorEastAsia"/>
          <w:sz w:val="24"/>
        </w:rPr>
      </w:pPr>
      <w:r>
        <w:rPr>
          <w:rFonts w:hint="eastAsia" w:eastAsiaTheme="minorEastAsia"/>
          <w:sz w:val="24"/>
        </w:rPr>
        <w:t>山东省博兴县已有20多年养殖南美白对虾的历史，累计开发对虾养殖池塘10万亩，高标准建设沿黄河13公里的对虾养殖产业带，因此，大会同步拟于千乘文旅数字设施渔业产业园举办“第三届中国渔业设施设备展”，将展会开到养殖场，全面呈现中国养虾业乃至水产养殖全行业的机械化、自动化和智能化成果。</w:t>
      </w:r>
    </w:p>
    <w:p>
      <w:pPr>
        <w:spacing w:line="360" w:lineRule="auto"/>
        <w:ind w:firstLine="420"/>
        <w:rPr>
          <w:rFonts w:eastAsiaTheme="minorEastAsia"/>
          <w:sz w:val="24"/>
        </w:rPr>
      </w:pPr>
      <w:r>
        <w:rPr>
          <w:rFonts w:hint="eastAsia" w:eastAsiaTheme="minorEastAsia"/>
          <w:sz w:val="24"/>
        </w:rPr>
        <w:t>智能化设备是循环水养虾的核心支撑，从“经验养殖”到“数据驱动”，水质监控、自动投喂、AI图像识别、能源管理（智能变频泵、高效曝气设备）等都将带给养虾人全新的科技体验。我们期待通过本次大会与展会，推动中国循环水养殖行业向“技术标准化、设备国产化、运营智慧化”迈进，助力渔业实现高质量可持续发展！</w:t>
      </w:r>
    </w:p>
    <w:p>
      <w:pPr>
        <w:spacing w:line="360" w:lineRule="auto"/>
        <w:ind w:firstLine="420"/>
        <w:rPr>
          <w:rFonts w:eastAsiaTheme="minorEastAsia"/>
          <w:sz w:val="24"/>
        </w:rPr>
      </w:pPr>
      <w:r>
        <w:rPr>
          <w:rFonts w:hint="eastAsia" w:eastAsiaTheme="minorEastAsia"/>
          <w:sz w:val="24"/>
        </w:rPr>
        <w:t>会议时间与地点</w:t>
      </w:r>
    </w:p>
    <w:p>
      <w:pPr>
        <w:spacing w:line="360" w:lineRule="auto"/>
        <w:ind w:firstLine="420"/>
        <w:rPr>
          <w:rFonts w:eastAsiaTheme="minorEastAsia"/>
          <w:sz w:val="24"/>
        </w:rPr>
      </w:pPr>
      <w:r>
        <w:rPr>
          <w:rFonts w:hint="eastAsia" w:eastAsiaTheme="minorEastAsia"/>
          <w:sz w:val="24"/>
        </w:rPr>
        <w:t>1. 时间：2025年9月26-28日（26日报到，27日大会，28日设备展）</w:t>
      </w:r>
    </w:p>
    <w:p>
      <w:pPr>
        <w:spacing w:line="360" w:lineRule="auto"/>
        <w:ind w:firstLine="420"/>
        <w:rPr>
          <w:rFonts w:eastAsiaTheme="minorEastAsia"/>
          <w:sz w:val="24"/>
        </w:rPr>
      </w:pPr>
      <w:r>
        <w:rPr>
          <w:rFonts w:hint="eastAsia" w:eastAsiaTheme="minorEastAsia"/>
          <w:sz w:val="24"/>
        </w:rPr>
        <w:t>2. 地点：山东 · 博兴</w:t>
      </w:r>
    </w:p>
    <w:p>
      <w:pPr>
        <w:spacing w:line="360" w:lineRule="auto"/>
        <w:ind w:firstLine="420"/>
        <w:rPr>
          <w:rFonts w:eastAsiaTheme="minorEastAsia"/>
          <w:sz w:val="24"/>
        </w:rPr>
      </w:pPr>
      <w:r>
        <w:rPr>
          <w:rFonts w:hint="eastAsia" w:eastAsiaTheme="minorEastAsia"/>
          <w:sz w:val="24"/>
        </w:rPr>
        <w:t>会议主题</w:t>
      </w:r>
    </w:p>
    <w:p>
      <w:pPr>
        <w:spacing w:line="360" w:lineRule="auto"/>
        <w:ind w:firstLine="420"/>
        <w:rPr>
          <w:rFonts w:eastAsiaTheme="minorEastAsia"/>
          <w:sz w:val="24"/>
        </w:rPr>
      </w:pPr>
      <w:r>
        <w:rPr>
          <w:rFonts w:hint="eastAsia" w:eastAsiaTheme="minorEastAsia"/>
          <w:sz w:val="24"/>
        </w:rPr>
        <w:t>养殖标准化 · 设备国产化 · 运营智慧化</w:t>
      </w:r>
    </w:p>
    <w:p>
      <w:pPr>
        <w:spacing w:line="360" w:lineRule="auto"/>
        <w:ind w:firstLine="420"/>
        <w:rPr>
          <w:rFonts w:eastAsiaTheme="minorEastAsia"/>
          <w:sz w:val="24"/>
        </w:rPr>
      </w:pPr>
      <w:r>
        <w:rPr>
          <w:rFonts w:hint="eastAsia" w:eastAsiaTheme="minorEastAsia"/>
          <w:sz w:val="24"/>
        </w:rPr>
        <w:t>组织单位</w:t>
      </w:r>
    </w:p>
    <w:p>
      <w:pPr>
        <w:spacing w:line="360" w:lineRule="auto"/>
        <w:ind w:firstLine="420"/>
        <w:rPr>
          <w:rFonts w:eastAsiaTheme="minorEastAsia"/>
          <w:sz w:val="24"/>
        </w:rPr>
      </w:pPr>
      <w:r>
        <w:rPr>
          <w:rFonts w:hint="eastAsia" w:eastAsiaTheme="minorEastAsia"/>
          <w:sz w:val="24"/>
        </w:rPr>
        <w:t>主办单位：</w:t>
      </w:r>
    </w:p>
    <w:p>
      <w:pPr>
        <w:spacing w:line="360" w:lineRule="auto"/>
        <w:ind w:firstLine="420"/>
        <w:rPr>
          <w:rFonts w:eastAsiaTheme="minorEastAsia"/>
          <w:sz w:val="24"/>
        </w:rPr>
      </w:pPr>
      <w:r>
        <w:rPr>
          <w:rFonts w:hint="eastAsia" w:eastAsiaTheme="minorEastAsia"/>
          <w:sz w:val="24"/>
        </w:rPr>
        <w:t>水产前沿</w:t>
      </w:r>
    </w:p>
    <w:p>
      <w:pPr>
        <w:spacing w:line="360" w:lineRule="auto"/>
        <w:ind w:firstLine="420"/>
        <w:rPr>
          <w:rFonts w:eastAsiaTheme="minorEastAsia"/>
          <w:sz w:val="24"/>
        </w:rPr>
      </w:pPr>
      <w:r>
        <w:rPr>
          <w:rFonts w:hint="eastAsia" w:eastAsiaTheme="minorEastAsia"/>
          <w:sz w:val="24"/>
        </w:rPr>
        <w:t>联合主办：</w:t>
      </w:r>
    </w:p>
    <w:p>
      <w:pPr>
        <w:spacing w:line="360" w:lineRule="auto"/>
        <w:ind w:firstLine="420"/>
        <w:rPr>
          <w:rFonts w:eastAsiaTheme="minorEastAsia"/>
          <w:sz w:val="24"/>
        </w:rPr>
      </w:pPr>
      <w:r>
        <w:rPr>
          <w:rFonts w:hint="eastAsia" w:eastAsiaTheme="minorEastAsia"/>
          <w:sz w:val="24"/>
        </w:rPr>
        <w:t>博兴县渔业协会</w:t>
      </w:r>
    </w:p>
    <w:p>
      <w:pPr>
        <w:spacing w:line="360" w:lineRule="auto"/>
        <w:ind w:firstLine="420"/>
        <w:rPr>
          <w:rFonts w:eastAsiaTheme="minorEastAsia"/>
          <w:sz w:val="24"/>
        </w:rPr>
      </w:pPr>
      <w:r>
        <w:rPr>
          <w:rFonts w:hint="eastAsia" w:eastAsiaTheme="minorEastAsia"/>
          <w:sz w:val="24"/>
        </w:rPr>
        <w:t>中国水产前沿展（CAE）</w:t>
      </w:r>
    </w:p>
    <w:p>
      <w:pPr>
        <w:spacing w:line="360" w:lineRule="auto"/>
        <w:ind w:firstLine="420"/>
        <w:rPr>
          <w:rFonts w:eastAsiaTheme="minorEastAsia"/>
          <w:sz w:val="24"/>
        </w:rPr>
      </w:pPr>
      <w:r>
        <w:rPr>
          <w:rFonts w:hint="eastAsia" w:eastAsiaTheme="minorEastAsia"/>
          <w:sz w:val="24"/>
        </w:rPr>
        <w:t>博兴县千乘文旅体育产业集团有限公司</w:t>
      </w:r>
    </w:p>
    <w:p>
      <w:pPr>
        <w:spacing w:line="360" w:lineRule="auto"/>
        <w:ind w:firstLine="420"/>
        <w:rPr>
          <w:rFonts w:eastAsiaTheme="minorEastAsia"/>
          <w:sz w:val="24"/>
        </w:rPr>
      </w:pPr>
      <w:r>
        <w:rPr>
          <w:rFonts w:hint="eastAsia" w:eastAsiaTheme="minorEastAsia"/>
          <w:sz w:val="24"/>
        </w:rPr>
        <w:t>承办单位：</w:t>
      </w:r>
    </w:p>
    <w:p>
      <w:pPr>
        <w:spacing w:line="360" w:lineRule="auto"/>
        <w:ind w:firstLine="420"/>
        <w:rPr>
          <w:rFonts w:eastAsiaTheme="minorEastAsia"/>
          <w:sz w:val="24"/>
        </w:rPr>
      </w:pPr>
      <w:r>
        <w:rPr>
          <w:rFonts w:hint="eastAsia" w:eastAsiaTheme="minorEastAsia"/>
          <w:sz w:val="24"/>
        </w:rPr>
        <w:t>工业化水产圈</w:t>
      </w:r>
    </w:p>
    <w:p>
      <w:pPr>
        <w:spacing w:line="360" w:lineRule="auto"/>
        <w:ind w:firstLine="420"/>
        <w:rPr>
          <w:rFonts w:eastAsiaTheme="minorEastAsia"/>
          <w:sz w:val="24"/>
        </w:rPr>
      </w:pPr>
      <w:r>
        <w:rPr>
          <w:rFonts w:hint="eastAsia" w:eastAsiaTheme="minorEastAsia"/>
          <w:sz w:val="24"/>
        </w:rPr>
        <w:t>协办单位：</w:t>
      </w:r>
    </w:p>
    <w:p>
      <w:pPr>
        <w:spacing w:line="360" w:lineRule="auto"/>
        <w:ind w:firstLine="420"/>
        <w:rPr>
          <w:rFonts w:eastAsiaTheme="minorEastAsia"/>
          <w:sz w:val="24"/>
        </w:rPr>
      </w:pPr>
      <w:r>
        <w:rPr>
          <w:rFonts w:hint="eastAsia" w:eastAsiaTheme="minorEastAsia"/>
          <w:sz w:val="24"/>
        </w:rPr>
        <w:t>江苏东巽生物科技有限公司</w:t>
      </w:r>
    </w:p>
    <w:p>
      <w:pPr>
        <w:spacing w:line="360" w:lineRule="auto"/>
        <w:ind w:firstLine="420"/>
        <w:rPr>
          <w:rFonts w:eastAsiaTheme="minorEastAsia"/>
          <w:sz w:val="24"/>
        </w:rPr>
      </w:pPr>
      <w:r>
        <w:rPr>
          <w:rFonts w:hint="eastAsia" w:eastAsiaTheme="minorEastAsia"/>
          <w:sz w:val="24"/>
        </w:rPr>
        <w:t>海博集团</w:t>
      </w:r>
    </w:p>
    <w:p>
      <w:pPr>
        <w:spacing w:line="360" w:lineRule="auto"/>
        <w:ind w:firstLine="420"/>
        <w:rPr>
          <w:rFonts w:eastAsiaTheme="minorEastAsia"/>
          <w:sz w:val="24"/>
        </w:rPr>
      </w:pPr>
      <w:r>
        <w:rPr>
          <w:rFonts w:hint="eastAsia" w:eastAsiaTheme="minorEastAsia"/>
          <w:sz w:val="24"/>
        </w:rPr>
        <w:t>特别支持单位：</w:t>
      </w:r>
    </w:p>
    <w:p>
      <w:pPr>
        <w:spacing w:line="360" w:lineRule="auto"/>
        <w:ind w:firstLine="420"/>
        <w:rPr>
          <w:rFonts w:eastAsiaTheme="minorEastAsia"/>
          <w:sz w:val="24"/>
        </w:rPr>
      </w:pPr>
      <w:r>
        <w:rPr>
          <w:rFonts w:hint="eastAsia" w:eastAsiaTheme="minorEastAsia"/>
          <w:sz w:val="24"/>
        </w:rPr>
        <w:t>广东渔易水产科技有限责任公司</w:t>
      </w:r>
    </w:p>
    <w:p>
      <w:pPr>
        <w:spacing w:line="360" w:lineRule="auto"/>
        <w:ind w:firstLine="420"/>
        <w:rPr>
          <w:rFonts w:eastAsiaTheme="minorEastAsia"/>
          <w:sz w:val="24"/>
        </w:rPr>
      </w:pPr>
      <w:r>
        <w:rPr>
          <w:rFonts w:hint="eastAsia" w:eastAsiaTheme="minorEastAsia"/>
          <w:sz w:val="24"/>
        </w:rPr>
        <w:t>金牌赞助：</w:t>
      </w:r>
    </w:p>
    <w:p>
      <w:pPr>
        <w:spacing w:line="360" w:lineRule="auto"/>
        <w:ind w:firstLine="420"/>
        <w:rPr>
          <w:rFonts w:eastAsiaTheme="minorEastAsia"/>
          <w:sz w:val="24"/>
        </w:rPr>
      </w:pPr>
      <w:r>
        <w:rPr>
          <w:rFonts w:hint="eastAsia" w:eastAsiaTheme="minorEastAsia"/>
          <w:sz w:val="24"/>
        </w:rPr>
        <w:t>江苏好润生物产业集团股份有限公司</w:t>
      </w:r>
    </w:p>
    <w:p>
      <w:pPr>
        <w:spacing w:line="360" w:lineRule="auto"/>
        <w:ind w:firstLine="420"/>
        <w:rPr>
          <w:rFonts w:eastAsiaTheme="minorEastAsia"/>
          <w:sz w:val="24"/>
        </w:rPr>
      </w:pPr>
      <w:r>
        <w:rPr>
          <w:rFonts w:hint="eastAsia" w:eastAsiaTheme="minorEastAsia"/>
          <w:sz w:val="24"/>
        </w:rPr>
        <w:t>青岛东方药业有限公司</w:t>
      </w:r>
    </w:p>
    <w:p>
      <w:pPr>
        <w:spacing w:line="360" w:lineRule="auto"/>
        <w:ind w:firstLine="420"/>
        <w:rPr>
          <w:rFonts w:eastAsiaTheme="minorEastAsia"/>
          <w:sz w:val="24"/>
        </w:rPr>
      </w:pPr>
      <w:r>
        <w:rPr>
          <w:rFonts w:hint="eastAsia" w:eastAsiaTheme="minorEastAsia"/>
          <w:sz w:val="24"/>
        </w:rPr>
        <w:t>晚宴冠名：</w:t>
      </w:r>
    </w:p>
    <w:p>
      <w:pPr>
        <w:spacing w:line="360" w:lineRule="auto"/>
        <w:ind w:firstLine="420"/>
        <w:rPr>
          <w:rFonts w:eastAsiaTheme="minorEastAsia"/>
          <w:sz w:val="24"/>
        </w:rPr>
      </w:pPr>
      <w:r>
        <w:rPr>
          <w:rFonts w:hint="eastAsia" w:eastAsiaTheme="minorEastAsia"/>
          <w:sz w:val="24"/>
        </w:rPr>
        <w:t>青岛东方药业有限公司</w:t>
      </w:r>
    </w:p>
    <w:p>
      <w:pPr>
        <w:spacing w:line="360" w:lineRule="auto"/>
        <w:ind w:firstLine="420"/>
        <w:rPr>
          <w:rFonts w:eastAsiaTheme="minorEastAsia"/>
          <w:sz w:val="24"/>
        </w:rPr>
      </w:pPr>
      <w:r>
        <w:rPr>
          <w:rFonts w:hint="eastAsia" w:eastAsiaTheme="minorEastAsia"/>
          <w:sz w:val="24"/>
        </w:rPr>
        <w:t>参展单位：</w:t>
      </w:r>
    </w:p>
    <w:p>
      <w:pPr>
        <w:spacing w:line="360" w:lineRule="auto"/>
        <w:ind w:firstLine="420"/>
        <w:rPr>
          <w:rFonts w:eastAsiaTheme="minorEastAsia"/>
          <w:sz w:val="24"/>
        </w:rPr>
      </w:pPr>
      <w:r>
        <w:rPr>
          <w:rFonts w:hint="eastAsia" w:eastAsiaTheme="minorEastAsia"/>
          <w:sz w:val="24"/>
        </w:rPr>
        <w:t>洛阳鱼耀科技有限公司</w:t>
      </w:r>
    </w:p>
    <w:p>
      <w:pPr>
        <w:spacing w:line="360" w:lineRule="auto"/>
        <w:ind w:firstLine="420"/>
        <w:rPr>
          <w:rFonts w:eastAsiaTheme="minorEastAsia"/>
          <w:sz w:val="24"/>
        </w:rPr>
      </w:pPr>
      <w:r>
        <w:rPr>
          <w:rFonts w:hint="eastAsia" w:eastAsiaTheme="minorEastAsia"/>
          <w:sz w:val="24"/>
        </w:rPr>
        <w:t>江苏华实药业有限公司</w:t>
      </w:r>
    </w:p>
    <w:p>
      <w:pPr>
        <w:spacing w:line="360" w:lineRule="auto"/>
        <w:ind w:firstLine="420"/>
        <w:rPr>
          <w:rFonts w:eastAsiaTheme="minorEastAsia"/>
          <w:sz w:val="24"/>
        </w:rPr>
      </w:pPr>
      <w:r>
        <w:rPr>
          <w:rFonts w:hint="eastAsia" w:eastAsiaTheme="minorEastAsia"/>
          <w:sz w:val="24"/>
        </w:rPr>
        <w:t>山东博敬牧业有限公司</w:t>
      </w:r>
    </w:p>
    <w:p>
      <w:pPr>
        <w:spacing w:line="360" w:lineRule="auto"/>
        <w:ind w:firstLine="420"/>
        <w:rPr>
          <w:rFonts w:eastAsiaTheme="minorEastAsia"/>
          <w:sz w:val="24"/>
        </w:rPr>
      </w:pPr>
      <w:r>
        <w:rPr>
          <w:rFonts w:hint="eastAsia" w:eastAsiaTheme="minorEastAsia"/>
          <w:sz w:val="24"/>
        </w:rPr>
        <w:t>会议规模及参会对象</w:t>
      </w:r>
    </w:p>
    <w:p>
      <w:pPr>
        <w:spacing w:line="360" w:lineRule="auto"/>
        <w:ind w:firstLine="420"/>
        <w:rPr>
          <w:rFonts w:eastAsiaTheme="minorEastAsia"/>
          <w:sz w:val="24"/>
        </w:rPr>
      </w:pPr>
      <w:r>
        <w:rPr>
          <w:rFonts w:hint="eastAsia" w:eastAsiaTheme="minorEastAsia"/>
          <w:sz w:val="24"/>
        </w:rPr>
        <w:t>约400人。涵盖科研人员；RAS养虾者；投资者；一线养殖工程师；RAS设备、饲料、种苗等供应商；RAS建设承包商；对RAS感兴趣的行业人员等。</w:t>
      </w:r>
    </w:p>
    <w:p>
      <w:pPr>
        <w:spacing w:line="360" w:lineRule="auto"/>
        <w:ind w:firstLine="420"/>
        <w:rPr>
          <w:rFonts w:eastAsiaTheme="minorEastAsia"/>
          <w:sz w:val="24"/>
        </w:rPr>
      </w:pPr>
    </w:p>
    <w:p>
      <w:pPr>
        <w:spacing w:line="360" w:lineRule="auto"/>
        <w:ind w:firstLine="420"/>
        <w:rPr>
          <w:rFonts w:eastAsiaTheme="minorEastAsia"/>
          <w:sz w:val="24"/>
        </w:rPr>
      </w:pPr>
      <w:r>
        <w:rPr>
          <w:rFonts w:hint="eastAsia" w:eastAsiaTheme="minorEastAsia"/>
          <w:sz w:val="24"/>
        </w:rPr>
        <w:t>拟讨论议题</w:t>
      </w:r>
    </w:p>
    <w:p>
      <w:pPr>
        <w:spacing w:line="360" w:lineRule="auto"/>
        <w:ind w:firstLine="420"/>
        <w:rPr>
          <w:rFonts w:eastAsiaTheme="minorEastAsia"/>
          <w:sz w:val="24"/>
        </w:rPr>
      </w:pPr>
      <w:r>
        <w:rPr>
          <w:rFonts w:hint="eastAsia" w:eastAsiaTheme="minorEastAsia"/>
          <w:sz w:val="24"/>
        </w:rPr>
        <w:t>如何构建抗病性强、生长快的对虾种质资源？</w:t>
      </w:r>
    </w:p>
    <w:p>
      <w:pPr>
        <w:spacing w:line="360" w:lineRule="auto"/>
        <w:ind w:firstLine="420"/>
        <w:rPr>
          <w:rFonts w:eastAsiaTheme="minorEastAsia"/>
          <w:sz w:val="24"/>
        </w:rPr>
      </w:pPr>
      <w:r>
        <w:rPr>
          <w:rFonts w:hint="eastAsia" w:eastAsiaTheme="minorEastAsia"/>
          <w:sz w:val="24"/>
        </w:rPr>
        <w:t>高值饲料如何匹配循环水系统需求？</w:t>
      </w:r>
    </w:p>
    <w:p>
      <w:pPr>
        <w:spacing w:line="360" w:lineRule="auto"/>
        <w:ind w:firstLine="420"/>
        <w:rPr>
          <w:rFonts w:eastAsiaTheme="minorEastAsia"/>
          <w:sz w:val="24"/>
        </w:rPr>
      </w:pPr>
      <w:r>
        <w:rPr>
          <w:rFonts w:hint="eastAsia" w:eastAsiaTheme="minorEastAsia"/>
          <w:sz w:val="24"/>
        </w:rPr>
        <w:t>智能装备如何赋能高密度养殖的精准管理？</w:t>
      </w:r>
    </w:p>
    <w:p>
      <w:pPr>
        <w:spacing w:line="360" w:lineRule="auto"/>
        <w:ind w:firstLine="420"/>
        <w:rPr>
          <w:rFonts w:eastAsiaTheme="minorEastAsia"/>
          <w:sz w:val="24"/>
        </w:rPr>
      </w:pPr>
      <w:r>
        <w:rPr>
          <w:rFonts w:hint="eastAsia" w:eastAsiaTheme="minorEastAsia"/>
          <w:sz w:val="24"/>
        </w:rPr>
        <w:t>政策与资本如何加速产业规模化落地？</w:t>
      </w:r>
    </w:p>
    <w:p>
      <w:pPr>
        <w:spacing w:line="360" w:lineRule="auto"/>
        <w:jc w:val="right"/>
        <w:rPr>
          <w:rStyle w:val="96"/>
          <w:rFonts w:eastAsiaTheme="minorEastAsia"/>
          <w:szCs w:val="21"/>
        </w:rPr>
      </w:pPr>
      <w:r>
        <w:rPr>
          <w:rStyle w:val="96"/>
          <w:rFonts w:hint="eastAsia" w:eastAsiaTheme="minorEastAsia"/>
          <w:szCs w:val="21"/>
        </w:rPr>
        <w:t>转摘自水产前沿微信公众号</w:t>
      </w:r>
    </w:p>
    <w:p>
      <w:pPr>
        <w:spacing w:line="276" w:lineRule="auto"/>
        <w:jc w:val="left"/>
        <w:outlineLvl w:val="0"/>
        <w:rPr>
          <w:rStyle w:val="96"/>
          <w:rFonts w:eastAsia="黑体"/>
          <w:b/>
          <w:bCs/>
          <w:sz w:val="32"/>
          <w:szCs w:val="32"/>
          <w:bdr w:val="single" w:color="auto" w:sz="4" w:space="0"/>
        </w:rPr>
      </w:pPr>
      <w:bookmarkStart w:id="21" w:name="_Toc206013203"/>
      <w:r>
        <w:rPr>
          <w:rStyle w:val="96"/>
          <w:rFonts w:hint="eastAsia" w:eastAsia="黑体"/>
          <w:b/>
          <w:bCs/>
          <w:sz w:val="32"/>
          <w:szCs w:val="32"/>
          <w:bdr w:val="single" w:color="auto" w:sz="4" w:space="0"/>
        </w:rPr>
        <w:t>研究进展</w:t>
      </w:r>
      <w:bookmarkEnd w:id="21"/>
    </w:p>
    <w:p>
      <w:pPr>
        <w:jc w:val="center"/>
        <w:outlineLvl w:val="1"/>
        <w:rPr>
          <w:rFonts w:hint="eastAsia" w:ascii="黑体" w:hAnsi="黑体" w:eastAsia="黑体"/>
          <w:b/>
          <w:sz w:val="32"/>
          <w:szCs w:val="32"/>
        </w:rPr>
      </w:pPr>
      <w:bookmarkStart w:id="22" w:name="_Toc206013204"/>
      <w:r>
        <w:rPr>
          <w:rFonts w:hint="eastAsia" w:ascii="黑体" w:hAnsi="黑体" w:eastAsia="黑体"/>
          <w:b/>
          <w:sz w:val="32"/>
          <w:szCs w:val="32"/>
        </w:rPr>
        <w:t>后生元的活性成分、作用机制及其在水产养殖中应用的研究进展</w:t>
      </w:r>
      <w:bookmarkEnd w:id="22"/>
    </w:p>
    <w:p>
      <w:pPr>
        <w:jc w:val="center"/>
        <w:rPr>
          <w:szCs w:val="22"/>
        </w:rPr>
      </w:pPr>
      <w:r>
        <w:rPr>
          <w:rFonts w:hint="eastAsia"/>
          <w:szCs w:val="22"/>
        </w:rPr>
        <w:t>宣雄智</w:t>
      </w:r>
      <w:r>
        <w:rPr>
          <w:szCs w:val="22"/>
          <w:vertAlign w:val="superscript"/>
        </w:rPr>
        <w:t>1</w:t>
      </w:r>
      <w:r>
        <w:rPr>
          <w:szCs w:val="22"/>
        </w:rPr>
        <w:t xml:space="preserve"> 朱文婷</w:t>
      </w:r>
      <w:r>
        <w:rPr>
          <w:szCs w:val="22"/>
          <w:vertAlign w:val="superscript"/>
        </w:rPr>
        <w:t>1</w:t>
      </w:r>
      <w:r>
        <w:rPr>
          <w:szCs w:val="22"/>
        </w:rPr>
        <w:t xml:space="preserve"> 李文嘉</w:t>
      </w:r>
      <w:r>
        <w:rPr>
          <w:szCs w:val="22"/>
          <w:vertAlign w:val="superscript"/>
        </w:rPr>
        <w:t>2*</w:t>
      </w:r>
      <w:r>
        <w:rPr>
          <w:szCs w:val="22"/>
        </w:rPr>
        <w:t xml:space="preserve"> 徐先栋</w:t>
      </w:r>
      <w:r>
        <w:rPr>
          <w:szCs w:val="22"/>
          <w:vertAlign w:val="superscript"/>
        </w:rPr>
        <w:t>3</w:t>
      </w:r>
      <w:r>
        <w:rPr>
          <w:szCs w:val="22"/>
        </w:rPr>
        <w:t xml:space="preserve"> 李烨</w:t>
      </w:r>
      <w:r>
        <w:rPr>
          <w:szCs w:val="22"/>
          <w:vertAlign w:val="superscript"/>
        </w:rPr>
        <w:t>1</w:t>
      </w:r>
      <w:r>
        <w:rPr>
          <w:szCs w:val="22"/>
        </w:rPr>
        <w:t xml:space="preserve"> 何景晧</w:t>
      </w:r>
      <w:r>
        <w:rPr>
          <w:szCs w:val="22"/>
          <w:vertAlign w:val="superscript"/>
        </w:rPr>
        <w:t>1</w:t>
      </w:r>
      <w:r>
        <w:rPr>
          <w:szCs w:val="22"/>
        </w:rPr>
        <w:t xml:space="preserve"> 姬雯杉</w:t>
      </w:r>
      <w:r>
        <w:rPr>
          <w:szCs w:val="22"/>
          <w:vertAlign w:val="superscript"/>
        </w:rPr>
        <w:t>1</w:t>
      </w:r>
    </w:p>
    <w:p>
      <w:pPr>
        <w:jc w:val="center"/>
        <w:rPr>
          <w:szCs w:val="21"/>
        </w:rPr>
      </w:pPr>
      <w:r>
        <w:rPr>
          <w:szCs w:val="21"/>
        </w:rPr>
        <w:t>(1.苏州农业职业技术学院，江苏 苏州 215008；2.河南省农业</w:t>
      </w:r>
      <w:r>
        <w:rPr>
          <w:rFonts w:hint="eastAsia"/>
          <w:szCs w:val="21"/>
        </w:rPr>
        <w:t>科学院畜牧研究所，河南</w:t>
      </w:r>
      <w:r>
        <w:rPr>
          <w:szCs w:val="21"/>
        </w:rPr>
        <w:t xml:space="preserve"> 郑州 450002；3.江西省水产科学研究所，江西 南昌 330039)</w:t>
      </w:r>
    </w:p>
    <w:p>
      <w:pPr>
        <w:jc w:val="left"/>
        <w:rPr>
          <w:szCs w:val="22"/>
        </w:rPr>
      </w:pPr>
      <w:r>
        <w:rPr>
          <w:b/>
          <w:bCs/>
          <w:szCs w:val="21"/>
        </w:rPr>
        <w:t>摘要：</w:t>
      </w:r>
      <w:r>
        <w:rPr>
          <w:rFonts w:hint="eastAsia"/>
          <w:szCs w:val="22"/>
        </w:rPr>
        <w:t>后生元是一类能够产生有益作用的灭活微生物制剂，以传统益生菌的代谢产物为主，包括胞内多糖、短链脂肪酸、氨基酸、有机酸、酶和其他代谢物。后生元具有调节肠道微生物菌群、参与机体免疫调节、抗氧化功能、抗炎症、抑制细菌生长和抗病毒等功能。后生元发挥这些功能的机制可能与新陈代谢、信号通路和肠道内稳态等因素有关。文章主要介绍了后生元的成分、分类和来源，阐述了后生元的功能和作用机制，论述了其在鱼类、虾类和软体动物中的应用效果，为后生元在水产养殖产业中的应用提供参考。</w:t>
      </w:r>
    </w:p>
    <w:p>
      <w:pPr>
        <w:rPr>
          <w:szCs w:val="21"/>
        </w:rPr>
      </w:pPr>
      <w:r>
        <w:rPr>
          <w:b/>
          <w:bCs/>
          <w:szCs w:val="21"/>
        </w:rPr>
        <w:t>关键词：</w:t>
      </w:r>
      <w:r>
        <w:rPr>
          <w:rFonts w:hint="eastAsia"/>
          <w:szCs w:val="22"/>
        </w:rPr>
        <w:t>后生元；活性成分；作用机制；水产养殖</w:t>
      </w:r>
    </w:p>
    <w:p>
      <w:pPr>
        <w:jc w:val="center"/>
        <w:rPr>
          <w:b/>
          <w:bCs/>
          <w:sz w:val="24"/>
        </w:rPr>
      </w:pPr>
      <w:r>
        <w:rPr>
          <w:b/>
          <w:bCs/>
          <w:sz w:val="24"/>
        </w:rPr>
        <w:t>Research progress on active components，mechanism of action and application of postbiotics in aquaculture</w:t>
      </w:r>
    </w:p>
    <w:p>
      <w:pPr>
        <w:jc w:val="center"/>
        <w:rPr>
          <w:szCs w:val="22"/>
        </w:rPr>
      </w:pPr>
      <w:r>
        <w:rPr>
          <w:szCs w:val="22"/>
        </w:rPr>
        <w:t>XUAN Xiongzhi</w:t>
      </w:r>
      <w:r>
        <w:rPr>
          <w:szCs w:val="22"/>
          <w:vertAlign w:val="superscript"/>
        </w:rPr>
        <w:t>1</w:t>
      </w:r>
      <w:r>
        <w:rPr>
          <w:szCs w:val="22"/>
        </w:rPr>
        <w:t xml:space="preserve"> ZHU Wenting</w:t>
      </w:r>
      <w:r>
        <w:rPr>
          <w:szCs w:val="22"/>
          <w:vertAlign w:val="superscript"/>
        </w:rPr>
        <w:t>1</w:t>
      </w:r>
      <w:r>
        <w:rPr>
          <w:szCs w:val="22"/>
        </w:rPr>
        <w:t xml:space="preserve"> LI Wenjia</w:t>
      </w:r>
      <w:r>
        <w:rPr>
          <w:szCs w:val="22"/>
          <w:vertAlign w:val="superscript"/>
        </w:rPr>
        <w:t>2*</w:t>
      </w:r>
      <w:r>
        <w:rPr>
          <w:szCs w:val="22"/>
        </w:rPr>
        <w:t xml:space="preserve"> XU Xiandong</w:t>
      </w:r>
      <w:r>
        <w:rPr>
          <w:szCs w:val="22"/>
          <w:vertAlign w:val="superscript"/>
        </w:rPr>
        <w:t>3</w:t>
      </w:r>
      <w:r>
        <w:rPr>
          <w:szCs w:val="22"/>
        </w:rPr>
        <w:t xml:space="preserve"> LI Ye</w:t>
      </w:r>
      <w:r>
        <w:rPr>
          <w:szCs w:val="22"/>
          <w:vertAlign w:val="superscript"/>
        </w:rPr>
        <w:t>1</w:t>
      </w:r>
      <w:r>
        <w:rPr>
          <w:szCs w:val="22"/>
        </w:rPr>
        <w:t xml:space="preserve"> HE Jinghao</w:t>
      </w:r>
      <w:r>
        <w:rPr>
          <w:szCs w:val="22"/>
          <w:vertAlign w:val="superscript"/>
        </w:rPr>
        <w:t>1</w:t>
      </w:r>
      <w:r>
        <w:rPr>
          <w:szCs w:val="22"/>
        </w:rPr>
        <w:t xml:space="preserve"> JI Wenshan</w:t>
      </w:r>
      <w:r>
        <w:rPr>
          <w:szCs w:val="22"/>
          <w:vertAlign w:val="superscript"/>
        </w:rPr>
        <w:t>1</w:t>
      </w:r>
    </w:p>
    <w:p>
      <w:pPr>
        <w:jc w:val="center"/>
        <w:rPr>
          <w:i/>
          <w:szCs w:val="22"/>
        </w:rPr>
      </w:pPr>
      <w:r>
        <w:rPr>
          <w:i/>
          <w:szCs w:val="22"/>
        </w:rPr>
        <w:t>1. Suzhou Vocational College of Agriculture, Suzhou</w:t>
      </w:r>
      <w:r>
        <w:rPr>
          <w:iCs/>
          <w:szCs w:val="22"/>
        </w:rPr>
        <w:t xml:space="preserve"> 215008</w:t>
      </w:r>
      <w:r>
        <w:rPr>
          <w:i/>
          <w:szCs w:val="22"/>
        </w:rPr>
        <w:t xml:space="preserve">, Jiangsu Province; 2. Institute of Animal Husbandry, Henan Academy of Agricultural Sciences, Zhengzhou </w:t>
      </w:r>
      <w:r>
        <w:rPr>
          <w:iCs/>
          <w:szCs w:val="22"/>
        </w:rPr>
        <w:t>450002</w:t>
      </w:r>
      <w:r>
        <w:rPr>
          <w:i/>
          <w:szCs w:val="22"/>
        </w:rPr>
        <w:t xml:space="preserve">, Henan Province; 3. Jiangxi Provincial Institute of Fisheries Sciences, Nanchang </w:t>
      </w:r>
      <w:r>
        <w:rPr>
          <w:iCs/>
          <w:szCs w:val="22"/>
        </w:rPr>
        <w:t>330039</w:t>
      </w:r>
      <w:r>
        <w:rPr>
          <w:i/>
          <w:szCs w:val="22"/>
        </w:rPr>
        <w:t>, Jiangxi Province</w:t>
      </w:r>
      <w:r>
        <w:rPr>
          <w:szCs w:val="22"/>
        </w:rPr>
        <w:t>)</w:t>
      </w:r>
    </w:p>
    <w:p>
      <w:pPr>
        <w:rPr>
          <w:bCs/>
          <w:szCs w:val="22"/>
        </w:rPr>
      </w:pPr>
      <w:r>
        <w:rPr>
          <w:b/>
          <w:bCs/>
          <w:szCs w:val="22"/>
        </w:rPr>
        <w:t>Abstract：</w:t>
      </w:r>
      <w:r>
        <w:rPr>
          <w:bCs/>
          <w:szCs w:val="22"/>
        </w:rPr>
        <w:t>Postbiotics are a type of inactivated microbial preparations capable of generating beneficial effects, mainly consisting of the metabolic products of traditional probiotics, including intracellular polysaccharides, short-chain fatty acids, amino acids, organic acids, enzymes, and other metabolites. Postbiotics have functions such as regulating the intestinal microbiota, participating in the body's immune regulation, antioxidant function, anti-inflammatory, inhibiting bacterial growth and antiviral. The mechanisms by which postbiotics exert these functions may be related to factors such as metabolism, signaling pathways and intestinal homeostasis. This article mainly introduces the composition, classification and sources of postbiotics, elaborates the functions and mechanisms of action of postbiotics, and discusses their application effects in fish, shrimp and mollusks, providing a reference for the application of postbiotics in the aquaculture industry.</w:t>
      </w:r>
    </w:p>
    <w:p>
      <w:pPr>
        <w:jc w:val="left"/>
        <w:rPr>
          <w:bCs/>
          <w:szCs w:val="22"/>
        </w:rPr>
      </w:pPr>
      <w:r>
        <w:rPr>
          <w:b/>
          <w:bCs/>
          <w:szCs w:val="22"/>
        </w:rPr>
        <w:t>Key words：</w:t>
      </w:r>
      <w:r>
        <w:rPr>
          <w:bCs/>
          <w:szCs w:val="22"/>
        </w:rPr>
        <w:t>postbiotics; active ingredients; mechanism; aquaculture</w:t>
      </w:r>
    </w:p>
    <w:p>
      <w:pPr>
        <w:rPr>
          <w:sz w:val="24"/>
          <w:szCs w:val="22"/>
        </w:rPr>
      </w:pPr>
    </w:p>
    <w:p>
      <w:pPr>
        <w:spacing w:line="360" w:lineRule="auto"/>
        <w:ind w:firstLine="480" w:firstLineChars="200"/>
        <w:rPr>
          <w:sz w:val="24"/>
        </w:rPr>
      </w:pPr>
      <w:r>
        <w:rPr>
          <w:rFonts w:hint="eastAsia"/>
          <w:sz w:val="24"/>
        </w:rPr>
        <w:t>近年来，后生元这类对养殖动物有益的灭活微生物制剂受到了广泛关注。后生元是对有利宿主健康的灭活微生物及其相关成分的统称，包含微生物分解代谢产物、无生命的微生物体及细胞裂解后的组分</w:t>
      </w:r>
      <w:r>
        <w:rPr>
          <w:sz w:val="24"/>
          <w:vertAlign w:val="superscript"/>
        </w:rPr>
        <w:t>[1-2]</w:t>
      </w:r>
      <w:r>
        <w:rPr>
          <w:sz w:val="24"/>
        </w:rPr>
        <w:t>。出于生物安</w:t>
      </w:r>
      <w:r>
        <w:rPr>
          <w:rFonts w:hint="eastAsia"/>
          <w:sz w:val="24"/>
        </w:rPr>
        <w:t>全和产业化生产的考虑，后生元的菌株来源以传统益生菌为主，主要包括发酵食品或动物肠道源的细菌和真菌</w:t>
      </w:r>
      <w:r>
        <w:rPr>
          <w:sz w:val="24"/>
          <w:vertAlign w:val="superscript"/>
        </w:rPr>
        <w:t>[3]</w:t>
      </w:r>
      <w:r>
        <w:rPr>
          <w:sz w:val="24"/>
        </w:rPr>
        <w:t>。后生元制剂需满足以下标准：原料菌种具有明确的</w:t>
      </w:r>
      <w:r>
        <w:rPr>
          <w:rFonts w:hint="eastAsia"/>
          <w:sz w:val="24"/>
        </w:rPr>
        <w:t>菌株号和分离来源；经过全基因组测序，在基因水平安全；经证实对动物机体有益；成分详细，并通过了安全性评价</w:t>
      </w:r>
      <w:r>
        <w:rPr>
          <w:sz w:val="24"/>
          <w:vertAlign w:val="superscript"/>
        </w:rPr>
        <w:t>[4]</w:t>
      </w:r>
      <w:r>
        <w:rPr>
          <w:sz w:val="24"/>
        </w:rPr>
        <w:t>。后生元可通过细胞灭活、裂解等技术获得，例</w:t>
      </w:r>
      <w:r>
        <w:rPr>
          <w:rFonts w:hint="eastAsia"/>
          <w:sz w:val="24"/>
        </w:rPr>
        <w:t>如热处理技术，包括巴氏杀菌、高温灭菌、微波加热等</w:t>
      </w:r>
      <w:r>
        <w:rPr>
          <w:sz w:val="24"/>
          <w:vertAlign w:val="superscript"/>
        </w:rPr>
        <w:t>[5]</w:t>
      </w:r>
      <w:r>
        <w:rPr>
          <w:sz w:val="24"/>
        </w:rPr>
        <w:t>。与活性益生菌相比，后生元具有化学结构明确、易</w:t>
      </w:r>
      <w:r>
        <w:rPr>
          <w:rFonts w:hint="eastAsia"/>
          <w:sz w:val="24"/>
        </w:rPr>
        <w:t>保存、安全性高的特点</w:t>
      </w:r>
      <w:r>
        <w:rPr>
          <w:sz w:val="24"/>
          <w:vertAlign w:val="superscript"/>
        </w:rPr>
        <w:t>[6-7]</w:t>
      </w:r>
      <w:r>
        <w:rPr>
          <w:sz w:val="24"/>
        </w:rPr>
        <w:t>。在水产养殖领域，通常采用</w:t>
      </w:r>
      <w:r>
        <w:rPr>
          <w:rFonts w:hint="eastAsia"/>
          <w:sz w:val="24"/>
        </w:rPr>
        <w:t>抗生素来预防和治疗水产动物疾病，但使用不当会增强致病原菌的耐药性，导致死亡率升高</w:t>
      </w:r>
      <w:r>
        <w:rPr>
          <w:sz w:val="24"/>
          <w:vertAlign w:val="superscript"/>
        </w:rPr>
        <w:t>[8]</w:t>
      </w:r>
      <w:r>
        <w:rPr>
          <w:sz w:val="24"/>
        </w:rPr>
        <w:t>。后生元可作为高</w:t>
      </w:r>
      <w:r>
        <w:rPr>
          <w:rFonts w:hint="eastAsia"/>
          <w:sz w:val="24"/>
        </w:rPr>
        <w:t>效、安全、环保的新型抗生素替代品在水产养殖中应用。本文论述了后生元在鱼类、虾类和软体动物中的应用效果，为后生元在水产养殖中的应用提供参考。</w:t>
      </w:r>
    </w:p>
    <w:p>
      <w:pPr>
        <w:spacing w:line="360" w:lineRule="auto"/>
        <w:rPr>
          <w:sz w:val="24"/>
        </w:rPr>
      </w:pPr>
      <w:r>
        <w:rPr>
          <w:sz w:val="24"/>
        </w:rPr>
        <w:t>1后生元分类</w:t>
      </w:r>
    </w:p>
    <w:p>
      <w:pPr>
        <w:spacing w:line="360" w:lineRule="auto"/>
        <w:ind w:firstLine="480" w:firstLineChars="200"/>
        <w:rPr>
          <w:sz w:val="24"/>
        </w:rPr>
      </w:pPr>
      <w:r>
        <w:rPr>
          <w:rFonts w:hint="eastAsia"/>
          <w:sz w:val="24"/>
        </w:rPr>
        <w:t>从微生物群代谢产物分类，后生元包括短链脂肪酸、胞内多糖、酶、氨基酸、有机酸和其他代谢物</w:t>
      </w:r>
      <w:r>
        <w:rPr>
          <w:sz w:val="24"/>
          <w:vertAlign w:val="superscript"/>
        </w:rPr>
        <w:t>[9]</w:t>
      </w:r>
      <w:r>
        <w:rPr>
          <w:sz w:val="24"/>
        </w:rPr>
        <w:t>。从元素组</w:t>
      </w:r>
      <w:r>
        <w:rPr>
          <w:rFonts w:hint="eastAsia"/>
          <w:sz w:val="24"/>
        </w:rPr>
        <w:t>成分类，后生元包括碳水化合物（磷壁酸和富含半乳糖的多糖）、蛋白质（</w:t>
      </w:r>
      <w:r>
        <w:rPr>
          <w:sz w:val="24"/>
        </w:rPr>
        <w:t>p40分子、p75分子、乳糖素）、脂类（丁</w:t>
      </w:r>
      <w:r>
        <w:rPr>
          <w:rFonts w:hint="eastAsia"/>
          <w:sz w:val="24"/>
        </w:rPr>
        <w:t>酸盐、乙酸盐、丙酸盐、乳酸盐、二甲基乙酰基衍生缩醛磷脂）、维生素（</w:t>
      </w:r>
      <w:r>
        <w:rPr>
          <w:sz w:val="24"/>
        </w:rPr>
        <w:t>B族维生素）、有机酸（3-苯基乳酸和丙</w:t>
      </w:r>
      <w:r>
        <w:rPr>
          <w:rFonts w:hint="eastAsia"/>
          <w:sz w:val="24"/>
        </w:rPr>
        <w:t>酸）及其他复杂分子（脂磷壁酸、肽聚糖衍生胞壁肽）</w:t>
      </w:r>
      <w:r>
        <w:rPr>
          <w:sz w:val="24"/>
          <w:vertAlign w:val="superscript"/>
        </w:rPr>
        <w:t>[10]</w:t>
      </w:r>
      <w:r>
        <w:rPr>
          <w:sz w:val="24"/>
        </w:rPr>
        <w:t>。</w:t>
      </w:r>
    </w:p>
    <w:p>
      <w:pPr>
        <w:spacing w:line="360" w:lineRule="auto"/>
        <w:rPr>
          <w:sz w:val="24"/>
        </w:rPr>
      </w:pPr>
      <w:r>
        <w:rPr>
          <w:sz w:val="24"/>
        </w:rPr>
        <w:t>2后生元的功能及其作用机制</w:t>
      </w:r>
    </w:p>
    <w:p>
      <w:pPr>
        <w:spacing w:line="360" w:lineRule="auto"/>
        <w:ind w:firstLine="480" w:firstLineChars="200"/>
        <w:rPr>
          <w:sz w:val="24"/>
        </w:rPr>
      </w:pPr>
      <w:r>
        <w:rPr>
          <w:rFonts w:hint="eastAsia"/>
          <w:sz w:val="24"/>
        </w:rPr>
        <w:t>后生元需达到一定数量，才能够在宿主体内发挥调节机体免疫和中枢神经系统、抑菌、抗炎症、抗病毒、抗氧化等作用</w:t>
      </w:r>
      <w:r>
        <w:rPr>
          <w:sz w:val="24"/>
          <w:vertAlign w:val="superscript"/>
        </w:rPr>
        <w:t>[11]</w:t>
      </w:r>
      <w:r>
        <w:rPr>
          <w:sz w:val="24"/>
        </w:rPr>
        <w:t>，这些健康效应驱动机制可以独立或</w:t>
      </w:r>
      <w:r>
        <w:rPr>
          <w:rFonts w:hint="eastAsia"/>
          <w:sz w:val="24"/>
        </w:rPr>
        <w:t>联合发挥作用</w:t>
      </w:r>
      <w:r>
        <w:rPr>
          <w:sz w:val="24"/>
          <w:vertAlign w:val="superscript"/>
        </w:rPr>
        <w:t>[12]</w:t>
      </w:r>
      <w:r>
        <w:rPr>
          <w:sz w:val="24"/>
        </w:rPr>
        <w:t>。</w:t>
      </w:r>
    </w:p>
    <w:p>
      <w:pPr>
        <w:spacing w:line="360" w:lineRule="auto"/>
        <w:rPr>
          <w:sz w:val="24"/>
        </w:rPr>
      </w:pPr>
      <w:r>
        <w:rPr>
          <w:sz w:val="24"/>
        </w:rPr>
        <w:t>2.1增强肠上皮屏障功能</w:t>
      </w:r>
    </w:p>
    <w:p>
      <w:pPr>
        <w:spacing w:line="360" w:lineRule="auto"/>
        <w:ind w:firstLine="480" w:firstLineChars="200"/>
        <w:rPr>
          <w:sz w:val="24"/>
        </w:rPr>
      </w:pPr>
      <w:r>
        <w:rPr>
          <w:rFonts w:hint="eastAsia"/>
          <w:sz w:val="24"/>
        </w:rPr>
        <w:t>肠道屏障功能是维持肠道健康，预防病原体入侵的重要防御机制</w:t>
      </w:r>
      <w:r>
        <w:rPr>
          <w:sz w:val="24"/>
          <w:vertAlign w:val="superscript"/>
        </w:rPr>
        <w:t>[13]</w:t>
      </w:r>
      <w:r>
        <w:rPr>
          <w:sz w:val="24"/>
        </w:rPr>
        <w:t>。肠上皮细胞间的紧密连接蛋白对维持</w:t>
      </w:r>
      <w:r>
        <w:rPr>
          <w:rFonts w:hint="eastAsia"/>
          <w:sz w:val="24"/>
        </w:rPr>
        <w:t>肠上皮屏障功能至关重要</w:t>
      </w:r>
      <w:r>
        <w:rPr>
          <w:sz w:val="24"/>
          <w:vertAlign w:val="superscript"/>
        </w:rPr>
        <w:t>[14]</w:t>
      </w:r>
      <w:r>
        <w:rPr>
          <w:sz w:val="24"/>
        </w:rPr>
        <w:t>。后生元可以通过增强TJ蛋</w:t>
      </w:r>
      <w:r>
        <w:rPr>
          <w:rFonts w:hint="eastAsia"/>
          <w:sz w:val="24"/>
        </w:rPr>
        <w:t>白、闭锁小带蛋白</w:t>
      </w:r>
      <w:r>
        <w:rPr>
          <w:sz w:val="24"/>
        </w:rPr>
        <w:t>-1和下调促炎细胞因子的表达来增强</w:t>
      </w:r>
      <w:r>
        <w:rPr>
          <w:rFonts w:hint="eastAsia"/>
          <w:sz w:val="24"/>
        </w:rPr>
        <w:t>肠道屏障功能</w:t>
      </w:r>
      <w:r>
        <w:rPr>
          <w:sz w:val="24"/>
          <w:vertAlign w:val="superscript"/>
        </w:rPr>
        <w:t>[15]</w:t>
      </w:r>
      <w:r>
        <w:rPr>
          <w:sz w:val="24"/>
        </w:rPr>
        <w:t>。鼠李糖乳杆菌培养上清液可通过刺激</w:t>
      </w:r>
      <w:r>
        <w:rPr>
          <w:rFonts w:hint="eastAsia"/>
          <w:sz w:val="24"/>
        </w:rPr>
        <w:t>黏蛋白分泌和维持肠黏膜完整性，来阻断大肠杆菌的黏附、侵袭和易位</w:t>
      </w:r>
      <w:r>
        <w:rPr>
          <w:sz w:val="24"/>
          <w:vertAlign w:val="superscript"/>
        </w:rPr>
        <w:t>[16]</w:t>
      </w:r>
      <w:r>
        <w:rPr>
          <w:sz w:val="24"/>
        </w:rPr>
        <w:t>。鲍氏梭菌源后生元可以增加腹泻小</w:t>
      </w:r>
      <w:r>
        <w:rPr>
          <w:rFonts w:hint="eastAsia"/>
          <w:sz w:val="24"/>
        </w:rPr>
        <w:t>鼠结肠中杯状细胞和黏蛋白数量，形成免疫屏障，起到止泻作用，显著改善小鼠结肠炎</w:t>
      </w:r>
      <w:r>
        <w:rPr>
          <w:sz w:val="24"/>
          <w:vertAlign w:val="superscript"/>
        </w:rPr>
        <w:t>[17]</w:t>
      </w:r>
      <w:r>
        <w:rPr>
          <w:sz w:val="24"/>
        </w:rPr>
        <w:t>。</w:t>
      </w:r>
    </w:p>
    <w:p>
      <w:pPr>
        <w:spacing w:line="360" w:lineRule="auto"/>
        <w:rPr>
          <w:sz w:val="24"/>
        </w:rPr>
      </w:pPr>
      <w:r>
        <w:rPr>
          <w:sz w:val="24"/>
        </w:rPr>
        <w:t>2.2改善肠道微生物菌群</w:t>
      </w:r>
    </w:p>
    <w:p>
      <w:pPr>
        <w:spacing w:line="360" w:lineRule="auto"/>
        <w:ind w:firstLine="480" w:firstLineChars="200"/>
        <w:rPr>
          <w:sz w:val="24"/>
        </w:rPr>
      </w:pPr>
      <w:r>
        <w:rPr>
          <w:rFonts w:hint="eastAsia"/>
          <w:sz w:val="24"/>
        </w:rPr>
        <w:t>健康动物的肠道微生物菌群是保持动态平衡的。肠道菌群在代谢过程中会产生一些小分子代谢物，其可以直接或间接作用于病原体或宿主微生态环境，通过改变宿主细胞代谢途径，抑制致病菌，帮助非致病菌群成为丰度和多样性较高的优势种群</w:t>
      </w:r>
      <w:r>
        <w:rPr>
          <w:sz w:val="24"/>
          <w:vertAlign w:val="superscript"/>
        </w:rPr>
        <w:t>[18]</w:t>
      </w:r>
      <w:r>
        <w:rPr>
          <w:sz w:val="24"/>
        </w:rPr>
        <w:t>。如乳酸菌代谢产生乳酸，可以降</w:t>
      </w:r>
      <w:r>
        <w:rPr>
          <w:rFonts w:hint="eastAsia"/>
          <w:sz w:val="24"/>
        </w:rPr>
        <w:t>低肠道</w:t>
      </w:r>
      <w:r>
        <w:rPr>
          <w:sz w:val="24"/>
        </w:rPr>
        <w:t>pH值，使病毒衣壳蛋白变性</w:t>
      </w:r>
      <w:r>
        <w:rPr>
          <w:sz w:val="24"/>
          <w:vertAlign w:val="superscript"/>
        </w:rPr>
        <w:t>[19]</w:t>
      </w:r>
      <w:r>
        <w:rPr>
          <w:sz w:val="24"/>
        </w:rPr>
        <w:t>，提高肠道益生菌</w:t>
      </w:r>
      <w:r>
        <w:rPr>
          <w:rFonts w:hint="eastAsia"/>
          <w:sz w:val="24"/>
        </w:rPr>
        <w:t>（如双歧杆菌）的丰度，影响肠道微生物的代谢。副乳酪杆菌发酵乳可刺激肠道产生丁酸盐</w:t>
      </w:r>
      <w:r>
        <w:rPr>
          <w:sz w:val="24"/>
          <w:vertAlign w:val="superscript"/>
        </w:rPr>
        <w:t>[20]</w:t>
      </w:r>
      <w:r>
        <w:rPr>
          <w:sz w:val="24"/>
        </w:rPr>
        <w:t>。此外，细菌素、有</w:t>
      </w:r>
      <w:r>
        <w:rPr>
          <w:rFonts w:hint="eastAsia"/>
          <w:sz w:val="24"/>
        </w:rPr>
        <w:t>机酸、肽聚糖等物质也可以改善肠道微生态组成</w:t>
      </w:r>
      <w:r>
        <w:rPr>
          <w:sz w:val="24"/>
          <w:vertAlign w:val="superscript"/>
        </w:rPr>
        <w:t>[21]</w:t>
      </w:r>
      <w:r>
        <w:rPr>
          <w:sz w:val="24"/>
        </w:rPr>
        <w:t>。</w:t>
      </w:r>
    </w:p>
    <w:p>
      <w:pPr>
        <w:spacing w:line="360" w:lineRule="auto"/>
        <w:rPr>
          <w:sz w:val="24"/>
        </w:rPr>
      </w:pPr>
      <w:r>
        <w:rPr>
          <w:sz w:val="24"/>
        </w:rPr>
        <w:t>2.3调节免疫系统</w:t>
      </w:r>
    </w:p>
    <w:p>
      <w:pPr>
        <w:spacing w:line="360" w:lineRule="auto"/>
        <w:ind w:firstLine="480" w:firstLineChars="200"/>
        <w:rPr>
          <w:sz w:val="24"/>
        </w:rPr>
      </w:pPr>
      <w:r>
        <w:rPr>
          <w:rFonts w:hint="eastAsia"/>
          <w:sz w:val="24"/>
        </w:rPr>
        <w:t>后生元可以通过调节树突状细胞、淋巴细胞等免疫细胞的炎症反应，保护肠上皮细胞免受致病菌侵害。后生元成分如胞外多糖、脂磷壁酸等，能够刺激非特异性免疫系统，从而调节机体免疫性能；还可促进机体特异性免疫系统分泌免疫球蛋白</w:t>
      </w:r>
      <w:r>
        <w:rPr>
          <w:sz w:val="24"/>
        </w:rPr>
        <w:t>A、中性粒细胞防御素、β-防御素和抗</w:t>
      </w:r>
      <w:r>
        <w:rPr>
          <w:rFonts w:hint="eastAsia"/>
          <w:sz w:val="24"/>
        </w:rPr>
        <w:t>菌肽，从而预防病原体的侵害</w:t>
      </w:r>
      <w:r>
        <w:rPr>
          <w:sz w:val="24"/>
          <w:vertAlign w:val="superscript"/>
        </w:rPr>
        <w:t>[13]</w:t>
      </w:r>
      <w:r>
        <w:rPr>
          <w:sz w:val="24"/>
        </w:rPr>
        <w:t>。短链脂肪酸作为信号分</w:t>
      </w:r>
      <w:r>
        <w:rPr>
          <w:rFonts w:hint="eastAsia"/>
          <w:sz w:val="24"/>
        </w:rPr>
        <w:t>子，在细胞外具有激活</w:t>
      </w:r>
      <w:r>
        <w:rPr>
          <w:sz w:val="24"/>
        </w:rPr>
        <w:t>G蛋白耦联受体的作用，在细胞内</w:t>
      </w:r>
      <w:r>
        <w:rPr>
          <w:rFonts w:hint="eastAsia"/>
          <w:sz w:val="24"/>
        </w:rPr>
        <w:t>可抑制组蛋白脱乙酰酶的活性，从而发挥抗炎症、提高免疫性能和维持肠道内稳态等作用。部分革兰氏阴性杆菌属后生元可诱导抗病毒细胞因子与特定的细胞表面受体结合，进而触发病原体驱动的免疫应答</w:t>
      </w:r>
      <w:r>
        <w:rPr>
          <w:sz w:val="24"/>
          <w:vertAlign w:val="superscript"/>
        </w:rPr>
        <w:t>[22]</w:t>
      </w:r>
      <w:r>
        <w:rPr>
          <w:sz w:val="24"/>
        </w:rPr>
        <w:t>。</w:t>
      </w:r>
    </w:p>
    <w:p>
      <w:pPr>
        <w:spacing w:line="360" w:lineRule="auto"/>
        <w:rPr>
          <w:sz w:val="24"/>
        </w:rPr>
      </w:pPr>
      <w:r>
        <w:rPr>
          <w:sz w:val="24"/>
        </w:rPr>
        <w:t>2.4抗炎症、抑菌与抗病毒功能</w:t>
      </w:r>
    </w:p>
    <w:p>
      <w:pPr>
        <w:spacing w:line="360" w:lineRule="auto"/>
        <w:ind w:firstLine="480" w:firstLineChars="200"/>
        <w:rPr>
          <w:sz w:val="24"/>
        </w:rPr>
      </w:pPr>
      <w:r>
        <w:rPr>
          <w:rFonts w:hint="eastAsia"/>
          <w:sz w:val="24"/>
        </w:rPr>
        <w:t>在抗炎症方面，后生元能够刺激肠道黏膜免疫系统，促进免疫因子产生，抑制促炎因子从而增强机体免疫力。研究表明，植物乳杆菌所含的磷壁酸能够结合细胞</w:t>
      </w:r>
      <w:r>
        <w:rPr>
          <w:sz w:val="24"/>
        </w:rPr>
        <w:t>Toll样</w:t>
      </w:r>
      <w:r>
        <w:rPr>
          <w:rFonts w:hint="eastAsia"/>
          <w:sz w:val="24"/>
        </w:rPr>
        <w:t>受体</w:t>
      </w:r>
      <w:r>
        <w:rPr>
          <w:sz w:val="24"/>
        </w:rPr>
        <w:t>2（TLR-2），显著提升单核细胞抗炎因子白细胞介素-10（IL-10）的表达量，抑制炎症反应</w:t>
      </w:r>
      <w:r>
        <w:rPr>
          <w:sz w:val="24"/>
          <w:vertAlign w:val="superscript"/>
        </w:rPr>
        <w:t>[23]</w:t>
      </w:r>
      <w:r>
        <w:rPr>
          <w:sz w:val="24"/>
        </w:rPr>
        <w:t>。抑菌功能方</w:t>
      </w:r>
      <w:r>
        <w:rPr>
          <w:rFonts w:hint="eastAsia"/>
          <w:sz w:val="24"/>
        </w:rPr>
        <w:t>面，兰冬雪等</w:t>
      </w:r>
      <w:r>
        <w:rPr>
          <w:sz w:val="24"/>
          <w:vertAlign w:val="superscript"/>
        </w:rPr>
        <w:t>[24]</w:t>
      </w:r>
      <w:r>
        <w:rPr>
          <w:sz w:val="24"/>
        </w:rPr>
        <w:t>将乳酸乳球菌与另两种杆菌复合发酵制备</w:t>
      </w:r>
      <w:r>
        <w:rPr>
          <w:rFonts w:hint="eastAsia"/>
          <w:sz w:val="24"/>
        </w:rPr>
        <w:t>出的后生元，可以有效抑制甲氧西林金黄色葡萄球菌。后生元可以通过调节肠道免疫细胞的炎症小体，促进白细胞介素</w:t>
      </w:r>
      <w:r>
        <w:rPr>
          <w:sz w:val="24"/>
        </w:rPr>
        <w:t>-18和下游抗菌肽的分泌，抑制病原菌生长</w:t>
      </w:r>
      <w:r>
        <w:rPr>
          <w:sz w:val="24"/>
          <w:vertAlign w:val="superscript"/>
        </w:rPr>
        <w:t>[25]</w:t>
      </w:r>
      <w:r>
        <w:rPr>
          <w:sz w:val="24"/>
        </w:rPr>
        <w:t>。后生</w:t>
      </w:r>
      <w:r>
        <w:rPr>
          <w:rFonts w:hint="eastAsia"/>
          <w:sz w:val="24"/>
        </w:rPr>
        <w:t>元组分如嗜酸乳杆菌的表层蛋白可抑制</w:t>
      </w:r>
      <w:r>
        <w:rPr>
          <w:sz w:val="24"/>
        </w:rPr>
        <w:t>Caco-2细胞凋亡，</w:t>
      </w:r>
      <w:r>
        <w:rPr>
          <w:rFonts w:hint="eastAsia"/>
          <w:sz w:val="24"/>
        </w:rPr>
        <w:t>降低细胞外信号调节激酶</w:t>
      </w:r>
      <w:r>
        <w:rPr>
          <w:sz w:val="24"/>
        </w:rPr>
        <w:t>1和2磷酸化，诱导细胞增殖和</w:t>
      </w:r>
      <w:r>
        <w:rPr>
          <w:rFonts w:hint="eastAsia"/>
          <w:sz w:val="24"/>
        </w:rPr>
        <w:t>分化，介导细菌细胞凋亡</w:t>
      </w:r>
      <w:r>
        <w:rPr>
          <w:sz w:val="24"/>
          <w:vertAlign w:val="superscript"/>
        </w:rPr>
        <w:t>[26]</w:t>
      </w:r>
      <w:r>
        <w:rPr>
          <w:sz w:val="24"/>
        </w:rPr>
        <w:t>。在抗病毒功能方面，双歧杆</w:t>
      </w:r>
      <w:r>
        <w:rPr>
          <w:rFonts w:hint="eastAsia"/>
          <w:sz w:val="24"/>
        </w:rPr>
        <w:t>菌属蛋白质提取物可通过结合β</w:t>
      </w:r>
      <w:r>
        <w:rPr>
          <w:sz w:val="24"/>
        </w:rPr>
        <w:t>3-整合素和热激蛋白70来</w:t>
      </w:r>
      <w:r>
        <w:rPr>
          <w:rFonts w:hint="eastAsia"/>
          <w:sz w:val="24"/>
        </w:rPr>
        <w:t>干扰风疹病毒在细胞系上的黏附</w:t>
      </w:r>
      <w:r>
        <w:rPr>
          <w:sz w:val="24"/>
          <w:vertAlign w:val="superscript"/>
        </w:rPr>
        <w:t>[27]</w:t>
      </w:r>
      <w:r>
        <w:rPr>
          <w:sz w:val="24"/>
        </w:rPr>
        <w:t>。双歧杆菌无细胞上清</w:t>
      </w:r>
      <w:r>
        <w:rPr>
          <w:rFonts w:hint="eastAsia"/>
          <w:sz w:val="24"/>
        </w:rPr>
        <w:t>液中含有的一种由</w:t>
      </w:r>
      <w:r>
        <w:rPr>
          <w:sz w:val="24"/>
        </w:rPr>
        <w:t>11个氨基酸组成的小肽可直接抑制轮</w:t>
      </w:r>
      <w:r>
        <w:rPr>
          <w:rFonts w:hint="eastAsia"/>
          <w:sz w:val="24"/>
        </w:rPr>
        <w:t>状病毒的复制</w:t>
      </w:r>
      <w:r>
        <w:rPr>
          <w:sz w:val="24"/>
          <w:vertAlign w:val="superscript"/>
        </w:rPr>
        <w:t>[28]</w:t>
      </w:r>
      <w:r>
        <w:rPr>
          <w:sz w:val="24"/>
        </w:rPr>
        <w:t>。</w:t>
      </w:r>
    </w:p>
    <w:p>
      <w:pPr>
        <w:spacing w:line="360" w:lineRule="auto"/>
        <w:rPr>
          <w:sz w:val="24"/>
        </w:rPr>
      </w:pPr>
      <w:r>
        <w:rPr>
          <w:sz w:val="24"/>
        </w:rPr>
        <w:t>2.5提高机体抗氧化功能</w:t>
      </w:r>
    </w:p>
    <w:p>
      <w:pPr>
        <w:spacing w:line="360" w:lineRule="auto"/>
        <w:ind w:firstLine="480" w:firstLineChars="200"/>
        <w:rPr>
          <w:sz w:val="24"/>
        </w:rPr>
      </w:pPr>
      <w:r>
        <w:rPr>
          <w:rFonts w:hint="eastAsia"/>
          <w:sz w:val="24"/>
        </w:rPr>
        <w:t>活性氧包括含氧自由基及易于转化为自由基的过氧化物，其能够对机体组织和细胞造成损害，诱发慢性疾病。后生元抗氧化性能可能是菌体代谢过程中产生的胞外多聚物及其他尚未明确识别的成分在起作用。芽孢杆菌所分泌的胞外多糖具有抑制体内脂质发生过氧化的能力</w:t>
      </w:r>
      <w:r>
        <w:rPr>
          <w:sz w:val="24"/>
          <w:vertAlign w:val="superscript"/>
        </w:rPr>
        <w:t>[29]</w:t>
      </w:r>
      <w:r>
        <w:rPr>
          <w:sz w:val="24"/>
        </w:rPr>
        <w:t>；干酪</w:t>
      </w:r>
      <w:r>
        <w:rPr>
          <w:rFonts w:hint="eastAsia"/>
          <w:sz w:val="24"/>
        </w:rPr>
        <w:t>乳杆菌后生元能够缓解黄曲霉毒素诱导的氧化应激</w:t>
      </w:r>
      <w:r>
        <w:rPr>
          <w:sz w:val="24"/>
          <w:vertAlign w:val="superscript"/>
        </w:rPr>
        <w:t>[30]</w:t>
      </w:r>
      <w:r>
        <w:rPr>
          <w:sz w:val="24"/>
        </w:rPr>
        <w:t>；乳</w:t>
      </w:r>
      <w:r>
        <w:rPr>
          <w:rFonts w:hint="eastAsia"/>
          <w:sz w:val="24"/>
        </w:rPr>
        <w:t>酸菌的无细胞提取液对羟自由基有不同程度的清除能力</w:t>
      </w:r>
      <w:r>
        <w:rPr>
          <w:sz w:val="24"/>
          <w:vertAlign w:val="superscript"/>
        </w:rPr>
        <w:t>[31]</w:t>
      </w:r>
      <w:r>
        <w:rPr>
          <w:sz w:val="24"/>
        </w:rPr>
        <w:t>。此外，益生菌后生元能够提高精氨酸代谢水平，而L-精氨酸具有较强的自由基清除能力</w:t>
      </w:r>
      <w:r>
        <w:rPr>
          <w:sz w:val="24"/>
          <w:vertAlign w:val="superscript"/>
        </w:rPr>
        <w:t>[32]</w:t>
      </w:r>
      <w:r>
        <w:rPr>
          <w:sz w:val="24"/>
        </w:rPr>
        <w:t>。</w:t>
      </w:r>
    </w:p>
    <w:p>
      <w:pPr>
        <w:spacing w:line="360" w:lineRule="auto"/>
        <w:ind w:firstLine="480" w:firstLineChars="200"/>
        <w:rPr>
          <w:sz w:val="24"/>
        </w:rPr>
      </w:pPr>
    </w:p>
    <w:p>
      <w:pPr>
        <w:spacing w:line="360" w:lineRule="auto"/>
        <w:rPr>
          <w:sz w:val="24"/>
        </w:rPr>
      </w:pPr>
      <w:r>
        <w:rPr>
          <w:sz w:val="24"/>
        </w:rPr>
        <w:t>3后生元在水产养殖业中的应用</w:t>
      </w:r>
    </w:p>
    <w:p>
      <w:pPr>
        <w:spacing w:line="360" w:lineRule="auto"/>
        <w:rPr>
          <w:sz w:val="24"/>
        </w:rPr>
      </w:pPr>
      <w:r>
        <w:rPr>
          <w:sz w:val="24"/>
        </w:rPr>
        <w:t>3.1后生元在鱼类生产中的应用</w:t>
      </w:r>
    </w:p>
    <w:p>
      <w:pPr>
        <w:spacing w:line="360" w:lineRule="auto"/>
        <w:ind w:firstLine="480" w:firstLineChars="200"/>
        <w:rPr>
          <w:sz w:val="24"/>
        </w:rPr>
      </w:pPr>
      <w:r>
        <w:rPr>
          <w:rFonts w:hint="eastAsia"/>
          <w:sz w:val="24"/>
        </w:rPr>
        <w:t>后生元可以提高鱼类的生长性能。在饲料中添加</w:t>
      </w:r>
      <w:r>
        <w:rPr>
          <w:sz w:val="24"/>
        </w:rPr>
        <w:t>2%</w:t>
      </w:r>
      <w:r>
        <w:rPr>
          <w:rFonts w:hint="eastAsia"/>
          <w:sz w:val="24"/>
        </w:rPr>
        <w:t>灭活啤酒酵母，可以将欧洲鳇的特定生长率提高</w:t>
      </w:r>
      <w:r>
        <w:rPr>
          <w:sz w:val="24"/>
        </w:rPr>
        <w:t>27.31%，</w:t>
      </w:r>
      <w:r>
        <w:rPr>
          <w:rFonts w:hint="eastAsia"/>
          <w:sz w:val="24"/>
        </w:rPr>
        <w:t>饲料系数下降</w:t>
      </w:r>
      <w:r>
        <w:rPr>
          <w:sz w:val="24"/>
        </w:rPr>
        <w:t>12.81%</w:t>
      </w:r>
      <w:r>
        <w:rPr>
          <w:sz w:val="24"/>
          <w:vertAlign w:val="superscript"/>
        </w:rPr>
        <w:t>[33]</w:t>
      </w:r>
      <w:r>
        <w:rPr>
          <w:sz w:val="24"/>
        </w:rPr>
        <w:t>。在牙鲆饲料中添加热灭活的芽孢</w:t>
      </w:r>
      <w:r>
        <w:rPr>
          <w:rFonts w:hint="eastAsia"/>
          <w:sz w:val="24"/>
        </w:rPr>
        <w:t>杆菌，试验组肿瘤坏死因子</w:t>
      </w:r>
      <w:r>
        <w:rPr>
          <w:sz w:val="24"/>
        </w:rPr>
        <w:t>-α（TNF-α）、白细胞介素-1β</w:t>
      </w:r>
      <w:r>
        <w:rPr>
          <w:rFonts w:hint="eastAsia"/>
          <w:sz w:val="24"/>
        </w:rPr>
        <w:t>（</w:t>
      </w:r>
      <w:r>
        <w:rPr>
          <w:sz w:val="24"/>
        </w:rPr>
        <w:t>IL-1β）和白细胞介素-6（IL-6）在鳃中的表达量分别是</w:t>
      </w:r>
      <w:r>
        <w:rPr>
          <w:rFonts w:hint="eastAsia"/>
          <w:sz w:val="24"/>
        </w:rPr>
        <w:t>对照组的</w:t>
      </w:r>
      <w:r>
        <w:rPr>
          <w:sz w:val="24"/>
        </w:rPr>
        <w:t>2.08、1.98和1.81倍，在肝脏中表达量分别是对</w:t>
      </w:r>
      <w:r>
        <w:rPr>
          <w:rFonts w:hint="eastAsia"/>
          <w:sz w:val="24"/>
        </w:rPr>
        <w:t>照组的</w:t>
      </w:r>
      <w:r>
        <w:rPr>
          <w:sz w:val="24"/>
        </w:rPr>
        <w:t>2.71、3.38和4.12倍，幼鱼的增重率提高17%，蛋</w:t>
      </w:r>
      <w:r>
        <w:rPr>
          <w:rFonts w:hint="eastAsia"/>
          <w:sz w:val="24"/>
        </w:rPr>
        <w:t>白质效率比提高</w:t>
      </w:r>
      <w:r>
        <w:rPr>
          <w:sz w:val="24"/>
        </w:rPr>
        <w:t>11%</w:t>
      </w:r>
      <w:r>
        <w:rPr>
          <w:sz w:val="24"/>
          <w:vertAlign w:val="superscript"/>
        </w:rPr>
        <w:t>[34]</w:t>
      </w:r>
      <w:r>
        <w:rPr>
          <w:sz w:val="24"/>
        </w:rPr>
        <w:t>。后生元有助于提高鱼类的抗病</w:t>
      </w:r>
      <w:r>
        <w:rPr>
          <w:rFonts w:hint="eastAsia"/>
          <w:sz w:val="24"/>
        </w:rPr>
        <w:t>力。在饲料中添加热灭活副干酪乳杆菌，红鳍东方鲀头肾中的促炎性因子［</w:t>
      </w:r>
      <w:r>
        <w:rPr>
          <w:sz w:val="24"/>
        </w:rPr>
        <w:t>IL-1β、IL-6、白细胞介素-17/F-3</w:t>
      </w:r>
      <w:r>
        <w:rPr>
          <w:rFonts w:hint="eastAsia"/>
          <w:sz w:val="24"/>
        </w:rPr>
        <w:t>（</w:t>
      </w:r>
      <w:r>
        <w:rPr>
          <w:sz w:val="24"/>
        </w:rPr>
        <w:t>IL-17A/F-3）］，TNF-α和肿瘤坏死因子-N（TNF-N），</w:t>
      </w:r>
      <w:r>
        <w:rPr>
          <w:rFonts w:hint="eastAsia"/>
          <w:sz w:val="24"/>
        </w:rPr>
        <w:t>细胞介导的免疫诱导因子（</w:t>
      </w:r>
      <w:r>
        <w:rPr>
          <w:sz w:val="24"/>
        </w:rPr>
        <w:t>IL-12p35、IL-12p40和IL18）、抗病毒/细胞内病原体杀伤基因I型干扰素-IFN-1（IIFN-1）和干扰素-γ（IFN-γ），抗炎（IL-10）和外周T细</w:t>
      </w:r>
      <w:r>
        <w:rPr>
          <w:rFonts w:hint="eastAsia"/>
          <w:sz w:val="24"/>
        </w:rPr>
        <w:t>胞扩增和存活控制因子［白细胞介素</w:t>
      </w:r>
      <w:r>
        <w:rPr>
          <w:sz w:val="24"/>
        </w:rPr>
        <w:t>-2（IL-2）、白细胞介</w:t>
      </w:r>
      <w:r>
        <w:rPr>
          <w:rFonts w:hint="eastAsia"/>
          <w:sz w:val="24"/>
        </w:rPr>
        <w:t>素</w:t>
      </w:r>
      <w:r>
        <w:rPr>
          <w:sz w:val="24"/>
        </w:rPr>
        <w:t>-7（IL-7）、白细胞介素-15（IL-15）、白细胞介素-21</w:t>
      </w:r>
      <w:r>
        <w:rPr>
          <w:rFonts w:hint="eastAsia"/>
          <w:sz w:val="24"/>
        </w:rPr>
        <w:t>（</w:t>
      </w:r>
      <w:r>
        <w:rPr>
          <w:sz w:val="24"/>
        </w:rPr>
        <w:t>IL-21）］的表达量均显著上调</w:t>
      </w:r>
      <w:r>
        <w:rPr>
          <w:sz w:val="24"/>
          <w:vertAlign w:val="superscript"/>
        </w:rPr>
        <w:t>[35]</w:t>
      </w:r>
      <w:r>
        <w:rPr>
          <w:sz w:val="24"/>
        </w:rPr>
        <w:t>。灭活的索氏鲸杆菌和</w:t>
      </w:r>
      <w:r>
        <w:rPr>
          <w:rFonts w:hint="eastAsia"/>
          <w:sz w:val="24"/>
        </w:rPr>
        <w:t>小红酵母能够使杂交鲟鱼肠道优势菌群厚壁菌门细菌的相对丰度增加</w:t>
      </w:r>
      <w:r>
        <w:rPr>
          <w:sz w:val="24"/>
        </w:rPr>
        <w:t>42%</w:t>
      </w:r>
      <w:r>
        <w:rPr>
          <w:sz w:val="24"/>
          <w:vertAlign w:val="superscript"/>
        </w:rPr>
        <w:t>[36]</w:t>
      </w:r>
      <w:r>
        <w:rPr>
          <w:sz w:val="24"/>
        </w:rPr>
        <w:t>。乳酸菌发酵产物可使感染乳酸乳球菌</w:t>
      </w:r>
      <w:r>
        <w:rPr>
          <w:rFonts w:hint="eastAsia"/>
          <w:sz w:val="24"/>
        </w:rPr>
        <w:t>的虹鳟鱼的存活率提高</w:t>
      </w:r>
      <w:r>
        <w:rPr>
          <w:sz w:val="24"/>
        </w:rPr>
        <w:t>43%</w:t>
      </w:r>
      <w:r>
        <w:rPr>
          <w:sz w:val="24"/>
          <w:vertAlign w:val="superscript"/>
        </w:rPr>
        <w:t>[37]</w:t>
      </w:r>
      <w:r>
        <w:rPr>
          <w:sz w:val="24"/>
        </w:rPr>
        <w:t>。双歧杆菌属、乳发酵短杆</w:t>
      </w:r>
      <w:r>
        <w:rPr>
          <w:rFonts w:hint="eastAsia"/>
          <w:sz w:val="24"/>
        </w:rPr>
        <w:t>菌和嗜热双歧杆菌的组分肽聚糖已被筛选为海参、牙鲆和虹鳟鱼的免疫刺激剂，具有改善免疫反应和预防感染的作用</w:t>
      </w:r>
      <w:r>
        <w:rPr>
          <w:sz w:val="24"/>
          <w:vertAlign w:val="superscript"/>
        </w:rPr>
        <w:t>[1]</w:t>
      </w:r>
      <w:r>
        <w:rPr>
          <w:sz w:val="24"/>
        </w:rPr>
        <w:t>。研究发现，在饲料中添加1g/kg的分离自本土的微</w:t>
      </w:r>
      <w:r>
        <w:rPr>
          <w:rFonts w:hint="eastAsia"/>
          <w:sz w:val="24"/>
        </w:rPr>
        <w:t>生物后生元可以使鲤鱼血清中的促炎细胞因子（核因子κ</w:t>
      </w:r>
      <w:r>
        <w:rPr>
          <w:sz w:val="24"/>
        </w:rPr>
        <w:t>Bp65和TNF-α）表达显著下调，抗炎细胞因子［IL-1β、IL-10和转化生长因子-β（TGF-β）和肠缺氧诱导因子</w:t>
      </w:r>
      <w:r>
        <w:rPr>
          <w:rFonts w:hint="eastAsia"/>
          <w:sz w:val="24"/>
        </w:rPr>
        <w:t>（</w:t>
      </w:r>
      <w:r>
        <w:rPr>
          <w:sz w:val="24"/>
        </w:rPr>
        <w:t>HIF-1α）］的表达显著上调；而添加2g/kg这种后生元</w:t>
      </w:r>
      <w:r>
        <w:rPr>
          <w:rFonts w:hint="eastAsia"/>
          <w:sz w:val="24"/>
        </w:rPr>
        <w:t>可以使肠炎性细胞因子（核因子</w:t>
      </w:r>
      <w:r>
        <w:rPr>
          <w:sz w:val="24"/>
        </w:rPr>
        <w:t>-κBp65、IL-1β、IL-10</w:t>
      </w:r>
      <w:r>
        <w:rPr>
          <w:rFonts w:hint="eastAsia"/>
          <w:sz w:val="24"/>
        </w:rPr>
        <w:t>和</w:t>
      </w:r>
      <w:r>
        <w:rPr>
          <w:sz w:val="24"/>
        </w:rPr>
        <w:t>TGF-β）含量显著升高</w:t>
      </w:r>
      <w:r>
        <w:rPr>
          <w:sz w:val="24"/>
          <w:vertAlign w:val="superscript"/>
        </w:rPr>
        <w:t>[30]</w:t>
      </w:r>
      <w:r>
        <w:rPr>
          <w:sz w:val="24"/>
        </w:rPr>
        <w:t>。</w:t>
      </w:r>
    </w:p>
    <w:p>
      <w:pPr>
        <w:spacing w:line="360" w:lineRule="auto"/>
        <w:ind w:firstLine="480" w:firstLineChars="200"/>
        <w:rPr>
          <w:sz w:val="24"/>
        </w:rPr>
      </w:pPr>
      <w:r>
        <w:rPr>
          <w:rFonts w:hint="eastAsia"/>
          <w:sz w:val="24"/>
        </w:rPr>
        <w:t>后生元能够提高鱼类的抗氧化性能。</w:t>
      </w:r>
      <w:r>
        <w:rPr>
          <w:sz w:val="24"/>
        </w:rPr>
        <w:t>100mg/kg商品</w:t>
      </w:r>
      <w:r>
        <w:rPr>
          <w:rFonts w:hint="eastAsia"/>
          <w:sz w:val="24"/>
        </w:rPr>
        <w:t>后生元能够使罗非鱼溶菌酶、脂肪酶和蛋白酶的活性分别提高</w:t>
      </w:r>
      <w:r>
        <w:rPr>
          <w:sz w:val="24"/>
        </w:rPr>
        <w:t>40.91%、50.98%和32.43%，超氧化物歧化酶</w:t>
      </w:r>
      <w:r>
        <w:rPr>
          <w:rFonts w:hint="eastAsia"/>
          <w:sz w:val="24"/>
        </w:rPr>
        <w:t>（</w:t>
      </w:r>
      <w:r>
        <w:rPr>
          <w:sz w:val="24"/>
        </w:rPr>
        <w:t>SOD）和过氧化氢酶（CAT）的活性显著上升，降低了</w:t>
      </w:r>
      <w:r>
        <w:rPr>
          <w:rFonts w:hint="eastAsia"/>
          <w:sz w:val="24"/>
        </w:rPr>
        <w:t>体内丙二醛（</w:t>
      </w:r>
      <w:r>
        <w:rPr>
          <w:sz w:val="24"/>
        </w:rPr>
        <w:t>MDA）的含量，减轻细胞氧化损伤</w:t>
      </w:r>
      <w:r>
        <w:rPr>
          <w:sz w:val="24"/>
          <w:vertAlign w:val="superscript"/>
        </w:rPr>
        <w:t>[38]</w:t>
      </w:r>
      <w:r>
        <w:rPr>
          <w:sz w:val="24"/>
        </w:rPr>
        <w:t>。后</w:t>
      </w:r>
      <w:r>
        <w:rPr>
          <w:rFonts w:hint="eastAsia"/>
          <w:sz w:val="24"/>
        </w:rPr>
        <w:t>生元可显著缓解摄食高脂饲料鲤鱼的肝脏损伤，增强其抗氧化能力，下调肝脏促炎因子和脂质合成相关基因的表达</w:t>
      </w:r>
      <w:r>
        <w:rPr>
          <w:sz w:val="24"/>
          <w:vertAlign w:val="superscript"/>
        </w:rPr>
        <w:t>[39]</w:t>
      </w:r>
      <w:r>
        <w:rPr>
          <w:sz w:val="24"/>
        </w:rPr>
        <w:t>。DAWOOD等</w:t>
      </w:r>
      <w:r>
        <w:rPr>
          <w:sz w:val="24"/>
          <w:vertAlign w:val="superscript"/>
        </w:rPr>
        <w:t>[40]</w:t>
      </w:r>
      <w:r>
        <w:rPr>
          <w:sz w:val="24"/>
        </w:rPr>
        <w:t>研究表明，在饲料中添加热灭活</w:t>
      </w:r>
      <w:r>
        <w:rPr>
          <w:rFonts w:hint="eastAsia"/>
          <w:sz w:val="24"/>
        </w:rPr>
        <w:t>植物乳杆菌和维生素</w:t>
      </w:r>
      <w:r>
        <w:rPr>
          <w:sz w:val="24"/>
        </w:rPr>
        <w:t>C能够产生协同互作效应，使鱼体</w:t>
      </w:r>
      <w:r>
        <w:rPr>
          <w:rFonts w:hint="eastAsia"/>
          <w:sz w:val="24"/>
        </w:rPr>
        <w:t>增重率提高</w:t>
      </w:r>
      <w:r>
        <w:rPr>
          <w:sz w:val="24"/>
        </w:rPr>
        <w:t>54.78%，血清丙二醛含量下降49.49%。研究</w:t>
      </w:r>
      <w:r>
        <w:rPr>
          <w:rFonts w:hint="eastAsia"/>
          <w:sz w:val="24"/>
        </w:rPr>
        <w:t>表明，后生元能够显著降低鲤鱼的肝体指数和肝脏丙二醛水平，减少肝脏脂肪沉积</w:t>
      </w:r>
      <w:r>
        <w:rPr>
          <w:sz w:val="24"/>
          <w:vertAlign w:val="superscript"/>
        </w:rPr>
        <w:t>[41]</w:t>
      </w:r>
      <w:r>
        <w:rPr>
          <w:sz w:val="24"/>
        </w:rPr>
        <w:t>。后生元能够促进鱼类肠</w:t>
      </w:r>
      <w:r>
        <w:rPr>
          <w:rFonts w:hint="eastAsia"/>
          <w:sz w:val="24"/>
        </w:rPr>
        <w:t>道健康。</w:t>
      </w:r>
      <w:r>
        <w:rPr>
          <w:sz w:val="24"/>
        </w:rPr>
        <w:t>MENG等</w:t>
      </w:r>
      <w:r>
        <w:rPr>
          <w:sz w:val="24"/>
          <w:vertAlign w:val="superscript"/>
        </w:rPr>
        <w:t>[41]</w:t>
      </w:r>
      <w:r>
        <w:rPr>
          <w:sz w:val="24"/>
        </w:rPr>
        <w:t>研究表明，在饲料中添加2g/kg的</w:t>
      </w:r>
      <w:r>
        <w:rPr>
          <w:rFonts w:hint="eastAsia"/>
          <w:sz w:val="24"/>
        </w:rPr>
        <w:t>后生元制剂虽使鲤鱼的肠道微生物群多样性指数有所降低，但梭杆菌（</w:t>
      </w:r>
      <w:r>
        <w:rPr>
          <w:i/>
          <w:iCs/>
          <w:sz w:val="24"/>
        </w:rPr>
        <w:t>Fusobacteria</w:t>
      </w:r>
      <w:r>
        <w:rPr>
          <w:sz w:val="24"/>
        </w:rPr>
        <w:t>）和鲸蜡菌（</w:t>
      </w:r>
      <w:r>
        <w:rPr>
          <w:i/>
          <w:iCs/>
          <w:sz w:val="24"/>
        </w:rPr>
        <w:t>Cetobacterium</w:t>
      </w:r>
      <w:r>
        <w:rPr>
          <w:sz w:val="24"/>
        </w:rPr>
        <w:t>）</w:t>
      </w:r>
      <w:r>
        <w:rPr>
          <w:rFonts w:hint="eastAsia"/>
          <w:sz w:val="24"/>
        </w:rPr>
        <w:t>的相对丰度显著升高。源自芽孢杆菌的后生元可以有效缓解高豆粕饲料引起的七星鲈鱼的免疫力下降和肝损伤，提高七星鲈鱼肠道益生菌［梭杆菌（</w:t>
      </w:r>
      <w:r>
        <w:rPr>
          <w:i/>
          <w:iCs/>
          <w:sz w:val="24"/>
        </w:rPr>
        <w:t>Fusobacteria</w:t>
      </w:r>
      <w:r>
        <w:rPr>
          <w:sz w:val="24"/>
        </w:rPr>
        <w:t>），厚壁</w:t>
      </w:r>
      <w:r>
        <w:rPr>
          <w:rFonts w:hint="eastAsia"/>
          <w:sz w:val="24"/>
        </w:rPr>
        <w:t>菌</w:t>
      </w:r>
      <w:r>
        <w:rPr>
          <w:sz w:val="24"/>
        </w:rPr>
        <w:t>（</w:t>
      </w:r>
      <w:r>
        <w:rPr>
          <w:i/>
          <w:iCs/>
          <w:sz w:val="24"/>
        </w:rPr>
        <w:t>Firmicutes</w:t>
      </w:r>
      <w:r>
        <w:rPr>
          <w:sz w:val="24"/>
        </w:rPr>
        <w:t>），拟杆菌（</w:t>
      </w:r>
      <w:r>
        <w:rPr>
          <w:i/>
          <w:iCs/>
          <w:sz w:val="24"/>
        </w:rPr>
        <w:t>Bacteroidota</w:t>
      </w:r>
      <w:r>
        <w:rPr>
          <w:sz w:val="24"/>
        </w:rPr>
        <w:t>）和鲸杆菌</w:t>
      </w:r>
      <w:r>
        <w:rPr>
          <w:rFonts w:hint="eastAsia"/>
          <w:sz w:val="24"/>
        </w:rPr>
        <w:t>（</w:t>
      </w:r>
      <w:r>
        <w:rPr>
          <w:i/>
          <w:iCs/>
          <w:sz w:val="24"/>
        </w:rPr>
        <w:t>Cetobacterium</w:t>
      </w:r>
      <w:r>
        <w:rPr>
          <w:sz w:val="24"/>
        </w:rPr>
        <w:t>）］的丰度，降低有害菌群［变形杆菌</w:t>
      </w:r>
      <w:r>
        <w:rPr>
          <w:rFonts w:hint="eastAsia"/>
          <w:sz w:val="24"/>
        </w:rPr>
        <w:t>（</w:t>
      </w:r>
      <w:r>
        <w:rPr>
          <w:i/>
          <w:iCs/>
          <w:sz w:val="24"/>
        </w:rPr>
        <w:t>Proteobacteria</w:t>
      </w:r>
      <w:r>
        <w:rPr>
          <w:sz w:val="24"/>
        </w:rPr>
        <w:t>）和邻单胞菌（</w:t>
      </w:r>
      <w:r>
        <w:rPr>
          <w:i/>
          <w:iCs/>
          <w:sz w:val="24"/>
        </w:rPr>
        <w:t>Plesiomonasare</w:t>
      </w:r>
      <w:r>
        <w:rPr>
          <w:sz w:val="24"/>
        </w:rPr>
        <w:t>）］的丰</w:t>
      </w:r>
      <w:r>
        <w:rPr>
          <w:rFonts w:hint="eastAsia"/>
          <w:sz w:val="24"/>
        </w:rPr>
        <w:t>度，从而改善肠道菌群组成。此外，后生元能够通过上调紧密连接蛋白、抗炎细胞因子、抗菌肽的表达，下调促炎细胞因子和凋亡蛋白的表达来修复鱼的肠道损伤</w:t>
      </w:r>
      <w:r>
        <w:rPr>
          <w:sz w:val="24"/>
          <w:vertAlign w:val="superscript"/>
        </w:rPr>
        <w:t>[42]</w:t>
      </w:r>
      <w:r>
        <w:rPr>
          <w:sz w:val="24"/>
        </w:rPr>
        <w:t>。</w:t>
      </w:r>
    </w:p>
    <w:p>
      <w:pPr>
        <w:spacing w:line="360" w:lineRule="auto"/>
        <w:rPr>
          <w:sz w:val="24"/>
        </w:rPr>
      </w:pPr>
      <w:r>
        <w:rPr>
          <w:sz w:val="24"/>
        </w:rPr>
        <w:t>3.2后生元在虾生产中的应用</w:t>
      </w:r>
    </w:p>
    <w:p>
      <w:pPr>
        <w:spacing w:line="360" w:lineRule="auto"/>
        <w:ind w:firstLine="480" w:firstLineChars="200"/>
        <w:rPr>
          <w:sz w:val="24"/>
        </w:rPr>
      </w:pPr>
      <w:r>
        <w:rPr>
          <w:rFonts w:hint="eastAsia"/>
          <w:sz w:val="24"/>
        </w:rPr>
        <w:t>对虾易患红体病、白斑综合征、烂鳃病和急性肝胰腺坏死病等疾病。后生元具有防控虾类疾病的潜力。研究表明，灭活植物乳杆菌可以促进南美白对虾肠道绒毛结构的发育和肠道菌群的平衡</w:t>
      </w:r>
      <w:r>
        <w:rPr>
          <w:sz w:val="24"/>
          <w:vertAlign w:val="superscript"/>
        </w:rPr>
        <w:t>[43]</w:t>
      </w:r>
      <w:r>
        <w:rPr>
          <w:sz w:val="24"/>
        </w:rPr>
        <w:t>，有效提高日本囊对虾</w:t>
      </w:r>
      <w:r>
        <w:rPr>
          <w:rFonts w:hint="eastAsia"/>
          <w:sz w:val="24"/>
        </w:rPr>
        <w:t>在低盐环境下的抗逆性</w:t>
      </w:r>
      <w:r>
        <w:rPr>
          <w:sz w:val="24"/>
          <w:vertAlign w:val="superscript"/>
        </w:rPr>
        <w:t>[44]</w:t>
      </w:r>
      <w:r>
        <w:rPr>
          <w:sz w:val="24"/>
        </w:rPr>
        <w:t>；提高罗氏沼虾的酚氧化酶活</w:t>
      </w:r>
      <w:r>
        <w:rPr>
          <w:rFonts w:hint="eastAsia"/>
          <w:sz w:val="24"/>
        </w:rPr>
        <w:t>性，降低嗜水气单胞菌攻毒时的累积死亡率。紫球藻细胞外多糖可以提高南美白对虾总血细胞数量、吞噬活性、呼吸爆发活性</w:t>
      </w:r>
      <w:r>
        <w:rPr>
          <w:sz w:val="24"/>
          <w:vertAlign w:val="superscript"/>
        </w:rPr>
        <w:t>[45]</w:t>
      </w:r>
      <w:r>
        <w:rPr>
          <w:sz w:val="24"/>
        </w:rPr>
        <w:t>。后生元对虾类的益生效果与虾的种类</w:t>
      </w:r>
      <w:r>
        <w:rPr>
          <w:rFonts w:hint="eastAsia"/>
          <w:sz w:val="24"/>
        </w:rPr>
        <w:t>及后生元剂量等有关，未来需进一步研究。</w:t>
      </w:r>
    </w:p>
    <w:p>
      <w:pPr>
        <w:spacing w:line="360" w:lineRule="auto"/>
        <w:rPr>
          <w:sz w:val="24"/>
        </w:rPr>
      </w:pPr>
      <w:r>
        <w:rPr>
          <w:sz w:val="24"/>
        </w:rPr>
        <w:t>3.3后生元在软体动物生产中的应用</w:t>
      </w:r>
    </w:p>
    <w:p>
      <w:pPr>
        <w:spacing w:line="360" w:lineRule="auto"/>
        <w:ind w:firstLine="480" w:firstLineChars="200"/>
        <w:rPr>
          <w:sz w:val="24"/>
        </w:rPr>
      </w:pPr>
      <w:r>
        <w:rPr>
          <w:rFonts w:hint="eastAsia"/>
          <w:sz w:val="24"/>
        </w:rPr>
        <w:t>刺参是棘皮动物中经济价值最高的品种之一，研究表明，饲喂含乳酸菌代谢产物的饲料</w:t>
      </w:r>
      <w:r>
        <w:rPr>
          <w:sz w:val="24"/>
        </w:rPr>
        <w:t>40d后，刺参体腔</w:t>
      </w:r>
      <w:r>
        <w:rPr>
          <w:rFonts w:hint="eastAsia"/>
          <w:sz w:val="24"/>
        </w:rPr>
        <w:t>细胞吞噬活性是对照组的</w:t>
      </w:r>
      <w:r>
        <w:rPr>
          <w:sz w:val="24"/>
        </w:rPr>
        <w:t>2.47倍，大肠杆菌数量和弧菌</w:t>
      </w:r>
      <w:r>
        <w:rPr>
          <w:rFonts w:hint="eastAsia"/>
          <w:sz w:val="24"/>
        </w:rPr>
        <w:t>数量仅是对照组的</w:t>
      </w:r>
      <w:r>
        <w:rPr>
          <w:sz w:val="24"/>
        </w:rPr>
        <w:t>0.96%和5.73%，肠道有害菌群数量显</w:t>
      </w:r>
      <w:r>
        <w:rPr>
          <w:rFonts w:hint="eastAsia"/>
          <w:sz w:val="24"/>
        </w:rPr>
        <w:t>著下降，特定生长率、酸性磷酸酶和碱性磷酸酶活性均显著上升</w:t>
      </w:r>
      <w:r>
        <w:rPr>
          <w:sz w:val="24"/>
          <w:vertAlign w:val="superscript"/>
        </w:rPr>
        <w:t>[46]</w:t>
      </w:r>
      <w:r>
        <w:rPr>
          <w:sz w:val="24"/>
        </w:rPr>
        <w:t>。后生元可以降低牡蛎患病率</w:t>
      </w:r>
      <w:r>
        <w:rPr>
          <w:sz w:val="24"/>
          <w:vertAlign w:val="superscript"/>
        </w:rPr>
        <w:t>[47]</w:t>
      </w:r>
      <w:r>
        <w:rPr>
          <w:sz w:val="24"/>
        </w:rPr>
        <w:t>，KHOUADJA等</w:t>
      </w:r>
      <w:r>
        <w:rPr>
          <w:sz w:val="24"/>
          <w:vertAlign w:val="superscript"/>
        </w:rPr>
        <w:t>[48]</w:t>
      </w:r>
      <w:r>
        <w:rPr>
          <w:sz w:val="24"/>
        </w:rPr>
        <w:t>从3种乳杆菌中分离出的后生元，可以</w:t>
      </w:r>
      <w:r>
        <w:rPr>
          <w:rFonts w:hint="eastAsia"/>
          <w:sz w:val="24"/>
        </w:rPr>
        <w:t>破坏生物膜的形成，抑制副溶血弧菌感染牡蛎。</w:t>
      </w:r>
    </w:p>
    <w:p>
      <w:pPr>
        <w:spacing w:line="360" w:lineRule="auto"/>
        <w:rPr>
          <w:sz w:val="24"/>
        </w:rPr>
      </w:pPr>
      <w:r>
        <w:rPr>
          <w:sz w:val="24"/>
        </w:rPr>
        <w:t>4</w:t>
      </w:r>
      <w:r>
        <w:rPr>
          <w:rFonts w:hint="eastAsia"/>
          <w:sz w:val="24"/>
        </w:rPr>
        <w:t>结论</w:t>
      </w:r>
    </w:p>
    <w:p>
      <w:pPr>
        <w:spacing w:line="360" w:lineRule="auto"/>
        <w:ind w:firstLine="480" w:firstLineChars="200"/>
        <w:rPr>
          <w:sz w:val="24"/>
        </w:rPr>
      </w:pPr>
      <w:r>
        <w:rPr>
          <w:rFonts w:hint="eastAsia"/>
          <w:sz w:val="24"/>
        </w:rPr>
        <w:t>后生元具有调节机体免疫、完善肠道屏障、抗炎、抑菌、抗病毒等作用。与益生菌和益生元相比，后生元具有安全性高、易于生产、稳定性高、耐高温、保质期长、作用靶点更广泛的特点。后生元在水产动物中的应用研究已逐步展开，未来需要确定产生健康效应后生元的关键组分和剂量效应，并探索后生元的具体作用机制，从而使后生元制备技术标准化，实现规模化生产。</w:t>
      </w:r>
    </w:p>
    <w:p>
      <w:pPr>
        <w:spacing w:line="360" w:lineRule="auto"/>
        <w:rPr>
          <w:sz w:val="24"/>
        </w:rPr>
      </w:pPr>
      <w:r>
        <w:rPr>
          <w:sz w:val="24"/>
        </w:rPr>
        <w:t>参考文献：略</w:t>
      </w:r>
    </w:p>
    <w:p>
      <w:pPr>
        <w:spacing w:line="360" w:lineRule="auto"/>
        <w:ind w:firstLine="420" w:firstLineChars="200"/>
        <w:jc w:val="right"/>
        <w:rPr>
          <w:sz w:val="24"/>
        </w:rPr>
      </w:pPr>
      <w:r>
        <w:rPr>
          <w:szCs w:val="21"/>
        </w:rPr>
        <w:t>原文刊登在《</w:t>
      </w:r>
      <w:r>
        <w:rPr>
          <w:rFonts w:hint="eastAsia"/>
          <w:szCs w:val="21"/>
        </w:rPr>
        <w:t>饲料研究</w:t>
      </w:r>
      <w:r>
        <w:rPr>
          <w:szCs w:val="21"/>
        </w:rPr>
        <w:t>》</w:t>
      </w:r>
      <w:r>
        <w:rPr>
          <w:rFonts w:hint="eastAsia"/>
          <w:szCs w:val="21"/>
        </w:rPr>
        <w:t>2025年第9期</w:t>
      </w:r>
    </w:p>
    <w:p>
      <w:pPr>
        <w:spacing w:line="360" w:lineRule="auto"/>
        <w:jc w:val="right"/>
        <w:rPr>
          <w:rStyle w:val="96"/>
          <w:rFonts w:eastAsiaTheme="minorEastAsia"/>
          <w:szCs w:val="21"/>
        </w:rPr>
      </w:pPr>
    </w:p>
    <w:p>
      <w:pPr>
        <w:spacing w:line="360" w:lineRule="auto"/>
        <w:jc w:val="right"/>
        <w:rPr>
          <w:rStyle w:val="96"/>
          <w:rFonts w:eastAsiaTheme="minorEastAsia"/>
          <w:szCs w:val="21"/>
        </w:rPr>
      </w:pPr>
    </w:p>
    <w:p>
      <w:pPr>
        <w:spacing w:line="276" w:lineRule="auto"/>
        <w:jc w:val="left"/>
        <w:outlineLvl w:val="0"/>
        <w:rPr>
          <w:rStyle w:val="96"/>
          <w:rFonts w:eastAsia="黑体"/>
          <w:b/>
          <w:bCs/>
          <w:sz w:val="32"/>
          <w:szCs w:val="32"/>
          <w:bdr w:val="single" w:color="auto" w:sz="4" w:space="0"/>
        </w:rPr>
      </w:pPr>
      <w:bookmarkStart w:id="23" w:name="_Toc206013205"/>
      <w:r>
        <w:rPr>
          <w:rStyle w:val="96"/>
          <w:rFonts w:hint="eastAsia" w:eastAsia="黑体"/>
          <w:b/>
          <w:bCs/>
          <w:sz w:val="32"/>
          <w:szCs w:val="32"/>
          <w:bdr w:val="single" w:color="auto" w:sz="4" w:space="0"/>
        </w:rPr>
        <w:t>科学研究</w:t>
      </w:r>
      <w:bookmarkEnd w:id="23"/>
    </w:p>
    <w:p>
      <w:pPr>
        <w:jc w:val="center"/>
        <w:outlineLvl w:val="1"/>
        <w:rPr>
          <w:rFonts w:hint="eastAsia" w:ascii="黑体" w:hAnsi="黑体" w:eastAsia="黑体"/>
          <w:b/>
          <w:sz w:val="32"/>
          <w:szCs w:val="32"/>
        </w:rPr>
      </w:pPr>
      <w:bookmarkStart w:id="24" w:name="_Toc206013206"/>
      <w:r>
        <w:rPr>
          <w:rFonts w:ascii="黑体" w:hAnsi="黑体" w:eastAsia="黑体"/>
          <w:b/>
          <w:sz w:val="32"/>
          <w:szCs w:val="32"/>
        </w:rPr>
        <w:t>发酵黑水虻对</w:t>
      </w:r>
      <w:bookmarkStart w:id="25" w:name="OLE_LINK38"/>
      <w:bookmarkStart w:id="26" w:name="OLE_LINK39"/>
      <w:r>
        <w:rPr>
          <w:rFonts w:ascii="黑体" w:hAnsi="黑体" w:eastAsia="黑体"/>
          <w:b/>
          <w:sz w:val="32"/>
          <w:szCs w:val="32"/>
        </w:rPr>
        <w:t>斑点叉尾</w:t>
      </w:r>
      <w:bookmarkEnd w:id="25"/>
      <w:bookmarkStart w:id="27" w:name="OLE_LINK40"/>
      <w:bookmarkStart w:id="28" w:name="OLE_LINK41"/>
      <w:r>
        <w:rPr>
          <w:rFonts w:hint="eastAsia" w:ascii="黑体" w:hAnsi="黑体" w:eastAsia="黑体"/>
          <w:b/>
          <w:sz w:val="32"/>
          <w:szCs w:val="32"/>
        </w:rPr>
        <w:t>鮰</w:t>
      </w:r>
      <w:bookmarkEnd w:id="26"/>
      <w:bookmarkEnd w:id="27"/>
      <w:bookmarkEnd w:id="28"/>
      <w:r>
        <w:rPr>
          <w:rFonts w:ascii="黑体" w:hAnsi="黑体" w:eastAsia="黑体"/>
          <w:b/>
          <w:sz w:val="32"/>
          <w:szCs w:val="32"/>
        </w:rPr>
        <w:t>生长、肝脏生化指标、消化吸收</w:t>
      </w:r>
    </w:p>
    <w:p>
      <w:pPr>
        <w:jc w:val="center"/>
        <w:outlineLvl w:val="1"/>
        <w:rPr>
          <w:rFonts w:hint="eastAsia" w:ascii="黑体" w:hAnsi="黑体" w:eastAsia="黑体"/>
          <w:b/>
          <w:bCs/>
          <w:sz w:val="32"/>
          <w:szCs w:val="32"/>
        </w:rPr>
      </w:pPr>
      <w:r>
        <w:rPr>
          <w:rFonts w:ascii="黑体" w:hAnsi="黑体" w:eastAsia="黑体"/>
          <w:b/>
          <w:sz w:val="32"/>
          <w:szCs w:val="32"/>
        </w:rPr>
        <w:t>和免疫力的影响</w:t>
      </w:r>
      <w:bookmarkEnd w:id="24"/>
    </w:p>
    <w:p>
      <w:pPr>
        <w:jc w:val="center"/>
        <w:rPr>
          <w:szCs w:val="21"/>
        </w:rPr>
      </w:pPr>
      <w:bookmarkStart w:id="29" w:name="OLE_LINK3"/>
      <w:bookmarkStart w:id="30" w:name="OLE_LINK4"/>
      <w:r>
        <w:rPr>
          <w:szCs w:val="22"/>
        </w:rPr>
        <w:t>郑雨顺</w:t>
      </w:r>
      <w:r>
        <w:rPr>
          <w:szCs w:val="22"/>
          <w:vertAlign w:val="superscript"/>
        </w:rPr>
        <w:t>1</w:t>
      </w:r>
      <w:r>
        <w:rPr>
          <w:rFonts w:hint="eastAsia"/>
          <w:szCs w:val="22"/>
          <w:vertAlign w:val="superscript"/>
        </w:rPr>
        <w:t>,</w:t>
      </w:r>
      <w:r>
        <w:rPr>
          <w:szCs w:val="22"/>
          <w:vertAlign w:val="superscript"/>
        </w:rPr>
        <w:t>2</w:t>
      </w:r>
      <w:r>
        <w:rPr>
          <w:szCs w:val="22"/>
        </w:rPr>
        <w:t xml:space="preserve"> 陈桂琼</w:t>
      </w:r>
      <w:r>
        <w:rPr>
          <w:szCs w:val="22"/>
          <w:vertAlign w:val="superscript"/>
        </w:rPr>
        <w:t>3*</w:t>
      </w:r>
      <w:r>
        <w:rPr>
          <w:szCs w:val="22"/>
        </w:rPr>
        <w:t xml:space="preserve"> 黄文庆</w:t>
      </w:r>
      <w:r>
        <w:rPr>
          <w:szCs w:val="22"/>
          <w:vertAlign w:val="superscript"/>
        </w:rPr>
        <w:t>3</w:t>
      </w:r>
      <w:r>
        <w:rPr>
          <w:szCs w:val="22"/>
        </w:rPr>
        <w:t xml:space="preserve"> 胡俊茹</w:t>
      </w:r>
      <w:r>
        <w:rPr>
          <w:szCs w:val="22"/>
          <w:vertAlign w:val="superscript"/>
        </w:rPr>
        <w:t>1</w:t>
      </w:r>
      <w:r>
        <w:rPr>
          <w:szCs w:val="22"/>
        </w:rPr>
        <w:t xml:space="preserve"> 彭凯</w:t>
      </w:r>
      <w:r>
        <w:rPr>
          <w:szCs w:val="22"/>
          <w:vertAlign w:val="superscript"/>
        </w:rPr>
        <w:t>1</w:t>
      </w:r>
      <w:r>
        <w:rPr>
          <w:szCs w:val="22"/>
        </w:rPr>
        <w:t xml:space="preserve"> 黄燕华</w:t>
      </w:r>
      <w:r>
        <w:rPr>
          <w:szCs w:val="22"/>
          <w:vertAlign w:val="superscript"/>
        </w:rPr>
        <w:t>3</w:t>
      </w:r>
      <w:r>
        <w:rPr>
          <w:szCs w:val="22"/>
        </w:rPr>
        <w:t xml:space="preserve"> 邹记兴</w:t>
      </w:r>
      <w:r>
        <w:rPr>
          <w:szCs w:val="22"/>
          <w:vertAlign w:val="superscript"/>
        </w:rPr>
        <w:t>2</w:t>
      </w:r>
      <w:r>
        <w:rPr>
          <w:szCs w:val="22"/>
        </w:rPr>
        <w:t xml:space="preserve"> 王国霞</w:t>
      </w:r>
      <w:r>
        <w:rPr>
          <w:szCs w:val="22"/>
          <w:vertAlign w:val="superscript"/>
        </w:rPr>
        <w:t>1</w:t>
      </w:r>
      <w:bookmarkEnd w:id="29"/>
      <w:bookmarkEnd w:id="30"/>
      <w:r>
        <w:rPr>
          <w:rFonts w:hint="eastAsia"/>
          <w:szCs w:val="22"/>
          <w:vertAlign w:val="superscript"/>
        </w:rPr>
        <w:t>**</w:t>
      </w:r>
    </w:p>
    <w:p>
      <w:pPr>
        <w:jc w:val="center"/>
        <w:rPr>
          <w:szCs w:val="21"/>
        </w:rPr>
      </w:pPr>
      <w:r>
        <w:rPr>
          <w:szCs w:val="21"/>
        </w:rPr>
        <w:t>(</w:t>
      </w:r>
      <w:r>
        <w:rPr>
          <w:rFonts w:hint="eastAsia"/>
          <w:szCs w:val="21"/>
        </w:rPr>
        <w:t>1.</w:t>
      </w:r>
      <w:r>
        <w:rPr>
          <w:szCs w:val="22"/>
        </w:rPr>
        <w:t>广东省农业科学院动物科学研究所，农业农村部华南动物营养与饲料重点实验室，广东省畜禽育种与营养研究重点实验室，广州 510640；2.华南农业大学海洋学院，广州 510642；3.广州飞禧特生物科技有限公司，广州 510640</w:t>
      </w:r>
      <w:r>
        <w:rPr>
          <w:szCs w:val="21"/>
        </w:rPr>
        <w:t>)</w:t>
      </w:r>
    </w:p>
    <w:p>
      <w:pPr>
        <w:jc w:val="left"/>
        <w:rPr>
          <w:szCs w:val="22"/>
        </w:rPr>
      </w:pPr>
      <w:r>
        <w:rPr>
          <w:b/>
          <w:bCs/>
          <w:szCs w:val="21"/>
        </w:rPr>
        <w:t>摘要：</w:t>
      </w:r>
      <w:r>
        <w:rPr>
          <w:szCs w:val="22"/>
        </w:rPr>
        <w:t>本试验旨在研究饲料中添加发酵黑水虻对斑点叉尾鮰生长、肝脏生化指标、消化吸收和免疫力的影响。在基础饲料中添加0(G0)、2%(G2)、4%(G4)和8%(G8)发酵黑水虻鲜物质(对应发酵黑水虻风干物质添加量分别为0、10.4、20.8和41.6g/kg)配制4种等氮等脂的试验饲料。选取初始质量(2.75±0.01)g的斑点叉尾鮰480尾，随机分成4组，每组3个重复，每个重复40尾，开展56d的养殖试验。结果显示:饲料中添加不同水平发酵黑水虻未对斑点叉尾鮰的摄食率(FR)产生显著影响(</w:t>
      </w:r>
      <w:r>
        <w:rPr>
          <w:i/>
          <w:szCs w:val="22"/>
        </w:rPr>
        <w:t>P</w:t>
      </w:r>
      <w:r>
        <w:rPr>
          <w:szCs w:val="22"/>
        </w:rPr>
        <w:t>＞</w:t>
      </w:r>
      <w:r>
        <w:rPr>
          <w:kern w:val="0"/>
          <w:szCs w:val="22"/>
        </w:rPr>
        <w:t>0.05</w:t>
      </w:r>
      <w:r>
        <w:rPr>
          <w:szCs w:val="22"/>
        </w:rPr>
        <w:t>)。与对照组(G0组)相比，G2组增重率(WGR)、特定生长率(SGR)、肥满度(CF)显著提高(</w:t>
      </w:r>
      <w:r>
        <w:rPr>
          <w:i/>
          <w:szCs w:val="22"/>
        </w:rPr>
        <w:t>P</w:t>
      </w:r>
      <w:r>
        <w:rPr>
          <w:szCs w:val="22"/>
        </w:rPr>
        <w:t>＜0.05)；G8组脏体比(VSI)、肝体比(HSI)和肠体比(ISI)显著下降(</w:t>
      </w:r>
      <w:r>
        <w:rPr>
          <w:i/>
          <w:szCs w:val="22"/>
        </w:rPr>
        <w:t>P</w:t>
      </w:r>
      <w:r>
        <w:rPr>
          <w:szCs w:val="22"/>
        </w:rPr>
        <w:t>＜0.05)；G2组肝脏甘油三酯(TG)、总胆固醇(TC)含量及谷丙转氨酶(GPT)、谷草转氨酶(GOT)活性显著降低(</w:t>
      </w:r>
      <w:r>
        <w:rPr>
          <w:i/>
          <w:szCs w:val="22"/>
        </w:rPr>
        <w:t>P</w:t>
      </w:r>
      <w:r>
        <w:rPr>
          <w:szCs w:val="22"/>
        </w:rPr>
        <w:t>＜0.05)；G4组肝脏碱性磷酸酶(AKP)和酸性磷酸酶(ACP)活性显著增加(</w:t>
      </w:r>
      <w:r>
        <w:rPr>
          <w:i/>
          <w:szCs w:val="22"/>
        </w:rPr>
        <w:t>P</w:t>
      </w:r>
      <w:r>
        <w:rPr>
          <w:szCs w:val="22"/>
        </w:rPr>
        <w:t>＜0.05)；G2组肝脏AKP、ACP活性和补体3(C3)含量显著增加(</w:t>
      </w:r>
      <w:r>
        <w:rPr>
          <w:i/>
          <w:szCs w:val="22"/>
        </w:rPr>
        <w:t>P</w:t>
      </w:r>
      <w:r>
        <w:rPr>
          <w:szCs w:val="22"/>
        </w:rPr>
        <w:t>＜0.05)。此外，G2组肠道胰蛋白酶和Na+-K+-ATP酶活性以及肠道肌层厚度、绒毛长度和杯状细胞数均显著高于对照组(</w:t>
      </w:r>
      <w:r>
        <w:rPr>
          <w:i/>
          <w:szCs w:val="22"/>
        </w:rPr>
        <w:t>P</w:t>
      </w:r>
      <w:r>
        <w:rPr>
          <w:szCs w:val="22"/>
        </w:rPr>
        <w:t>＜0.05)。综上所述，在斑点叉尾鮰饲料中添加发酵黑水虻可以促进其生长，增强消化吸收能力，保护肝脏健康和提高非特异性免疫能力，鲜物质基础下添加量为2%(风干物质基础下添加量为10.4g/kg)时效果最优。</w:t>
      </w:r>
    </w:p>
    <w:p>
      <w:pPr>
        <w:rPr>
          <w:szCs w:val="21"/>
        </w:rPr>
      </w:pPr>
      <w:r>
        <w:rPr>
          <w:b/>
          <w:bCs/>
          <w:szCs w:val="21"/>
        </w:rPr>
        <w:t>关键词：</w:t>
      </w:r>
      <w:r>
        <w:rPr>
          <w:szCs w:val="22"/>
        </w:rPr>
        <w:t>发酵黑水虻；斑点叉尾鮰；生长性能；消化酶；生化指标；免疫</w:t>
      </w:r>
    </w:p>
    <w:p>
      <w:pPr>
        <w:jc w:val="center"/>
        <w:rPr>
          <w:b/>
          <w:bCs/>
          <w:sz w:val="24"/>
        </w:rPr>
      </w:pPr>
      <w:r>
        <w:rPr>
          <w:b/>
          <w:bCs/>
          <w:sz w:val="24"/>
        </w:rPr>
        <w:t xml:space="preserve">Effects of Fermented Black Soldier Fly on Growth，Liver Biochemical Indices，Digestion and Absorption and Immunity of Channel Catfish ( </w:t>
      </w:r>
      <w:r>
        <w:rPr>
          <w:b/>
          <w:bCs/>
          <w:i/>
          <w:sz w:val="24"/>
        </w:rPr>
        <w:t>Ictalurus punctatus</w:t>
      </w:r>
      <w:r>
        <w:rPr>
          <w:b/>
          <w:bCs/>
          <w:sz w:val="24"/>
        </w:rPr>
        <w:t>)</w:t>
      </w:r>
    </w:p>
    <w:p>
      <w:pPr>
        <w:jc w:val="center"/>
        <w:rPr>
          <w:szCs w:val="22"/>
        </w:rPr>
      </w:pPr>
      <w:r>
        <w:rPr>
          <w:szCs w:val="22"/>
        </w:rPr>
        <w:t>ZHENG Yushun</w:t>
      </w:r>
      <w:r>
        <w:rPr>
          <w:szCs w:val="22"/>
          <w:vertAlign w:val="superscript"/>
        </w:rPr>
        <w:t>1</w:t>
      </w:r>
      <w:r>
        <w:rPr>
          <w:rFonts w:hint="eastAsia"/>
          <w:szCs w:val="22"/>
          <w:vertAlign w:val="superscript"/>
        </w:rPr>
        <w:t>,</w:t>
      </w:r>
      <w:r>
        <w:rPr>
          <w:szCs w:val="22"/>
          <w:vertAlign w:val="superscript"/>
        </w:rPr>
        <w:t>2</w:t>
      </w:r>
      <w:r>
        <w:rPr>
          <w:szCs w:val="22"/>
        </w:rPr>
        <w:t xml:space="preserve"> CHEN Guiqiong</w:t>
      </w:r>
      <w:r>
        <w:rPr>
          <w:szCs w:val="22"/>
          <w:vertAlign w:val="superscript"/>
        </w:rPr>
        <w:t>3*</w:t>
      </w:r>
      <w:r>
        <w:rPr>
          <w:szCs w:val="22"/>
        </w:rPr>
        <w:t xml:space="preserve"> HUANG Wenqing</w:t>
      </w:r>
      <w:r>
        <w:rPr>
          <w:szCs w:val="22"/>
          <w:vertAlign w:val="superscript"/>
        </w:rPr>
        <w:t>3</w:t>
      </w:r>
      <w:r>
        <w:rPr>
          <w:szCs w:val="22"/>
        </w:rPr>
        <w:t xml:space="preserve"> HU Junru</w:t>
      </w:r>
      <w:r>
        <w:rPr>
          <w:szCs w:val="22"/>
          <w:vertAlign w:val="superscript"/>
        </w:rPr>
        <w:t>1</w:t>
      </w:r>
      <w:r>
        <w:rPr>
          <w:szCs w:val="22"/>
        </w:rPr>
        <w:t xml:space="preserve"> PENG Kai</w:t>
      </w:r>
      <w:r>
        <w:rPr>
          <w:szCs w:val="22"/>
          <w:vertAlign w:val="superscript"/>
        </w:rPr>
        <w:t>1</w:t>
      </w:r>
      <w:r>
        <w:rPr>
          <w:szCs w:val="22"/>
        </w:rPr>
        <w:t xml:space="preserve"> HUANG Yanhua</w:t>
      </w:r>
      <w:r>
        <w:rPr>
          <w:szCs w:val="22"/>
          <w:vertAlign w:val="superscript"/>
        </w:rPr>
        <w:t>3</w:t>
      </w:r>
      <w:r>
        <w:rPr>
          <w:szCs w:val="22"/>
        </w:rPr>
        <w:t xml:space="preserve"> ZOU Jixing</w:t>
      </w:r>
      <w:r>
        <w:rPr>
          <w:szCs w:val="22"/>
          <w:vertAlign w:val="superscript"/>
        </w:rPr>
        <w:t xml:space="preserve">2 </w:t>
      </w:r>
      <w:r>
        <w:rPr>
          <w:szCs w:val="22"/>
        </w:rPr>
        <w:t>WANG Guoxia</w:t>
      </w:r>
      <w:r>
        <w:rPr>
          <w:szCs w:val="22"/>
          <w:vertAlign w:val="superscript"/>
        </w:rPr>
        <w:t>1</w:t>
      </w:r>
      <w:r>
        <w:rPr>
          <w:rFonts w:hint="eastAsia"/>
          <w:szCs w:val="22"/>
          <w:vertAlign w:val="superscript"/>
        </w:rPr>
        <w:t>**</w:t>
      </w:r>
    </w:p>
    <w:p>
      <w:pPr>
        <w:jc w:val="center"/>
        <w:rPr>
          <w:szCs w:val="22"/>
        </w:rPr>
      </w:pPr>
      <w:r>
        <w:rPr>
          <w:szCs w:val="22"/>
        </w:rPr>
        <w:t>(</w:t>
      </w:r>
      <w:r>
        <w:rPr>
          <w:i/>
          <w:szCs w:val="22"/>
        </w:rPr>
        <w:t>1</w:t>
      </w:r>
      <w:r>
        <w:rPr>
          <w:rFonts w:hint="eastAsia"/>
          <w:i/>
          <w:szCs w:val="22"/>
        </w:rPr>
        <w:t>.</w:t>
      </w:r>
      <w:r>
        <w:rPr>
          <w:i/>
          <w:szCs w:val="22"/>
        </w:rPr>
        <w:t xml:space="preserve">Guangdong Key Laboratory of Animal Breeding and Nutrition，Key Laboratory of Animal Nutrition and Feed Science in South China，Ministry of Agriculture and Rural Affairs，Institute of Animal Science，Guangdong Academy of Agricultural Sciences，Guangzhou </w:t>
      </w:r>
      <w:r>
        <w:rPr>
          <w:szCs w:val="22"/>
        </w:rPr>
        <w:t>510640</w:t>
      </w:r>
      <w:r>
        <w:rPr>
          <w:i/>
          <w:szCs w:val="22"/>
        </w:rPr>
        <w:t>，China; 2</w:t>
      </w:r>
      <w:r>
        <w:rPr>
          <w:rFonts w:hint="eastAsia"/>
          <w:i/>
          <w:szCs w:val="22"/>
        </w:rPr>
        <w:t>.</w:t>
      </w:r>
      <w:r>
        <w:rPr>
          <w:i/>
          <w:szCs w:val="22"/>
        </w:rPr>
        <w:t xml:space="preserve"> College of Marine Sciences，South China Agricultural University，Guangzhou </w:t>
      </w:r>
      <w:r>
        <w:rPr>
          <w:szCs w:val="22"/>
        </w:rPr>
        <w:t>510642</w:t>
      </w:r>
      <w:r>
        <w:rPr>
          <w:i/>
          <w:szCs w:val="22"/>
        </w:rPr>
        <w:t>，China; 3</w:t>
      </w:r>
      <w:r>
        <w:rPr>
          <w:rFonts w:hint="eastAsia"/>
          <w:i/>
          <w:szCs w:val="22"/>
        </w:rPr>
        <w:t>.</w:t>
      </w:r>
      <w:r>
        <w:rPr>
          <w:i/>
          <w:szCs w:val="22"/>
        </w:rPr>
        <w:t xml:space="preserve"> Guangzhou Fishtech Biotechnology Co.，Ltd.，Guangzhou </w:t>
      </w:r>
      <w:r>
        <w:rPr>
          <w:szCs w:val="22"/>
        </w:rPr>
        <w:t>510640</w:t>
      </w:r>
      <w:r>
        <w:rPr>
          <w:i/>
          <w:szCs w:val="22"/>
        </w:rPr>
        <w:t>，China</w:t>
      </w:r>
      <w:r>
        <w:rPr>
          <w:szCs w:val="22"/>
        </w:rPr>
        <w:t>)</w:t>
      </w:r>
    </w:p>
    <w:p>
      <w:pPr>
        <w:rPr>
          <w:bCs/>
          <w:szCs w:val="22"/>
        </w:rPr>
      </w:pPr>
      <w:r>
        <w:rPr>
          <w:b/>
          <w:bCs/>
          <w:szCs w:val="22"/>
        </w:rPr>
        <w:t>Abstract：</w:t>
      </w:r>
      <w:r>
        <w:rPr>
          <w:bCs/>
          <w:szCs w:val="22"/>
        </w:rPr>
        <w:t>This study aimed to investigate the effects of adding fermented black soldier fly(BSF) to the diet on the growth，liver biochemical indices，digestion and absorption and immunity of channel catfish (</w:t>
      </w:r>
      <w:r>
        <w:rPr>
          <w:bCs/>
          <w:i/>
          <w:szCs w:val="22"/>
        </w:rPr>
        <w:t>Ictalurus punctatus</w:t>
      </w:r>
      <w:r>
        <w:rPr>
          <w:bCs/>
          <w:szCs w:val="22"/>
        </w:rPr>
        <w:t xml:space="preserve">) . Four diets with 0 (G0)，2% (G2)，4% (G4) and 8% (G8) fermented BSF by fresh matter (the corresponding air-dry matter addition was 0，10.4，20.8 and 41.6 g /kg，respectively) were formulated to be isonitrogenous and isolipidic. A total of 480 </w:t>
      </w:r>
      <w:r>
        <w:rPr>
          <w:bCs/>
          <w:i/>
          <w:szCs w:val="22"/>
        </w:rPr>
        <w:t>Ictalurus punctatuss</w:t>
      </w:r>
      <w:r>
        <w:rPr>
          <w:bCs/>
          <w:szCs w:val="22"/>
        </w:rPr>
        <w:t xml:space="preserve"> with an initial body weight of (2.75± 0.01) g were randomly divided into four groups，with three replicates per group and 40 fish per replicate. A 56-day feeding trial was conducted. The results showed that the feeding rate (FR) of </w:t>
      </w:r>
      <w:r>
        <w:rPr>
          <w:bCs/>
          <w:i/>
          <w:szCs w:val="22"/>
        </w:rPr>
        <w:t>Ictalurus punctatus</w:t>
      </w:r>
      <w:r>
        <w:rPr>
          <w:bCs/>
          <w:szCs w:val="22"/>
        </w:rPr>
        <w:t xml:space="preserve"> was not significantly affected by the addition of fermented BSF in the diet (</w:t>
      </w:r>
      <w:r>
        <w:rPr>
          <w:bCs/>
          <w:i/>
          <w:szCs w:val="22"/>
        </w:rPr>
        <w:t>P</w:t>
      </w:r>
      <w:r>
        <w:rPr>
          <w:bCs/>
          <w:szCs w:val="22"/>
        </w:rPr>
        <w:t>＞0.05) . Compared with the control group (G0 group) ，the weight gain rate ( WGR) ，specific growth rate ( SGR) and condition factor (CF) in the G2 group were significantly improved (</w:t>
      </w:r>
      <w:r>
        <w:rPr>
          <w:bCs/>
          <w:i/>
          <w:szCs w:val="22"/>
        </w:rPr>
        <w:t>P</w:t>
      </w:r>
      <w:r>
        <w:rPr>
          <w:bCs/>
          <w:szCs w:val="22"/>
        </w:rPr>
        <w:t>＜0.05) ; the visceral-somatic index ( VSI) ，hepato-somatic index (HSI) and intestinal-somatic index (ISI) in the G8 group were significantly reduced (</w:t>
      </w:r>
      <w:r>
        <w:rPr>
          <w:bCs/>
          <w:i/>
          <w:szCs w:val="22"/>
        </w:rPr>
        <w:t>P</w:t>
      </w:r>
      <w:r>
        <w:rPr>
          <w:bCs/>
          <w:szCs w:val="22"/>
        </w:rPr>
        <w:t xml:space="preserve">＜0.05) ; the contents of triglycerides (TG) and total cholesterol (TC) ，and the activities of glutamic-pyruvic transaminase (GPT) and glutamic-oxaloacetic transaminase (GOT) in the liver of </w:t>
      </w:r>
      <w:r>
        <w:rPr>
          <w:bCs/>
          <w:i/>
          <w:szCs w:val="22"/>
        </w:rPr>
        <w:t>Ictalurus punctatus</w:t>
      </w:r>
      <w:r>
        <w:rPr>
          <w:bCs/>
          <w:szCs w:val="22"/>
        </w:rPr>
        <w:t xml:space="preserve"> in the G2 group were signifi cantly decreased (</w:t>
      </w:r>
      <w:r>
        <w:rPr>
          <w:bCs/>
          <w:i/>
          <w:szCs w:val="22"/>
        </w:rPr>
        <w:t>P</w:t>
      </w:r>
      <w:r>
        <w:rPr>
          <w:bCs/>
          <w:szCs w:val="22"/>
        </w:rPr>
        <w:t>＜0.05) ; the alkaline phosphatase (AKP) and acid phosphatase (ACP) activities in the liver of the G4 group was significantly increased (</w:t>
      </w:r>
      <w:r>
        <w:rPr>
          <w:bCs/>
          <w:i/>
          <w:szCs w:val="22"/>
        </w:rPr>
        <w:t>P</w:t>
      </w:r>
      <w:r>
        <w:rPr>
          <w:bCs/>
          <w:szCs w:val="22"/>
        </w:rPr>
        <w:t>＜0.05) ，while the AKP and ACP activities and comple ment 3 (C3) content in the G2 groups was significantly increased (</w:t>
      </w:r>
      <w:r>
        <w:rPr>
          <w:bCs/>
          <w:i/>
          <w:szCs w:val="22"/>
        </w:rPr>
        <w:t>P</w:t>
      </w:r>
      <w:r>
        <w:rPr>
          <w:bCs/>
          <w:szCs w:val="22"/>
        </w:rPr>
        <w:t>＜0.05) ; the activities of intestinal trypsin and Na+-K+-ATPase in the G2 group were significantly increased (</w:t>
      </w:r>
      <w:r>
        <w:rPr>
          <w:bCs/>
          <w:i/>
          <w:szCs w:val="22"/>
        </w:rPr>
        <w:t>P</w:t>
      </w:r>
      <w:r>
        <w:rPr>
          <w:bCs/>
          <w:szCs w:val="22"/>
        </w:rPr>
        <w:t>＜0.05) . Moreover，the muscular thick ness，villus length and goblet cell count of intestine showed a trend of first increasing and then decreasing with the addition of fermented BSF，and these parameters were significantly higher in the G2 group than in the con trol group (</w:t>
      </w:r>
      <w:r>
        <w:rPr>
          <w:bCs/>
          <w:i/>
          <w:szCs w:val="22"/>
        </w:rPr>
        <w:t>P</w:t>
      </w:r>
      <w:r>
        <w:rPr>
          <w:bCs/>
          <w:szCs w:val="22"/>
        </w:rPr>
        <w:t xml:space="preserve">＜0.05) . In summary，the addition of fermented BSF to the diet of </w:t>
      </w:r>
      <w:r>
        <w:rPr>
          <w:bCs/>
          <w:i/>
          <w:szCs w:val="22"/>
        </w:rPr>
        <w:t>Ictalurus punctatus</w:t>
      </w:r>
      <w:r>
        <w:rPr>
          <w:bCs/>
          <w:szCs w:val="22"/>
        </w:rPr>
        <w:t xml:space="preserve"> promotes growth，enhances digestion and absorption ability，protects liver health，and improves non-specific immunity. The effect is the best when the fermented BSF addition is 2% on the basis of fresh matter ( equivalent to 10.4 g/kg on the basis of air-dry matter)</w:t>
      </w:r>
    </w:p>
    <w:p>
      <w:pPr>
        <w:jc w:val="left"/>
        <w:rPr>
          <w:szCs w:val="22"/>
        </w:rPr>
      </w:pPr>
      <w:r>
        <w:rPr>
          <w:b/>
          <w:bCs/>
          <w:szCs w:val="22"/>
        </w:rPr>
        <w:t>Key words：</w:t>
      </w:r>
      <w:r>
        <w:rPr>
          <w:bCs/>
          <w:szCs w:val="22"/>
        </w:rPr>
        <w:t xml:space="preserve"> fermented black soldier fly; </w:t>
      </w:r>
      <w:r>
        <w:rPr>
          <w:bCs/>
          <w:i/>
          <w:szCs w:val="22"/>
        </w:rPr>
        <w:t>Ictalurus punctatus</w:t>
      </w:r>
      <w:r>
        <w:rPr>
          <w:bCs/>
          <w:szCs w:val="22"/>
        </w:rPr>
        <w:t>; growth performance; digestive enzyme; biochemical indices; immune</w:t>
      </w:r>
    </w:p>
    <w:p>
      <w:pPr>
        <w:rPr>
          <w:sz w:val="24"/>
          <w:szCs w:val="22"/>
        </w:rPr>
      </w:pPr>
    </w:p>
    <w:p>
      <w:pPr>
        <w:spacing w:line="360" w:lineRule="auto"/>
        <w:ind w:firstLine="480" w:firstLineChars="200"/>
        <w:rPr>
          <w:sz w:val="24"/>
        </w:rPr>
      </w:pPr>
      <w:r>
        <w:rPr>
          <w:sz w:val="24"/>
        </w:rPr>
        <w:t>黑水虻(</w:t>
      </w:r>
      <w:r>
        <w:rPr>
          <w:i/>
          <w:sz w:val="24"/>
        </w:rPr>
        <w:t>Hermetia illucens L.</w:t>
      </w:r>
      <w:r>
        <w:rPr>
          <w:sz w:val="24"/>
        </w:rPr>
        <w:t>)，隶属于双翅目水虻科扁角水虻属，广泛分布于全球热带和温带地区</w:t>
      </w:r>
      <w:bookmarkStart w:id="31" w:name="OLE_LINK8"/>
      <w:r>
        <w:rPr>
          <w:sz w:val="24"/>
          <w:vertAlign w:val="superscript"/>
        </w:rPr>
        <w:t>[</w:t>
      </w:r>
      <w:bookmarkEnd w:id="31"/>
      <w:r>
        <w:rPr>
          <w:sz w:val="24"/>
          <w:vertAlign w:val="superscript"/>
        </w:rPr>
        <w:t>1]</w:t>
      </w:r>
      <w:r>
        <w:rPr>
          <w:sz w:val="24"/>
        </w:rPr>
        <w:t>，其幼虫阶段能有效转化多种有机废物(如厨余废物</w:t>
      </w:r>
      <w:r>
        <w:rPr>
          <w:sz w:val="24"/>
          <w:vertAlign w:val="superscript"/>
        </w:rPr>
        <w:t>[2]</w:t>
      </w:r>
      <w:r>
        <w:rPr>
          <w:sz w:val="24"/>
        </w:rPr>
        <w:t>、禽畜粪便</w:t>
      </w:r>
      <w:r>
        <w:rPr>
          <w:sz w:val="24"/>
          <w:vertAlign w:val="superscript"/>
        </w:rPr>
        <w:t>[3]</w:t>
      </w:r>
      <w:r>
        <w:rPr>
          <w:sz w:val="24"/>
        </w:rPr>
        <w:t>和农副产品</w:t>
      </w:r>
      <w:r>
        <w:rPr>
          <w:sz w:val="24"/>
          <w:vertAlign w:val="superscript"/>
        </w:rPr>
        <w:t>[4]</w:t>
      </w:r>
      <w:r>
        <w:rPr>
          <w:sz w:val="24"/>
        </w:rPr>
        <w:t>)为高营养价值的饲料及高附加价值的昆虫产品。黑水虻虫粉富含优质蛋白质、均衡氨基酸以及多种维生素和矿物质</w:t>
      </w:r>
      <w:r>
        <w:rPr>
          <w:sz w:val="24"/>
          <w:vertAlign w:val="superscript"/>
        </w:rPr>
        <w:t>[5]</w:t>
      </w:r>
      <w:r>
        <w:rPr>
          <w:sz w:val="24"/>
        </w:rPr>
        <w:t>，在水产饲料中被视为最有应用前景的昆虫之一</w:t>
      </w:r>
      <w:r>
        <w:rPr>
          <w:sz w:val="24"/>
          <w:vertAlign w:val="superscript"/>
        </w:rPr>
        <w:t>[6]</w:t>
      </w:r>
      <w:r>
        <w:rPr>
          <w:sz w:val="24"/>
        </w:rPr>
        <w:t>。除作为优质蛋白质源外，黑水虻还含有甲壳素</w:t>
      </w:r>
      <w:r>
        <w:rPr>
          <w:sz w:val="24"/>
          <w:vertAlign w:val="superscript"/>
        </w:rPr>
        <w:t>[7]</w:t>
      </w:r>
      <w:r>
        <w:rPr>
          <w:sz w:val="24"/>
        </w:rPr>
        <w:t>、抗菌肽</w:t>
      </w:r>
      <w:r>
        <w:rPr>
          <w:sz w:val="24"/>
          <w:vertAlign w:val="superscript"/>
        </w:rPr>
        <w:t>[8]</w:t>
      </w:r>
      <w:r>
        <w:rPr>
          <w:sz w:val="24"/>
        </w:rPr>
        <w:t>和月桂酸</w:t>
      </w:r>
      <w:r>
        <w:rPr>
          <w:sz w:val="24"/>
          <w:vertAlign w:val="superscript"/>
        </w:rPr>
        <w:t>[9]</w:t>
      </w:r>
      <w:r>
        <w:rPr>
          <w:sz w:val="24"/>
        </w:rPr>
        <w:t>等多种生物活性物质，是一种具有良好开发应用前景的功能性饲料原料</w:t>
      </w:r>
      <w:r>
        <w:rPr>
          <w:sz w:val="24"/>
          <w:vertAlign w:val="superscript"/>
        </w:rPr>
        <w:t>[10]</w:t>
      </w:r>
      <w:r>
        <w:rPr>
          <w:sz w:val="24"/>
        </w:rPr>
        <w:t>。根据需求，黑水虻经过干燥或者脱脂等工艺可加工为干虫粉、虫浆及虫油等多种形式，本团队前期研究发现，以黑水虻幼虫粉替代饲料中50%的鱼粉或者使用脱脂黑水虻虫粉替代饲料中40%的鱼粉，对花鲈(</w:t>
      </w:r>
      <w:r>
        <w:rPr>
          <w:i/>
          <w:sz w:val="24"/>
        </w:rPr>
        <w:t>Lateolabrax japonicus</w:t>
      </w:r>
      <w:r>
        <w:rPr>
          <w:sz w:val="24"/>
        </w:rPr>
        <w:t>)生长性能无不利影响，且脱脂黑水虻虫粉能增加花鲈的摄食量、降低血脂及抑制肝脂沉积</w:t>
      </w:r>
      <w:r>
        <w:rPr>
          <w:sz w:val="24"/>
          <w:vertAlign w:val="superscript"/>
        </w:rPr>
        <w:t>[11-12]</w:t>
      </w:r>
      <w:r>
        <w:rPr>
          <w:sz w:val="24"/>
        </w:rPr>
        <w:t>；使用黑水虻幼虫粉替代饲料中30%的鱼粉可促进凡纳滨对虾(</w:t>
      </w:r>
      <w:r>
        <w:rPr>
          <w:i/>
          <w:sz w:val="24"/>
        </w:rPr>
        <w:t>Litopenaeus vannamei</w:t>
      </w:r>
      <w:r>
        <w:rPr>
          <w:sz w:val="24"/>
        </w:rPr>
        <w:t>)生长，15%～20%的替代量能增强凡纳滨对虾的抗氧化能力</w:t>
      </w:r>
      <w:r>
        <w:rPr>
          <w:sz w:val="24"/>
          <w:vertAlign w:val="superscript"/>
        </w:rPr>
        <w:t>[13]</w:t>
      </w:r>
      <w:r>
        <w:rPr>
          <w:sz w:val="24"/>
        </w:rPr>
        <w:t>，而脱脂黑水虻虫粉可替代饲料中60%的鱼粉，不影响其生长性能、抗氧化酶活性、免疫酶活性以及消化酶活性</w:t>
      </w:r>
      <w:r>
        <w:rPr>
          <w:sz w:val="24"/>
          <w:vertAlign w:val="superscript"/>
        </w:rPr>
        <w:t>[14]</w:t>
      </w:r>
      <w:r>
        <w:rPr>
          <w:sz w:val="24"/>
        </w:rPr>
        <w:t>；使用脱脂黑水虻虫粉替代饲料中20%的鱼粉，不影响黄颡鱼(</w:t>
      </w:r>
      <w:r>
        <w:rPr>
          <w:i/>
          <w:sz w:val="24"/>
        </w:rPr>
        <w:t>Pelteobagrus fulvidraco</w:t>
      </w:r>
      <w:r>
        <w:rPr>
          <w:sz w:val="24"/>
        </w:rPr>
        <w:t>)幼鱼的生长性能和体组成，且能降低腹脂指数、血清甘油三酯及胆固醇含量，增加蛋白酶活性</w:t>
      </w:r>
      <w:r>
        <w:rPr>
          <w:sz w:val="24"/>
          <w:vertAlign w:val="superscript"/>
        </w:rPr>
        <w:t>[15]</w:t>
      </w:r>
      <w:r>
        <w:rPr>
          <w:sz w:val="24"/>
        </w:rPr>
        <w:t>；在杂交鳢(</w:t>
      </w:r>
      <w:r>
        <w:rPr>
          <w:i/>
          <w:sz w:val="24"/>
        </w:rPr>
        <w:t>Channaargus×C.maculate</w:t>
      </w:r>
      <w:r>
        <w:rPr>
          <w:sz w:val="24"/>
        </w:rPr>
        <w:t>)饲料中添加黑水虻虫浆，能够促进摄食和生长、降低饲料系数、增加蛋白质沉积率、降低血清胆固醇和甘油三酯含量</w:t>
      </w:r>
      <w:r>
        <w:rPr>
          <w:sz w:val="24"/>
          <w:vertAlign w:val="superscript"/>
        </w:rPr>
        <w:t>[16-17]</w:t>
      </w:r>
      <w:r>
        <w:rPr>
          <w:sz w:val="24"/>
        </w:rPr>
        <w:t>，并能增强鱼体免疫与抗氧化能力和改善肠道健康</w:t>
      </w:r>
      <w:r>
        <w:rPr>
          <w:sz w:val="24"/>
          <w:vertAlign w:val="superscript"/>
        </w:rPr>
        <w:t>[18]</w:t>
      </w:r>
      <w:r>
        <w:rPr>
          <w:sz w:val="24"/>
        </w:rPr>
        <w:t>；饲料中使用黑水虻虫粉或虫浆可提高大口黑鲈(</w:t>
      </w:r>
      <w:r>
        <w:rPr>
          <w:i/>
          <w:sz w:val="24"/>
        </w:rPr>
        <w:t>Micropterus salmoides</w:t>
      </w:r>
      <w:r>
        <w:rPr>
          <w:sz w:val="24"/>
        </w:rPr>
        <w:t>)的生长速率和脂质沉积</w:t>
      </w:r>
      <w:r>
        <w:rPr>
          <w:sz w:val="24"/>
          <w:vertAlign w:val="superscript"/>
        </w:rPr>
        <w:t>[19]</w:t>
      </w:r>
      <w:r>
        <w:rPr>
          <w:sz w:val="24"/>
        </w:rPr>
        <w:t>、降低肝体比</w:t>
      </w:r>
      <w:r>
        <w:rPr>
          <w:sz w:val="24"/>
          <w:vertAlign w:val="superscript"/>
        </w:rPr>
        <w:t>[20]</w:t>
      </w:r>
      <w:r>
        <w:rPr>
          <w:sz w:val="24"/>
        </w:rPr>
        <w:t>以及增强抗氧化和免疫能力</w:t>
      </w:r>
      <w:r>
        <w:rPr>
          <w:sz w:val="24"/>
          <w:vertAlign w:val="superscript"/>
        </w:rPr>
        <w:t>[21-22]</w:t>
      </w:r>
      <w:r>
        <w:rPr>
          <w:sz w:val="24"/>
        </w:rPr>
        <w:t>；饲料中添加酵解黑水虻虫浆可促进大口黑鲈的摄食与生长、降低肝体比和死亡率、提高抗氧化能力、优化肠道菌群结构并促进氨基酸、能量及核苷酸的代谢</w:t>
      </w:r>
      <w:r>
        <w:rPr>
          <w:sz w:val="24"/>
          <w:vertAlign w:val="superscript"/>
        </w:rPr>
        <w:t>[23]</w:t>
      </w:r>
      <w:r>
        <w:rPr>
          <w:sz w:val="24"/>
        </w:rPr>
        <w:t>。综上所述，黑水虻虫粉或虫浆等在水产动物中应用具有积极的正向效果。然而，采用微波或热风等干燥方法制备黑水虻干虫或虫粉的成本较高</w:t>
      </w:r>
      <w:r>
        <w:rPr>
          <w:sz w:val="24"/>
          <w:vertAlign w:val="superscript"/>
        </w:rPr>
        <w:t>[24]</w:t>
      </w:r>
      <w:r>
        <w:rPr>
          <w:sz w:val="24"/>
        </w:rPr>
        <w:t>。相比之下，将黑水虻幼虫匀浆及酵解处理，不仅可降低加工成本，而且产物中还富含由黑水虻蛋白转化产生的抗氧化肽</w:t>
      </w:r>
      <w:r>
        <w:rPr>
          <w:sz w:val="24"/>
          <w:vertAlign w:val="superscript"/>
        </w:rPr>
        <w:t>[25]</w:t>
      </w:r>
      <w:r>
        <w:rPr>
          <w:sz w:val="24"/>
        </w:rPr>
        <w:t>及外壳几丁质转化产生的壳聚糖</w:t>
      </w:r>
      <w:r>
        <w:rPr>
          <w:sz w:val="24"/>
          <w:vertAlign w:val="superscript"/>
        </w:rPr>
        <w:t>[26]</w:t>
      </w:r>
      <w:r>
        <w:rPr>
          <w:sz w:val="24"/>
        </w:rPr>
        <w:t>等生理活性物质，理论上发酵黑水虻作用效果更优。然而，目前关于发酵黑水虻的研究较为匮乏，目前仅见于大口黑鲈</w:t>
      </w:r>
      <w:r>
        <w:rPr>
          <w:sz w:val="24"/>
          <w:vertAlign w:val="superscript"/>
        </w:rPr>
        <w:t>[23</w:t>
      </w:r>
      <w:r>
        <w:rPr>
          <w:rFonts w:hint="eastAsia"/>
          <w:sz w:val="24"/>
          <w:vertAlign w:val="superscript"/>
        </w:rPr>
        <w:t>,</w:t>
      </w:r>
      <w:r>
        <w:rPr>
          <w:sz w:val="24"/>
          <w:vertAlign w:val="superscript"/>
        </w:rPr>
        <w:t>27]</w:t>
      </w:r>
      <w:r>
        <w:rPr>
          <w:sz w:val="24"/>
        </w:rPr>
        <w:t>、对虾</w:t>
      </w:r>
      <w:r>
        <w:rPr>
          <w:sz w:val="24"/>
          <w:vertAlign w:val="superscript"/>
        </w:rPr>
        <w:t>[28]</w:t>
      </w:r>
      <w:r>
        <w:rPr>
          <w:sz w:val="24"/>
        </w:rPr>
        <w:t>及杂交鳢</w:t>
      </w:r>
      <w:r>
        <w:rPr>
          <w:sz w:val="24"/>
          <w:vertAlign w:val="superscript"/>
        </w:rPr>
        <w:t>[29]</w:t>
      </w:r>
      <w:r>
        <w:rPr>
          <w:sz w:val="24"/>
        </w:rPr>
        <w:t>饲料中应用的报道。斑点叉尾鮰(</w:t>
      </w:r>
      <w:r>
        <w:rPr>
          <w:i/>
          <w:sz w:val="24"/>
        </w:rPr>
        <w:t>Ictalurus punctatus</w:t>
      </w:r>
      <w:r>
        <w:rPr>
          <w:sz w:val="24"/>
        </w:rPr>
        <w:t>)隶属于鲶形目科，是我国重要水产养殖品种，具有对环境适应性强、食性广、抗病抗逆能力强、肉质紧致、味道鲜美以及几乎没有肌间刺的优点，深受养殖者和消费者青睐。据统计，2022年我国斑点叉尾鮰养殖产量达41.6万t</w:t>
      </w:r>
      <w:bookmarkStart w:id="32" w:name="OLE_LINK9"/>
      <w:bookmarkStart w:id="33" w:name="OLE_LINK10"/>
      <w:r>
        <w:rPr>
          <w:sz w:val="24"/>
          <w:vertAlign w:val="superscript"/>
        </w:rPr>
        <w:t>[</w:t>
      </w:r>
      <w:bookmarkEnd w:id="32"/>
      <w:bookmarkEnd w:id="33"/>
      <w:r>
        <w:rPr>
          <w:sz w:val="24"/>
          <w:vertAlign w:val="superscript"/>
        </w:rPr>
        <w:t>30]</w:t>
      </w:r>
      <w:r>
        <w:rPr>
          <w:sz w:val="24"/>
        </w:rPr>
        <w:t>。然而，目前尚未有黑水虻在斑点叉尾鮰饲料中应用的相关研究。因此，本试验旨在探讨发酵黑水虻对斑点叉尾鮰生长性能、肝脏生化指标、消化吸收及免疫力的影响，为发酵黑水虻作为新型饲料原料在斑点叉尾鮰饲料中的应用提供试验数据和理论依据。</w:t>
      </w:r>
    </w:p>
    <w:p>
      <w:pPr>
        <w:spacing w:line="360" w:lineRule="auto"/>
        <w:rPr>
          <w:sz w:val="24"/>
        </w:rPr>
      </w:pPr>
      <w:r>
        <w:rPr>
          <w:sz w:val="24"/>
        </w:rPr>
        <w:t>1材料与方法</w:t>
      </w:r>
    </w:p>
    <w:p>
      <w:pPr>
        <w:spacing w:line="360" w:lineRule="auto"/>
        <w:rPr>
          <w:sz w:val="24"/>
        </w:rPr>
      </w:pPr>
      <w:r>
        <w:rPr>
          <w:sz w:val="24"/>
        </w:rPr>
        <w:t>1.1试验材料</w:t>
      </w:r>
    </w:p>
    <w:p>
      <w:pPr>
        <w:spacing w:line="360" w:lineRule="auto"/>
        <w:ind w:firstLine="480" w:firstLineChars="200"/>
        <w:rPr>
          <w:sz w:val="24"/>
        </w:rPr>
      </w:pPr>
      <w:r>
        <w:rPr>
          <w:sz w:val="24"/>
        </w:rPr>
        <w:t>试验所用发酵黑水虻是以新鲜黑水虻幼虫为原料，经酶解及发酵等工序加工精制而成，其营养成分含量如下:粗蛋白质13.31%，粗脂肪5.00%，水分48.00%，粗灰分3.50%，总氨基酸13.00%，肽3.86%，酸溶蛋白5.00%。</w:t>
      </w:r>
    </w:p>
    <w:p>
      <w:pPr>
        <w:spacing w:line="360" w:lineRule="auto"/>
        <w:rPr>
          <w:sz w:val="24"/>
        </w:rPr>
      </w:pPr>
      <w:r>
        <w:rPr>
          <w:sz w:val="24"/>
        </w:rPr>
        <w:t>1.2试验饲料</w:t>
      </w:r>
    </w:p>
    <w:p>
      <w:pPr>
        <w:spacing w:line="360" w:lineRule="auto"/>
        <w:ind w:firstLine="480" w:firstLineChars="200"/>
        <w:rPr>
          <w:sz w:val="24"/>
        </w:rPr>
      </w:pPr>
      <w:r>
        <w:rPr>
          <w:sz w:val="24"/>
        </w:rPr>
        <w:t>以鱼粉、鸡肉粉、豆粕、双低菜籽粕和米糠粕为蛋白质源，以豆油为脂肪源，以高精面粉为碳水化合物源，配制4种等脂等氮的试验饲料，饲料中发酵黑水虻鲜物质的添加量分别为0、2%、4%和8%，对应的发酵黑水虻风干物质基础下的添加量分别为0、10.4、20.8和41.6g/kg，并分别记为G0、G2、G4和G8。试验饲料组成及营养水平见表1。各原料分别粉碎过80目筛，称重混匀，原料混匀后使用双螺杆挤出机(SLX-80，华南理工大学机械制造厂)挤压成条，再通过制粒机(G-500，华南理工大学科技实业总厂)制成粒径为3mm的颗粒饲料，55℃干燥，自然冷却后密封，-20℃保存备用。</w:t>
      </w:r>
    </w:p>
    <w:p>
      <w:pPr>
        <w:spacing w:line="360" w:lineRule="auto"/>
        <w:rPr>
          <w:sz w:val="24"/>
        </w:rPr>
      </w:pPr>
      <w:r>
        <w:rPr>
          <w:sz w:val="24"/>
        </w:rPr>
        <w:t>1.3试验设计与饲养管理</w:t>
      </w:r>
    </w:p>
    <w:p>
      <w:pPr>
        <w:spacing w:line="360" w:lineRule="auto"/>
        <w:ind w:firstLine="480" w:firstLineChars="200"/>
        <w:rPr>
          <w:sz w:val="24"/>
        </w:rPr>
      </w:pPr>
      <w:r>
        <w:rPr>
          <w:sz w:val="24"/>
        </w:rPr>
        <w:t>养殖试验在广东省农业科学院动物科学研究所白云试验基地循环系统玻璃纤维缸(直径80cm，高70cm，容积350L)中进行。斑点叉尾鮰鱼苗购于广州市锦龙渔业有限公司，购回后在渔排网箱(长×宽×深=1.5m×1.5m×2.0m)暂养1周。选取初始质量在(2.75±0.01)g的外观健康、活力强健的斑点叉尾鮰480尾，随机分成4组(G0、G2、G4和G8组，对应饲喂相应编号的饲料)，每组3个重复，每个重复40尾，开展56d的养殖试验。试验期间，每天于08:00和18:00进行表观饱食投喂，每次投喂完毕后1h用虹吸管将残留的饲料和排出的粪便吸出，残留的饲料单独收集后烘干、称重，用于计算实际采食量。试验期间保持水质，水体溶解氧浓度＞5mg/L，pH7.7～8.0，温度24.7～29.8℃，亚硝酸盐浓度≤0.15mg/L。动物试验由广东省农业科学院动物科学研究所实验动物伦理委员会批准，批准号:2023012。</w:t>
      </w:r>
    </w:p>
    <w:p>
      <w:pPr>
        <w:spacing w:line="360" w:lineRule="auto"/>
        <w:jc w:val="center"/>
        <w:rPr>
          <w:sz w:val="24"/>
        </w:rPr>
      </w:pPr>
      <w:r>
        <w:rPr>
          <w:rFonts w:ascii="等线" w:hAnsi="等线" w:eastAsia="等线"/>
          <w:szCs w:val="22"/>
        </w:rPr>
        <w:drawing>
          <wp:inline distT="0" distB="0" distL="0" distR="0">
            <wp:extent cx="5486400" cy="1958975"/>
            <wp:effectExtent l="0" t="0" r="0" b="3175"/>
            <wp:docPr id="1973909831" name="图片 1973909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3909831" name="图片 1973909831"/>
                    <pic:cNvPicPr>
                      <a:picLocks noChangeAspect="1"/>
                    </pic:cNvPicPr>
                  </pic:nvPicPr>
                  <pic:blipFill>
                    <a:blip r:embed="rId15"/>
                    <a:srcRect b="4791"/>
                    <a:stretch>
                      <a:fillRect/>
                    </a:stretch>
                  </pic:blipFill>
                  <pic:spPr>
                    <a:xfrm>
                      <a:off x="0" y="0"/>
                      <a:ext cx="5486400" cy="1959429"/>
                    </a:xfrm>
                    <a:prstGeom prst="rect">
                      <a:avLst/>
                    </a:prstGeom>
                    <a:ln>
                      <a:noFill/>
                    </a:ln>
                  </pic:spPr>
                </pic:pic>
              </a:graphicData>
            </a:graphic>
          </wp:inline>
        </w:drawing>
      </w:r>
      <w:r>
        <w:rPr>
          <w:rFonts w:ascii="等线" w:hAnsi="等线" w:eastAsia="等线"/>
          <w:szCs w:val="22"/>
        </w:rPr>
        <w:drawing>
          <wp:inline distT="0" distB="0" distL="0" distR="0">
            <wp:extent cx="5486400" cy="3090545"/>
            <wp:effectExtent l="0" t="0" r="0" b="0"/>
            <wp:docPr id="1943206054" name="图片 1943206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3206054" name="图片 1943206054"/>
                    <pic:cNvPicPr>
                      <a:picLocks noChangeAspect="1"/>
                    </pic:cNvPicPr>
                  </pic:nvPicPr>
                  <pic:blipFill>
                    <a:blip r:embed="rId16"/>
                    <a:srcRect t="12778"/>
                    <a:stretch>
                      <a:fillRect/>
                    </a:stretch>
                  </pic:blipFill>
                  <pic:spPr>
                    <a:xfrm>
                      <a:off x="0" y="0"/>
                      <a:ext cx="5486400" cy="3091089"/>
                    </a:xfrm>
                    <a:prstGeom prst="rect">
                      <a:avLst/>
                    </a:prstGeom>
                    <a:ln>
                      <a:noFill/>
                    </a:ln>
                  </pic:spPr>
                </pic:pic>
              </a:graphicData>
            </a:graphic>
          </wp:inline>
        </w:drawing>
      </w:r>
    </w:p>
    <w:p>
      <w:pPr>
        <w:spacing w:line="360" w:lineRule="auto"/>
        <w:rPr>
          <w:sz w:val="24"/>
        </w:rPr>
      </w:pPr>
      <w:r>
        <w:rPr>
          <w:sz w:val="24"/>
        </w:rPr>
        <w:t>1.4样品采集</w:t>
      </w:r>
    </w:p>
    <w:p>
      <w:pPr>
        <w:spacing w:line="360" w:lineRule="auto"/>
        <w:ind w:firstLine="480" w:firstLineChars="200"/>
        <w:rPr>
          <w:sz w:val="24"/>
        </w:rPr>
      </w:pPr>
      <w:r>
        <w:rPr>
          <w:sz w:val="24"/>
        </w:rPr>
        <w:t>养殖结束后，禁食24h，逐缸计数称重，每缸随机取8尾鱼测量体长，称量体重以及内脏团、肠道和肝脏重量，用于计算形体指标；每缸随机取全鱼6尾，于-80℃冰箱保存，用于全鱼营养成分测定；每缸随机取7尾鱼于冰上解剖，取全肠和肝脏，-80℃冰箱保存，用以检测消化酶和Na+-K+ATP酶活性、生化与免疫指标等；每缸随机取2尾鱼，解剖取前肠，于10%福尔马林溶液中固定，用于制备石蜡切片。</w:t>
      </w:r>
    </w:p>
    <w:p>
      <w:pPr>
        <w:spacing w:line="360" w:lineRule="auto"/>
        <w:rPr>
          <w:sz w:val="24"/>
        </w:rPr>
      </w:pPr>
      <w:r>
        <w:rPr>
          <w:sz w:val="24"/>
        </w:rPr>
        <w:t>1.</w:t>
      </w:r>
      <w:bookmarkStart w:id="34" w:name="OLE_LINK21"/>
      <w:bookmarkStart w:id="35" w:name="OLE_LINK20"/>
      <w:r>
        <w:rPr>
          <w:sz w:val="24"/>
        </w:rPr>
        <w:t>5</w:t>
      </w:r>
      <w:bookmarkEnd w:id="34"/>
      <w:bookmarkEnd w:id="35"/>
      <w:r>
        <w:rPr>
          <w:sz w:val="24"/>
        </w:rPr>
        <w:t>指标测定</w:t>
      </w:r>
    </w:p>
    <w:p>
      <w:pPr>
        <w:spacing w:line="360" w:lineRule="auto"/>
        <w:rPr>
          <w:sz w:val="24"/>
        </w:rPr>
      </w:pPr>
      <w:r>
        <w:rPr>
          <w:sz w:val="24"/>
        </w:rPr>
        <w:t>1.5.1生长性能和形体指标</w:t>
      </w:r>
    </w:p>
    <w:p>
      <w:pPr>
        <w:spacing w:line="360" w:lineRule="auto"/>
        <w:rPr>
          <w:sz w:val="24"/>
        </w:rPr>
      </w:pPr>
      <w:r>
        <w:rPr>
          <w:sz w:val="24"/>
        </w:rPr>
        <w:t>存活率(SR，%)=100×终末尾数/初始尾数；</w:t>
      </w:r>
    </w:p>
    <w:p>
      <w:pPr>
        <w:spacing w:line="360" w:lineRule="auto"/>
        <w:rPr>
          <w:sz w:val="24"/>
        </w:rPr>
      </w:pPr>
      <w:r>
        <w:rPr>
          <w:sz w:val="24"/>
        </w:rPr>
        <w:t>增重率(WGR，%)=100×(终末体重初始体重)/初始体重；</w:t>
      </w:r>
    </w:p>
    <w:p>
      <w:pPr>
        <w:spacing w:line="360" w:lineRule="auto"/>
        <w:rPr>
          <w:sz w:val="24"/>
        </w:rPr>
      </w:pPr>
      <w:r>
        <w:rPr>
          <w:sz w:val="24"/>
        </w:rPr>
        <w:t>特定生长率(SGR，%/d)=100×(ln终末体重-ln初始体重)/饲养天数；</w:t>
      </w:r>
    </w:p>
    <w:p>
      <w:pPr>
        <w:spacing w:line="360" w:lineRule="auto"/>
        <w:rPr>
          <w:sz w:val="24"/>
        </w:rPr>
      </w:pPr>
      <w:r>
        <w:rPr>
          <w:sz w:val="24"/>
        </w:rPr>
        <w:t>饲料系数(FCR)=摄食饲料干重/(终末体重-初始体重)；</w:t>
      </w:r>
    </w:p>
    <w:p>
      <w:pPr>
        <w:spacing w:line="360" w:lineRule="auto"/>
        <w:rPr>
          <w:sz w:val="24"/>
        </w:rPr>
      </w:pPr>
      <w:r>
        <w:rPr>
          <w:sz w:val="24"/>
        </w:rPr>
        <w:t>摄食率(F</w:t>
      </w:r>
      <w:bookmarkStart w:id="36" w:name="OLE_LINK22"/>
      <w:r>
        <w:rPr>
          <w:sz w:val="24"/>
        </w:rPr>
        <w:t>R，g/尾)=总摄食量/[(初始尾数+终末尾数)/2]；</w:t>
      </w:r>
    </w:p>
    <w:p>
      <w:pPr>
        <w:spacing w:line="360" w:lineRule="auto"/>
        <w:rPr>
          <w:sz w:val="24"/>
        </w:rPr>
      </w:pPr>
      <w:r>
        <w:rPr>
          <w:sz w:val="24"/>
        </w:rPr>
        <w:t>蛋白质效率(PER，%</w:t>
      </w:r>
      <w:bookmarkEnd w:id="36"/>
      <w:r>
        <w:rPr>
          <w:sz w:val="24"/>
        </w:rPr>
        <w:t>)=100×(终末体重初始体重)/(饲料干物质重×饲料粗蛋白质含量)；</w:t>
      </w:r>
    </w:p>
    <w:p>
      <w:pPr>
        <w:spacing w:line="360" w:lineRule="auto"/>
        <w:rPr>
          <w:sz w:val="24"/>
        </w:rPr>
      </w:pPr>
      <w:r>
        <w:rPr>
          <w:sz w:val="24"/>
        </w:rPr>
        <w:t>肥满度(CF，g/cm</w:t>
      </w:r>
      <w:r>
        <w:rPr>
          <w:sz w:val="24"/>
          <w:vertAlign w:val="superscript"/>
        </w:rPr>
        <w:t>3</w:t>
      </w:r>
      <w:r>
        <w:rPr>
          <w:sz w:val="24"/>
        </w:rPr>
        <w:t>)=100×体重/体长</w:t>
      </w:r>
      <w:r>
        <w:rPr>
          <w:sz w:val="24"/>
          <w:vertAlign w:val="superscript"/>
        </w:rPr>
        <w:t>3</w:t>
      </w:r>
      <w:r>
        <w:rPr>
          <w:sz w:val="24"/>
        </w:rPr>
        <w:t>；</w:t>
      </w:r>
    </w:p>
    <w:p>
      <w:pPr>
        <w:spacing w:line="360" w:lineRule="auto"/>
        <w:rPr>
          <w:sz w:val="24"/>
        </w:rPr>
      </w:pPr>
      <w:r>
        <w:rPr>
          <w:sz w:val="24"/>
        </w:rPr>
        <w:t>脏体比(VSI，%)=100×内脏团质量/体重；</w:t>
      </w:r>
    </w:p>
    <w:p>
      <w:pPr>
        <w:spacing w:line="360" w:lineRule="auto"/>
        <w:rPr>
          <w:sz w:val="24"/>
        </w:rPr>
      </w:pPr>
      <w:r>
        <w:rPr>
          <w:sz w:val="24"/>
        </w:rPr>
        <w:t>肝体比(HSI，%)=100×肝脏质量/体重；</w:t>
      </w:r>
    </w:p>
    <w:p>
      <w:pPr>
        <w:spacing w:line="360" w:lineRule="auto"/>
        <w:rPr>
          <w:sz w:val="24"/>
        </w:rPr>
      </w:pPr>
      <w:r>
        <w:rPr>
          <w:sz w:val="24"/>
        </w:rPr>
        <w:t>肠体比(ISI，%)=10</w:t>
      </w:r>
      <w:bookmarkStart w:id="37" w:name="OLE_LINK23"/>
      <w:r>
        <w:rPr>
          <w:sz w:val="24"/>
        </w:rPr>
        <w:t>0×肠道质量/体</w:t>
      </w:r>
      <w:bookmarkEnd w:id="37"/>
      <w:r>
        <w:rPr>
          <w:sz w:val="24"/>
        </w:rPr>
        <w:t>重。</w:t>
      </w:r>
    </w:p>
    <w:p>
      <w:pPr>
        <w:spacing w:line="360" w:lineRule="auto"/>
        <w:rPr>
          <w:sz w:val="24"/>
        </w:rPr>
      </w:pPr>
      <w:r>
        <w:rPr>
          <w:sz w:val="24"/>
        </w:rPr>
        <w:t>1.5.2饲料及全鱼营养成分检测</w:t>
      </w:r>
    </w:p>
    <w:p>
      <w:pPr>
        <w:spacing w:line="360" w:lineRule="auto"/>
        <w:ind w:firstLine="480" w:firstLineChars="200"/>
        <w:rPr>
          <w:sz w:val="24"/>
        </w:rPr>
      </w:pPr>
      <w:r>
        <w:rPr>
          <w:sz w:val="24"/>
        </w:rPr>
        <w:t>饲料及全鱼营养成分采用国标法测定:105℃烘箱干燥法(GB/T6435—2014)测定水分含量；马弗炉550℃灼烧法(GB/T6438—2007)测定粗灰分含量；乙醚抽提法(GB/T6433—2006)测定粗脂肪含量；凯氏定氮法(GB/T6432—2018)测定粗蛋白质含量。</w:t>
      </w:r>
    </w:p>
    <w:p>
      <w:pPr>
        <w:spacing w:line="360" w:lineRule="auto"/>
        <w:rPr>
          <w:sz w:val="24"/>
        </w:rPr>
      </w:pPr>
      <w:r>
        <w:rPr>
          <w:sz w:val="24"/>
        </w:rPr>
        <w:t>1.5.3肝脏生化指标检测</w:t>
      </w:r>
    </w:p>
    <w:p>
      <w:pPr>
        <w:spacing w:line="360" w:lineRule="auto"/>
        <w:ind w:firstLine="480" w:firstLineChars="200"/>
        <w:rPr>
          <w:sz w:val="24"/>
        </w:rPr>
      </w:pPr>
      <w:r>
        <w:rPr>
          <w:sz w:val="24"/>
        </w:rPr>
        <w:t>将肝脏样品匀浆并在4℃下以624.35×g的离心力离心15min，收集上清液，使用商业试剂盒(南京建成生物工程研究所)测定肝脏总蛋白(TP)、甘油三酯(TG)、总胆固醇(TC)、葡萄糖(GLU)含量及谷丙转氨酶(GPT)、谷草转氨酶(GOT)活性。</w:t>
      </w:r>
    </w:p>
    <w:p>
      <w:pPr>
        <w:spacing w:line="360" w:lineRule="auto"/>
        <w:rPr>
          <w:sz w:val="24"/>
        </w:rPr>
      </w:pPr>
      <w:r>
        <w:rPr>
          <w:sz w:val="24"/>
        </w:rPr>
        <w:t>1.5.4消化酶和Na+-K+-ATP酶活性检测</w:t>
      </w:r>
    </w:p>
    <w:p>
      <w:pPr>
        <w:spacing w:line="360" w:lineRule="auto"/>
        <w:ind w:firstLine="480" w:firstLineChars="200"/>
        <w:rPr>
          <w:sz w:val="24"/>
        </w:rPr>
      </w:pPr>
      <w:r>
        <w:rPr>
          <w:sz w:val="24"/>
        </w:rPr>
        <w:t>将肠道样品匀浆并在4℃下以624.35×g的离心力离心15min，收集上清液。取制备的肠道上</w:t>
      </w:r>
      <w:bookmarkStart w:id="38" w:name="OLE_LINK24"/>
      <w:bookmarkStart w:id="39" w:name="OLE_LINK25"/>
      <w:r>
        <w:rPr>
          <w:sz w:val="24"/>
        </w:rPr>
        <w:t>清液和1.5.3中制备的肝脏上清液，使用商业试剂盒(南京建成生物工程研究所)测定肠道和肝脏α</w:t>
      </w:r>
      <w:bookmarkEnd w:id="38"/>
      <w:bookmarkEnd w:id="39"/>
      <w:r>
        <w:rPr>
          <w:sz w:val="24"/>
        </w:rPr>
        <w:t>淀粉酶(AMS)、胰蛋白酶(T</w:t>
      </w:r>
      <w:r>
        <w:rPr>
          <w:rFonts w:hint="eastAsia"/>
          <w:sz w:val="24"/>
        </w:rPr>
        <w:t>R</w:t>
      </w:r>
      <w:r>
        <w:rPr>
          <w:sz w:val="24"/>
        </w:rPr>
        <w:t>Y)、脂肪酶(LPS)以及肠道Na+-K+-ATP酶活性。</w:t>
      </w:r>
    </w:p>
    <w:p>
      <w:pPr>
        <w:spacing w:line="360" w:lineRule="auto"/>
        <w:rPr>
          <w:sz w:val="24"/>
        </w:rPr>
      </w:pPr>
      <w:r>
        <w:rPr>
          <w:sz w:val="24"/>
        </w:rPr>
        <w:t>1.5.5肝脏免疫指标检测</w:t>
      </w:r>
    </w:p>
    <w:p>
      <w:pPr>
        <w:spacing w:line="360" w:lineRule="auto"/>
        <w:ind w:firstLine="480" w:firstLineChars="200"/>
        <w:rPr>
          <w:sz w:val="24"/>
        </w:rPr>
      </w:pPr>
      <w:r>
        <w:rPr>
          <w:sz w:val="24"/>
        </w:rPr>
        <w:t>取1.5.3中制备的肝脏上清液，使用商业试剂盒(南京建成生物工程研究所)检测肝脏碱性磷酸酶(AKP)、酸性磷酸酶(ACP)、溶菌酶(LZM)活性和补体3(C3)含量。</w:t>
      </w:r>
    </w:p>
    <w:p>
      <w:pPr>
        <w:spacing w:line="360" w:lineRule="auto"/>
        <w:rPr>
          <w:sz w:val="24"/>
        </w:rPr>
      </w:pPr>
      <w:r>
        <w:rPr>
          <w:sz w:val="24"/>
        </w:rPr>
        <w:t>1.5.6肠道组织切片制作及测量</w:t>
      </w:r>
    </w:p>
    <w:p>
      <w:pPr>
        <w:spacing w:line="360" w:lineRule="auto"/>
        <w:ind w:firstLine="480" w:firstLineChars="200"/>
        <w:rPr>
          <w:rFonts w:hint="eastAsia" w:ascii="等线" w:hAnsi="等线" w:eastAsia="等线"/>
          <w:szCs w:val="22"/>
        </w:rPr>
      </w:pPr>
      <w:r>
        <w:rPr>
          <w:sz w:val="24"/>
        </w:rPr>
        <w:t>将10%福尔马林溶液中固定的前肠取出，制备石蜡组织切片，经苏木精-伊红(HE)染色后用PANNORAMIC全景切片扫描仪扫描，观察绒毛形态与结构，使用CaseViewer2.2软件测量肌</w:t>
      </w:r>
      <w:bookmarkStart w:id="40" w:name="OLE_LINK26"/>
      <w:r>
        <w:rPr>
          <w:sz w:val="24"/>
        </w:rPr>
        <w:t>层厚度、绒毛长度和绒毛宽度；100倍视野下，分别计数每张切片中5根肠绒毛上杯状细胞数量</w:t>
      </w:r>
      <w:bookmarkEnd w:id="40"/>
      <w:r>
        <w:rPr>
          <w:sz w:val="24"/>
        </w:rPr>
        <w:t>，取平均值</w:t>
      </w:r>
      <w:r>
        <w:rPr>
          <w:rFonts w:ascii="等线" w:hAnsi="等线" w:eastAsia="等线"/>
          <w:szCs w:val="22"/>
        </w:rPr>
        <w:t>。</w:t>
      </w:r>
    </w:p>
    <w:p>
      <w:pPr>
        <w:spacing w:line="360" w:lineRule="auto"/>
        <w:rPr>
          <w:sz w:val="24"/>
        </w:rPr>
      </w:pPr>
      <w:r>
        <w:rPr>
          <w:sz w:val="24"/>
        </w:rPr>
        <w:t>1.6数据统计与分析</w:t>
      </w:r>
    </w:p>
    <w:p>
      <w:pPr>
        <w:spacing w:line="360" w:lineRule="auto"/>
        <w:ind w:firstLine="480" w:firstLineChars="200"/>
        <w:rPr>
          <w:sz w:val="24"/>
        </w:rPr>
      </w:pPr>
      <w:r>
        <w:rPr>
          <w:sz w:val="24"/>
        </w:rPr>
        <w:t>试验数据结果中形体指标采用“平均值±标准差”表示，其余均采用“平均值±标准误”表示，采用SPSS26.0对数据进行单因素方差分析(one</w:t>
      </w:r>
      <w:r>
        <w:rPr>
          <w:rFonts w:hint="eastAsia"/>
          <w:sz w:val="24"/>
        </w:rPr>
        <w:t xml:space="preserve"> </w:t>
      </w:r>
      <w:r>
        <w:rPr>
          <w:sz w:val="24"/>
        </w:rPr>
        <w:t>wayANOVA)，并采用Duncan氏法分析组间差异显著性，</w:t>
      </w:r>
      <w:r>
        <w:rPr>
          <w:i/>
          <w:sz w:val="24"/>
        </w:rPr>
        <w:t>P</w:t>
      </w:r>
      <w:r>
        <w:rPr>
          <w:sz w:val="24"/>
        </w:rPr>
        <w:t>＜0.05为差异显著标准。</w:t>
      </w:r>
    </w:p>
    <w:p>
      <w:pPr>
        <w:spacing w:line="360" w:lineRule="auto"/>
        <w:rPr>
          <w:sz w:val="24"/>
        </w:rPr>
      </w:pPr>
      <w:r>
        <w:rPr>
          <w:sz w:val="24"/>
        </w:rPr>
        <w:t>2结果</w:t>
      </w:r>
    </w:p>
    <w:p>
      <w:pPr>
        <w:spacing w:line="360" w:lineRule="auto"/>
        <w:rPr>
          <w:sz w:val="24"/>
        </w:rPr>
      </w:pPr>
      <w:r>
        <w:rPr>
          <w:sz w:val="24"/>
        </w:rPr>
        <w:t>2.1生长性能和形体指标</w:t>
      </w:r>
    </w:p>
    <w:p>
      <w:pPr>
        <w:spacing w:line="360" w:lineRule="auto"/>
        <w:ind w:firstLine="480" w:firstLineChars="200"/>
        <w:rPr>
          <w:sz w:val="24"/>
        </w:rPr>
      </w:pPr>
      <w:r>
        <w:rPr>
          <w:sz w:val="24"/>
        </w:rPr>
        <w:t>由表2可知，与G0组相比，G2组WGR和SGR显著提高(</w:t>
      </w:r>
      <w:r>
        <w:rPr>
          <w:i/>
          <w:sz w:val="24"/>
        </w:rPr>
        <w:t>P</w:t>
      </w:r>
      <w:r>
        <w:rPr>
          <w:sz w:val="24"/>
        </w:rPr>
        <w:t>＜0.05)；G2组SR、WGR和SGR显著大于G8组(</w:t>
      </w:r>
      <w:r>
        <w:rPr>
          <w:i/>
          <w:sz w:val="24"/>
        </w:rPr>
        <w:t>P</w:t>
      </w:r>
      <w:r>
        <w:rPr>
          <w:sz w:val="24"/>
        </w:rPr>
        <w:t>＜0.05)；G4组PER显著大于且FCR显著小于G8组(</w:t>
      </w:r>
      <w:r>
        <w:rPr>
          <w:i/>
          <w:sz w:val="24"/>
        </w:rPr>
        <w:t>P</w:t>
      </w:r>
      <w:r>
        <w:rPr>
          <w:sz w:val="24"/>
        </w:rPr>
        <w:t>＜0.05)；各组间FR无显著差异(</w:t>
      </w:r>
      <w:r>
        <w:rPr>
          <w:i/>
          <w:sz w:val="24"/>
        </w:rPr>
        <w:t>P</w:t>
      </w:r>
      <w:r>
        <w:rPr>
          <w:sz w:val="24"/>
        </w:rPr>
        <w:t>＞0.05)；G2和G4组CF显著大于其余2组(</w:t>
      </w:r>
      <w:r>
        <w:rPr>
          <w:i/>
          <w:sz w:val="24"/>
        </w:rPr>
        <w:t>P</w:t>
      </w:r>
      <w:r>
        <w:rPr>
          <w:sz w:val="24"/>
        </w:rPr>
        <w:t>＜0.05)；G8组VSI、HSI和ISI显著小于G0组(</w:t>
      </w:r>
      <w:r>
        <w:rPr>
          <w:i/>
          <w:sz w:val="24"/>
        </w:rPr>
        <w:t>P</w:t>
      </w:r>
      <w:r>
        <w:rPr>
          <w:sz w:val="24"/>
        </w:rPr>
        <w:t>＜0.05)。</w:t>
      </w:r>
    </w:p>
    <w:p>
      <w:pPr>
        <w:spacing w:line="360" w:lineRule="auto"/>
        <w:jc w:val="center"/>
        <w:rPr>
          <w:sz w:val="24"/>
        </w:rPr>
      </w:pPr>
      <w:r>
        <w:rPr>
          <w:rFonts w:ascii="等线" w:hAnsi="等线" w:eastAsia="等线"/>
          <w:szCs w:val="22"/>
        </w:rPr>
        <w:drawing>
          <wp:inline distT="0" distB="0" distL="0" distR="0">
            <wp:extent cx="5486400" cy="2176780"/>
            <wp:effectExtent l="0" t="0" r="0" b="0"/>
            <wp:docPr id="1624343751" name="图片 1624343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4343751" name="图片 1624343751"/>
                    <pic:cNvPicPr>
                      <a:picLocks noChangeAspect="1"/>
                    </pic:cNvPicPr>
                  </pic:nvPicPr>
                  <pic:blipFill>
                    <a:blip r:embed="rId17"/>
                    <a:srcRect b="3038"/>
                    <a:stretch>
                      <a:fillRect/>
                    </a:stretch>
                  </pic:blipFill>
                  <pic:spPr>
                    <a:xfrm>
                      <a:off x="0" y="0"/>
                      <a:ext cx="5486400" cy="2177143"/>
                    </a:xfrm>
                    <a:prstGeom prst="rect">
                      <a:avLst/>
                    </a:prstGeom>
                    <a:ln>
                      <a:noFill/>
                    </a:ln>
                  </pic:spPr>
                </pic:pic>
              </a:graphicData>
            </a:graphic>
          </wp:inline>
        </w:drawing>
      </w:r>
    </w:p>
    <w:p>
      <w:pPr>
        <w:spacing w:line="360" w:lineRule="auto"/>
        <w:jc w:val="center"/>
        <w:rPr>
          <w:sz w:val="24"/>
        </w:rPr>
      </w:pPr>
      <w:r>
        <w:rPr>
          <w:rFonts w:ascii="等线" w:hAnsi="等线" w:eastAsia="等线"/>
          <w:szCs w:val="22"/>
        </w:rPr>
        <w:drawing>
          <wp:inline distT="0" distB="0" distL="0" distR="0">
            <wp:extent cx="5486400" cy="949960"/>
            <wp:effectExtent l="0" t="0" r="0" b="2540"/>
            <wp:docPr id="696028181" name="图片 696028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028181" name="图片 696028181"/>
                    <pic:cNvPicPr>
                      <a:picLocks noChangeAspect="1"/>
                    </pic:cNvPicPr>
                  </pic:nvPicPr>
                  <pic:blipFill>
                    <a:blip r:embed="rId18"/>
                    <a:srcRect t="32697"/>
                    <a:stretch>
                      <a:fillRect/>
                    </a:stretch>
                  </pic:blipFill>
                  <pic:spPr>
                    <a:xfrm>
                      <a:off x="0" y="0"/>
                      <a:ext cx="5486400" cy="950051"/>
                    </a:xfrm>
                    <a:prstGeom prst="rect">
                      <a:avLst/>
                    </a:prstGeom>
                    <a:ln>
                      <a:noFill/>
                    </a:ln>
                  </pic:spPr>
                </pic:pic>
              </a:graphicData>
            </a:graphic>
          </wp:inline>
        </w:drawing>
      </w:r>
    </w:p>
    <w:p>
      <w:pPr>
        <w:spacing w:line="360" w:lineRule="auto"/>
        <w:rPr>
          <w:sz w:val="24"/>
        </w:rPr>
      </w:pPr>
      <w:r>
        <w:rPr>
          <w:sz w:val="24"/>
        </w:rPr>
        <w:t>2.2体成分</w:t>
      </w:r>
    </w:p>
    <w:p>
      <w:pPr>
        <w:spacing w:line="360" w:lineRule="auto"/>
        <w:ind w:firstLine="480" w:firstLineChars="200"/>
        <w:rPr>
          <w:sz w:val="24"/>
        </w:rPr>
      </w:pPr>
      <w:r>
        <w:rPr>
          <w:sz w:val="24"/>
        </w:rPr>
        <w:t>由表3可知，饲料中添加不同水平发酵黑水虻对斑点叉尾鮰全鱼水分、粗蛋白质、粗脂肪和粗灰分含量均无显著影响(</w:t>
      </w:r>
      <w:r>
        <w:rPr>
          <w:i/>
          <w:sz w:val="24"/>
        </w:rPr>
        <w:t>P</w:t>
      </w:r>
      <w:r>
        <w:rPr>
          <w:sz w:val="24"/>
        </w:rPr>
        <w:t>＞0.05)。</w:t>
      </w:r>
    </w:p>
    <w:p>
      <w:pPr>
        <w:spacing w:line="360" w:lineRule="auto"/>
        <w:rPr>
          <w:sz w:val="24"/>
        </w:rPr>
      </w:pPr>
      <w:r>
        <w:rPr>
          <w:sz w:val="24"/>
        </w:rPr>
        <w:t>2.3肝脏生化指标</w:t>
      </w:r>
    </w:p>
    <w:p>
      <w:pPr>
        <w:spacing w:line="360" w:lineRule="auto"/>
        <w:ind w:firstLine="480" w:firstLineChars="200"/>
        <w:rPr>
          <w:sz w:val="24"/>
        </w:rPr>
      </w:pPr>
      <w:r>
        <w:rPr>
          <w:sz w:val="24"/>
        </w:rPr>
        <w:t>由表4可知，整体上，肝脏TG、TC含量随发酵黑水虻添加量的增加出现先降低后升高的趋势，G2、G4组肝脏TG、TC含量较G0组显著降低(</w:t>
      </w:r>
      <w:r>
        <w:rPr>
          <w:i/>
          <w:sz w:val="24"/>
        </w:rPr>
        <w:t>P</w:t>
      </w:r>
      <w:r>
        <w:rPr>
          <w:sz w:val="24"/>
        </w:rPr>
        <w:t>＜0.05)；饲料中添加不同水平发酵黑水虻对斑点叉尾肝脏GLU含量无显著影响(</w:t>
      </w:r>
      <w:r>
        <w:rPr>
          <w:i/>
          <w:sz w:val="24"/>
        </w:rPr>
        <w:t>P</w:t>
      </w:r>
      <w:r>
        <w:rPr>
          <w:sz w:val="24"/>
        </w:rPr>
        <w:t>＞0.05)；G2和G8组肝脏GPT和GOT活性显著小于G0组(</w:t>
      </w:r>
      <w:r>
        <w:rPr>
          <w:i/>
          <w:sz w:val="24"/>
        </w:rPr>
        <w:t>P</w:t>
      </w:r>
      <w:r>
        <w:rPr>
          <w:sz w:val="24"/>
        </w:rPr>
        <w:t>＜0.05)。</w:t>
      </w:r>
    </w:p>
    <w:p>
      <w:pPr>
        <w:spacing w:line="360" w:lineRule="auto"/>
        <w:jc w:val="center"/>
        <w:rPr>
          <w:rFonts w:hint="eastAsia" w:ascii="等线" w:hAnsi="等线" w:eastAsia="等线"/>
          <w:szCs w:val="22"/>
        </w:rPr>
      </w:pPr>
      <w:r>
        <w:rPr>
          <w:rFonts w:ascii="等线" w:hAnsi="等线" w:eastAsia="等线"/>
          <w:szCs w:val="22"/>
        </w:rPr>
        <w:drawing>
          <wp:inline distT="0" distB="0" distL="0" distR="0">
            <wp:extent cx="5891530" cy="174117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9"/>
                    <a:stretch>
                      <a:fillRect/>
                    </a:stretch>
                  </pic:blipFill>
                  <pic:spPr>
                    <a:xfrm>
                      <a:off x="0" y="0"/>
                      <a:ext cx="5911142" cy="1747345"/>
                    </a:xfrm>
                    <a:prstGeom prst="rect">
                      <a:avLst/>
                    </a:prstGeom>
                  </pic:spPr>
                </pic:pic>
              </a:graphicData>
            </a:graphic>
          </wp:inline>
        </w:drawing>
      </w:r>
    </w:p>
    <w:p>
      <w:pPr>
        <w:spacing w:line="360" w:lineRule="auto"/>
        <w:jc w:val="center"/>
        <w:rPr>
          <w:sz w:val="24"/>
        </w:rPr>
      </w:pPr>
      <w:r>
        <w:rPr>
          <w:rFonts w:ascii="等线" w:hAnsi="等线" w:eastAsia="等线"/>
          <w:szCs w:val="22"/>
        </w:rPr>
        <w:drawing>
          <wp:inline distT="0" distB="0" distL="0" distR="0">
            <wp:extent cx="5774690" cy="1793875"/>
            <wp:effectExtent l="0" t="0" r="0" b="0"/>
            <wp:docPr id="412571986" name="图片 412571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571986" name="图片 412571986"/>
                    <pic:cNvPicPr>
                      <a:picLocks noChangeAspect="1"/>
                    </pic:cNvPicPr>
                  </pic:nvPicPr>
                  <pic:blipFill>
                    <a:blip r:embed="rId20"/>
                    <a:stretch>
                      <a:fillRect/>
                    </a:stretch>
                  </pic:blipFill>
                  <pic:spPr>
                    <a:xfrm>
                      <a:off x="0" y="0"/>
                      <a:ext cx="5783885" cy="1796753"/>
                    </a:xfrm>
                    <a:prstGeom prst="rect">
                      <a:avLst/>
                    </a:prstGeom>
                  </pic:spPr>
                </pic:pic>
              </a:graphicData>
            </a:graphic>
          </wp:inline>
        </w:drawing>
      </w:r>
    </w:p>
    <w:p>
      <w:pPr>
        <w:spacing w:line="360" w:lineRule="auto"/>
        <w:rPr>
          <w:sz w:val="24"/>
        </w:rPr>
      </w:pPr>
      <w:r>
        <w:rPr>
          <w:sz w:val="24"/>
        </w:rPr>
        <w:t>2.4消化酶和Na+-K+-ATP酶活性</w:t>
      </w:r>
    </w:p>
    <w:p>
      <w:pPr>
        <w:spacing w:line="360" w:lineRule="auto"/>
        <w:ind w:firstLine="480" w:firstLineChars="200"/>
        <w:rPr>
          <w:rFonts w:hint="eastAsia" w:ascii="等线" w:hAnsi="等线" w:eastAsia="等线"/>
          <w:szCs w:val="22"/>
        </w:rPr>
      </w:pPr>
      <w:r>
        <w:rPr>
          <w:sz w:val="24"/>
        </w:rPr>
        <w:t>由表5可知，在肝脏中，G4和G8组α淀粉酶活性显著低于G0组(</w:t>
      </w:r>
      <w:r>
        <w:rPr>
          <w:i/>
          <w:sz w:val="24"/>
        </w:rPr>
        <w:t>P</w:t>
      </w:r>
      <w:r>
        <w:rPr>
          <w:sz w:val="24"/>
        </w:rPr>
        <w:t>＜0.05)；在肠道中，G2组α淀粉酶活性显著高于G4组(</w:t>
      </w:r>
      <w:r>
        <w:rPr>
          <w:i/>
          <w:sz w:val="24"/>
        </w:rPr>
        <w:t>P</w:t>
      </w:r>
      <w:r>
        <w:rPr>
          <w:sz w:val="24"/>
        </w:rPr>
        <w:t>＜0.05)，胰蛋白酶活性显著高于G0组(</w:t>
      </w:r>
      <w:r>
        <w:rPr>
          <w:i/>
          <w:sz w:val="24"/>
        </w:rPr>
        <w:t>P</w:t>
      </w:r>
      <w:r>
        <w:rPr>
          <w:sz w:val="24"/>
        </w:rPr>
        <w:t>＜0.05)，Na+-K+-ATP酶活性显著高于G0和G8组(</w:t>
      </w:r>
      <w:r>
        <w:rPr>
          <w:i/>
          <w:sz w:val="24"/>
        </w:rPr>
        <w:t>P</w:t>
      </w:r>
      <w:r>
        <w:rPr>
          <w:sz w:val="24"/>
        </w:rPr>
        <w:t>＜0.05)。</w:t>
      </w:r>
    </w:p>
    <w:p>
      <w:pPr>
        <w:spacing w:line="360" w:lineRule="auto"/>
        <w:jc w:val="center"/>
        <w:rPr>
          <w:sz w:val="24"/>
        </w:rPr>
      </w:pPr>
      <w:r>
        <w:rPr>
          <w:rFonts w:ascii="等线" w:hAnsi="等线" w:eastAsia="等线"/>
          <w:szCs w:val="22"/>
        </w:rPr>
        <w:drawing>
          <wp:inline distT="0" distB="0" distL="0" distR="0">
            <wp:extent cx="5840730" cy="2507615"/>
            <wp:effectExtent l="0" t="0" r="7620" b="6985"/>
            <wp:docPr id="894224804" name="图片 894224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4224804" name="图片 894224804"/>
                    <pic:cNvPicPr>
                      <a:picLocks noChangeAspect="1"/>
                    </pic:cNvPicPr>
                  </pic:nvPicPr>
                  <pic:blipFill>
                    <a:blip r:embed="rId21"/>
                    <a:stretch>
                      <a:fillRect/>
                    </a:stretch>
                  </pic:blipFill>
                  <pic:spPr>
                    <a:xfrm>
                      <a:off x="0" y="0"/>
                      <a:ext cx="5861110" cy="2516750"/>
                    </a:xfrm>
                    <a:prstGeom prst="rect">
                      <a:avLst/>
                    </a:prstGeom>
                  </pic:spPr>
                </pic:pic>
              </a:graphicData>
            </a:graphic>
          </wp:inline>
        </w:drawing>
      </w:r>
    </w:p>
    <w:p>
      <w:pPr>
        <w:spacing w:line="360" w:lineRule="auto"/>
        <w:jc w:val="center"/>
        <w:rPr>
          <w:sz w:val="24"/>
        </w:rPr>
      </w:pPr>
    </w:p>
    <w:p>
      <w:pPr>
        <w:spacing w:line="360" w:lineRule="auto"/>
        <w:rPr>
          <w:sz w:val="24"/>
        </w:rPr>
      </w:pPr>
      <w:r>
        <w:rPr>
          <w:sz w:val="24"/>
        </w:rPr>
        <w:t>2.5肠道组织形态</w:t>
      </w:r>
    </w:p>
    <w:p>
      <w:pPr>
        <w:spacing w:line="360" w:lineRule="auto"/>
        <w:ind w:firstLine="480" w:firstLineChars="200"/>
        <w:rPr>
          <w:sz w:val="24"/>
        </w:rPr>
      </w:pPr>
      <w:r>
        <w:rPr>
          <w:sz w:val="24"/>
        </w:rPr>
        <w:t>由表6可知，肠</w:t>
      </w:r>
      <w:bookmarkStart w:id="41" w:name="OLE_LINK29"/>
      <w:bookmarkStart w:id="42" w:name="OLE_LINK30"/>
      <w:r>
        <w:rPr>
          <w:sz w:val="24"/>
        </w:rPr>
        <w:t>道肌层厚度、绒毛长度、绒毛宽度和杯状细胞数均随发酵黑水虻添加水平出现先上升后下降</w:t>
      </w:r>
      <w:bookmarkEnd w:id="41"/>
      <w:bookmarkEnd w:id="42"/>
      <w:r>
        <w:rPr>
          <w:sz w:val="24"/>
        </w:rPr>
        <w:t>的趋势，且均在G2组出现最大值；相较于G0组，G2组肠道肌层厚度、绒毛长度和杯状细胞数显著升高(</w:t>
      </w:r>
      <w:r>
        <w:rPr>
          <w:i/>
          <w:sz w:val="24"/>
        </w:rPr>
        <w:t>P</w:t>
      </w:r>
      <w:r>
        <w:rPr>
          <w:sz w:val="24"/>
        </w:rPr>
        <w:t>＜0.05)。从图1可知，与G0组相比，G2组的肠绒毛几乎填满了整个肠道，具有更复杂的立体褶皱面积和更大的区域。</w:t>
      </w:r>
    </w:p>
    <w:p>
      <w:pPr>
        <w:spacing w:line="360" w:lineRule="auto"/>
        <w:jc w:val="center"/>
        <w:rPr>
          <w:b/>
          <w:sz w:val="24"/>
        </w:rPr>
      </w:pPr>
      <w:r>
        <w:rPr>
          <w:rFonts w:ascii="等线" w:hAnsi="等线" w:eastAsia="等线"/>
          <w:szCs w:val="22"/>
        </w:rPr>
        <w:drawing>
          <wp:inline distT="0" distB="0" distL="0" distR="0">
            <wp:extent cx="5949315" cy="1750060"/>
            <wp:effectExtent l="0" t="0" r="0" b="2540"/>
            <wp:docPr id="1843985676" name="图片 1843985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985676" name="图片 1843985676"/>
                    <pic:cNvPicPr>
                      <a:picLocks noChangeAspect="1"/>
                    </pic:cNvPicPr>
                  </pic:nvPicPr>
                  <pic:blipFill>
                    <a:blip r:embed="rId22"/>
                    <a:stretch>
                      <a:fillRect/>
                    </a:stretch>
                  </pic:blipFill>
                  <pic:spPr>
                    <a:xfrm>
                      <a:off x="0" y="0"/>
                      <a:ext cx="5960780" cy="1753739"/>
                    </a:xfrm>
                    <a:prstGeom prst="rect">
                      <a:avLst/>
                    </a:prstGeom>
                  </pic:spPr>
                </pic:pic>
              </a:graphicData>
            </a:graphic>
          </wp:inline>
        </w:drawing>
      </w:r>
    </w:p>
    <w:p>
      <w:pPr>
        <w:spacing w:line="360" w:lineRule="auto"/>
        <w:jc w:val="center"/>
        <w:rPr>
          <w:b/>
          <w:sz w:val="24"/>
        </w:rPr>
      </w:pPr>
      <w:r>
        <w:rPr>
          <w:rFonts w:ascii="等线" w:hAnsi="等线" w:eastAsia="等线"/>
          <w:szCs w:val="22"/>
        </w:rPr>
        <w:drawing>
          <wp:inline distT="0" distB="0" distL="0" distR="0">
            <wp:extent cx="5914390" cy="356616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3"/>
                    <a:stretch>
                      <a:fillRect/>
                    </a:stretch>
                  </pic:blipFill>
                  <pic:spPr>
                    <a:xfrm>
                      <a:off x="0" y="0"/>
                      <a:ext cx="5933981" cy="3578245"/>
                    </a:xfrm>
                    <a:prstGeom prst="rect">
                      <a:avLst/>
                    </a:prstGeom>
                  </pic:spPr>
                </pic:pic>
              </a:graphicData>
            </a:graphic>
          </wp:inline>
        </w:drawing>
      </w:r>
    </w:p>
    <w:p>
      <w:pPr>
        <w:spacing w:line="360" w:lineRule="auto"/>
        <w:rPr>
          <w:sz w:val="24"/>
        </w:rPr>
      </w:pPr>
      <w:r>
        <w:rPr>
          <w:sz w:val="24"/>
        </w:rPr>
        <w:t>2.6肝脏免疫指标</w:t>
      </w:r>
    </w:p>
    <w:p>
      <w:pPr>
        <w:spacing w:line="360" w:lineRule="auto"/>
        <w:ind w:firstLine="480" w:firstLineChars="200"/>
        <w:rPr>
          <w:sz w:val="24"/>
        </w:rPr>
      </w:pPr>
      <w:r>
        <w:rPr>
          <w:sz w:val="24"/>
        </w:rPr>
        <w:t>由表7可知，整体上，斑点叉尾鮰肝脏AKP和ACP活性随发酵黑水虻添加量的增加呈先升后降的变化趋势，G2和G4组肝脏AKP和ACP活性显著高于G0和G8组(</w:t>
      </w:r>
      <w:r>
        <w:rPr>
          <w:i/>
          <w:sz w:val="24"/>
        </w:rPr>
        <w:t>P</w:t>
      </w:r>
      <w:r>
        <w:rPr>
          <w:sz w:val="24"/>
        </w:rPr>
        <w:t>＜0.05)；肝脏LZM活性不受饲料中发酵黑水虻添加量的显著影响(</w:t>
      </w:r>
      <w:r>
        <w:rPr>
          <w:i/>
          <w:sz w:val="24"/>
        </w:rPr>
        <w:t>P</w:t>
      </w:r>
      <w:r>
        <w:rPr>
          <w:sz w:val="24"/>
        </w:rPr>
        <w:t>＞0.05)；G2组肝脏C3含量显著高于其余各组(</w:t>
      </w:r>
      <w:r>
        <w:rPr>
          <w:i/>
          <w:sz w:val="24"/>
        </w:rPr>
        <w:t>P</w:t>
      </w:r>
      <w:r>
        <w:rPr>
          <w:sz w:val="24"/>
        </w:rPr>
        <w:t>＜0.05)。</w:t>
      </w:r>
    </w:p>
    <w:p>
      <w:pPr>
        <w:spacing w:line="360" w:lineRule="auto"/>
        <w:jc w:val="center"/>
        <w:rPr>
          <w:sz w:val="24"/>
        </w:rPr>
      </w:pPr>
      <w:r>
        <w:rPr>
          <w:rFonts w:ascii="等线" w:hAnsi="等线" w:eastAsia="等线"/>
          <w:szCs w:val="22"/>
        </w:rPr>
        <w:drawing>
          <wp:inline distT="0" distB="0" distL="0" distR="0">
            <wp:extent cx="5946775" cy="162814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24"/>
                    <a:stretch>
                      <a:fillRect/>
                    </a:stretch>
                  </pic:blipFill>
                  <pic:spPr>
                    <a:xfrm>
                      <a:off x="0" y="0"/>
                      <a:ext cx="5953747" cy="1630389"/>
                    </a:xfrm>
                    <a:prstGeom prst="rect">
                      <a:avLst/>
                    </a:prstGeom>
                  </pic:spPr>
                </pic:pic>
              </a:graphicData>
            </a:graphic>
          </wp:inline>
        </w:drawing>
      </w:r>
    </w:p>
    <w:p>
      <w:pPr>
        <w:spacing w:line="360" w:lineRule="auto"/>
        <w:rPr>
          <w:sz w:val="24"/>
        </w:rPr>
      </w:pPr>
      <w:r>
        <w:rPr>
          <w:sz w:val="24"/>
        </w:rPr>
        <w:t>3讨论</w:t>
      </w:r>
    </w:p>
    <w:p>
      <w:pPr>
        <w:spacing w:line="360" w:lineRule="auto"/>
        <w:rPr>
          <w:sz w:val="24"/>
        </w:rPr>
      </w:pPr>
      <w:r>
        <w:rPr>
          <w:sz w:val="24"/>
        </w:rPr>
        <w:t>3.1饲料中添加发酵黑水虻对斑点叉尾鮰生长性能的影响</w:t>
      </w:r>
    </w:p>
    <w:p>
      <w:pPr>
        <w:spacing w:line="360" w:lineRule="auto"/>
        <w:ind w:firstLine="480" w:firstLineChars="200"/>
        <w:rPr>
          <w:sz w:val="24"/>
        </w:rPr>
      </w:pPr>
      <w:r>
        <w:rPr>
          <w:sz w:val="24"/>
        </w:rPr>
        <w:t>水产动物的生长效率可用WGR和SGR作为评价指标。本研究中，斑点叉尾鮰在G2组获得最大生长效率，PER和FCR呈现与生长效率相一致的变化趋势；此外，添加2%的发酵黑水虻显著促进了斑点叉尾鮰肠道发育，肠道绒毛结构完整布满肠腔，并且增强了消化与吸收相关酶活性，保证了肠道高效执行其消化与吸收功能，进而促进其生长。类似地，Xu等</w:t>
      </w:r>
      <w:r>
        <w:rPr>
          <w:sz w:val="24"/>
          <w:vertAlign w:val="superscript"/>
        </w:rPr>
        <w:t>[23]</w:t>
      </w:r>
      <w:r>
        <w:rPr>
          <w:sz w:val="24"/>
        </w:rPr>
        <w:t>的研究指出，在大口黑鲈饲料中添加1%的发酵黑水虻能显著提高其WGR和SGR；朱喜锋等</w:t>
      </w:r>
      <w:r>
        <w:rPr>
          <w:sz w:val="24"/>
          <w:vertAlign w:val="superscript"/>
        </w:rPr>
        <w:t>[29]</w:t>
      </w:r>
      <w:r>
        <w:rPr>
          <w:sz w:val="24"/>
        </w:rPr>
        <w:t>在杂交鳢饲料中添加2%发酵黑水虻后，WGR和SGR也同样显著升高。</w:t>
      </w:r>
    </w:p>
    <w:p>
      <w:pPr>
        <w:spacing w:line="360" w:lineRule="auto"/>
        <w:ind w:firstLine="480" w:firstLineChars="200"/>
        <w:rPr>
          <w:sz w:val="24"/>
        </w:rPr>
      </w:pPr>
      <w:r>
        <w:rPr>
          <w:sz w:val="24"/>
        </w:rPr>
        <w:t>在饲料中添加2%与4%的发酵黑水虻显著提高了斑点叉尾鮰对饲料的利用率，并促进了鱼体的生长。这与2%～4%发酵黑水虻促进肠道发育，提高消化与吸收相关酶活性的结论一致。研究显示，饲料中添加抗菌肽能够增加吉富罗非鱼肠道皱襞高度、调节肠道菌群并提高生长性能</w:t>
      </w:r>
      <w:r>
        <w:rPr>
          <w:sz w:val="24"/>
          <w:vertAlign w:val="superscript"/>
        </w:rPr>
        <w:t>[31]</w:t>
      </w:r>
      <w:r>
        <w:rPr>
          <w:sz w:val="24"/>
        </w:rPr>
        <w:t>；饲喂含较高月桂酸水平的黑水虻饲料，能提高尼罗罗非鱼鱼体线粒体酶活性，增强肝脏三羧酸循环，进而促进</w:t>
      </w:r>
      <w:bookmarkStart w:id="43" w:name="OLE_LINK31"/>
      <w:bookmarkStart w:id="44" w:name="OLE_LINK32"/>
      <w:r>
        <w:rPr>
          <w:sz w:val="24"/>
        </w:rPr>
        <w:t>ATP和NADH合成，最终促进合成代谢和生长</w:t>
      </w:r>
      <w:r>
        <w:rPr>
          <w:sz w:val="24"/>
          <w:vertAlign w:val="superscript"/>
        </w:rPr>
        <w:t>[32]</w:t>
      </w:r>
      <w:r>
        <w:rPr>
          <w:sz w:val="24"/>
        </w:rPr>
        <w:t>，黑水虻幼虫中富含的抗菌肽和月桂酸成分，结合上述文献报道可知这些成分对提高饲料利用率有积极影响。值得注意的是，此前的研究指出</w:t>
      </w:r>
      <w:bookmarkEnd w:id="43"/>
      <w:bookmarkEnd w:id="44"/>
      <w:r>
        <w:rPr>
          <w:sz w:val="24"/>
        </w:rPr>
        <w:t>，使用过量的黑水虻幼虫粉替代鱼粉导致凡纳滨对虾生长抑制和肠道损伤等多方面的负面效应，且均归因于甲壳素含量增多</w:t>
      </w:r>
      <w:r>
        <w:rPr>
          <w:sz w:val="24"/>
          <w:vertAlign w:val="superscript"/>
        </w:rPr>
        <w:t>[14]</w:t>
      </w:r>
      <w:r>
        <w:rPr>
          <w:sz w:val="24"/>
        </w:rPr>
        <w:t>。本试验所用黑水虻经发酵后仍残存有0.9%的甲壳素，当发酵黑水虻的添加量为8%时，甲壳素含量累积，导致与2%添加量相比鱼体重增长减缓和SR下降。</w:t>
      </w:r>
    </w:p>
    <w:p>
      <w:pPr>
        <w:spacing w:line="360" w:lineRule="auto"/>
        <w:ind w:firstLine="480" w:firstLineChars="200"/>
        <w:rPr>
          <w:sz w:val="24"/>
        </w:rPr>
      </w:pPr>
      <w:r>
        <w:rPr>
          <w:sz w:val="24"/>
        </w:rPr>
        <w:t>形体指标是鱼体健康状况的衡量标准之一，CF能反映鱼体营养状况</w:t>
      </w:r>
      <w:r>
        <w:rPr>
          <w:sz w:val="24"/>
          <w:vertAlign w:val="superscript"/>
        </w:rPr>
        <w:t>[33]</w:t>
      </w:r>
      <w:r>
        <w:rPr>
          <w:sz w:val="24"/>
        </w:rPr>
        <w:t>并体现其可食用部分比例</w:t>
      </w:r>
      <w:r>
        <w:rPr>
          <w:sz w:val="24"/>
          <w:vertAlign w:val="superscript"/>
        </w:rPr>
        <w:t>[34]</w:t>
      </w:r>
      <w:r>
        <w:rPr>
          <w:sz w:val="24"/>
        </w:rPr>
        <w:t>。随着人们消费水平的提高，可食用占比高的鱼体更受青睐。饲料中添加2%或4%的发酵黑水虻均能促进营养物质在鱼体中贮存，增加了其可食用部分比例，使CF显著升高。然而，当发酵黑水虻添加量达到8%时，试验鱼的VSI、HSI和ISI均显著降低，这与黄文庆等</w:t>
      </w:r>
      <w:r>
        <w:rPr>
          <w:sz w:val="24"/>
          <w:vertAlign w:val="superscript"/>
        </w:rPr>
        <w:t>[27]</w:t>
      </w:r>
      <w:r>
        <w:rPr>
          <w:sz w:val="24"/>
        </w:rPr>
        <w:t>在大口黑鲈饲料中添加8%～10%发酵黑水虻时鱼体HSI显著降低的结论相类似。鱼体健康状态下，各脏器与体重的比值通常保持相对稳定，然而鱼体处于染病或不健康的状态时，受损脏器重量可能发生变化，进而导致脏器系数改变。在本试验的对照组(G0组)中，肝脏并未出现液泡变性和炎症细胞浸润等病理变化，而G8组的脏器系数降低，表明脏器发生萎缩或其他退行性改变，即8%的发酵黑水虻对斑点叉尾鮰肝脏和肠道发育及其正常功能的行使产生了负面影响，进而影响鱼体生长。</w:t>
      </w:r>
    </w:p>
    <w:p>
      <w:pPr>
        <w:spacing w:line="360" w:lineRule="auto"/>
        <w:rPr>
          <w:sz w:val="24"/>
        </w:rPr>
      </w:pPr>
      <w:r>
        <w:rPr>
          <w:sz w:val="24"/>
        </w:rPr>
        <w:t>3.2饲料中添加发酵黑水虻对斑点叉尾鮰</w:t>
      </w:r>
      <w:bookmarkStart w:id="45" w:name="OLE_LINK33"/>
      <w:r>
        <w:rPr>
          <w:sz w:val="24"/>
        </w:rPr>
        <w:t>肝脏生化指标的影响</w:t>
      </w:r>
    </w:p>
    <w:p>
      <w:pPr>
        <w:spacing w:line="360" w:lineRule="auto"/>
        <w:ind w:firstLine="480" w:firstLineChars="200"/>
        <w:rPr>
          <w:sz w:val="24"/>
        </w:rPr>
      </w:pPr>
      <w:r>
        <w:rPr>
          <w:sz w:val="24"/>
        </w:rPr>
        <w:t>肝脏作为鱼体内脂肪合成与代谢中心，其TG和T</w:t>
      </w:r>
      <w:bookmarkEnd w:id="45"/>
      <w:r>
        <w:rPr>
          <w:sz w:val="24"/>
        </w:rPr>
        <w:t>C的含量是衡量鱼体脂肪代谢状态的关键指标</w:t>
      </w:r>
      <w:r>
        <w:rPr>
          <w:sz w:val="24"/>
          <w:vertAlign w:val="superscript"/>
        </w:rPr>
        <w:t>[35]</w:t>
      </w:r>
      <w:r>
        <w:rPr>
          <w:sz w:val="24"/>
        </w:rPr>
        <w:t>。本研究结果显示，在饲料中添加2%或4%的发酵黑水虻，斑点叉尾鮰肝脏TG和TC含量均显著高于未添加组(G0组)及高添加量组(G</w:t>
      </w:r>
      <w:r>
        <w:rPr>
          <w:rFonts w:hint="eastAsia"/>
          <w:sz w:val="24"/>
        </w:rPr>
        <w:t>8</w:t>
      </w:r>
      <w:r>
        <w:rPr>
          <w:sz w:val="24"/>
        </w:rPr>
        <w:t>组)，可能与黑水虻中几丁质成分经发酵分解产生的壳聚糖有关。既往研究指出，黑水虻外壳中的几丁质能被几丁质酶水解为小分子壳聚糖</w:t>
      </w:r>
      <w:r>
        <w:rPr>
          <w:sz w:val="24"/>
          <w:vertAlign w:val="superscript"/>
        </w:rPr>
        <w:t>[36]</w:t>
      </w:r>
      <w:r>
        <w:rPr>
          <w:sz w:val="24"/>
        </w:rPr>
        <w:t>，壳聚糖经肠道上皮细胞吸收后，通过调节血液和肝脏中酶和受体活性，能有效降低血清和肝脏TG及TC含量，展现出显著的降脂效果</w:t>
      </w:r>
      <w:r>
        <w:rPr>
          <w:sz w:val="24"/>
          <w:vertAlign w:val="superscript"/>
        </w:rPr>
        <w:t>[37-38]</w:t>
      </w:r>
      <w:r>
        <w:rPr>
          <w:sz w:val="24"/>
        </w:rPr>
        <w:t>，改善脂质代谢状况</w:t>
      </w:r>
      <w:r>
        <w:rPr>
          <w:sz w:val="24"/>
          <w:vertAlign w:val="superscript"/>
        </w:rPr>
        <w:t>[39]</w:t>
      </w:r>
      <w:r>
        <w:rPr>
          <w:sz w:val="24"/>
        </w:rPr>
        <w:t>以及增强肝脏功能</w:t>
      </w:r>
      <w:r>
        <w:rPr>
          <w:sz w:val="24"/>
          <w:vertAlign w:val="superscript"/>
        </w:rPr>
        <w:t>[40-41]</w:t>
      </w:r>
      <w:r>
        <w:rPr>
          <w:sz w:val="24"/>
        </w:rPr>
        <w:t>。在鱼类中，脂蛋白脂肪酶(LPL)负责水解血浆脂蛋白中的TG，激素敏感性脂肪酶(HSL)在脂肪组织中是分解TG的关键酶，二者均为脂肪分解的关键酶。Wang等</w:t>
      </w:r>
      <w:r>
        <w:rPr>
          <w:sz w:val="24"/>
          <w:vertAlign w:val="superscript"/>
        </w:rPr>
        <w:t>[11]</w:t>
      </w:r>
      <w:r>
        <w:rPr>
          <w:sz w:val="24"/>
        </w:rPr>
        <w:t>在花鲈的研究中发现，饲料中添加脱脂黑水虻虫粉可上调海鲈肝脏中LPL和HSL</w:t>
      </w:r>
      <w:r>
        <w:rPr>
          <w:rFonts w:hint="eastAsia"/>
          <w:sz w:val="24"/>
        </w:rPr>
        <w:t xml:space="preserve"> </w:t>
      </w:r>
      <w:r>
        <w:rPr>
          <w:sz w:val="24"/>
        </w:rPr>
        <w:t>mRNA的表达水平，推测是壳聚糖在促进脂蛋白和TG水解方面发挥着重要作用。另外，乙酰辅酶A羧化酶1(ACC1)作为脂肪酸合成途径中的关键中间代谢物，其表达水平的变化影响脂肪酸的合成速率。Peng等</w:t>
      </w:r>
      <w:r>
        <w:rPr>
          <w:sz w:val="24"/>
          <w:vertAlign w:val="superscript"/>
        </w:rPr>
        <w:t>[19]</w:t>
      </w:r>
      <w:r>
        <w:rPr>
          <w:sz w:val="24"/>
        </w:rPr>
        <w:t>在大口黑鲈饲料中添加黑水虻虫浆的研究显示，随着饲料中黑水虻虫浆比例的增加，肝脏ACC1</w:t>
      </w:r>
      <w:r>
        <w:rPr>
          <w:rFonts w:hint="eastAsia"/>
          <w:sz w:val="24"/>
        </w:rPr>
        <w:t xml:space="preserve"> </w:t>
      </w:r>
      <w:r>
        <w:rPr>
          <w:sz w:val="24"/>
        </w:rPr>
        <w:t>mRNA表达水平上调，同时LPL mRNA的表达水平下调，表明黑水虻虫浆促进了大口黑鲈肝脏中脂质沉积。然而，本研究中斑点叉尾鮰肝脏TG和TC含量随发酵黑水虻添加量的变化趋势与上述海鲈、大口黑鲈的研究结果略有差异，这可能归因于黑水虻是否经过发酵以及不同鱼类间消化生理特性的差异。本研究中，随发酵黑水虻添加量的增加，斑点叉尾鮰肝脏和肠道中α淀粉酶活性整体呈下降趋势，可能是由于发酵饲料中糖类转化为乳酸和丙酸等短链有机酸，进而通过降低pH抑制α淀粉酶的活性</w:t>
      </w:r>
      <w:r>
        <w:rPr>
          <w:sz w:val="24"/>
          <w:vertAlign w:val="superscript"/>
        </w:rPr>
        <w:t>[46]</w:t>
      </w:r>
      <w:r>
        <w:rPr>
          <w:sz w:val="24"/>
        </w:rPr>
        <w:t>；肝脏和肠道的脂肪酶活性均不受饲料中发酵黑水虻添加量的影响；与对照组相比，G2组肠道胰蛋白酶活性显著升高。本研究中脂肪酶与蛋白酶的变化与Ardra等</w:t>
      </w:r>
      <w:r>
        <w:rPr>
          <w:sz w:val="24"/>
          <w:vertAlign w:val="superscript"/>
        </w:rPr>
        <w:t>[47]</w:t>
      </w:r>
      <w:r>
        <w:rPr>
          <w:sz w:val="24"/>
        </w:rPr>
        <w:t>在低眼巨鲶(</w:t>
      </w:r>
      <w:r>
        <w:rPr>
          <w:i/>
          <w:sz w:val="24"/>
        </w:rPr>
        <w:t>Pangasianodon hypophthalmus</w:t>
      </w:r>
      <w:r>
        <w:rPr>
          <w:sz w:val="24"/>
        </w:rPr>
        <w:t>)饲料中添加有机酸发酵黑水虻的试验结果一致。肠道是鱼类主要的营养消化吸收器官，其发育状况是影响鱼体生长性能主要的原因之一。肠道肌层通过收缩推动食物，使食物与消化液在肠道内充分混匀，提高消化吸收效率；肠道绒毛作为肠黏膜层的重要组成部分，对肠道吸收能力至关重要</w:t>
      </w:r>
      <w:r>
        <w:rPr>
          <w:sz w:val="24"/>
          <w:vertAlign w:val="superscript"/>
        </w:rPr>
        <w:t>[49]</w:t>
      </w:r>
      <w:r>
        <w:rPr>
          <w:sz w:val="24"/>
        </w:rPr>
        <w:t>。本研究中，饲料中添加2%的发酵黑水虻显著增加了斑点叉尾鮰肠道肌层厚度、绒毛长度、绒毛宽度和杯状细胞数。有研究指出，发酵饲料产生的生物活性肽有助于斑点叉尾鮰肝脏TG和TC含量先上升再下降，这可能与LPL、HSL和ACC1基因表达水平的变化有关。</w:t>
      </w:r>
    </w:p>
    <w:p>
      <w:pPr>
        <w:spacing w:line="360" w:lineRule="auto"/>
        <w:ind w:firstLine="480" w:firstLineChars="200"/>
        <w:rPr>
          <w:sz w:val="24"/>
        </w:rPr>
      </w:pPr>
      <w:r>
        <w:rPr>
          <w:sz w:val="24"/>
        </w:rPr>
        <w:t>GOT和GPT是通过氨基酸转氨基进入三羧酸循环前体介导氨基酸分解代谢的关键酶</w:t>
      </w:r>
      <w:r>
        <w:rPr>
          <w:sz w:val="24"/>
          <w:vertAlign w:val="superscript"/>
        </w:rPr>
        <w:t>[42]</w:t>
      </w:r>
      <w:r>
        <w:rPr>
          <w:sz w:val="24"/>
        </w:rPr>
        <w:t>。有研究报道，肝脏GOT和G</w:t>
      </w:r>
      <w:bookmarkStart w:id="46" w:name="OLE_LINK34"/>
      <w:bookmarkStart w:id="47" w:name="OLE_LINK35"/>
      <w:r>
        <w:rPr>
          <w:sz w:val="24"/>
        </w:rPr>
        <w:t>PT的活性与蛋白质效率呈负相关</w:t>
      </w:r>
      <w:r>
        <w:rPr>
          <w:sz w:val="24"/>
          <w:vertAlign w:val="superscript"/>
        </w:rPr>
        <w:t>[43]</w:t>
      </w:r>
      <w:r>
        <w:rPr>
          <w:sz w:val="24"/>
        </w:rPr>
        <w:t>。Dai等</w:t>
      </w:r>
      <w:r>
        <w:rPr>
          <w:sz w:val="24"/>
          <w:vertAlign w:val="superscript"/>
        </w:rPr>
        <w:t>[44]</w:t>
      </w:r>
      <w:r>
        <w:rPr>
          <w:sz w:val="24"/>
        </w:rPr>
        <w:t>和张翩</w:t>
      </w:r>
      <w:r>
        <w:rPr>
          <w:sz w:val="24"/>
          <w:vertAlign w:val="superscript"/>
        </w:rPr>
        <w:t>[45]</w:t>
      </w:r>
      <w:r>
        <w:rPr>
          <w:sz w:val="24"/>
        </w:rPr>
        <w:t>的研究中均得出肝脏GOT和GPT活性的降低促进了机体生长的结论。本研究中，相较于对照组，获得最大生长的G2组</w:t>
      </w:r>
      <w:bookmarkEnd w:id="46"/>
      <w:bookmarkEnd w:id="47"/>
      <w:r>
        <w:rPr>
          <w:sz w:val="24"/>
        </w:rPr>
        <w:t>其肝脏GOT和GPT活性均显著降低，这可能与发酵黑水虻富含更易消化的小分子肽等低分子质量蛋白质酶解物有关。</w:t>
      </w:r>
    </w:p>
    <w:p>
      <w:pPr>
        <w:spacing w:line="360" w:lineRule="auto"/>
        <w:rPr>
          <w:sz w:val="24"/>
        </w:rPr>
      </w:pPr>
      <w:r>
        <w:rPr>
          <w:sz w:val="24"/>
        </w:rPr>
        <w:t>3.3饲料中添加发酵黑水虻对斑点叉尾鮰消化吸收能力和肠道结构的影响</w:t>
      </w:r>
    </w:p>
    <w:p>
      <w:pPr>
        <w:spacing w:line="360" w:lineRule="auto"/>
        <w:ind w:firstLine="480" w:firstLineChars="200"/>
        <w:rPr>
          <w:sz w:val="24"/>
        </w:rPr>
      </w:pPr>
      <w:r>
        <w:rPr>
          <w:sz w:val="24"/>
        </w:rPr>
        <w:t>鱼体消化吸收能力可通过测定淀粉酶、蛋白酶和脂肪酶等指标评估，测定鱼体消化器官内消化酶活性，可反映试验鱼对饲料的消化状态。本研究中，随发酵黑水虻添加量的增加，斑点叉尾鮰鱼回肝脏和肠道中α淀粉酶活性整体呈下降趋势，可能是由于发酵饲料中糖类转化为乳酸和丙酸等短链有机酸，进而通过降低pH抑制α淀粉酶的活性</w:t>
      </w:r>
      <w:r>
        <w:rPr>
          <w:sz w:val="24"/>
          <w:vertAlign w:val="superscript"/>
        </w:rPr>
        <w:t>[46]</w:t>
      </w:r>
      <w:r>
        <w:rPr>
          <w:sz w:val="24"/>
        </w:rPr>
        <w:t>；肝脏和肠道的脂肪酶活性均不受饲料中发酵黑水虻添加量的影响；与对照组相比，G2组肠道胰蛋白酶活性显著升高。本研究中脂肪酶与蛋白酶的变化与Ardra等</w:t>
      </w:r>
      <w:r>
        <w:rPr>
          <w:sz w:val="24"/>
          <w:vertAlign w:val="superscript"/>
        </w:rPr>
        <w:t>[47]</w:t>
      </w:r>
      <w:r>
        <w:rPr>
          <w:sz w:val="24"/>
        </w:rPr>
        <w:t>在低眼巨鲶(</w:t>
      </w:r>
      <w:r>
        <w:rPr>
          <w:i/>
          <w:sz w:val="24"/>
        </w:rPr>
        <w:t>Pangasianodon hypophthalmus</w:t>
      </w:r>
      <w:r>
        <w:rPr>
          <w:sz w:val="24"/>
        </w:rPr>
        <w:t>)饲料中添加有机酸发酵黑水虻的试验结果一致。肠道是鱼类主要的营养消化吸收器官，其发育状况是影响鱼体生长性能主要的原因之一。肠道肌层通过收缩推动食物，使食物与消化液在肠道内充分混匀，提高消化吸收效率；肠道绒毛作为肠黏膜层的重要组成部分，对肠道吸收能力至关重要</w:t>
      </w:r>
      <w:r>
        <w:rPr>
          <w:sz w:val="24"/>
          <w:vertAlign w:val="superscript"/>
        </w:rPr>
        <w:t>[49]</w:t>
      </w:r>
      <w:r>
        <w:rPr>
          <w:sz w:val="24"/>
        </w:rPr>
        <w:t>。本研究中，饲料中添加2%的发酵黑水虻显著增加了斑点叉尾鮰肠道肌层厚度、绒毛长度、绒毛宽度和杯状细胞数。有研究指出，发酵饲</w:t>
      </w:r>
      <w:r>
        <w:rPr>
          <w:rFonts w:hint="eastAsia"/>
          <w:sz w:val="24"/>
        </w:rPr>
        <w:t>料产生的生物活性肽有助于斑点叉尾鮰鱼回肠道发育</w:t>
      </w:r>
      <w:r>
        <w:rPr>
          <w:sz w:val="24"/>
          <w:vertAlign w:val="superscript"/>
        </w:rPr>
        <w:t>[</w:t>
      </w:r>
      <w:r>
        <w:rPr>
          <w:rFonts w:hint="eastAsia"/>
          <w:sz w:val="24"/>
          <w:vertAlign w:val="superscript"/>
        </w:rPr>
        <w:t>50]</w:t>
      </w:r>
      <w:r>
        <w:rPr>
          <w:sz w:val="24"/>
        </w:rPr>
        <w:t>；</w:t>
      </w:r>
      <w:r>
        <w:rPr>
          <w:rFonts w:hint="eastAsia"/>
          <w:sz w:val="24"/>
        </w:rPr>
        <w:t>此外，发酵黑水虻富含的月桂酸等有机酸对肠道绒毛长度和肌层厚度有显著的促进</w:t>
      </w:r>
      <w:r>
        <w:rPr>
          <w:sz w:val="24"/>
        </w:rPr>
        <w:t>作用</w:t>
      </w:r>
      <w:r>
        <w:rPr>
          <w:sz w:val="24"/>
          <w:vertAlign w:val="superscript"/>
        </w:rPr>
        <w:t>[</w:t>
      </w:r>
      <w:r>
        <w:rPr>
          <w:rFonts w:hint="eastAsia"/>
          <w:sz w:val="24"/>
          <w:vertAlign w:val="superscript"/>
        </w:rPr>
        <w:t>51]</w:t>
      </w:r>
      <w:r>
        <w:rPr>
          <w:rFonts w:hint="eastAsia"/>
          <w:sz w:val="24"/>
        </w:rPr>
        <w:t>。</w:t>
      </w:r>
      <w:r>
        <w:rPr>
          <w:sz w:val="24"/>
        </w:rPr>
        <w:t>Salazar等</w:t>
      </w:r>
      <w:r>
        <w:rPr>
          <w:rFonts w:hint="eastAsia"/>
          <w:sz w:val="24"/>
          <w:vertAlign w:val="superscript"/>
        </w:rPr>
        <w:t>[5</w:t>
      </w:r>
      <w:r>
        <w:rPr>
          <w:sz w:val="24"/>
          <w:vertAlign w:val="superscript"/>
        </w:rPr>
        <w:t>2</w:t>
      </w:r>
      <w:r>
        <w:rPr>
          <w:rFonts w:hint="eastAsia"/>
          <w:sz w:val="24"/>
          <w:vertAlign w:val="superscript"/>
        </w:rPr>
        <w:t>]</w:t>
      </w:r>
      <w:r>
        <w:rPr>
          <w:sz w:val="24"/>
        </w:rPr>
        <w:t>指出,有机酸在肠上皮能减少病原</w:t>
      </w:r>
      <w:r>
        <w:rPr>
          <w:rFonts w:hint="eastAsia"/>
          <w:sz w:val="24"/>
        </w:rPr>
        <w:t>菌的数量，通过降低肠</w:t>
      </w:r>
      <w:r>
        <w:rPr>
          <w:sz w:val="24"/>
        </w:rPr>
        <w:t>道培养基的pH</w:t>
      </w:r>
      <w:r>
        <w:rPr>
          <w:rFonts w:hint="eastAsia"/>
          <w:sz w:val="24"/>
        </w:rPr>
        <w:t>，阻止细</w:t>
      </w:r>
      <w:r>
        <w:rPr>
          <w:sz w:val="24"/>
        </w:rPr>
        <w:t>菌黏附</w:t>
      </w:r>
      <w:r>
        <w:rPr>
          <w:rFonts w:hint="eastAsia"/>
          <w:sz w:val="24"/>
        </w:rPr>
        <w:t>于黏膜，减少</w:t>
      </w:r>
      <w:r>
        <w:rPr>
          <w:sz w:val="24"/>
        </w:rPr>
        <w:t>上</w:t>
      </w:r>
      <w:r>
        <w:rPr>
          <w:rFonts w:hint="eastAsia"/>
          <w:sz w:val="24"/>
        </w:rPr>
        <w:t>皮损伤，从</w:t>
      </w:r>
      <w:r>
        <w:rPr>
          <w:sz w:val="24"/>
        </w:rPr>
        <w:t>而保持肠道的完整性。Sheikh等</w:t>
      </w:r>
      <w:r>
        <w:rPr>
          <w:sz w:val="24"/>
          <w:vertAlign w:val="superscript"/>
        </w:rPr>
        <w:t>[</w:t>
      </w:r>
      <w:r>
        <w:rPr>
          <w:rFonts w:hint="eastAsia"/>
          <w:sz w:val="24"/>
          <w:vertAlign w:val="superscript"/>
        </w:rPr>
        <w:t>5</w:t>
      </w:r>
      <w:r>
        <w:rPr>
          <w:sz w:val="24"/>
          <w:vertAlign w:val="superscript"/>
        </w:rPr>
        <w:t>3</w:t>
      </w:r>
      <w:r>
        <w:rPr>
          <w:rFonts w:hint="eastAsia"/>
          <w:sz w:val="24"/>
          <w:vertAlign w:val="superscript"/>
        </w:rPr>
        <w:t>]</w:t>
      </w:r>
      <w:r>
        <w:rPr>
          <w:sz w:val="24"/>
        </w:rPr>
        <w:t>则</w:t>
      </w:r>
      <w:r>
        <w:rPr>
          <w:rFonts w:hint="eastAsia"/>
          <w:sz w:val="24"/>
        </w:rPr>
        <w:t>提到，短链脂肪酸可促进血浆和肠</w:t>
      </w:r>
      <w:r>
        <w:rPr>
          <w:sz w:val="24"/>
        </w:rPr>
        <w:t>道胰高血糖素样肽-2(</w:t>
      </w:r>
      <w:r>
        <w:rPr>
          <w:i/>
          <w:sz w:val="24"/>
        </w:rPr>
        <w:t>CLP-2</w:t>
      </w:r>
      <w:r>
        <w:rPr>
          <w:sz w:val="24"/>
        </w:rPr>
        <w:t>)和葡萄糖转运蛋白2(</w:t>
      </w:r>
      <w:r>
        <w:rPr>
          <w:i/>
          <w:sz w:val="24"/>
        </w:rPr>
        <w:t>GLUT2</w:t>
      </w:r>
      <w:r>
        <w:rPr>
          <w:sz w:val="24"/>
        </w:rPr>
        <w:t>)的表</w:t>
      </w:r>
      <w:r>
        <w:rPr>
          <w:rFonts w:hint="eastAsia"/>
          <w:sz w:val="24"/>
        </w:rPr>
        <w:t>达，这些均可能参与</w:t>
      </w:r>
      <w:r>
        <w:rPr>
          <w:sz w:val="24"/>
        </w:rPr>
        <w:t>介导肠道上皮细胞增殖。本研</w:t>
      </w:r>
      <w:r>
        <w:rPr>
          <w:rFonts w:hint="eastAsia"/>
          <w:sz w:val="24"/>
        </w:rPr>
        <w:t>究中，</w:t>
      </w:r>
      <w:r>
        <w:rPr>
          <w:sz w:val="24"/>
        </w:rPr>
        <w:t>C2组肠道绒毛明显长于</w:t>
      </w:r>
      <w:r>
        <w:rPr>
          <w:rFonts w:hint="eastAsia"/>
          <w:sz w:val="24"/>
        </w:rPr>
        <w:t>对照组，结构更完整，具有更复杂的立体褶</w:t>
      </w:r>
      <w:r>
        <w:rPr>
          <w:sz w:val="24"/>
        </w:rPr>
        <w:t>皱面积和更大</w:t>
      </w:r>
      <w:r>
        <w:rPr>
          <w:rFonts w:hint="eastAsia"/>
          <w:sz w:val="24"/>
        </w:rPr>
        <w:t>的区域，几乎填满了</w:t>
      </w:r>
      <w:r>
        <w:rPr>
          <w:sz w:val="24"/>
        </w:rPr>
        <w:t>整个肠</w:t>
      </w:r>
      <w:bookmarkStart w:id="48" w:name="OLE_LINK36"/>
      <w:r>
        <w:rPr>
          <w:rFonts w:hint="eastAsia"/>
          <w:sz w:val="24"/>
        </w:rPr>
        <w:t>道；</w:t>
      </w:r>
      <w:r>
        <w:rPr>
          <w:sz w:val="24"/>
        </w:rPr>
        <w:t>G2组在生长上也表现出</w:t>
      </w:r>
      <w:r>
        <w:rPr>
          <w:rFonts w:hint="eastAsia"/>
          <w:sz w:val="24"/>
        </w:rPr>
        <w:t>最大增长，这</w:t>
      </w:r>
      <w:r>
        <w:rPr>
          <w:sz w:val="24"/>
        </w:rPr>
        <w:t>表明2%的发酵黑水虻对肠道</w:t>
      </w:r>
      <w:r>
        <w:rPr>
          <w:rFonts w:hint="eastAsia"/>
          <w:sz w:val="24"/>
        </w:rPr>
        <w:t>发育有促进作用，增强了肠道</w:t>
      </w:r>
      <w:bookmarkEnd w:id="48"/>
      <w:r>
        <w:rPr>
          <w:rFonts w:hint="eastAsia"/>
          <w:sz w:val="24"/>
        </w:rPr>
        <w:t>消化吸收能力，进而促</w:t>
      </w:r>
      <w:r>
        <w:rPr>
          <w:sz w:val="24"/>
        </w:rPr>
        <w:t>进生长。</w:t>
      </w:r>
    </w:p>
    <w:p>
      <w:pPr>
        <w:spacing w:line="360" w:lineRule="auto"/>
        <w:ind w:firstLine="480" w:firstLineChars="200"/>
        <w:rPr>
          <w:sz w:val="24"/>
        </w:rPr>
      </w:pPr>
      <w:r>
        <w:rPr>
          <w:sz w:val="24"/>
        </w:rPr>
        <w:t>Na+-K+-ATP酶位于细胞膜内，通过分解ATP获得能量，促进鱼体对小分子营养物质的吸收，其活性可作为评估肠道吸收能力的一个指标。本研究中，G2组肠道Na+-K+-ATP酶活性最高，表明斑点叉尾吸收能力得到增强。宣雄智等</w:t>
      </w:r>
      <w:r>
        <w:rPr>
          <w:sz w:val="24"/>
          <w:vertAlign w:val="superscript"/>
        </w:rPr>
        <w:t>[48]</w:t>
      </w:r>
      <w:r>
        <w:rPr>
          <w:sz w:val="24"/>
        </w:rPr>
        <w:t>的研究表明，抗菌肽对Na+-K+-ATP酶活性有促进作用，而黑水虻富含抗菌肽，这可能是G2组肠道Na+K+-ATP酶活性增加的原因之一。因此，可以推测饲料中添加2%发酵黑水虻能够促进斑点叉尾鮰</w:t>
      </w:r>
      <w:r>
        <w:rPr>
          <w:rFonts w:hint="eastAsia"/>
          <w:sz w:val="24"/>
        </w:rPr>
        <w:t>鱼回</w:t>
      </w:r>
      <w:r>
        <w:rPr>
          <w:sz w:val="24"/>
        </w:rPr>
        <w:t>肠道发育，提高肠道胰蛋白酶和Na+-K+-ATP酶的活性，进而增强肠道消化吸收功能，以此获得最大WGR和SGR</w:t>
      </w:r>
      <w:r>
        <w:rPr>
          <w:rFonts w:ascii="等线" w:hAnsi="等线" w:eastAsia="等线"/>
          <w:szCs w:val="22"/>
        </w:rPr>
        <w:t>。</w:t>
      </w:r>
    </w:p>
    <w:p>
      <w:pPr>
        <w:spacing w:line="360" w:lineRule="auto"/>
        <w:rPr>
          <w:sz w:val="24"/>
        </w:rPr>
      </w:pPr>
      <w:r>
        <w:rPr>
          <w:sz w:val="24"/>
        </w:rPr>
        <w:t>3.4饲料中添加发酵黑水虻对斑点叉尾鮰免疫力的影响</w:t>
      </w:r>
    </w:p>
    <w:p>
      <w:pPr>
        <w:spacing w:line="360" w:lineRule="auto"/>
        <w:ind w:firstLine="480" w:firstLineChars="200"/>
        <w:rPr>
          <w:sz w:val="24"/>
        </w:rPr>
      </w:pPr>
      <w:r>
        <w:rPr>
          <w:sz w:val="24"/>
        </w:rPr>
        <w:t>AKP是一种对底物专一性要求较低的磷酸单脂水解酶，能有效水解促炎性细菌成分和内源性分子的磷酸盐共轭物</w:t>
      </w:r>
      <w:r>
        <w:rPr>
          <w:sz w:val="24"/>
          <w:vertAlign w:val="superscript"/>
        </w:rPr>
        <w:t>[54]</w:t>
      </w:r>
      <w:r>
        <w:rPr>
          <w:sz w:val="24"/>
        </w:rPr>
        <w:t>，作为重要的解毒系统，能够清除外源微生物。ACP可激活单核巨噬细胞，在动物模型中作为巨噬细胞活化的标志物</w:t>
      </w:r>
      <w:r>
        <w:rPr>
          <w:sz w:val="24"/>
          <w:vertAlign w:val="superscript"/>
        </w:rPr>
        <w:t>[55]</w:t>
      </w:r>
      <w:r>
        <w:rPr>
          <w:sz w:val="24"/>
        </w:rPr>
        <w:t>。AKP和ACP参与非特异性免疫反应，在免疫系统中起着重要作用。补体系统是先天性和适应性免疫系统的重要构成部分。本试验中，饲料中添加2%～4%的发酵黑水虻显著提高了斑点叉尾鮰肝脏中AKP和ACP活性，增强了其非特异性免疫功能。类似地，在金鲳(</w:t>
      </w:r>
      <w:r>
        <w:rPr>
          <w:i/>
          <w:sz w:val="24"/>
        </w:rPr>
        <w:t>Trachinotus ovatus</w:t>
      </w:r>
      <w:r>
        <w:rPr>
          <w:sz w:val="24"/>
        </w:rPr>
        <w:t>)饲料中添加3%黑水虻虫浆得出相同的结论</w:t>
      </w:r>
      <w:r>
        <w:rPr>
          <w:sz w:val="24"/>
          <w:vertAlign w:val="superscript"/>
        </w:rPr>
        <w:t>[56]</w:t>
      </w:r>
      <w:r>
        <w:rPr>
          <w:sz w:val="24"/>
        </w:rPr>
        <w:t>；投喂黑水虻幼虫于锦鲤(</w:t>
      </w:r>
      <w:r>
        <w:rPr>
          <w:i/>
          <w:sz w:val="24"/>
        </w:rPr>
        <w:t>Cyprinus carpio L.</w:t>
      </w:r>
      <w:r>
        <w:rPr>
          <w:sz w:val="24"/>
        </w:rPr>
        <w:t>)的试验结果也与此相吻合</w:t>
      </w:r>
      <w:r>
        <w:rPr>
          <w:sz w:val="24"/>
          <w:vertAlign w:val="superscript"/>
        </w:rPr>
        <w:t>[57]</w:t>
      </w:r>
      <w:r>
        <w:rPr>
          <w:sz w:val="24"/>
        </w:rPr>
        <w:t>。此外，在饲料中添加2%或4%的发酵黑水虻显著提高了斑点叉尾鮰肝脏中C3含量，表明发酵黑水虻能够调控斑点叉尾鮰补体途径以增强免疫应答，这一发现与黑水虻虫粉促进尖吻鲈(</w:t>
      </w:r>
      <w:r>
        <w:rPr>
          <w:i/>
          <w:sz w:val="24"/>
        </w:rPr>
        <w:t>Lates calcarifer</w:t>
      </w:r>
      <w:r>
        <w:rPr>
          <w:sz w:val="24"/>
        </w:rPr>
        <w:t>)补体表达的报道</w:t>
      </w:r>
      <w:r>
        <w:rPr>
          <w:sz w:val="24"/>
          <w:vertAlign w:val="superscript"/>
        </w:rPr>
        <w:t>[58]</w:t>
      </w:r>
      <w:r>
        <w:rPr>
          <w:sz w:val="24"/>
        </w:rPr>
        <w:t>一致。黑水虻幼虫脂质成分一般以月桂酸为主</w:t>
      </w:r>
      <w:r>
        <w:rPr>
          <w:sz w:val="24"/>
          <w:vertAlign w:val="superscript"/>
        </w:rPr>
        <w:t>[59-60]</w:t>
      </w:r>
      <w:r>
        <w:rPr>
          <w:sz w:val="24"/>
        </w:rPr>
        <w:t>，并且是已知具有较多抗菌肽基因的物种之一，已有研究从黑水虻基因中筛选出编码50种抗菌肽的基因</w:t>
      </w:r>
      <w:r>
        <w:rPr>
          <w:sz w:val="24"/>
          <w:vertAlign w:val="superscript"/>
        </w:rPr>
        <w:t>[61]</w:t>
      </w:r>
      <w:r>
        <w:rPr>
          <w:sz w:val="24"/>
        </w:rPr>
        <w:t>。本研究中，斑点叉尾鮰免疫指标的变化及其与SR变化趋势的一致性可能与发酵黑水虻中含有的抗菌肽及月桂酸等抗菌物质有关</w:t>
      </w:r>
      <w:r>
        <w:rPr>
          <w:sz w:val="24"/>
          <w:vertAlign w:val="superscript"/>
        </w:rPr>
        <w:t>[62]</w:t>
      </w:r>
      <w:r>
        <w:rPr>
          <w:sz w:val="24"/>
        </w:rPr>
        <w:t>。</w:t>
      </w:r>
    </w:p>
    <w:p>
      <w:pPr>
        <w:spacing w:line="360" w:lineRule="auto"/>
        <w:rPr>
          <w:sz w:val="24"/>
        </w:rPr>
      </w:pPr>
      <w:r>
        <w:rPr>
          <w:sz w:val="24"/>
        </w:rPr>
        <w:t>4结论</w:t>
      </w:r>
    </w:p>
    <w:p>
      <w:pPr>
        <w:spacing w:line="360" w:lineRule="auto"/>
        <w:ind w:firstLine="480" w:firstLineChars="200"/>
        <w:rPr>
          <w:sz w:val="24"/>
        </w:rPr>
      </w:pPr>
      <w:r>
        <w:rPr>
          <w:sz w:val="24"/>
        </w:rPr>
        <w:t>在饲料中添加发酵黑水虻可促进斑点叉尾鮰生长和肠道发育，增强肠道消化吸收能力以及提高鱼体非特异性免疫能力。综合生长、肠道发育及其消化吸收能力和肝脏生化与免疫指标等，斑点叉尾鮰饲料中添加2%发酵黑水虻鲜物质(即10.4g/kg发酵黑水虻风干物质)时效果最优。</w:t>
      </w:r>
    </w:p>
    <w:p>
      <w:pPr>
        <w:spacing w:line="360" w:lineRule="auto"/>
        <w:rPr>
          <w:sz w:val="24"/>
        </w:rPr>
      </w:pPr>
      <w:r>
        <w:rPr>
          <w:sz w:val="24"/>
        </w:rPr>
        <w:t>参考文献：略</w:t>
      </w:r>
    </w:p>
    <w:p>
      <w:pPr>
        <w:spacing w:line="360" w:lineRule="auto"/>
        <w:ind w:firstLine="420" w:firstLineChars="200"/>
        <w:jc w:val="right"/>
        <w:rPr>
          <w:szCs w:val="21"/>
        </w:rPr>
      </w:pPr>
      <w:r>
        <w:rPr>
          <w:szCs w:val="21"/>
        </w:rPr>
        <w:t>原文刊登在《</w:t>
      </w:r>
      <w:r>
        <w:rPr>
          <w:rFonts w:hint="eastAsia"/>
          <w:szCs w:val="21"/>
        </w:rPr>
        <w:t>动物营养学报</w:t>
      </w:r>
      <w:r>
        <w:rPr>
          <w:szCs w:val="21"/>
        </w:rPr>
        <w:t>》</w:t>
      </w:r>
      <w:r>
        <w:rPr>
          <w:rFonts w:hint="eastAsia"/>
          <w:szCs w:val="21"/>
        </w:rPr>
        <w:t>2025年第3期</w:t>
      </w:r>
    </w:p>
    <w:p>
      <w:pPr>
        <w:spacing w:line="360" w:lineRule="auto"/>
        <w:ind w:firstLine="480" w:firstLineChars="200"/>
        <w:jc w:val="right"/>
        <w:rPr>
          <w:sz w:val="24"/>
        </w:rPr>
      </w:pPr>
    </w:p>
    <w:p>
      <w:pPr>
        <w:jc w:val="center"/>
        <w:outlineLvl w:val="1"/>
        <w:rPr>
          <w:rFonts w:eastAsia="黑体"/>
          <w:b/>
          <w:bCs/>
          <w:sz w:val="32"/>
          <w:szCs w:val="32"/>
        </w:rPr>
      </w:pPr>
      <w:bookmarkStart w:id="49" w:name="_Toc206013207"/>
      <w:r>
        <w:rPr>
          <w:rFonts w:eastAsia="黑体"/>
          <w:b/>
          <w:bCs/>
          <w:sz w:val="32"/>
          <w:szCs w:val="32"/>
        </w:rPr>
        <w:t>壳寡糖对甲壳动物的生长性能、免疫力和肠道健康的影响</w:t>
      </w:r>
      <w:bookmarkEnd w:id="49"/>
    </w:p>
    <w:p>
      <w:pPr>
        <w:jc w:val="center"/>
        <w:rPr>
          <w:szCs w:val="21"/>
        </w:rPr>
      </w:pPr>
      <w:r>
        <w:rPr>
          <w:szCs w:val="21"/>
        </w:rPr>
        <w:t xml:space="preserve">吴倩 </w:t>
      </w:r>
      <w:r>
        <w:rPr>
          <w:szCs w:val="21"/>
          <w:vertAlign w:val="superscript"/>
        </w:rPr>
        <w:t>1</w:t>
      </w:r>
      <w:r>
        <w:rPr>
          <w:szCs w:val="21"/>
        </w:rPr>
        <w:t xml:space="preserve"> 刘雪婷 </w:t>
      </w:r>
      <w:r>
        <w:rPr>
          <w:szCs w:val="21"/>
          <w:vertAlign w:val="superscript"/>
        </w:rPr>
        <w:t>1</w:t>
      </w:r>
      <w:r>
        <w:rPr>
          <w:szCs w:val="21"/>
        </w:rPr>
        <w:t xml:space="preserve"> 胡俊茹 </w:t>
      </w:r>
      <w:r>
        <w:rPr>
          <w:szCs w:val="21"/>
          <w:vertAlign w:val="superscript"/>
        </w:rPr>
        <w:t>2</w:t>
      </w:r>
      <w:r>
        <w:rPr>
          <w:szCs w:val="21"/>
        </w:rPr>
        <w:t xml:space="preserve"> 潘德晖 </w:t>
      </w:r>
      <w:r>
        <w:rPr>
          <w:szCs w:val="21"/>
          <w:vertAlign w:val="superscript"/>
        </w:rPr>
        <w:t>1</w:t>
      </w:r>
      <w:r>
        <w:rPr>
          <w:szCs w:val="21"/>
        </w:rPr>
        <w:t xml:space="preserve"> 赵怡文 </w:t>
      </w:r>
      <w:r>
        <w:rPr>
          <w:szCs w:val="21"/>
          <w:vertAlign w:val="superscript"/>
        </w:rPr>
        <w:t>1</w:t>
      </w:r>
      <w:r>
        <w:rPr>
          <w:szCs w:val="21"/>
        </w:rPr>
        <w:t xml:space="preserve"> 叶广仁 </w:t>
      </w:r>
      <w:r>
        <w:rPr>
          <w:szCs w:val="21"/>
          <w:vertAlign w:val="superscript"/>
        </w:rPr>
        <w:t>1</w:t>
      </w:r>
      <w:r>
        <w:rPr>
          <w:szCs w:val="21"/>
        </w:rPr>
        <w:t xml:space="preserve"> 许国斌 </w:t>
      </w:r>
      <w:r>
        <w:rPr>
          <w:szCs w:val="21"/>
          <w:vertAlign w:val="superscript"/>
        </w:rPr>
        <w:t>1</w:t>
      </w:r>
      <w:r>
        <w:rPr>
          <w:szCs w:val="21"/>
        </w:rPr>
        <w:t xml:space="preserve"> 黄宝忠 </w:t>
      </w:r>
      <w:r>
        <w:rPr>
          <w:szCs w:val="21"/>
          <w:vertAlign w:val="superscript"/>
        </w:rPr>
        <w:t>1</w:t>
      </w:r>
      <w:r>
        <w:rPr>
          <w:szCs w:val="21"/>
        </w:rPr>
        <w:t xml:space="preserve"> 孙凯辉 </w:t>
      </w:r>
      <w:r>
        <w:rPr>
          <w:szCs w:val="21"/>
          <w:vertAlign w:val="superscript"/>
        </w:rPr>
        <w:t>3</w:t>
      </w:r>
      <w:r>
        <w:rPr>
          <w:szCs w:val="21"/>
        </w:rPr>
        <w:t xml:space="preserve"> 寇红岩 </w:t>
      </w:r>
      <w:r>
        <w:rPr>
          <w:szCs w:val="21"/>
          <w:vertAlign w:val="superscript"/>
        </w:rPr>
        <w:t>1*</w:t>
      </w:r>
    </w:p>
    <w:p>
      <w:pPr>
        <w:jc w:val="center"/>
        <w:rPr>
          <w:szCs w:val="21"/>
        </w:rPr>
      </w:pPr>
      <w:r>
        <w:rPr>
          <w:szCs w:val="21"/>
        </w:rPr>
        <w:t>（1.仲恺农业工程学院动物科技学院广州市水产病害与水禽养殖重点实验室，广东广州 510225；2.广东省农业科学院动物科学研究所，农业农村部华南动物营养与饲料重点实验室，广东省动物育种与营养公共实验室，广东省畜禽育种与营养研究重点实验室，广东广州 510640；3.广东越群海洋生物科技股份有限公司，广东省水产苗种开口饲料企业重点实验室，广东揭阳 522000）</w:t>
      </w:r>
    </w:p>
    <w:p>
      <w:pPr>
        <w:rPr>
          <w:szCs w:val="21"/>
        </w:rPr>
      </w:pPr>
      <w:r>
        <w:rPr>
          <w:b/>
          <w:bCs/>
          <w:szCs w:val="21"/>
        </w:rPr>
        <w:t>摘要：</w:t>
      </w:r>
      <w:r>
        <w:rPr>
          <w:szCs w:val="21"/>
        </w:rPr>
        <w:t>壳寡糖（COS）作为一种纯天然的活性物质，已作为功能性饲料添加剂被应用于水产养殖中。适量添加壳寡糖对促进水产动物生长、降低饵料系数、增强消化能力、提高抗氧化性能、提升抗病能力、增强机体的免疫性能、调节机体的炎症反应、增加抗应激能力、改善肠道组织结构、优化肠道菌群、提升肠道健康等方面发挥着重要作用。文章综述了壳寡糖对甲壳动物的生长性能、消化酶活性、血淋巴生化指标、免疫性能、炎症因子、抗氧化能力和肠道健康等方面的影响及其作用机制，以期为壳寡糖在水产养殖业的进一步应用提供理论依据和基础数据。</w:t>
      </w:r>
    </w:p>
    <w:p>
      <w:pPr>
        <w:rPr>
          <w:szCs w:val="21"/>
        </w:rPr>
      </w:pPr>
      <w:r>
        <w:rPr>
          <w:b/>
          <w:bCs/>
          <w:szCs w:val="21"/>
        </w:rPr>
        <w:t>关键词：</w:t>
      </w:r>
      <w:r>
        <w:rPr>
          <w:szCs w:val="21"/>
        </w:rPr>
        <w:t>壳寡糖；甲壳动物；生长性能；免疫力；抗氧化能力；肠道健康</w:t>
      </w:r>
    </w:p>
    <w:p>
      <w:pPr>
        <w:jc w:val="center"/>
        <w:rPr>
          <w:b/>
          <w:bCs/>
          <w:sz w:val="24"/>
        </w:rPr>
      </w:pPr>
      <w:r>
        <w:rPr>
          <w:b/>
          <w:bCs/>
          <w:sz w:val="24"/>
        </w:rPr>
        <w:t xml:space="preserve">Effects of Chito-Oligosaccharide on Growth Performance, Immunity, and </w:t>
      </w:r>
    </w:p>
    <w:p>
      <w:pPr>
        <w:jc w:val="center"/>
        <w:rPr>
          <w:b/>
          <w:bCs/>
          <w:sz w:val="24"/>
        </w:rPr>
      </w:pPr>
      <w:r>
        <w:rPr>
          <w:b/>
          <w:bCs/>
          <w:sz w:val="24"/>
        </w:rPr>
        <w:t>Gut Health of Crustaceans</w:t>
      </w:r>
    </w:p>
    <w:p>
      <w:pPr>
        <w:jc w:val="center"/>
        <w:rPr>
          <w:szCs w:val="22"/>
        </w:rPr>
      </w:pPr>
      <w:r>
        <w:rPr>
          <w:szCs w:val="22"/>
        </w:rPr>
        <w:t>WU Qian</w:t>
      </w:r>
      <w:r>
        <w:rPr>
          <w:szCs w:val="22"/>
          <w:vertAlign w:val="superscript"/>
        </w:rPr>
        <w:t>1</w:t>
      </w:r>
      <w:r>
        <w:rPr>
          <w:szCs w:val="22"/>
        </w:rPr>
        <w:t xml:space="preserve"> LIU Xueting</w:t>
      </w:r>
      <w:r>
        <w:rPr>
          <w:szCs w:val="22"/>
          <w:vertAlign w:val="superscript"/>
        </w:rPr>
        <w:t>1</w:t>
      </w:r>
      <w:r>
        <w:rPr>
          <w:szCs w:val="22"/>
        </w:rPr>
        <w:t xml:space="preserve"> HU Junru</w:t>
      </w:r>
      <w:r>
        <w:rPr>
          <w:szCs w:val="22"/>
          <w:vertAlign w:val="superscript"/>
        </w:rPr>
        <w:t>2</w:t>
      </w:r>
      <w:r>
        <w:rPr>
          <w:szCs w:val="22"/>
        </w:rPr>
        <w:t xml:space="preserve"> PAN Dehui</w:t>
      </w:r>
      <w:r>
        <w:rPr>
          <w:szCs w:val="22"/>
          <w:vertAlign w:val="superscript"/>
        </w:rPr>
        <w:t>1</w:t>
      </w:r>
      <w:r>
        <w:rPr>
          <w:szCs w:val="22"/>
        </w:rPr>
        <w:t xml:space="preserve"> ZHAO Yiwen</w:t>
      </w:r>
      <w:r>
        <w:rPr>
          <w:szCs w:val="22"/>
          <w:vertAlign w:val="superscript"/>
        </w:rPr>
        <w:t>1</w:t>
      </w:r>
      <w:r>
        <w:rPr>
          <w:szCs w:val="22"/>
        </w:rPr>
        <w:t xml:space="preserve"> YE Guangren</w:t>
      </w:r>
      <w:r>
        <w:rPr>
          <w:szCs w:val="22"/>
          <w:vertAlign w:val="superscript"/>
        </w:rPr>
        <w:t>1</w:t>
      </w:r>
      <w:r>
        <w:rPr>
          <w:szCs w:val="22"/>
        </w:rPr>
        <w:t xml:space="preserve"> XU Guobin</w:t>
      </w:r>
      <w:r>
        <w:rPr>
          <w:szCs w:val="22"/>
          <w:vertAlign w:val="superscript"/>
        </w:rPr>
        <w:t>1</w:t>
      </w:r>
      <w:r>
        <w:rPr>
          <w:szCs w:val="22"/>
        </w:rPr>
        <w:t xml:space="preserve"> HUANG </w:t>
      </w:r>
    </w:p>
    <w:p>
      <w:pPr>
        <w:jc w:val="center"/>
        <w:rPr>
          <w:szCs w:val="22"/>
        </w:rPr>
      </w:pPr>
      <w:r>
        <w:rPr>
          <w:szCs w:val="22"/>
        </w:rPr>
        <w:t>Baozhong</w:t>
      </w:r>
      <w:r>
        <w:rPr>
          <w:szCs w:val="22"/>
          <w:vertAlign w:val="superscript"/>
        </w:rPr>
        <w:t>1</w:t>
      </w:r>
      <w:r>
        <w:rPr>
          <w:szCs w:val="22"/>
        </w:rPr>
        <w:t xml:space="preserve"> SUN Kaihui</w:t>
      </w:r>
      <w:r>
        <w:rPr>
          <w:szCs w:val="22"/>
          <w:vertAlign w:val="superscript"/>
        </w:rPr>
        <w:t>3</w:t>
      </w:r>
      <w:r>
        <w:rPr>
          <w:szCs w:val="22"/>
        </w:rPr>
        <w:t xml:space="preserve"> KOU Hongyan</w:t>
      </w:r>
      <w:r>
        <w:rPr>
          <w:szCs w:val="22"/>
          <w:vertAlign w:val="superscript"/>
        </w:rPr>
        <w:t>1*</w:t>
      </w:r>
    </w:p>
    <w:p>
      <w:pPr>
        <w:jc w:val="center"/>
        <w:rPr>
          <w:i/>
          <w:iCs/>
          <w:szCs w:val="22"/>
        </w:rPr>
      </w:pPr>
      <w:r>
        <w:rPr>
          <w:i/>
          <w:iCs/>
          <w:szCs w:val="22"/>
        </w:rPr>
        <w:t>(1. Guangzhou Key Laboratory of Aquatic Animal Diseases and Waterfowl Breeding, College of Animal Sciences and Technology, Zhongkai University of Agriculture and Engineering, Guangdong Guangzhou 510225, China; 2. Guangdong Key Laboratory of Animal Breeding and Nutrition, Guangdong Public Laboratory of Animal Breeding and Nutrition, Key Laboratory of Animal Nutrition and Feed Science (South China) of Ministry of Agriculture and Rural Affairs, Institute of Animal Science, Guangdong Academy of Agricultural Sciences, Guangdong Guangzhou 510640, China; 3. Guangdong Yuequn Marine Biotechnology Co., Ltd., Guangdong Provincial Key Laboratory of Aquatic Larvae Feed, Guangdong Jieyang 522000, China)</w:t>
      </w:r>
    </w:p>
    <w:p>
      <w:pPr>
        <w:rPr>
          <w:szCs w:val="22"/>
        </w:rPr>
      </w:pPr>
      <w:r>
        <w:rPr>
          <w:b/>
          <w:bCs/>
          <w:szCs w:val="22"/>
        </w:rPr>
        <w:t xml:space="preserve">Abstract: </w:t>
      </w:r>
      <w:r>
        <w:rPr>
          <w:szCs w:val="22"/>
        </w:rPr>
        <w:t>Chitosan oligosaccharide (COS) is a a pure natural active substance in recent years, which has been used in aquaculture as a functional feed additive. Appropriate supplement of chitosan plays an important role in promoting the growth of aquatic animals, reducing the feed coefficient, enhancing digestive capacity, improving performance, enhancing disease resistance, strengthening the immune performance of the organism, regulating the inflammatory response of the organism, increasing its stress resistance, improving the structure of intestinal tissue optimizing the intestinal flora, and improving intestinal health. In this paper, the effects and mechanisms of chitosan oligosaccharide on the growth performance, digestive enzyme activity, hemolymph biochemical indexes, immunity, inflammatory factors, antioxidant capacity and intestinal health of crustaceans were reviewed, in order to provide theoretical basis and basic data for further application of chitosan oligosaccharide in aquaculture.</w:t>
      </w:r>
    </w:p>
    <w:p>
      <w:pPr>
        <w:rPr>
          <w:szCs w:val="22"/>
        </w:rPr>
      </w:pPr>
      <w:r>
        <w:rPr>
          <w:b/>
          <w:bCs/>
          <w:szCs w:val="22"/>
        </w:rPr>
        <w:t xml:space="preserve">Key words: </w:t>
      </w:r>
      <w:r>
        <w:rPr>
          <w:szCs w:val="22"/>
        </w:rPr>
        <w:t>chitosan oligosaccharide; crustaceans; growth performance; immunity; antioxidant capacity; intestinal health</w:t>
      </w:r>
    </w:p>
    <w:p/>
    <w:p>
      <w:pPr>
        <w:spacing w:line="360" w:lineRule="auto"/>
        <w:ind w:firstLine="480" w:firstLineChars="200"/>
        <w:rPr>
          <w:sz w:val="24"/>
          <w:szCs w:val="22"/>
        </w:rPr>
      </w:pPr>
      <w:r>
        <w:rPr>
          <w:sz w:val="24"/>
          <w:szCs w:val="22"/>
        </w:rPr>
        <w:t>壳寡糖（COS）是由</w:t>
      </w:r>
      <w:r>
        <w:rPr>
          <w:i/>
          <w:iCs/>
          <w:sz w:val="24"/>
          <w:szCs w:val="22"/>
        </w:rPr>
        <w:t>β</w:t>
      </w:r>
      <w:r>
        <w:rPr>
          <w:sz w:val="24"/>
          <w:szCs w:val="22"/>
        </w:rPr>
        <w:t>-（1，4）糖苷键结合2~10个氨基葡萄糖组成的一种带正电荷的阳离子碱性低聚糖，壳寡糖聚合度一般小于十分之二、分子质量则一般低于300Da，可通过物理、化学和酶解等多种方法水解制备</w:t>
      </w:r>
      <w:r>
        <w:rPr>
          <w:sz w:val="24"/>
          <w:szCs w:val="22"/>
          <w:vertAlign w:val="superscript"/>
        </w:rPr>
        <w:t>[1]</w:t>
      </w:r>
      <w:r>
        <w:rPr>
          <w:sz w:val="24"/>
          <w:szCs w:val="22"/>
        </w:rPr>
        <w:t>，具有安全性高、生物相容性高和易生物降解性等优点，现应用广泛。壳寡糖因其较小分子质量而呈现出较高的水解性，易被生物机体所吸收利用，具有抗菌</w:t>
      </w:r>
      <w:r>
        <w:rPr>
          <w:sz w:val="24"/>
          <w:szCs w:val="22"/>
          <w:vertAlign w:val="superscript"/>
        </w:rPr>
        <w:t>[2-3]</w:t>
      </w:r>
      <w:r>
        <w:rPr>
          <w:sz w:val="24"/>
          <w:szCs w:val="22"/>
        </w:rPr>
        <w:t>、抗炎症</w:t>
      </w:r>
      <w:r>
        <w:rPr>
          <w:sz w:val="24"/>
          <w:szCs w:val="22"/>
          <w:vertAlign w:val="superscript"/>
        </w:rPr>
        <w:t>[4]</w:t>
      </w:r>
      <w:r>
        <w:rPr>
          <w:sz w:val="24"/>
          <w:szCs w:val="22"/>
        </w:rPr>
        <w:t>、抗癌变</w:t>
      </w:r>
      <w:r>
        <w:rPr>
          <w:sz w:val="24"/>
          <w:szCs w:val="22"/>
          <w:vertAlign w:val="superscript"/>
        </w:rPr>
        <w:t>[5]</w:t>
      </w:r>
      <w:r>
        <w:rPr>
          <w:sz w:val="24"/>
          <w:szCs w:val="22"/>
        </w:rPr>
        <w:t>和抗氧化</w:t>
      </w:r>
      <w:r>
        <w:rPr>
          <w:sz w:val="24"/>
          <w:szCs w:val="22"/>
          <w:vertAlign w:val="superscript"/>
        </w:rPr>
        <w:t>[6]</w:t>
      </w:r>
      <w:r>
        <w:rPr>
          <w:sz w:val="24"/>
          <w:szCs w:val="22"/>
        </w:rPr>
        <w:t>等多重生物功效，在医疗、食品等领域具有巨大的应用潜力</w:t>
      </w:r>
      <w:r>
        <w:rPr>
          <w:sz w:val="24"/>
          <w:szCs w:val="22"/>
          <w:vertAlign w:val="superscript"/>
        </w:rPr>
        <w:t>[7-10]</w:t>
      </w:r>
      <w:r>
        <w:rPr>
          <w:sz w:val="24"/>
          <w:szCs w:val="22"/>
        </w:rPr>
        <w:t>。同时作为一种原生态活性物质，壳寡糖在促进水产动物的生长、提高免疫力、改善肠道健康等方面发挥着重要作用</w:t>
      </w:r>
      <w:r>
        <w:rPr>
          <w:sz w:val="24"/>
          <w:szCs w:val="22"/>
          <w:vertAlign w:val="superscript"/>
        </w:rPr>
        <w:t>[11-12]</w:t>
      </w:r>
      <w:r>
        <w:rPr>
          <w:sz w:val="24"/>
          <w:szCs w:val="22"/>
        </w:rPr>
        <w:t>。文章综述了壳寡糖对甲壳动物生长性能、消化酶活性、血液生化指标、免疫调节能力、抗氧化应激能力、炎性因子以及肠道健康等方面影响，以期为壳寡糖在甲壳动物养殖业中的推广使用提供参考依据。</w:t>
      </w:r>
    </w:p>
    <w:p>
      <w:pPr>
        <w:spacing w:line="360" w:lineRule="auto"/>
        <w:rPr>
          <w:sz w:val="24"/>
          <w:szCs w:val="22"/>
        </w:rPr>
      </w:pPr>
      <w:r>
        <w:rPr>
          <w:sz w:val="24"/>
          <w:szCs w:val="22"/>
        </w:rPr>
        <w:t>1</w:t>
      </w:r>
      <w:r>
        <w:rPr>
          <w:rFonts w:hint="eastAsia"/>
          <w:sz w:val="24"/>
          <w:szCs w:val="22"/>
        </w:rPr>
        <w:t xml:space="preserve"> </w:t>
      </w:r>
      <w:r>
        <w:rPr>
          <w:sz w:val="24"/>
          <w:szCs w:val="22"/>
        </w:rPr>
        <w:t>壳寡糖对甲壳动物的促生长功能</w:t>
      </w:r>
    </w:p>
    <w:p>
      <w:pPr>
        <w:spacing w:line="360" w:lineRule="auto"/>
        <w:ind w:firstLine="480" w:firstLineChars="200"/>
        <w:rPr>
          <w:sz w:val="24"/>
          <w:szCs w:val="22"/>
        </w:rPr>
      </w:pPr>
      <w:r>
        <w:rPr>
          <w:sz w:val="24"/>
          <w:szCs w:val="22"/>
        </w:rPr>
        <w:t>甲壳动物的生长性能主要通过增重率、特定生长率、成活率等指标判定</w:t>
      </w:r>
      <w:r>
        <w:rPr>
          <w:sz w:val="24"/>
          <w:szCs w:val="22"/>
          <w:vertAlign w:val="superscript"/>
        </w:rPr>
        <w:t>[13]</w:t>
      </w:r>
      <w:r>
        <w:rPr>
          <w:sz w:val="24"/>
          <w:szCs w:val="22"/>
        </w:rPr>
        <w:t>。研究表明，三疣梭子蟹(</w:t>
      </w:r>
      <w:r>
        <w:rPr>
          <w:i/>
          <w:iCs/>
          <w:sz w:val="24"/>
          <w:szCs w:val="22"/>
        </w:rPr>
        <w:t>Portunus</w:t>
      </w:r>
      <w:r>
        <w:rPr>
          <w:rFonts w:hint="eastAsia"/>
          <w:i/>
          <w:iCs/>
          <w:sz w:val="24"/>
          <w:szCs w:val="22"/>
        </w:rPr>
        <w:t xml:space="preserve"> </w:t>
      </w:r>
      <w:r>
        <w:rPr>
          <w:i/>
          <w:iCs/>
          <w:sz w:val="24"/>
          <w:szCs w:val="22"/>
        </w:rPr>
        <w:t>trituberculatus</w:t>
      </w:r>
      <w:r>
        <w:rPr>
          <w:sz w:val="24"/>
          <w:szCs w:val="22"/>
        </w:rPr>
        <w:t>)饲料中添加1.0~1.5g/kg的壳寡糖饲喂30d，其存活率和增重率明显提升</w:t>
      </w:r>
      <w:r>
        <w:rPr>
          <w:sz w:val="24"/>
          <w:szCs w:val="22"/>
          <w:vertAlign w:val="superscript"/>
        </w:rPr>
        <w:t>[14]</w:t>
      </w:r>
      <w:r>
        <w:rPr>
          <w:sz w:val="24"/>
          <w:szCs w:val="22"/>
        </w:rPr>
        <w:t>。体重为17.40g左右的克氏原螯虾(</w:t>
      </w:r>
      <w:r>
        <w:rPr>
          <w:rFonts w:hint="eastAsia"/>
          <w:i/>
          <w:iCs/>
          <w:sz w:val="24"/>
          <w:szCs w:val="22"/>
        </w:rPr>
        <w:t>P</w:t>
      </w:r>
      <w:r>
        <w:rPr>
          <w:i/>
          <w:iCs/>
          <w:sz w:val="24"/>
          <w:szCs w:val="22"/>
        </w:rPr>
        <w:t>rocambarus</w:t>
      </w:r>
      <w:r>
        <w:rPr>
          <w:rFonts w:hint="eastAsia"/>
          <w:i/>
          <w:iCs/>
          <w:sz w:val="24"/>
          <w:szCs w:val="22"/>
        </w:rPr>
        <w:t xml:space="preserve"> </w:t>
      </w:r>
      <w:r>
        <w:rPr>
          <w:i/>
          <w:iCs/>
          <w:sz w:val="24"/>
          <w:szCs w:val="22"/>
        </w:rPr>
        <w:t>clarkii</w:t>
      </w:r>
      <w:r>
        <w:rPr>
          <w:sz w:val="24"/>
          <w:szCs w:val="22"/>
        </w:rPr>
        <w:t>)用壳寡糖添加量为0.2g/kg的饲料喂养14d，可明显提高其消化道菌群结构的丰度和多样性，增强其肝胰腺酶的活力，提高营养素吸收利用率</w:t>
      </w:r>
      <w:r>
        <w:rPr>
          <w:sz w:val="24"/>
          <w:szCs w:val="22"/>
          <w:vertAlign w:val="superscript"/>
        </w:rPr>
        <w:t>[15]</w:t>
      </w:r>
      <w:r>
        <w:rPr>
          <w:sz w:val="24"/>
          <w:szCs w:val="22"/>
        </w:rPr>
        <w:t>。在中华绒螯蟹(</w:t>
      </w:r>
      <w:r>
        <w:rPr>
          <w:i/>
          <w:iCs/>
          <w:sz w:val="24"/>
          <w:szCs w:val="22"/>
        </w:rPr>
        <w:t>Eriocheir</w:t>
      </w:r>
      <w:r>
        <w:rPr>
          <w:rFonts w:hint="eastAsia"/>
          <w:i/>
          <w:iCs/>
          <w:sz w:val="24"/>
          <w:szCs w:val="22"/>
        </w:rPr>
        <w:t xml:space="preserve"> </w:t>
      </w:r>
      <w:r>
        <w:rPr>
          <w:i/>
          <w:iCs/>
          <w:sz w:val="24"/>
          <w:szCs w:val="22"/>
        </w:rPr>
        <w:t>sinensis</w:t>
      </w:r>
      <w:r>
        <w:rPr>
          <w:sz w:val="24"/>
          <w:szCs w:val="22"/>
        </w:rPr>
        <w:t>)饲养过程中，使用混合添加茶多糖（0.2%）与壳寡糖（0.6%）饲料饲喂60d可提升其增重率以及特定生长率，降低饲料系数，提高饲养饲料的吸收与利用率</w:t>
      </w:r>
      <w:r>
        <w:rPr>
          <w:sz w:val="24"/>
          <w:szCs w:val="22"/>
          <w:vertAlign w:val="superscript"/>
        </w:rPr>
        <w:t>[16]</w:t>
      </w:r>
      <w:r>
        <w:rPr>
          <w:sz w:val="24"/>
          <w:szCs w:val="22"/>
        </w:rPr>
        <w:t>。在红螯螯虾(</w:t>
      </w:r>
      <w:r>
        <w:rPr>
          <w:i/>
          <w:iCs/>
          <w:sz w:val="24"/>
          <w:szCs w:val="22"/>
        </w:rPr>
        <w:t>Cherax</w:t>
      </w:r>
      <w:r>
        <w:rPr>
          <w:rFonts w:hint="eastAsia"/>
          <w:i/>
          <w:iCs/>
          <w:sz w:val="24"/>
          <w:szCs w:val="22"/>
        </w:rPr>
        <w:t xml:space="preserve"> </w:t>
      </w:r>
      <w:r>
        <w:rPr>
          <w:i/>
          <w:iCs/>
          <w:sz w:val="24"/>
          <w:szCs w:val="22"/>
        </w:rPr>
        <w:t>quadricarinatus</w:t>
      </w:r>
      <w:r>
        <w:rPr>
          <w:sz w:val="24"/>
          <w:szCs w:val="22"/>
        </w:rPr>
        <w:t>)的饲料中加入适量的壳寡糖，可显著提高其特定生长率、增重率以及生长性能</w:t>
      </w:r>
      <w:r>
        <w:rPr>
          <w:sz w:val="24"/>
          <w:szCs w:val="22"/>
          <w:vertAlign w:val="superscript"/>
        </w:rPr>
        <w:t>[17]</w:t>
      </w:r>
      <w:r>
        <w:rPr>
          <w:sz w:val="24"/>
          <w:szCs w:val="22"/>
        </w:rPr>
        <w:t>。研究表明，凡纳滨对虾(</w:t>
      </w:r>
      <w:r>
        <w:rPr>
          <w:i/>
          <w:iCs/>
          <w:sz w:val="24"/>
          <w:szCs w:val="22"/>
        </w:rPr>
        <w:t>Litopenaeus</w:t>
      </w:r>
      <w:r>
        <w:rPr>
          <w:rFonts w:hint="eastAsia"/>
          <w:i/>
          <w:iCs/>
          <w:sz w:val="24"/>
          <w:szCs w:val="22"/>
        </w:rPr>
        <w:t xml:space="preserve"> </w:t>
      </w:r>
      <w:r>
        <w:rPr>
          <w:i/>
          <w:iCs/>
          <w:sz w:val="24"/>
          <w:szCs w:val="22"/>
        </w:rPr>
        <w:t>vannamei</w:t>
      </w:r>
      <w:r>
        <w:rPr>
          <w:sz w:val="24"/>
          <w:szCs w:val="22"/>
        </w:rPr>
        <w:t>)饲料中添加适量的壳寡糖，可促进其脂类的代谢</w:t>
      </w:r>
      <w:r>
        <w:rPr>
          <w:sz w:val="24"/>
          <w:szCs w:val="22"/>
          <w:vertAlign w:val="superscript"/>
        </w:rPr>
        <w:t>[18]</w:t>
      </w:r>
      <w:r>
        <w:rPr>
          <w:sz w:val="24"/>
          <w:szCs w:val="22"/>
        </w:rPr>
        <w:t>，使其相对增长率、增重率、生长率以及存活率明显提升</w:t>
      </w:r>
      <w:r>
        <w:rPr>
          <w:sz w:val="24"/>
          <w:szCs w:val="22"/>
          <w:vertAlign w:val="superscript"/>
        </w:rPr>
        <w:t>[19-20]</w:t>
      </w:r>
      <w:r>
        <w:rPr>
          <w:sz w:val="24"/>
          <w:szCs w:val="22"/>
        </w:rPr>
        <w:t>，降低饲料系数</w:t>
      </w:r>
      <w:r>
        <w:rPr>
          <w:sz w:val="24"/>
          <w:szCs w:val="22"/>
          <w:vertAlign w:val="superscript"/>
        </w:rPr>
        <w:t>[21]</w:t>
      </w:r>
      <w:r>
        <w:rPr>
          <w:sz w:val="24"/>
          <w:szCs w:val="22"/>
        </w:rPr>
        <w:t>。在凡纳滨对虾饲料中添加0.1g/kg壳寡糖与2.5g/kg霉菌毒素吸附剂饲喂8周后可提升其增重率及特定生长率同时优化其饲料利用率，提高总体生长性能</w:t>
      </w:r>
      <w:r>
        <w:rPr>
          <w:sz w:val="24"/>
          <w:szCs w:val="22"/>
          <w:vertAlign w:val="superscript"/>
        </w:rPr>
        <w:t>[22]</w:t>
      </w:r>
      <w:r>
        <w:rPr>
          <w:sz w:val="24"/>
          <w:szCs w:val="22"/>
        </w:rPr>
        <w:t>。壳寡糖添加剂量、分子量大小对凡纳滨对虾总体生长性能的影响有明显差异</w:t>
      </w:r>
      <w:r>
        <w:rPr>
          <w:sz w:val="24"/>
          <w:szCs w:val="22"/>
          <w:vertAlign w:val="superscript"/>
        </w:rPr>
        <w:t>[20]</w:t>
      </w:r>
      <w:r>
        <w:rPr>
          <w:sz w:val="24"/>
          <w:szCs w:val="22"/>
        </w:rPr>
        <w:t>。因此，在研究相关饲料配方时，壳寡糖最佳添加量的确定就显得尤为重要。当前研究表明，凡纳滨对虾饲料中添加壳寡糖分子质量水平为1kDa左右时的促生长效果最好</w:t>
      </w:r>
      <w:r>
        <w:rPr>
          <w:sz w:val="24"/>
          <w:szCs w:val="22"/>
          <w:vertAlign w:val="superscript"/>
        </w:rPr>
        <w:t>[23]</w:t>
      </w:r>
      <w:r>
        <w:rPr>
          <w:sz w:val="24"/>
          <w:szCs w:val="22"/>
        </w:rPr>
        <w:t>。壳寡糖促进甲壳动物的生长机制与鱼类等水产动物类似，壳寡糖的添加促进了消化酶的表达，消化酶活性的增强有利于营养物质的分解。壳寡糖还能促进肠道等消化器官的生长和发育，增加肠道绒毛的长度和宽度，从而更利于小分子物质的吸收，同时可增加肠道菌群中的有益菌，进而促进机体的生长</w:t>
      </w:r>
      <w:r>
        <w:rPr>
          <w:sz w:val="24"/>
          <w:szCs w:val="22"/>
          <w:vertAlign w:val="superscript"/>
        </w:rPr>
        <w:t>[24]</w:t>
      </w:r>
      <w:r>
        <w:rPr>
          <w:sz w:val="24"/>
          <w:szCs w:val="22"/>
        </w:rPr>
        <w:t>。</w:t>
      </w:r>
    </w:p>
    <w:p>
      <w:pPr>
        <w:spacing w:line="360" w:lineRule="auto"/>
        <w:rPr>
          <w:sz w:val="24"/>
          <w:szCs w:val="22"/>
        </w:rPr>
      </w:pPr>
      <w:r>
        <w:rPr>
          <w:sz w:val="24"/>
          <w:szCs w:val="22"/>
        </w:rPr>
        <w:t>2</w:t>
      </w:r>
      <w:r>
        <w:rPr>
          <w:rFonts w:hint="eastAsia"/>
          <w:sz w:val="24"/>
          <w:szCs w:val="22"/>
        </w:rPr>
        <w:t xml:space="preserve"> </w:t>
      </w:r>
      <w:r>
        <w:rPr>
          <w:sz w:val="24"/>
          <w:szCs w:val="22"/>
        </w:rPr>
        <w:t>壳寡糖对甲壳动物消化酶活性的影响</w:t>
      </w:r>
    </w:p>
    <w:p>
      <w:pPr>
        <w:spacing w:line="360" w:lineRule="auto"/>
        <w:ind w:firstLine="480" w:firstLineChars="200"/>
        <w:rPr>
          <w:sz w:val="24"/>
          <w:szCs w:val="22"/>
        </w:rPr>
      </w:pPr>
      <w:r>
        <w:rPr>
          <w:sz w:val="24"/>
          <w:szCs w:val="22"/>
        </w:rPr>
        <w:t>动物从食物中获取营养物质的能力与效率很大程度上由其体内的消化酶活性决定，进而影响动物的生长与发育</w:t>
      </w:r>
      <w:r>
        <w:rPr>
          <w:sz w:val="24"/>
          <w:szCs w:val="22"/>
          <w:vertAlign w:val="superscript"/>
        </w:rPr>
        <w:t>[25-28]</w:t>
      </w:r>
      <w:r>
        <w:rPr>
          <w:sz w:val="24"/>
          <w:szCs w:val="22"/>
        </w:rPr>
        <w:t>。益生元可增强水产动物消化道内蛋白酶、脂肪酶以及淀粉酶等多种消化相关酶，提高对饲料的吸收利用率</w:t>
      </w:r>
      <w:r>
        <w:rPr>
          <w:sz w:val="24"/>
          <w:szCs w:val="22"/>
          <w:vertAlign w:val="superscript"/>
        </w:rPr>
        <w:t>[29-30]</w:t>
      </w:r>
      <w:r>
        <w:rPr>
          <w:sz w:val="24"/>
          <w:szCs w:val="22"/>
        </w:rPr>
        <w:t>。壳寡糖作为益生元的一种，也有此功效，但其关于甲壳动物的相关方面的研究尚待深入研究。Su等</w:t>
      </w:r>
      <w:r>
        <w:rPr>
          <w:sz w:val="24"/>
          <w:szCs w:val="22"/>
          <w:vertAlign w:val="superscript"/>
        </w:rPr>
        <w:t>[25]</w:t>
      </w:r>
      <w:r>
        <w:rPr>
          <w:sz w:val="24"/>
          <w:szCs w:val="22"/>
        </w:rPr>
        <w:t>研究表明，红鳍东方鲀(</w:t>
      </w:r>
      <w:r>
        <w:rPr>
          <w:i/>
          <w:iCs/>
          <w:sz w:val="24"/>
          <w:szCs w:val="22"/>
        </w:rPr>
        <w:t>Takifugu</w:t>
      </w:r>
      <w:r>
        <w:rPr>
          <w:rFonts w:hint="eastAsia"/>
          <w:i/>
          <w:iCs/>
          <w:sz w:val="24"/>
          <w:szCs w:val="22"/>
        </w:rPr>
        <w:t xml:space="preserve"> </w:t>
      </w:r>
      <w:r>
        <w:rPr>
          <w:i/>
          <w:iCs/>
          <w:sz w:val="24"/>
          <w:szCs w:val="22"/>
        </w:rPr>
        <w:t>rubripes</w:t>
      </w:r>
      <w:r>
        <w:rPr>
          <w:sz w:val="24"/>
          <w:szCs w:val="22"/>
        </w:rPr>
        <w:t>)饲料中增加适量壳寡糖可增强其消化道中脂肪酶与蛋白酶的活性，当添加水平为0.2%时活性为最大值。张诗雨等</w:t>
      </w:r>
      <w:r>
        <w:rPr>
          <w:sz w:val="24"/>
          <w:szCs w:val="22"/>
          <w:vertAlign w:val="superscript"/>
        </w:rPr>
        <w:t>[15]</w:t>
      </w:r>
      <w:r>
        <w:rPr>
          <w:sz w:val="24"/>
          <w:szCs w:val="22"/>
        </w:rPr>
        <w:t>研究表明，克氏原螯虾饲料中加入0.2g/kg壳寡糖可使其消化道淀粉酶以及脂肪酶活性显著提升，加入0.8g/kg壳寡糖可使其消化道中胰蛋白酶活性明显上升</w:t>
      </w:r>
      <w:r>
        <w:rPr>
          <w:sz w:val="24"/>
          <w:szCs w:val="22"/>
          <w:vertAlign w:val="superscript"/>
        </w:rPr>
        <w:t>[15]</w:t>
      </w:r>
      <w:r>
        <w:rPr>
          <w:sz w:val="24"/>
          <w:szCs w:val="22"/>
        </w:rPr>
        <w:t>。目前有关壳寡糖影响生物机体肝胰腺消化酶活性水平的探究还比较少，但有许多关于其他寡糖的研究。陈晓瑛等</w:t>
      </w:r>
      <w:r>
        <w:rPr>
          <w:sz w:val="24"/>
          <w:szCs w:val="22"/>
          <w:vertAlign w:val="superscript"/>
        </w:rPr>
        <w:t>[31]</w:t>
      </w:r>
      <w:r>
        <w:rPr>
          <w:sz w:val="24"/>
          <w:szCs w:val="22"/>
        </w:rPr>
        <w:t>研究发现，凡纳滨对虾饲料中加入适量浓度的低聚木糖可使其肝胰腺内脂肪酶、淀粉酶、蛋白酶活性得到明显提升，改善效果随低聚木糖添加量变化而有所差异。Sang等</w:t>
      </w:r>
      <w:r>
        <w:rPr>
          <w:sz w:val="24"/>
          <w:szCs w:val="22"/>
          <w:vertAlign w:val="superscript"/>
        </w:rPr>
        <w:t>[32]</w:t>
      </w:r>
      <w:r>
        <w:rPr>
          <w:sz w:val="24"/>
          <w:szCs w:val="22"/>
        </w:rPr>
        <w:t>研究表明，饲料中添加4‰的甘露寡糖则可以增强淡水小龙虾(</w:t>
      </w:r>
      <w:r>
        <w:rPr>
          <w:i/>
          <w:iCs/>
          <w:sz w:val="24"/>
          <w:szCs w:val="22"/>
        </w:rPr>
        <w:t>Cherax</w:t>
      </w:r>
      <w:r>
        <w:rPr>
          <w:rFonts w:hint="eastAsia"/>
          <w:i/>
          <w:iCs/>
          <w:sz w:val="24"/>
          <w:szCs w:val="22"/>
        </w:rPr>
        <w:t xml:space="preserve"> </w:t>
      </w:r>
      <w:r>
        <w:rPr>
          <w:i/>
          <w:iCs/>
          <w:sz w:val="24"/>
          <w:szCs w:val="22"/>
        </w:rPr>
        <w:t>destructor</w:t>
      </w:r>
      <w:r>
        <w:rPr>
          <w:rFonts w:hint="eastAsia"/>
          <w:i/>
          <w:iCs/>
          <w:sz w:val="24"/>
          <w:szCs w:val="22"/>
        </w:rPr>
        <w:t xml:space="preserve"> </w:t>
      </w:r>
      <w:r>
        <w:rPr>
          <w:i/>
          <w:iCs/>
          <w:sz w:val="24"/>
          <w:szCs w:val="22"/>
        </w:rPr>
        <w:t>Clark</w:t>
      </w:r>
      <w:r>
        <w:rPr>
          <w:sz w:val="24"/>
          <w:szCs w:val="22"/>
        </w:rPr>
        <w:t>)肝胰腺中的蛋白酶活性。推测壳寡糖可能作为一种信号分子，激发了蛋白酶相关的通路，增加了蛋白酶的表达，从而增强了蛋白酶活性，具体机制有待进一步研究。</w:t>
      </w:r>
    </w:p>
    <w:p>
      <w:pPr>
        <w:spacing w:line="360" w:lineRule="auto"/>
        <w:rPr>
          <w:sz w:val="24"/>
          <w:szCs w:val="22"/>
        </w:rPr>
      </w:pPr>
      <w:r>
        <w:rPr>
          <w:sz w:val="24"/>
          <w:szCs w:val="22"/>
        </w:rPr>
        <w:t>3</w:t>
      </w:r>
      <w:r>
        <w:rPr>
          <w:rFonts w:hint="eastAsia"/>
          <w:sz w:val="24"/>
          <w:szCs w:val="22"/>
        </w:rPr>
        <w:t xml:space="preserve"> </w:t>
      </w:r>
      <w:r>
        <w:rPr>
          <w:sz w:val="24"/>
          <w:szCs w:val="22"/>
        </w:rPr>
        <w:t>壳寡糖对甲壳动物血液生化指标的影响</w:t>
      </w:r>
    </w:p>
    <w:p>
      <w:pPr>
        <w:spacing w:line="360" w:lineRule="auto"/>
        <w:ind w:firstLine="480" w:firstLineChars="200"/>
        <w:rPr>
          <w:sz w:val="24"/>
          <w:szCs w:val="22"/>
        </w:rPr>
      </w:pPr>
      <w:r>
        <w:rPr>
          <w:sz w:val="24"/>
          <w:szCs w:val="22"/>
        </w:rPr>
        <w:t>动物血清中的总胆固醇（T-CHO）、葡萄糖（Glu）、三酰甘油（TG）、低密度脂蛋白胆固醇（LDL-C）和高密度脂蛋白胆固醇（HDL-C）等生化指标可反映机体的代谢状态、器官功能，壳寡糖能够调节脂类代谢，从而导致脂肪和胆固醇的沉积减少，保障肝功能的正常生长发育</w:t>
      </w:r>
      <w:r>
        <w:rPr>
          <w:sz w:val="24"/>
          <w:szCs w:val="22"/>
          <w:vertAlign w:val="superscript"/>
        </w:rPr>
        <w:t>[33-35]</w:t>
      </w:r>
      <w:r>
        <w:rPr>
          <w:sz w:val="24"/>
          <w:szCs w:val="22"/>
        </w:rPr>
        <w:t>。马利等</w:t>
      </w:r>
      <w:r>
        <w:rPr>
          <w:sz w:val="24"/>
          <w:szCs w:val="22"/>
          <w:vertAlign w:val="superscript"/>
        </w:rPr>
        <w:t>[18]</w:t>
      </w:r>
      <w:r>
        <w:rPr>
          <w:sz w:val="24"/>
          <w:szCs w:val="22"/>
        </w:rPr>
        <w:t>研究表明，饲料中添加不同水平壳寡糖对改变凡纳滨对虾血清内的T-CHO、LDL-C和TG水平的影响并不明显，但可提高血清中HDL-C水平。也有研究发现，凡纳滨对虾饲料中加入壳寡糖虽然未能显著影响其血清中CHO、Glu和总蛋白的含量水平，但是降低了LDL-C含量并同时提高了其HDL-C含量</w:t>
      </w:r>
      <w:r>
        <w:rPr>
          <w:sz w:val="24"/>
          <w:szCs w:val="22"/>
          <w:vertAlign w:val="superscript"/>
        </w:rPr>
        <w:t>[36]</w:t>
      </w:r>
      <w:r>
        <w:rPr>
          <w:sz w:val="24"/>
          <w:szCs w:val="22"/>
        </w:rPr>
        <w:t>，推测壳寡糖可能与胆盐静电结合，从而减少了胆盐通过肠肝循环进行重吸收，加速了胆固醇转变为胆盐，因此血清中胆固醇的含量逐渐降低</w:t>
      </w:r>
      <w:r>
        <w:rPr>
          <w:sz w:val="24"/>
          <w:szCs w:val="22"/>
          <w:vertAlign w:val="superscript"/>
        </w:rPr>
        <w:t>[37]</w:t>
      </w:r>
      <w:r>
        <w:rPr>
          <w:sz w:val="24"/>
          <w:szCs w:val="22"/>
        </w:rPr>
        <w:t>。但中华绒螯蟹饲料中添加壳寡糖对其血清生化指标水平并无明显影响</w:t>
      </w:r>
      <w:r>
        <w:rPr>
          <w:sz w:val="24"/>
          <w:szCs w:val="22"/>
          <w:vertAlign w:val="superscript"/>
        </w:rPr>
        <w:t>[38]</w:t>
      </w:r>
      <w:r>
        <w:rPr>
          <w:sz w:val="24"/>
          <w:szCs w:val="22"/>
        </w:rPr>
        <w:t>。壳寡糖对不同甲壳动物的血液生化指标影响的差异，可能与其摄食情况、生活环境等条件相关。</w:t>
      </w:r>
    </w:p>
    <w:p>
      <w:pPr>
        <w:spacing w:line="360" w:lineRule="auto"/>
        <w:rPr>
          <w:sz w:val="24"/>
          <w:szCs w:val="22"/>
        </w:rPr>
      </w:pPr>
      <w:r>
        <w:rPr>
          <w:sz w:val="24"/>
          <w:szCs w:val="22"/>
        </w:rPr>
        <w:t>4</w:t>
      </w:r>
      <w:r>
        <w:rPr>
          <w:rFonts w:hint="eastAsia"/>
          <w:sz w:val="24"/>
          <w:szCs w:val="22"/>
        </w:rPr>
        <w:t xml:space="preserve"> </w:t>
      </w:r>
      <w:r>
        <w:rPr>
          <w:sz w:val="24"/>
          <w:szCs w:val="22"/>
        </w:rPr>
        <w:t>壳寡糖对甲壳动物的免疫调节功能</w:t>
      </w:r>
    </w:p>
    <w:p>
      <w:pPr>
        <w:spacing w:line="360" w:lineRule="auto"/>
        <w:rPr>
          <w:sz w:val="24"/>
          <w:szCs w:val="22"/>
        </w:rPr>
      </w:pPr>
      <w:r>
        <w:rPr>
          <w:sz w:val="24"/>
          <w:szCs w:val="22"/>
        </w:rPr>
        <w:t>4.1</w:t>
      </w:r>
      <w:r>
        <w:rPr>
          <w:rFonts w:hint="eastAsia"/>
          <w:sz w:val="24"/>
          <w:szCs w:val="22"/>
        </w:rPr>
        <w:t xml:space="preserve"> </w:t>
      </w:r>
      <w:r>
        <w:rPr>
          <w:sz w:val="24"/>
          <w:szCs w:val="22"/>
        </w:rPr>
        <w:t>对非特异性免疫的影响</w:t>
      </w:r>
    </w:p>
    <w:p>
      <w:pPr>
        <w:spacing w:line="360" w:lineRule="auto"/>
        <w:ind w:firstLine="480" w:firstLineChars="200"/>
        <w:rPr>
          <w:sz w:val="24"/>
          <w:szCs w:val="22"/>
        </w:rPr>
      </w:pPr>
      <w:r>
        <w:rPr>
          <w:sz w:val="24"/>
          <w:szCs w:val="22"/>
        </w:rPr>
        <w:t>溶菌酶（LZM）、酸性磷酸酶（ACP）和碱性磷酸酶（AKP）在甲壳动物体液免疫过程中起关键作用，与生物应激能力和免疫水平密切相关</w:t>
      </w:r>
      <w:r>
        <w:rPr>
          <w:sz w:val="24"/>
          <w:szCs w:val="22"/>
          <w:vertAlign w:val="superscript"/>
        </w:rPr>
        <w:t>[39-42]</w:t>
      </w:r>
      <w:r>
        <w:rPr>
          <w:sz w:val="24"/>
          <w:szCs w:val="22"/>
        </w:rPr>
        <w:t>，在饲料中添加壳寡糖对甲壳动物体内免疫因子具有一定影响。研究表明，当凡纳滨对虾饲料中壳寡糖（3kDa，85%脱乙酰度）的添加量为0.1%时，其体内的AKP与ACP的活性可得到明显提升</w:t>
      </w:r>
      <w:r>
        <w:rPr>
          <w:sz w:val="24"/>
          <w:szCs w:val="22"/>
          <w:vertAlign w:val="superscript"/>
        </w:rPr>
        <w:t>[23]</w:t>
      </w:r>
      <w:r>
        <w:rPr>
          <w:sz w:val="24"/>
          <w:szCs w:val="22"/>
        </w:rPr>
        <w:t>。饲料中添加300~600mg/kg的壳寡糖可以显著提高凡纳滨对虾血清中LZM的活性并同时增强AKP的活性，提高其免疫力</w:t>
      </w:r>
      <w:r>
        <w:rPr>
          <w:sz w:val="24"/>
          <w:szCs w:val="22"/>
          <w:vertAlign w:val="superscript"/>
        </w:rPr>
        <w:t>[43]</w:t>
      </w:r>
      <w:r>
        <w:rPr>
          <w:sz w:val="24"/>
          <w:szCs w:val="22"/>
        </w:rPr>
        <w:t>。一氧化氮是细胞内重要的信号分子之一，在大多数动物免疫反应中均发挥着重要作用。研究表明，壳寡糖显著提高了中华绒螯蟹血清中溶菌酶的活性，并显著增加了血清中一氧化氮的含量，同时壳寡糖还显著增强了Toll信号通路中EsToll1、EsToll2、EsMyD88、EsTube、EsPelle和EsDorsal的表达，上调抗菌肽抗脂多糖因子EsALF和EsALF3的表达</w:t>
      </w:r>
      <w:r>
        <w:rPr>
          <w:sz w:val="24"/>
          <w:szCs w:val="22"/>
          <w:vertAlign w:val="superscript"/>
        </w:rPr>
        <w:t>[44]</w:t>
      </w:r>
      <w:r>
        <w:rPr>
          <w:sz w:val="24"/>
          <w:szCs w:val="22"/>
        </w:rPr>
        <w:t>。在三疣梭子蟹中证明壳寡糖可以显著提高血清中LZM和ACP的活性，但对AKP活力促进效果不显著</w:t>
      </w:r>
      <w:r>
        <w:rPr>
          <w:sz w:val="24"/>
          <w:szCs w:val="22"/>
          <w:vertAlign w:val="superscript"/>
        </w:rPr>
        <w:t>[14]</w:t>
      </w:r>
      <w:r>
        <w:rPr>
          <w:sz w:val="24"/>
          <w:szCs w:val="22"/>
        </w:rPr>
        <w:t>。研究表明，中华绒螯蟹饲料中添加壳寡糖可使血清中LZM的活性明显提高</w:t>
      </w:r>
      <w:r>
        <w:rPr>
          <w:sz w:val="24"/>
          <w:szCs w:val="22"/>
          <w:vertAlign w:val="superscript"/>
        </w:rPr>
        <w:t>[45]</w:t>
      </w:r>
      <w:r>
        <w:rPr>
          <w:sz w:val="24"/>
          <w:szCs w:val="22"/>
        </w:rPr>
        <w:t>，AKP和ACP活性有提高趋势，但差异不显著</w:t>
      </w:r>
      <w:r>
        <w:rPr>
          <w:sz w:val="24"/>
          <w:szCs w:val="22"/>
          <w:vertAlign w:val="superscript"/>
        </w:rPr>
        <w:t>[44]</w:t>
      </w:r>
      <w:r>
        <w:rPr>
          <w:sz w:val="24"/>
          <w:szCs w:val="22"/>
        </w:rPr>
        <w:t>，这与李振达等</w:t>
      </w:r>
      <w:r>
        <w:rPr>
          <w:sz w:val="24"/>
          <w:szCs w:val="22"/>
          <w:vertAlign w:val="superscript"/>
        </w:rPr>
        <w:t>[14]</w:t>
      </w:r>
      <w:r>
        <w:rPr>
          <w:sz w:val="24"/>
          <w:szCs w:val="22"/>
        </w:rPr>
        <w:t>的研究结果有所不同，可能是壳寡糖作用时间的不同对其有一定的影响。具体机理可能是壳寡糖分子本身也具有一定的免疫原性，作为信号分子，可以与甲壳动物细胞表面的受体蛋白结合，从而促进其信号传导，引发一系列的免疫反应，提升了甲壳动物的免疫能力，这与在其他水产动物中的发现类似</w:t>
      </w:r>
      <w:r>
        <w:rPr>
          <w:sz w:val="24"/>
          <w:szCs w:val="22"/>
          <w:vertAlign w:val="superscript"/>
        </w:rPr>
        <w:t>[24]</w:t>
      </w:r>
      <w:r>
        <w:rPr>
          <w:sz w:val="24"/>
          <w:szCs w:val="22"/>
        </w:rPr>
        <w:t>。</w:t>
      </w:r>
    </w:p>
    <w:p>
      <w:pPr>
        <w:spacing w:line="360" w:lineRule="auto"/>
        <w:rPr>
          <w:sz w:val="24"/>
          <w:szCs w:val="22"/>
        </w:rPr>
      </w:pPr>
      <w:r>
        <w:rPr>
          <w:sz w:val="24"/>
          <w:szCs w:val="22"/>
        </w:rPr>
        <w:t>4.2</w:t>
      </w:r>
      <w:r>
        <w:rPr>
          <w:rFonts w:hint="eastAsia"/>
          <w:sz w:val="24"/>
          <w:szCs w:val="22"/>
        </w:rPr>
        <w:t xml:space="preserve"> </w:t>
      </w:r>
      <w:r>
        <w:rPr>
          <w:sz w:val="24"/>
          <w:szCs w:val="22"/>
        </w:rPr>
        <w:t>对抗病力的影响</w:t>
      </w:r>
    </w:p>
    <w:p>
      <w:pPr>
        <w:spacing w:line="360" w:lineRule="auto"/>
        <w:ind w:firstLine="480" w:firstLineChars="200"/>
        <w:rPr>
          <w:sz w:val="24"/>
          <w:szCs w:val="22"/>
        </w:rPr>
      </w:pPr>
      <w:r>
        <w:rPr>
          <w:sz w:val="24"/>
          <w:szCs w:val="22"/>
        </w:rPr>
        <w:t>壳寡糖除了可以调节机体内的免疫因子使甲壳动物免疫能力提升的同时，还具有一定的抗病能力</w:t>
      </w:r>
      <w:r>
        <w:rPr>
          <w:sz w:val="24"/>
          <w:szCs w:val="22"/>
          <w:vertAlign w:val="superscript"/>
        </w:rPr>
        <w:t>[46-48]</w:t>
      </w:r>
      <w:r>
        <w:rPr>
          <w:sz w:val="24"/>
          <w:szCs w:val="22"/>
        </w:rPr>
        <w:t>。研究表明，凡纳滨对虾饲料中添加壳寡糖（0.5%）可使LZM、酚氧化酶原（ProPo）及对虾素3（Pen3）免疫基因表达量得到明显提升，改善因为饲料中鱼粉含量过低所导致的对虾抗病力降低等相关问题</w:t>
      </w:r>
      <w:r>
        <w:rPr>
          <w:sz w:val="24"/>
          <w:szCs w:val="22"/>
          <w:vertAlign w:val="superscript"/>
        </w:rPr>
        <w:t>[36]</w:t>
      </w:r>
      <w:r>
        <w:rPr>
          <w:sz w:val="24"/>
          <w:szCs w:val="22"/>
        </w:rPr>
        <w:t>。作为严重威胁对虾养殖的弧菌之一，副溶血弧菌（V.</w:t>
      </w:r>
      <w:r>
        <w:rPr>
          <w:i/>
          <w:iCs/>
          <w:sz w:val="24"/>
          <w:szCs w:val="22"/>
        </w:rPr>
        <w:t>parahaemolyticus</w:t>
      </w:r>
      <w:r>
        <w:rPr>
          <w:sz w:val="24"/>
          <w:szCs w:val="22"/>
        </w:rPr>
        <w:t>）曾使水产养殖业遭受巨大损害</w:t>
      </w:r>
      <w:r>
        <w:rPr>
          <w:sz w:val="24"/>
          <w:szCs w:val="22"/>
          <w:vertAlign w:val="superscript"/>
        </w:rPr>
        <w:t>[49-50]</w:t>
      </w:r>
      <w:r>
        <w:rPr>
          <w:sz w:val="24"/>
          <w:szCs w:val="22"/>
        </w:rPr>
        <w:t>，在凡纳滨对虾鱼粉含量过低的饲料中加入适量壳寡糖可提升其对副溶血弧菌时的抗病力，使其存活率上升</w:t>
      </w:r>
      <w:r>
        <w:rPr>
          <w:sz w:val="24"/>
          <w:szCs w:val="22"/>
          <w:vertAlign w:val="superscript"/>
        </w:rPr>
        <w:t>[36]</w:t>
      </w:r>
      <w:r>
        <w:rPr>
          <w:sz w:val="24"/>
          <w:szCs w:val="22"/>
        </w:rPr>
        <w:t>。哈维氏弧菌（V.</w:t>
      </w:r>
      <w:r>
        <w:rPr>
          <w:i/>
          <w:iCs/>
          <w:sz w:val="24"/>
          <w:szCs w:val="22"/>
        </w:rPr>
        <w:t>harveyi</w:t>
      </w:r>
      <w:r>
        <w:rPr>
          <w:sz w:val="24"/>
          <w:szCs w:val="22"/>
        </w:rPr>
        <w:t>）是一种普遍存在于海洋和河口生态系统中的致病性弧菌，是影响热带和亚热带海水养殖动物的最常见病原，对我国乃至全球的海洋养殖渔业造成了严重危害</w:t>
      </w:r>
      <w:r>
        <w:rPr>
          <w:sz w:val="24"/>
          <w:szCs w:val="22"/>
          <w:vertAlign w:val="superscript"/>
        </w:rPr>
        <w:t>[51]</w:t>
      </w:r>
      <w:r>
        <w:rPr>
          <w:sz w:val="24"/>
          <w:szCs w:val="22"/>
        </w:rPr>
        <w:t>。饲料中添加一定量的壳寡糖COS可有效降低凡纳滨对虾哈维氏弧菌攻毒后的累积死亡，提高其抗病力</w:t>
      </w:r>
      <w:r>
        <w:rPr>
          <w:sz w:val="24"/>
          <w:szCs w:val="22"/>
          <w:vertAlign w:val="superscript"/>
        </w:rPr>
        <w:t>[20]</w:t>
      </w:r>
      <w:r>
        <w:rPr>
          <w:sz w:val="24"/>
          <w:szCs w:val="22"/>
        </w:rPr>
        <w:t>。白斑综合征病毒（WSSV）是目前发现的最大病毒之一，也是导致如对虾、螃蟹等甲壳动物患白斑综合征的主要病原体</w:t>
      </w:r>
      <w:r>
        <w:rPr>
          <w:sz w:val="24"/>
          <w:szCs w:val="22"/>
          <w:vertAlign w:val="superscript"/>
        </w:rPr>
        <w:t>[52-53]</w:t>
      </w:r>
      <w:r>
        <w:rPr>
          <w:sz w:val="24"/>
          <w:szCs w:val="22"/>
        </w:rPr>
        <w:t>，研究表明，在克氏原螯虾的饲料中加入0.8g/kg壳寡糖可使其AKP活性及白斑综合征病毒抗病力明显提升</w:t>
      </w:r>
      <w:r>
        <w:rPr>
          <w:sz w:val="24"/>
          <w:szCs w:val="22"/>
          <w:vertAlign w:val="superscript"/>
        </w:rPr>
        <w:t>[17]</w:t>
      </w:r>
      <w:r>
        <w:rPr>
          <w:sz w:val="24"/>
          <w:szCs w:val="22"/>
        </w:rPr>
        <w:t>。壳寡糖能增加甲壳动物的抗病力，推测可能是直接对致病菌的细胞膜产生作用或通过产生活性氧来达到抑制致病菌生长的效果</w:t>
      </w:r>
      <w:r>
        <w:rPr>
          <w:sz w:val="24"/>
          <w:szCs w:val="22"/>
          <w:vertAlign w:val="superscript"/>
        </w:rPr>
        <w:t>[54]</w:t>
      </w:r>
      <w:r>
        <w:rPr>
          <w:sz w:val="24"/>
          <w:szCs w:val="22"/>
        </w:rPr>
        <w:t>。</w:t>
      </w:r>
    </w:p>
    <w:p>
      <w:pPr>
        <w:spacing w:line="360" w:lineRule="auto"/>
        <w:rPr>
          <w:sz w:val="24"/>
          <w:szCs w:val="22"/>
        </w:rPr>
      </w:pPr>
      <w:r>
        <w:rPr>
          <w:sz w:val="24"/>
          <w:szCs w:val="22"/>
        </w:rPr>
        <w:t>5</w:t>
      </w:r>
      <w:r>
        <w:rPr>
          <w:rFonts w:hint="eastAsia"/>
          <w:sz w:val="24"/>
          <w:szCs w:val="22"/>
        </w:rPr>
        <w:t xml:space="preserve"> </w:t>
      </w:r>
      <w:r>
        <w:rPr>
          <w:sz w:val="24"/>
          <w:szCs w:val="22"/>
        </w:rPr>
        <w:t>壳寡糖对甲壳动物炎症因子的影响</w:t>
      </w:r>
    </w:p>
    <w:p>
      <w:pPr>
        <w:spacing w:line="360" w:lineRule="auto"/>
        <w:ind w:firstLine="480" w:firstLineChars="200"/>
        <w:rPr>
          <w:sz w:val="24"/>
          <w:szCs w:val="22"/>
        </w:rPr>
      </w:pPr>
      <w:r>
        <w:rPr>
          <w:sz w:val="24"/>
          <w:szCs w:val="22"/>
        </w:rPr>
        <w:t>肿瘤坏死因子（TNF）作为一种与炎症相关的核心细胞因子，与某些慢性炎症和自身免疫病变有关，具有抑制和灭杀肿瘤细胞，诱导中性粒细胞吞噬作用，抵抗感染功能。细胞凋亡诱导因子（AIF）是一种具有凋亡诱导活性的蛋白质。细胞色素C（Cyt-c）是一种位于线粒体膜间隙的生死决定分子，对细胞凋亡起着重要作用。热休克蛋白70（HSP70）是用于协同免疫作用的一种蛋白质，可以在几乎所有生物的应激反应时受到诱导起到保护生物体健康的作用。转化生长因子-</w:t>
      </w:r>
      <w:r>
        <w:rPr>
          <w:i/>
          <w:iCs/>
          <w:sz w:val="24"/>
          <w:szCs w:val="22"/>
        </w:rPr>
        <w:t>β</w:t>
      </w:r>
      <w:r>
        <w:rPr>
          <w:sz w:val="24"/>
          <w:szCs w:val="22"/>
        </w:rPr>
        <w:t>（TGF-</w:t>
      </w:r>
      <w:r>
        <w:rPr>
          <w:i/>
          <w:iCs/>
          <w:sz w:val="24"/>
          <w:szCs w:val="22"/>
        </w:rPr>
        <w:t>β</w:t>
      </w:r>
      <w:r>
        <w:rPr>
          <w:sz w:val="24"/>
          <w:szCs w:val="22"/>
        </w:rPr>
        <w:t>）对生物机体炎症反应过程具有一定调节功能。这些细胞因子都属于可遏制和解决炎症灶的炎性因子，而壳寡糖对炎性细胞因子同样有显著的调节作用</w:t>
      </w:r>
      <w:r>
        <w:rPr>
          <w:sz w:val="24"/>
          <w:szCs w:val="22"/>
          <w:vertAlign w:val="superscript"/>
        </w:rPr>
        <w:t>[55-58]</w:t>
      </w:r>
      <w:r>
        <w:rPr>
          <w:sz w:val="24"/>
          <w:szCs w:val="22"/>
        </w:rPr>
        <w:t>。在鱼粉含量低的凡纳滨对虾饲料中添加壳寡糖不仅明显提升其TGF-</w:t>
      </w:r>
      <w:r>
        <w:rPr>
          <w:i/>
          <w:iCs/>
          <w:sz w:val="24"/>
          <w:szCs w:val="22"/>
        </w:rPr>
        <w:t>β</w:t>
      </w:r>
      <w:r>
        <w:rPr>
          <w:sz w:val="24"/>
          <w:szCs w:val="22"/>
        </w:rPr>
        <w:t>mRNA相对表达量，还下调了其肝胰腺及消化道中TNF、HSP70、Cyt-c与AIF炎症相关因子的mRNA相对表达量，调节肝胰腺与消化道炎症反应过程提高其抗应激能力</w:t>
      </w:r>
      <w:r>
        <w:rPr>
          <w:sz w:val="24"/>
          <w:szCs w:val="22"/>
          <w:vertAlign w:val="superscript"/>
        </w:rPr>
        <w:t>[36]</w:t>
      </w:r>
      <w:r>
        <w:rPr>
          <w:sz w:val="24"/>
          <w:szCs w:val="22"/>
        </w:rPr>
        <w:t>。在饲料中添加适量壳寡糖可下调凡纳滨对虾HSP70和炎症因子（如AIF和TNF）在肝胰腺和肠道中的表达，提升其抗氧化能力</w:t>
      </w:r>
      <w:r>
        <w:rPr>
          <w:sz w:val="24"/>
          <w:szCs w:val="22"/>
          <w:vertAlign w:val="superscript"/>
        </w:rPr>
        <w:t>[43]</w:t>
      </w:r>
      <w:r>
        <w:rPr>
          <w:sz w:val="24"/>
          <w:szCs w:val="22"/>
        </w:rPr>
        <w:t>，影响机制可能是壳寡糖作为信号分子且本身具有免疫原性，引发了与炎症因子相关的信号通路传导，从而对炎症因子产生作用。目前壳寡糖对炎性因子的调节作用在水产动物中研究较多，但是有关甲壳动物的影响尚有待进一步研究。</w:t>
      </w:r>
    </w:p>
    <w:p>
      <w:pPr>
        <w:spacing w:line="360" w:lineRule="auto"/>
        <w:rPr>
          <w:sz w:val="24"/>
          <w:szCs w:val="22"/>
        </w:rPr>
      </w:pPr>
      <w:r>
        <w:rPr>
          <w:sz w:val="24"/>
          <w:szCs w:val="22"/>
        </w:rPr>
        <w:t>6</w:t>
      </w:r>
      <w:r>
        <w:rPr>
          <w:rFonts w:hint="eastAsia"/>
          <w:sz w:val="24"/>
          <w:szCs w:val="22"/>
        </w:rPr>
        <w:t xml:space="preserve"> </w:t>
      </w:r>
      <w:r>
        <w:rPr>
          <w:sz w:val="24"/>
          <w:szCs w:val="22"/>
        </w:rPr>
        <w:t>壳寡糖对甲壳动物抗氧化能力的影响</w:t>
      </w:r>
    </w:p>
    <w:p>
      <w:pPr>
        <w:spacing w:line="360" w:lineRule="auto"/>
        <w:ind w:firstLine="480" w:firstLineChars="200"/>
        <w:rPr>
          <w:sz w:val="24"/>
          <w:szCs w:val="22"/>
        </w:rPr>
      </w:pPr>
      <w:r>
        <w:rPr>
          <w:sz w:val="24"/>
          <w:szCs w:val="22"/>
        </w:rPr>
        <w:t>谷胱甘肽过氧化物酶（GSH-PX）、超氧化物歧化酶（SOD）及过氧化氢酶（CAT）都是抗氧化应激体系中重要的生物活性物质，在生物机体受到氧化应激反应时起关键防御作用，一定程度上表明了水产动物抗氧化应激能力</w:t>
      </w:r>
      <w:r>
        <w:rPr>
          <w:sz w:val="24"/>
          <w:szCs w:val="22"/>
          <w:vertAlign w:val="superscript"/>
        </w:rPr>
        <w:t>[59-64]</w:t>
      </w:r>
      <w:r>
        <w:rPr>
          <w:sz w:val="24"/>
          <w:szCs w:val="22"/>
        </w:rPr>
        <w:t>。研究表明，在凡纳滨对虾饲料中加入一定量的壳寡糖使凡纳滨对虾的SOD、CAT活性和GSH-Px活性显著增高，从而增强其抗氧化能力</w:t>
      </w:r>
      <w:r>
        <w:rPr>
          <w:sz w:val="24"/>
          <w:szCs w:val="22"/>
          <w:vertAlign w:val="superscript"/>
        </w:rPr>
        <w:t>[20-21,23]</w:t>
      </w:r>
      <w:r>
        <w:rPr>
          <w:sz w:val="24"/>
          <w:szCs w:val="22"/>
        </w:rPr>
        <w:t>，在红鳌螯虾血淋巴中也有类似发现</w:t>
      </w:r>
      <w:r>
        <w:rPr>
          <w:sz w:val="24"/>
          <w:szCs w:val="22"/>
          <w:vertAlign w:val="superscript"/>
        </w:rPr>
        <w:t>[17]</w:t>
      </w:r>
      <w:r>
        <w:rPr>
          <w:sz w:val="24"/>
          <w:szCs w:val="22"/>
        </w:rPr>
        <w:t>。丙二醛（MDA）是机体内膜脂过氧化反应中自由基氧化的最终分解产物，它能够与蛋白质、核酸发生反应，致使这些生物大分子丧失原有的正常功能。同时，丙二醛自身还具有一定程度的细胞毒性，会对细胞的正常生理活动造成不良影响。壳寡糖可以提升斑节对虾(Penaeusmonodon)消化腺中的SOD和GSH-PX活性，减少体内MDA含量，提升其总抗氧化应激能力</w:t>
      </w:r>
      <w:r>
        <w:rPr>
          <w:sz w:val="24"/>
          <w:szCs w:val="22"/>
          <w:vertAlign w:val="superscript"/>
        </w:rPr>
        <w:t>[65]</w:t>
      </w:r>
      <w:r>
        <w:rPr>
          <w:sz w:val="24"/>
          <w:szCs w:val="22"/>
        </w:rPr>
        <w:t>。壳寡糖能够使红螯螯虾血浆及肝胰腺内CAT、SOD、GSH-Px活性及总抗氧化能力明显提高，同时使其血清及肝胰腺内MDA含量减少</w:t>
      </w:r>
      <w:r>
        <w:rPr>
          <w:sz w:val="24"/>
          <w:szCs w:val="22"/>
          <w:vertAlign w:val="superscript"/>
        </w:rPr>
        <w:t>[66]</w:t>
      </w:r>
      <w:r>
        <w:rPr>
          <w:sz w:val="24"/>
          <w:szCs w:val="22"/>
        </w:rPr>
        <w:t>。添加适量的壳寡糖可以提高中华绒螯蟹肌肉和可食用内脏</w:t>
      </w:r>
      <w:r>
        <w:rPr>
          <w:sz w:val="24"/>
          <w:szCs w:val="22"/>
          <w:vertAlign w:val="superscript"/>
        </w:rPr>
        <w:t>[38]</w:t>
      </w:r>
      <w:r>
        <w:rPr>
          <w:sz w:val="24"/>
          <w:szCs w:val="22"/>
        </w:rPr>
        <w:t>、肝胰腺</w:t>
      </w:r>
      <w:r>
        <w:rPr>
          <w:sz w:val="24"/>
          <w:szCs w:val="22"/>
          <w:vertAlign w:val="superscript"/>
        </w:rPr>
        <w:t>[14]</w:t>
      </w:r>
      <w:r>
        <w:rPr>
          <w:sz w:val="24"/>
          <w:szCs w:val="22"/>
        </w:rPr>
        <w:t>和血清</w:t>
      </w:r>
      <w:r>
        <w:rPr>
          <w:sz w:val="24"/>
          <w:szCs w:val="22"/>
          <w:vertAlign w:val="superscript"/>
        </w:rPr>
        <w:t>[14,44]</w:t>
      </w:r>
      <w:r>
        <w:rPr>
          <w:sz w:val="24"/>
          <w:szCs w:val="22"/>
        </w:rPr>
        <w:t>中的SOD、CAT及GSH-PX的活性，同时减少MDA含量。说明壳寡糖有提升甲壳动物抗氧化应激功能的功效。也有研究发现，在克氏原螯虾饲料中加入0.2~0.8g/kg壳寡糖会使其血清内SOD及CAT的活性不同程度地下降，降低其抗氧化能力</w:t>
      </w:r>
      <w:r>
        <w:rPr>
          <w:sz w:val="24"/>
          <w:szCs w:val="22"/>
          <w:vertAlign w:val="superscript"/>
        </w:rPr>
        <w:t>[15]</w:t>
      </w:r>
      <w:r>
        <w:rPr>
          <w:sz w:val="24"/>
          <w:szCs w:val="22"/>
        </w:rPr>
        <w:t>。试验中所使用不同添加水平、理化因子的壳寡糖以及不同物种间的差异都有可能造成试验结果的变化。壳寡糖对抗氧化能力的影响，可能是其本身具有免疫原性且为一种信号分子，引发了抗氧化相关的通路，影响了抗氧化相关酶的表达，也可能通过影响活性氧的产生，进而影响了甲壳动物的抗氧化能力。但具体的机制尚需要深入研究。</w:t>
      </w:r>
    </w:p>
    <w:p>
      <w:pPr>
        <w:spacing w:line="360" w:lineRule="auto"/>
        <w:rPr>
          <w:sz w:val="24"/>
          <w:szCs w:val="22"/>
        </w:rPr>
      </w:pPr>
      <w:r>
        <w:rPr>
          <w:sz w:val="24"/>
          <w:szCs w:val="22"/>
        </w:rPr>
        <w:t>7</w:t>
      </w:r>
      <w:r>
        <w:rPr>
          <w:rFonts w:hint="eastAsia"/>
          <w:sz w:val="24"/>
          <w:szCs w:val="22"/>
        </w:rPr>
        <w:t xml:space="preserve"> </w:t>
      </w:r>
      <w:r>
        <w:rPr>
          <w:sz w:val="24"/>
          <w:szCs w:val="22"/>
        </w:rPr>
        <w:t>壳寡糖对甲壳动物肠道健康的影响</w:t>
      </w:r>
    </w:p>
    <w:p>
      <w:pPr>
        <w:spacing w:line="360" w:lineRule="auto"/>
        <w:rPr>
          <w:sz w:val="24"/>
          <w:szCs w:val="22"/>
        </w:rPr>
      </w:pPr>
      <w:r>
        <w:rPr>
          <w:sz w:val="24"/>
          <w:szCs w:val="22"/>
        </w:rPr>
        <w:t>7.1</w:t>
      </w:r>
      <w:r>
        <w:rPr>
          <w:rFonts w:hint="eastAsia"/>
          <w:sz w:val="24"/>
          <w:szCs w:val="22"/>
        </w:rPr>
        <w:t xml:space="preserve"> </w:t>
      </w:r>
      <w:r>
        <w:rPr>
          <w:sz w:val="24"/>
          <w:szCs w:val="22"/>
        </w:rPr>
        <w:t>对肠道组织结构的调节作用</w:t>
      </w:r>
    </w:p>
    <w:p>
      <w:pPr>
        <w:spacing w:line="360" w:lineRule="auto"/>
        <w:ind w:firstLine="480" w:firstLineChars="200"/>
        <w:rPr>
          <w:sz w:val="24"/>
          <w:szCs w:val="22"/>
        </w:rPr>
      </w:pPr>
      <w:r>
        <w:rPr>
          <w:sz w:val="24"/>
          <w:szCs w:val="22"/>
        </w:rPr>
        <w:t>肠道作为动物消化系统的关键组成部分之一，其生理状况在一定程度上决定了水产动物机体的健康情况。动物生长过程中，受到饲料、水质和环境中的病原等影响，会威胁到水产动物的肠道健康。因此，保证水产动物肠道健康的关键是维持其肠道功能稳定、增强肠道免疫能力</w:t>
      </w:r>
      <w:r>
        <w:rPr>
          <w:sz w:val="24"/>
          <w:szCs w:val="22"/>
          <w:vertAlign w:val="superscript"/>
        </w:rPr>
        <w:t>[67]</w:t>
      </w:r>
      <w:r>
        <w:rPr>
          <w:sz w:val="24"/>
          <w:szCs w:val="22"/>
        </w:rPr>
        <w:t>。凡纳滨对虾饲料中添加适量的壳寡糖，可使其肠道上皮细胞排列更加紧密、规整并同时提升其肠道的绒毛长度和肠道的褶皱高度，从而影响其消化能力，提高其饲料利用率</w:t>
      </w:r>
      <w:r>
        <w:rPr>
          <w:sz w:val="24"/>
          <w:szCs w:val="22"/>
          <w:vertAlign w:val="superscript"/>
        </w:rPr>
        <w:t>[43]</w:t>
      </w:r>
      <w:r>
        <w:rPr>
          <w:sz w:val="24"/>
          <w:szCs w:val="22"/>
        </w:rPr>
        <w:t>。饲料中添加适量壳寡糖可改善中华鳖肠绒毛的长度和数量从而增强其肠道的免疫能力</w:t>
      </w:r>
      <w:r>
        <w:rPr>
          <w:sz w:val="24"/>
          <w:szCs w:val="22"/>
          <w:vertAlign w:val="superscript"/>
        </w:rPr>
        <w:t>[68]</w:t>
      </w:r>
      <w:r>
        <w:rPr>
          <w:sz w:val="24"/>
          <w:szCs w:val="22"/>
        </w:rPr>
        <w:t>。饲料中混合添加250mg/kg壳寡糖及2500mg/kg霉菌毒素吸附剂可提升凡纳滨对虾肠道绒毛长度，改善其肠道形态学指标</w:t>
      </w:r>
      <w:r>
        <w:rPr>
          <w:sz w:val="24"/>
          <w:szCs w:val="22"/>
          <w:vertAlign w:val="superscript"/>
        </w:rPr>
        <w:t>[69]</w:t>
      </w:r>
      <w:r>
        <w:rPr>
          <w:sz w:val="24"/>
          <w:szCs w:val="22"/>
        </w:rPr>
        <w:t>。壳寡糖的添加有助于增大甲壳动物的消化道面积，提高对营养物质吸收和利用率，具体其机制推测可能是增加了肠道黏液的分泌，进而能够保护和维持肠道绒毛的完整性，增加肠道绒毛的长度，促进肠道的发育</w:t>
      </w:r>
      <w:r>
        <w:rPr>
          <w:sz w:val="24"/>
          <w:szCs w:val="22"/>
          <w:vertAlign w:val="superscript"/>
        </w:rPr>
        <w:t>[24]</w:t>
      </w:r>
      <w:r>
        <w:rPr>
          <w:sz w:val="24"/>
          <w:szCs w:val="22"/>
        </w:rPr>
        <w:t>。</w:t>
      </w:r>
    </w:p>
    <w:p>
      <w:pPr>
        <w:spacing w:line="360" w:lineRule="auto"/>
        <w:rPr>
          <w:sz w:val="24"/>
          <w:szCs w:val="22"/>
        </w:rPr>
      </w:pPr>
      <w:r>
        <w:rPr>
          <w:sz w:val="24"/>
          <w:szCs w:val="22"/>
        </w:rPr>
        <w:t>7.2</w:t>
      </w:r>
      <w:r>
        <w:rPr>
          <w:rFonts w:hint="eastAsia"/>
          <w:sz w:val="24"/>
          <w:szCs w:val="22"/>
        </w:rPr>
        <w:t xml:space="preserve"> </w:t>
      </w:r>
      <w:r>
        <w:rPr>
          <w:sz w:val="24"/>
          <w:szCs w:val="22"/>
        </w:rPr>
        <w:t>对肠道菌群结构的调节作用</w:t>
      </w:r>
    </w:p>
    <w:p>
      <w:pPr>
        <w:spacing w:line="360" w:lineRule="auto"/>
        <w:ind w:firstLine="480" w:firstLineChars="200"/>
        <w:rPr>
          <w:sz w:val="24"/>
          <w:szCs w:val="22"/>
        </w:rPr>
      </w:pPr>
      <w:r>
        <w:rPr>
          <w:sz w:val="24"/>
          <w:szCs w:val="22"/>
        </w:rPr>
        <w:t>甲壳动物消化道内通常存在大量细菌，它们大多是通过所在生活环境或者摄食途径进入消化道中定植、生长及繁殖，成为甲壳动物体内不可或缺的重要组成部分，影响着甲壳动物的生长与健康</w:t>
      </w:r>
      <w:r>
        <w:rPr>
          <w:sz w:val="24"/>
          <w:szCs w:val="22"/>
          <w:vertAlign w:val="superscript"/>
        </w:rPr>
        <w:t>[70-71]</w:t>
      </w:r>
      <w:r>
        <w:rPr>
          <w:sz w:val="24"/>
          <w:szCs w:val="22"/>
        </w:rPr>
        <w:t>。肠道是一个由各种各样的微生物相互作用和协调而形成的复杂而动态的微生物系统，机体的健康及营养物质的正常消化吸收都需要微生物系统处于相对平衡稳定的状态来维持，当系统失衡，机体则会出现各种不良反应</w:t>
      </w:r>
      <w:r>
        <w:rPr>
          <w:sz w:val="24"/>
          <w:szCs w:val="22"/>
          <w:vertAlign w:val="superscript"/>
        </w:rPr>
        <w:t>[72]</w:t>
      </w:r>
      <w:r>
        <w:rPr>
          <w:sz w:val="24"/>
          <w:szCs w:val="22"/>
        </w:rPr>
        <w:t>。低聚糖作为一种调节剂，能够改善生物消化道菌群的结构，促进益生菌的增长，提高机体的营养吸收率。甲壳动物肠道菌群结构在门水平上主要由拟杆菌门、变形菌门、厚壁菌门等构成</w:t>
      </w:r>
      <w:r>
        <w:rPr>
          <w:sz w:val="24"/>
          <w:szCs w:val="22"/>
          <w:vertAlign w:val="superscript"/>
        </w:rPr>
        <w:t>[70-73]</w:t>
      </w:r>
      <w:r>
        <w:rPr>
          <w:sz w:val="24"/>
          <w:szCs w:val="22"/>
        </w:rPr>
        <w:t>。研究表明，在克氏原螯虾饲料中加入0.2g/kg的壳寡糖，可使其肠道菌群的丰富度及多样性得到提升，对肠道中益生菌的增殖起到促进作用，从而抑制有害菌的生长，优化肠道的菌群结构</w:t>
      </w:r>
      <w:r>
        <w:rPr>
          <w:sz w:val="24"/>
          <w:szCs w:val="22"/>
          <w:vertAlign w:val="superscript"/>
        </w:rPr>
        <w:t>[15]</w:t>
      </w:r>
      <w:r>
        <w:rPr>
          <w:sz w:val="24"/>
          <w:szCs w:val="22"/>
        </w:rPr>
        <w:t>。在凡纳滨对虾饲料中添加0.5g/kg的壳寡糖可使其肠道内益生菌数量增加，有效抑制致病菌如变形杆菌门和放线菌门等的增殖，这对促进对虾健康养殖的发展与优化饲料配方有现实意义</w:t>
      </w:r>
      <w:r>
        <w:rPr>
          <w:sz w:val="24"/>
          <w:szCs w:val="22"/>
          <w:vertAlign w:val="superscript"/>
        </w:rPr>
        <w:t>[21]</w:t>
      </w:r>
      <w:r>
        <w:rPr>
          <w:sz w:val="24"/>
          <w:szCs w:val="22"/>
        </w:rPr>
        <w:t>。但是壳寡糖对甲壳动物中的蟹类肠道菌群的研究尚有待深入。壳寡糖对肠道菌群影响的机制推测可能是壳寡糖的加入，影响了肠道的pH值和肠道黏液的分泌，肠道内环境更有益于益生菌的生长，但具体的机制有待深入研究。</w:t>
      </w:r>
    </w:p>
    <w:p>
      <w:pPr>
        <w:spacing w:line="360" w:lineRule="auto"/>
        <w:rPr>
          <w:sz w:val="24"/>
          <w:szCs w:val="22"/>
        </w:rPr>
      </w:pPr>
      <w:r>
        <w:rPr>
          <w:sz w:val="24"/>
          <w:szCs w:val="22"/>
        </w:rPr>
        <w:t>8</w:t>
      </w:r>
      <w:r>
        <w:rPr>
          <w:rFonts w:hint="eastAsia"/>
          <w:sz w:val="24"/>
          <w:szCs w:val="22"/>
        </w:rPr>
        <w:t xml:space="preserve"> </w:t>
      </w:r>
      <w:r>
        <w:rPr>
          <w:sz w:val="24"/>
          <w:szCs w:val="22"/>
        </w:rPr>
        <w:t>展望</w:t>
      </w:r>
    </w:p>
    <w:p>
      <w:pPr>
        <w:spacing w:line="360" w:lineRule="auto"/>
        <w:ind w:firstLine="480" w:firstLineChars="200"/>
        <w:rPr>
          <w:sz w:val="24"/>
          <w:szCs w:val="22"/>
        </w:rPr>
      </w:pPr>
      <w:r>
        <w:rPr>
          <w:sz w:val="24"/>
          <w:szCs w:val="22"/>
        </w:rPr>
        <w:t>壳寡糖对甲壳动物的各方面机能均有明显的促进作用，但是目前大部分壳寡糖生产方法单一，生产效率低下，使饲料中添加壳寡糖的成本过高，导致水产养殖对壳寡糖相关研究的深入推广与应用受到阻碍。目前对壳寡糖对甲壳动物的影响研究虽然有很多相关报道，但是目前相关研究存在一定的不足，仍缺乏一些机理性的研究，需进一步深入系统地研究壳寡糖的详细作用机理机制，如对提升甲壳动物血液生化水平、免疫因子活性、抗菌肽表达量等相关研究，进一步探寻壳寡糖对甲壳动物促进作用的最适分子量、添加量及壳寡糖对甲壳动物的消化酶活性、免疫功能、炎性因子、抗氧化应激能力、肠道结构与菌群组成的影响机制，另外对壳寡糖的制备方法、快速精准检测方法、壳寡糖在甲壳动物中的使用方法、壳寡糖产品的质量标准等方面进行深入研究，挖掘其更多利用的可能，进而促进和指导水产养殖领域对壳寡糖的有效推广及实际应用。</w:t>
      </w:r>
    </w:p>
    <w:p>
      <w:pPr>
        <w:spacing w:line="360" w:lineRule="auto"/>
        <w:rPr>
          <w:sz w:val="24"/>
        </w:rPr>
      </w:pPr>
      <w:r>
        <w:rPr>
          <w:rFonts w:hint="eastAsia"/>
          <w:sz w:val="24"/>
        </w:rPr>
        <w:t>参考文献：略</w:t>
      </w:r>
    </w:p>
    <w:p>
      <w:pPr>
        <w:widowControl/>
        <w:jc w:val="right"/>
        <w:rPr>
          <w:rFonts w:ascii="Calibri" w:hAnsi="Calibri"/>
        </w:rPr>
      </w:pPr>
      <w:r>
        <w:rPr>
          <w:rFonts w:hint="eastAsia"/>
          <w:szCs w:val="21"/>
        </w:rPr>
        <w:t>原文刊登在《饲料工业》2025年第8期</w:t>
      </w:r>
    </w:p>
    <w:p>
      <w:pPr>
        <w:spacing w:line="276" w:lineRule="auto"/>
        <w:jc w:val="left"/>
        <w:outlineLvl w:val="0"/>
        <w:rPr>
          <w:rStyle w:val="96"/>
          <w:rFonts w:eastAsia="黑体"/>
          <w:b/>
          <w:bCs/>
          <w:sz w:val="32"/>
          <w:szCs w:val="32"/>
          <w:bdr w:val="single" w:color="auto" w:sz="4" w:space="0"/>
        </w:rPr>
      </w:pPr>
      <w:bookmarkStart w:id="50" w:name="_Toc206013208"/>
      <w:r>
        <w:rPr>
          <w:rStyle w:val="96"/>
          <w:rFonts w:hint="eastAsia" w:eastAsia="黑体"/>
          <w:b/>
          <w:bCs/>
          <w:sz w:val="32"/>
          <w:szCs w:val="32"/>
          <w:bdr w:val="single" w:color="auto" w:sz="4" w:space="0"/>
        </w:rPr>
        <w:t>饲料研发</w:t>
      </w:r>
      <w:bookmarkEnd w:id="50"/>
    </w:p>
    <w:p>
      <w:pPr>
        <w:jc w:val="center"/>
        <w:outlineLvl w:val="1"/>
        <w:rPr>
          <w:rFonts w:eastAsia="黑体"/>
          <w:b/>
          <w:bCs/>
          <w:sz w:val="32"/>
          <w:szCs w:val="32"/>
        </w:rPr>
      </w:pPr>
      <w:bookmarkStart w:id="51" w:name="_Toc206013209"/>
      <w:r>
        <w:rPr>
          <w:rFonts w:eastAsia="黑体"/>
          <w:b/>
          <w:bCs/>
          <w:sz w:val="32"/>
          <w:szCs w:val="32"/>
        </w:rPr>
        <w:t>饲料中添加不同来源的虾青素对虹鳟生长性能、肉色、抗氧化能力和抗急性亚硝酸盐胁迫的影响</w:t>
      </w:r>
      <w:bookmarkEnd w:id="51"/>
    </w:p>
    <w:p>
      <w:pPr>
        <w:jc w:val="center"/>
        <w:rPr>
          <w:szCs w:val="21"/>
        </w:rPr>
      </w:pPr>
      <w:r>
        <w:rPr>
          <w:szCs w:val="21"/>
        </w:rPr>
        <w:t>邹羽羽</w:t>
      </w:r>
      <w:r>
        <w:rPr>
          <w:szCs w:val="21"/>
          <w:vertAlign w:val="superscript"/>
        </w:rPr>
        <w:t>1</w:t>
      </w:r>
      <w:r>
        <w:rPr>
          <w:rFonts w:hint="eastAsia"/>
          <w:szCs w:val="21"/>
          <w:vertAlign w:val="superscript"/>
        </w:rPr>
        <w:t>,</w:t>
      </w:r>
      <w:r>
        <w:rPr>
          <w:szCs w:val="21"/>
          <w:vertAlign w:val="superscript"/>
        </w:rPr>
        <w:t>2</w:t>
      </w:r>
      <w:r>
        <w:rPr>
          <w:szCs w:val="21"/>
        </w:rPr>
        <w:t>刘昊昆</w:t>
      </w:r>
      <w:r>
        <w:rPr>
          <w:szCs w:val="21"/>
          <w:vertAlign w:val="superscript"/>
        </w:rPr>
        <w:t>1</w:t>
      </w:r>
      <w:r>
        <w:rPr>
          <w:szCs w:val="21"/>
        </w:rPr>
        <w:t>陈鉴</w:t>
      </w:r>
      <w:r>
        <w:rPr>
          <w:szCs w:val="21"/>
          <w:vertAlign w:val="superscript"/>
        </w:rPr>
        <w:t>1</w:t>
      </w:r>
      <w:r>
        <w:rPr>
          <w:rFonts w:hint="eastAsia"/>
          <w:szCs w:val="21"/>
          <w:vertAlign w:val="superscript"/>
        </w:rPr>
        <w:t>,</w:t>
      </w:r>
      <w:r>
        <w:rPr>
          <w:szCs w:val="21"/>
          <w:vertAlign w:val="superscript"/>
        </w:rPr>
        <w:t>2</w:t>
      </w:r>
      <w:r>
        <w:rPr>
          <w:szCs w:val="21"/>
        </w:rPr>
        <w:t>金俊琰</w:t>
      </w:r>
      <w:r>
        <w:rPr>
          <w:szCs w:val="21"/>
          <w:vertAlign w:val="superscript"/>
        </w:rPr>
        <w:t>1</w:t>
      </w:r>
      <w:r>
        <w:rPr>
          <w:szCs w:val="21"/>
        </w:rPr>
        <w:t>韩冬</w:t>
      </w:r>
      <w:r>
        <w:rPr>
          <w:szCs w:val="21"/>
          <w:vertAlign w:val="superscript"/>
        </w:rPr>
        <w:t>1</w:t>
      </w:r>
      <w:r>
        <w:rPr>
          <w:szCs w:val="21"/>
        </w:rPr>
        <w:t>张志敏</w:t>
      </w:r>
      <w:r>
        <w:rPr>
          <w:szCs w:val="21"/>
          <w:vertAlign w:val="superscript"/>
        </w:rPr>
        <w:t>1</w:t>
      </w:r>
      <w:r>
        <w:rPr>
          <w:szCs w:val="21"/>
        </w:rPr>
        <w:t>朱晓鸣</w:t>
      </w:r>
      <w:r>
        <w:rPr>
          <w:szCs w:val="21"/>
          <w:vertAlign w:val="superscript"/>
        </w:rPr>
        <w:t>1</w:t>
      </w:r>
      <w:r>
        <w:rPr>
          <w:szCs w:val="21"/>
        </w:rPr>
        <w:t>杨云霞</w:t>
      </w:r>
      <w:r>
        <w:rPr>
          <w:szCs w:val="21"/>
          <w:vertAlign w:val="superscript"/>
        </w:rPr>
        <w:t>1</w:t>
      </w:r>
      <w:r>
        <w:rPr>
          <w:szCs w:val="21"/>
        </w:rPr>
        <w:t>解绶启</w:t>
      </w:r>
      <w:r>
        <w:rPr>
          <w:szCs w:val="21"/>
          <w:vertAlign w:val="superscript"/>
        </w:rPr>
        <w:t>1</w:t>
      </w:r>
      <w:r>
        <w:rPr>
          <w:rFonts w:hint="eastAsia"/>
          <w:szCs w:val="21"/>
          <w:vertAlign w:val="superscript"/>
        </w:rPr>
        <w:t>,</w:t>
      </w:r>
      <w:r>
        <w:rPr>
          <w:szCs w:val="21"/>
          <w:vertAlign w:val="superscript"/>
        </w:rPr>
        <w:t>3</w:t>
      </w:r>
    </w:p>
    <w:p>
      <w:pPr>
        <w:jc w:val="center"/>
        <w:rPr>
          <w:szCs w:val="21"/>
        </w:rPr>
      </w:pPr>
      <w:r>
        <w:rPr>
          <w:szCs w:val="21"/>
        </w:rPr>
        <w:t>(1.中国科学院水生生物研究所水产品种创制与高效养殖全国重点实验室</w:t>
      </w:r>
      <w:r>
        <w:rPr>
          <w:rFonts w:hint="eastAsia"/>
          <w:szCs w:val="21"/>
        </w:rPr>
        <w:t>，</w:t>
      </w:r>
      <w:r>
        <w:rPr>
          <w:szCs w:val="21"/>
        </w:rPr>
        <w:t>武汉430072</w:t>
      </w:r>
      <w:r>
        <w:rPr>
          <w:rFonts w:hint="eastAsia"/>
          <w:szCs w:val="21"/>
        </w:rPr>
        <w:t>；</w:t>
      </w:r>
      <w:r>
        <w:rPr>
          <w:szCs w:val="21"/>
        </w:rPr>
        <w:t>2.中国科学院大学</w:t>
      </w:r>
      <w:r>
        <w:rPr>
          <w:rFonts w:hint="eastAsia"/>
          <w:szCs w:val="21"/>
        </w:rPr>
        <w:t>，</w:t>
      </w:r>
      <w:r>
        <w:rPr>
          <w:szCs w:val="21"/>
        </w:rPr>
        <w:t>北京100049</w:t>
      </w:r>
      <w:r>
        <w:rPr>
          <w:rFonts w:hint="eastAsia"/>
          <w:szCs w:val="21"/>
        </w:rPr>
        <w:t>；</w:t>
      </w:r>
      <w:r>
        <w:rPr>
          <w:szCs w:val="21"/>
        </w:rPr>
        <w:t>3.湖北省水产动物营养与饲料工程技术研究中心</w:t>
      </w:r>
      <w:r>
        <w:rPr>
          <w:rFonts w:hint="eastAsia"/>
          <w:szCs w:val="21"/>
        </w:rPr>
        <w:t>，</w:t>
      </w:r>
      <w:r>
        <w:rPr>
          <w:szCs w:val="21"/>
        </w:rPr>
        <w:t>武汉430072)</w:t>
      </w:r>
    </w:p>
    <w:p>
      <w:pPr>
        <w:rPr>
          <w:szCs w:val="21"/>
        </w:rPr>
      </w:pPr>
      <w:r>
        <w:rPr>
          <w:b/>
          <w:bCs/>
          <w:szCs w:val="21"/>
        </w:rPr>
        <w:t>摘要</w:t>
      </w:r>
      <w:r>
        <w:rPr>
          <w:rFonts w:hint="eastAsia"/>
          <w:b/>
          <w:bCs/>
          <w:szCs w:val="21"/>
        </w:rPr>
        <w:t>：</w:t>
      </w:r>
      <w:r>
        <w:rPr>
          <w:szCs w:val="21"/>
        </w:rPr>
        <w:t>研究以虹鳟(</w:t>
      </w:r>
      <w:r>
        <w:rPr>
          <w:i/>
          <w:iCs/>
          <w:szCs w:val="21"/>
        </w:rPr>
        <w:t>Oncorhynchus</w:t>
      </w:r>
      <w:r>
        <w:rPr>
          <w:rFonts w:hint="eastAsia"/>
          <w:i/>
          <w:iCs/>
          <w:szCs w:val="21"/>
        </w:rPr>
        <w:t xml:space="preserve"> </w:t>
      </w:r>
      <w:r>
        <w:rPr>
          <w:i/>
          <w:iCs/>
          <w:szCs w:val="21"/>
        </w:rPr>
        <w:t>mykiss</w:t>
      </w:r>
      <w:r>
        <w:rPr>
          <w:szCs w:val="21"/>
        </w:rPr>
        <w:t>)为研究对象</w:t>
      </w:r>
      <w:r>
        <w:rPr>
          <w:rFonts w:hint="eastAsia"/>
          <w:szCs w:val="21"/>
        </w:rPr>
        <w:t>，</w:t>
      </w:r>
      <w:r>
        <w:rPr>
          <w:szCs w:val="21"/>
        </w:rPr>
        <w:t>探究饲料中添加不同来源的虾青素对虹鳟的生长性能、肉色、抗氧化能力和抗急性亚硝酸盐胁迫的影响。实验配制4种饲料</w:t>
      </w:r>
      <w:r>
        <w:rPr>
          <w:rFonts w:hint="eastAsia"/>
          <w:szCs w:val="21"/>
        </w:rPr>
        <w:t>，</w:t>
      </w:r>
      <w:r>
        <w:rPr>
          <w:szCs w:val="21"/>
        </w:rPr>
        <w:t>分别为不添加虾青素的基础饲料(CON)和在基础饲料中添加3.0g/kg副球菌(PC)、2.4g/kg雨生红球藻(HP)和0.6g/kg加丽素粉红(CP)的实验饲料(折算虾青素含量均为60mg/kg)。随机挑选480尾初始体重为(6.17±0.08)g的虹鳟</w:t>
      </w:r>
      <w:r>
        <w:rPr>
          <w:rFonts w:hint="eastAsia"/>
          <w:szCs w:val="21"/>
        </w:rPr>
        <w:t>，</w:t>
      </w:r>
      <w:r>
        <w:rPr>
          <w:szCs w:val="21"/>
        </w:rPr>
        <w:t>平均分成4个处理组</w:t>
      </w:r>
      <w:r>
        <w:rPr>
          <w:rFonts w:hint="eastAsia"/>
          <w:szCs w:val="21"/>
        </w:rPr>
        <w:t>，</w:t>
      </w:r>
      <w:r>
        <w:rPr>
          <w:szCs w:val="21"/>
        </w:rPr>
        <w:t>每组4个重复</w:t>
      </w:r>
      <w:r>
        <w:rPr>
          <w:rFonts w:hint="eastAsia"/>
          <w:szCs w:val="21"/>
        </w:rPr>
        <w:t>，</w:t>
      </w:r>
      <w:r>
        <w:rPr>
          <w:szCs w:val="21"/>
        </w:rPr>
        <w:t>开展为期30d的养殖实验。实验结果显示</w:t>
      </w:r>
      <w:r>
        <w:rPr>
          <w:rFonts w:hint="eastAsia"/>
          <w:szCs w:val="21"/>
        </w:rPr>
        <w:t>：</w:t>
      </w:r>
      <w:r>
        <w:rPr>
          <w:szCs w:val="21"/>
        </w:rPr>
        <w:t>与对照组相比</w:t>
      </w:r>
      <w:r>
        <w:rPr>
          <w:rFonts w:hint="eastAsia"/>
          <w:szCs w:val="21"/>
        </w:rPr>
        <w:t>，</w:t>
      </w:r>
      <w:r>
        <w:rPr>
          <w:szCs w:val="21"/>
        </w:rPr>
        <w:t>虾青素类添加剂组虹鳟在生长性能上无显著性差异(</w:t>
      </w:r>
      <w:r>
        <w:rPr>
          <w:rFonts w:hint="eastAsia"/>
          <w:i/>
          <w:szCs w:val="21"/>
        </w:rPr>
        <w:t>P</w:t>
      </w:r>
      <w:r>
        <w:rPr>
          <w:rFonts w:hint="eastAsia"/>
          <w:szCs w:val="21"/>
        </w:rPr>
        <w:t>&gt;</w:t>
      </w:r>
      <w:r>
        <w:rPr>
          <w:szCs w:val="21"/>
        </w:rPr>
        <w:t>0.05)。虾青素类添加剂组虹鳟肌肉的红度、黄度和虾青素含量显著高于对照组(</w:t>
      </w:r>
      <w:r>
        <w:rPr>
          <w:rFonts w:hint="eastAsia"/>
          <w:i/>
          <w:szCs w:val="21"/>
        </w:rPr>
        <w:t>P</w:t>
      </w:r>
      <w:r>
        <w:rPr>
          <w:rFonts w:hint="eastAsia"/>
          <w:szCs w:val="21"/>
        </w:rPr>
        <w:t>&gt;</w:t>
      </w:r>
      <w:r>
        <w:rPr>
          <w:szCs w:val="21"/>
        </w:rPr>
        <w:t>0.05)</w:t>
      </w:r>
      <w:r>
        <w:rPr>
          <w:rFonts w:hint="eastAsia"/>
          <w:szCs w:val="21"/>
        </w:rPr>
        <w:t>，</w:t>
      </w:r>
      <w:r>
        <w:rPr>
          <w:szCs w:val="21"/>
        </w:rPr>
        <w:t>其中加丽素粉红添加组的肌肉虾青素含量最高。急性亚硝酸盐胁迫前后各虾青素添加处理组的肝脏超氧化物歧化酶活性、总抗氧化能力和过氧化氢酶活性均显著高于对照组</w:t>
      </w:r>
      <w:r>
        <w:rPr>
          <w:rFonts w:hint="eastAsia"/>
          <w:szCs w:val="21"/>
        </w:rPr>
        <w:t>，</w:t>
      </w:r>
      <w:r>
        <w:rPr>
          <w:szCs w:val="21"/>
        </w:rPr>
        <w:t>并且丙二醛含量显著低于对照组(</w:t>
      </w:r>
      <w:r>
        <w:rPr>
          <w:rFonts w:hint="eastAsia"/>
          <w:i/>
          <w:szCs w:val="21"/>
        </w:rPr>
        <w:t>P</w:t>
      </w:r>
      <w:r>
        <w:rPr>
          <w:rFonts w:hint="eastAsia"/>
          <w:szCs w:val="21"/>
        </w:rPr>
        <w:t>&lt;</w:t>
      </w:r>
      <w:r>
        <w:rPr>
          <w:szCs w:val="21"/>
        </w:rPr>
        <w:t>0.05)。在急性亚硝酸盐胁迫后</w:t>
      </w:r>
      <w:r>
        <w:rPr>
          <w:rFonts w:hint="eastAsia"/>
          <w:szCs w:val="21"/>
        </w:rPr>
        <w:t>，</w:t>
      </w:r>
      <w:r>
        <w:rPr>
          <w:szCs w:val="21"/>
        </w:rPr>
        <w:t>虾青素添加剂组的血浆皮质醇、葡萄糖和乳酸含量显著低于对照组(</w:t>
      </w:r>
      <w:r>
        <w:rPr>
          <w:rFonts w:hint="eastAsia"/>
          <w:i/>
          <w:szCs w:val="21"/>
        </w:rPr>
        <w:t>P</w:t>
      </w:r>
      <w:r>
        <w:rPr>
          <w:rFonts w:hint="eastAsia"/>
          <w:szCs w:val="21"/>
        </w:rPr>
        <w:t>&lt;</w:t>
      </w:r>
      <w:r>
        <w:rPr>
          <w:szCs w:val="21"/>
        </w:rPr>
        <w:t>0.05)。饲料中虾青素类添加处理显著提高肝脏</w:t>
      </w:r>
      <w:r>
        <w:rPr>
          <w:i/>
          <w:iCs/>
          <w:szCs w:val="21"/>
        </w:rPr>
        <w:t>nrf2</w:t>
      </w:r>
      <w:r>
        <w:rPr>
          <w:szCs w:val="21"/>
        </w:rPr>
        <w:t>和</w:t>
      </w:r>
      <w:r>
        <w:rPr>
          <w:i/>
          <w:iCs/>
          <w:szCs w:val="21"/>
        </w:rPr>
        <w:t>sod</w:t>
      </w:r>
      <w:r>
        <w:rPr>
          <w:szCs w:val="21"/>
        </w:rPr>
        <w:t>的表达水平</w:t>
      </w:r>
      <w:r>
        <w:rPr>
          <w:rFonts w:hint="eastAsia"/>
          <w:szCs w:val="21"/>
        </w:rPr>
        <w:t>，</w:t>
      </w:r>
      <w:r>
        <w:rPr>
          <w:szCs w:val="21"/>
        </w:rPr>
        <w:t>并显著降低</w:t>
      </w:r>
      <w:r>
        <w:rPr>
          <w:i/>
          <w:iCs/>
          <w:szCs w:val="21"/>
        </w:rPr>
        <w:t>bcl2</w:t>
      </w:r>
      <w:r>
        <w:rPr>
          <w:szCs w:val="21"/>
        </w:rPr>
        <w:t>和</w:t>
      </w:r>
      <w:r>
        <w:rPr>
          <w:i/>
          <w:iCs/>
          <w:szCs w:val="21"/>
        </w:rPr>
        <w:t>caspase9</w:t>
      </w:r>
      <w:r>
        <w:rPr>
          <w:szCs w:val="21"/>
        </w:rPr>
        <w:t>的表达水平。综上</w:t>
      </w:r>
      <w:r>
        <w:rPr>
          <w:rFonts w:hint="eastAsia"/>
          <w:szCs w:val="21"/>
        </w:rPr>
        <w:t>，</w:t>
      </w:r>
      <w:r>
        <w:rPr>
          <w:szCs w:val="21"/>
        </w:rPr>
        <w:t>饲料中添加3种不同来源的虾青素均可以改善虹鳟肉色和体色</w:t>
      </w:r>
      <w:r>
        <w:rPr>
          <w:rFonts w:hint="eastAsia"/>
          <w:szCs w:val="21"/>
        </w:rPr>
        <w:t>，</w:t>
      </w:r>
      <w:r>
        <w:rPr>
          <w:szCs w:val="21"/>
        </w:rPr>
        <w:t>增强机体抗氧化和抗应激能力</w:t>
      </w:r>
      <w:r>
        <w:rPr>
          <w:rFonts w:hint="eastAsia"/>
          <w:szCs w:val="21"/>
        </w:rPr>
        <w:t>，</w:t>
      </w:r>
      <w:r>
        <w:rPr>
          <w:szCs w:val="21"/>
        </w:rPr>
        <w:t>但是副球菌和加丽素粉红增强虹鳟的抗氧化能力强于雨生红球藻</w:t>
      </w:r>
      <w:r>
        <w:rPr>
          <w:rFonts w:hint="eastAsia"/>
          <w:szCs w:val="21"/>
        </w:rPr>
        <w:t>，</w:t>
      </w:r>
      <w:r>
        <w:rPr>
          <w:szCs w:val="21"/>
        </w:rPr>
        <w:t>而缓解虹鳟细胞凋亡能力弱于雨生红球藻。</w:t>
      </w:r>
    </w:p>
    <w:p>
      <w:pPr>
        <w:rPr>
          <w:szCs w:val="21"/>
        </w:rPr>
      </w:pPr>
      <w:r>
        <w:rPr>
          <w:b/>
          <w:bCs/>
          <w:szCs w:val="21"/>
        </w:rPr>
        <w:t>关键词</w:t>
      </w:r>
      <w:r>
        <w:rPr>
          <w:rFonts w:hint="eastAsia"/>
          <w:b/>
          <w:bCs/>
          <w:szCs w:val="21"/>
        </w:rPr>
        <w:t>：</w:t>
      </w:r>
      <w:r>
        <w:rPr>
          <w:szCs w:val="21"/>
        </w:rPr>
        <w:t>虾青素</w:t>
      </w:r>
      <w:r>
        <w:rPr>
          <w:rFonts w:hint="eastAsia"/>
          <w:szCs w:val="21"/>
        </w:rPr>
        <w:t>；</w:t>
      </w:r>
      <w:r>
        <w:rPr>
          <w:szCs w:val="21"/>
        </w:rPr>
        <w:t>肉色</w:t>
      </w:r>
      <w:r>
        <w:rPr>
          <w:rFonts w:hint="eastAsia"/>
          <w:szCs w:val="21"/>
        </w:rPr>
        <w:t>；</w:t>
      </w:r>
      <w:r>
        <w:rPr>
          <w:szCs w:val="21"/>
        </w:rPr>
        <w:t>抗氧化能力</w:t>
      </w:r>
      <w:r>
        <w:rPr>
          <w:rFonts w:hint="eastAsia"/>
          <w:szCs w:val="21"/>
        </w:rPr>
        <w:t>；</w:t>
      </w:r>
      <w:r>
        <w:rPr>
          <w:szCs w:val="21"/>
        </w:rPr>
        <w:t>亚硝酸盐胁迫</w:t>
      </w:r>
      <w:r>
        <w:rPr>
          <w:rFonts w:hint="eastAsia"/>
          <w:szCs w:val="21"/>
        </w:rPr>
        <w:t>；</w:t>
      </w:r>
      <w:r>
        <w:rPr>
          <w:szCs w:val="21"/>
        </w:rPr>
        <w:t>虹鳟</w:t>
      </w:r>
    </w:p>
    <w:p>
      <w:pPr>
        <w:rPr>
          <w:szCs w:val="21"/>
        </w:rPr>
      </w:pPr>
    </w:p>
    <w:p>
      <w:pPr>
        <w:rPr>
          <w:szCs w:val="21"/>
        </w:rPr>
      </w:pPr>
    </w:p>
    <w:p>
      <w:pPr>
        <w:jc w:val="center"/>
        <w:rPr>
          <w:b/>
          <w:bCs/>
          <w:sz w:val="24"/>
        </w:rPr>
      </w:pPr>
      <w:r>
        <w:rPr>
          <w:b/>
          <w:bCs/>
          <w:sz w:val="24"/>
        </w:rPr>
        <w:t>DIFFERENT ASTAXANTHIN SOURCES ON GROWTH PERFORMANCE,</w:t>
      </w:r>
    </w:p>
    <w:p>
      <w:pPr>
        <w:jc w:val="center"/>
        <w:rPr>
          <w:b/>
          <w:bCs/>
          <w:sz w:val="24"/>
        </w:rPr>
      </w:pPr>
      <w:r>
        <w:rPr>
          <w:b/>
          <w:bCs/>
          <w:sz w:val="24"/>
        </w:rPr>
        <w:t>FLESH COLOR, ANTIOXIDANT ABILITY, AND ACUTE NITRITE</w:t>
      </w:r>
    </w:p>
    <w:p>
      <w:pPr>
        <w:jc w:val="center"/>
        <w:rPr>
          <w:b/>
          <w:bCs/>
          <w:sz w:val="24"/>
        </w:rPr>
      </w:pPr>
      <w:r>
        <w:rPr>
          <w:b/>
          <w:bCs/>
          <w:sz w:val="24"/>
        </w:rPr>
        <w:t>STRESS OF RAINBOW TROUT (ONCORHYNCHUS MYKISS)</w:t>
      </w:r>
    </w:p>
    <w:p>
      <w:pPr>
        <w:jc w:val="center"/>
        <w:rPr>
          <w:szCs w:val="22"/>
        </w:rPr>
      </w:pPr>
      <w:r>
        <w:rPr>
          <w:szCs w:val="22"/>
        </w:rPr>
        <w:t>ZOU Yu-Yu</w:t>
      </w:r>
      <w:r>
        <w:rPr>
          <w:szCs w:val="22"/>
          <w:vertAlign w:val="superscript"/>
        </w:rPr>
        <w:t>1, 2</w:t>
      </w:r>
      <w:r>
        <w:rPr>
          <w:szCs w:val="22"/>
        </w:rPr>
        <w:t>, LIU Hao-Kun</w:t>
      </w:r>
      <w:r>
        <w:rPr>
          <w:szCs w:val="22"/>
          <w:vertAlign w:val="superscript"/>
        </w:rPr>
        <w:t>1</w:t>
      </w:r>
      <w:r>
        <w:rPr>
          <w:szCs w:val="22"/>
        </w:rPr>
        <w:t>, CHEN Jian</w:t>
      </w:r>
      <w:r>
        <w:rPr>
          <w:szCs w:val="22"/>
          <w:vertAlign w:val="superscript"/>
        </w:rPr>
        <w:t>1, 2</w:t>
      </w:r>
      <w:r>
        <w:rPr>
          <w:szCs w:val="22"/>
        </w:rPr>
        <w:t>, JIN Jun-Yan</w:t>
      </w:r>
      <w:r>
        <w:rPr>
          <w:szCs w:val="22"/>
          <w:vertAlign w:val="superscript"/>
        </w:rPr>
        <w:t>1</w:t>
      </w:r>
      <w:r>
        <w:rPr>
          <w:szCs w:val="22"/>
        </w:rPr>
        <w:t>, HAN Dong</w:t>
      </w:r>
      <w:r>
        <w:rPr>
          <w:szCs w:val="22"/>
          <w:vertAlign w:val="superscript"/>
        </w:rPr>
        <w:t>1</w:t>
      </w:r>
      <w:r>
        <w:rPr>
          <w:szCs w:val="22"/>
        </w:rPr>
        <w:t>, ZHANG Zhi-Min</w:t>
      </w:r>
      <w:r>
        <w:rPr>
          <w:szCs w:val="22"/>
          <w:vertAlign w:val="superscript"/>
        </w:rPr>
        <w:t>1</w:t>
      </w:r>
      <w:r>
        <w:rPr>
          <w:szCs w:val="22"/>
        </w:rPr>
        <w:t>,</w:t>
      </w:r>
    </w:p>
    <w:p>
      <w:pPr>
        <w:jc w:val="center"/>
        <w:rPr>
          <w:szCs w:val="22"/>
        </w:rPr>
      </w:pPr>
      <w:r>
        <w:rPr>
          <w:szCs w:val="22"/>
        </w:rPr>
        <w:t>ZHU Xiao-Ming</w:t>
      </w:r>
      <w:r>
        <w:rPr>
          <w:szCs w:val="22"/>
          <w:vertAlign w:val="superscript"/>
        </w:rPr>
        <w:t>1</w:t>
      </w:r>
      <w:r>
        <w:rPr>
          <w:szCs w:val="22"/>
        </w:rPr>
        <w:t>, YANG Yun-Xia</w:t>
      </w:r>
      <w:r>
        <w:rPr>
          <w:szCs w:val="22"/>
          <w:vertAlign w:val="superscript"/>
        </w:rPr>
        <w:t>1</w:t>
      </w:r>
      <w:r>
        <w:rPr>
          <w:szCs w:val="22"/>
        </w:rPr>
        <w:t>and XIE Shou-Qi1</w:t>
      </w:r>
      <w:r>
        <w:rPr>
          <w:rFonts w:hint="eastAsia"/>
          <w:szCs w:val="22"/>
          <w:vertAlign w:val="superscript"/>
        </w:rPr>
        <w:t>1</w:t>
      </w:r>
      <w:r>
        <w:rPr>
          <w:szCs w:val="22"/>
          <w:vertAlign w:val="superscript"/>
        </w:rPr>
        <w:t>, 3</w:t>
      </w:r>
    </w:p>
    <w:p>
      <w:pPr>
        <w:jc w:val="center"/>
        <w:rPr>
          <w:i/>
          <w:iCs/>
          <w:szCs w:val="22"/>
        </w:rPr>
      </w:pPr>
      <w:r>
        <w:rPr>
          <w:i/>
          <w:iCs/>
          <w:szCs w:val="22"/>
        </w:rPr>
        <w:t>(1. State Key Laboratory of Breeding Biotechnology and Sustainable Aquaculture, Institute of Hydrobiology, Chinese Academy of Sciences, Wuhan 430072, China; 2. University of Chinese Academy of Sciences, Beijing 100049, China; 3. Hubei Engineering Research Center for Aquatic Animal Nutrition and Feed, Wuhan 430072, China)</w:t>
      </w:r>
    </w:p>
    <w:p>
      <w:pPr>
        <w:rPr>
          <w:szCs w:val="22"/>
        </w:rPr>
      </w:pPr>
      <w:r>
        <w:rPr>
          <w:b/>
          <w:bCs/>
          <w:szCs w:val="22"/>
        </w:rPr>
        <w:t>Abstract:</w:t>
      </w:r>
      <w:r>
        <w:rPr>
          <w:szCs w:val="22"/>
        </w:rPr>
        <w:t xml:space="preserve"> The present study investigated the effects of dietary supplementation with astaxanthin from different sources on growth performance, flesh pigmentation, antioxidant capacity, and acute nitrite stress response in rainbow trout (</w:t>
      </w:r>
      <w:r>
        <w:rPr>
          <w:i/>
          <w:iCs/>
          <w:szCs w:val="22"/>
        </w:rPr>
        <w:t>Oncorhynchus mykiss</w:t>
      </w:r>
      <w:r>
        <w:rPr>
          <w:szCs w:val="22"/>
        </w:rPr>
        <w:t xml:space="preserve">). Four diets were designed as the control diet and three astaxanthin inclusion diets, including 3.0 g/kg </w:t>
      </w:r>
      <w:r>
        <w:rPr>
          <w:i/>
          <w:iCs/>
          <w:szCs w:val="22"/>
        </w:rPr>
        <w:t>Paracoccus carotinifaciens</w:t>
      </w:r>
      <w:r>
        <w:rPr>
          <w:szCs w:val="22"/>
        </w:rPr>
        <w:t xml:space="preserve"> (PC), 2.4 g/kg </w:t>
      </w:r>
      <w:r>
        <w:rPr>
          <w:i/>
          <w:iCs/>
          <w:szCs w:val="22"/>
        </w:rPr>
        <w:t>Haematococcus pluvialis</w:t>
      </w:r>
      <w:r>
        <w:rPr>
          <w:szCs w:val="22"/>
        </w:rPr>
        <w:t xml:space="preserve"> (HP), and 0.6 g/kg Carophyll Pink (CP), each providing 6 0 mg/kg astaxanthin. A total of 480 rainbow trout with an initial body weight of (6.17±0.08) g were randomly assigned to four groups with four replicates each, followed by a 30-day feeding trial. Results showed that there were no significant differences in growth performance between astaxanthin-supplemented groups and the control group (</w:t>
      </w:r>
      <w:r>
        <w:rPr>
          <w:rFonts w:hint="eastAsia"/>
          <w:i/>
          <w:szCs w:val="22"/>
        </w:rPr>
        <w:t>P</w:t>
      </w:r>
      <w:r>
        <w:rPr>
          <w:rFonts w:hint="eastAsia"/>
          <w:szCs w:val="22"/>
        </w:rPr>
        <w:t>&gt;</w:t>
      </w:r>
      <w:r>
        <w:rPr>
          <w:szCs w:val="22"/>
        </w:rPr>
        <w:t>0.05). Muscle redness and yellowness values, as well as astaxanthin content, were significantly higher in all astaxanthin-supplemented groups than that in the control group (</w:t>
      </w:r>
      <w:r>
        <w:rPr>
          <w:rFonts w:hint="eastAsia"/>
          <w:i/>
          <w:szCs w:val="22"/>
        </w:rPr>
        <w:t>P</w:t>
      </w:r>
      <w:r>
        <w:rPr>
          <w:rFonts w:hint="eastAsia"/>
          <w:szCs w:val="22"/>
        </w:rPr>
        <w:t>&lt;</w:t>
      </w:r>
      <w:r>
        <w:rPr>
          <w:szCs w:val="22"/>
        </w:rPr>
        <w:t>0.05), with the CP group showing the highest astaxanthin deposition in muscle. Antioxidant capacity was enhanced in all astaxanthin-treated groups, as evidenced by significantly elevated hepatic activities of superoxide dismutase (SOD), total antioxidant capacity (T-AOC), and catalase (CAT), along with reduced malondialdehyde (MDA) levels before and after acute nitrite exposure (</w:t>
      </w:r>
      <w:r>
        <w:rPr>
          <w:rFonts w:hint="eastAsia"/>
          <w:i/>
          <w:szCs w:val="22"/>
        </w:rPr>
        <w:t>P</w:t>
      </w:r>
      <w:r>
        <w:rPr>
          <w:rFonts w:hint="eastAsia"/>
          <w:szCs w:val="22"/>
        </w:rPr>
        <w:t>&lt;</w:t>
      </w:r>
      <w:r>
        <w:rPr>
          <w:szCs w:val="22"/>
        </w:rPr>
        <w:t>0.05).Following nitrite challenge, plasma cortisol, glucose, and lactate levels were significantly lower in astaxanthin-fed groups compared to the control (</w:t>
      </w:r>
      <w:r>
        <w:rPr>
          <w:rFonts w:hint="eastAsia"/>
          <w:i/>
          <w:szCs w:val="22"/>
        </w:rPr>
        <w:t>P</w:t>
      </w:r>
      <w:r>
        <w:rPr>
          <w:rFonts w:hint="eastAsia"/>
          <w:szCs w:val="22"/>
        </w:rPr>
        <w:t>&lt;</w:t>
      </w:r>
      <w:r>
        <w:rPr>
          <w:szCs w:val="22"/>
        </w:rPr>
        <w:t xml:space="preserve">0.05). Furthermore, astaxanthin supplementation significantly upregulated hepatic </w:t>
      </w:r>
      <w:r>
        <w:rPr>
          <w:i/>
          <w:iCs/>
          <w:szCs w:val="22"/>
        </w:rPr>
        <w:t>nrf2</w:t>
      </w:r>
      <w:r>
        <w:rPr>
          <w:szCs w:val="22"/>
        </w:rPr>
        <w:t xml:space="preserve"> and</w:t>
      </w:r>
      <w:r>
        <w:rPr>
          <w:i/>
          <w:iCs/>
          <w:szCs w:val="22"/>
        </w:rPr>
        <w:t xml:space="preserve"> sod</w:t>
      </w:r>
      <w:r>
        <w:rPr>
          <w:szCs w:val="22"/>
        </w:rPr>
        <w:t xml:space="preserve"> gene expression and downregulated </w:t>
      </w:r>
      <w:r>
        <w:rPr>
          <w:i/>
          <w:iCs/>
          <w:szCs w:val="22"/>
        </w:rPr>
        <w:t>bcl2</w:t>
      </w:r>
      <w:r>
        <w:rPr>
          <w:szCs w:val="22"/>
        </w:rPr>
        <w:t xml:space="preserve"> and </w:t>
      </w:r>
      <w:r>
        <w:rPr>
          <w:i/>
          <w:iCs/>
          <w:szCs w:val="22"/>
        </w:rPr>
        <w:t>caspase9</w:t>
      </w:r>
      <w:r>
        <w:rPr>
          <w:szCs w:val="22"/>
        </w:rPr>
        <w:t xml:space="preserve"> expression. In conclusion, dietary astaxanthin from three different sources improved the flesh color, pigmentation, antioxidant capacity, and anti-stress capacities in rainbow trout. However, PC and CP showed stronger effects in enhancing antioxidant capacity compared to HP, while HP exhibited a greater ability to alleviate cell apoptosis in rainbow trout.</w:t>
      </w:r>
    </w:p>
    <w:p>
      <w:pPr>
        <w:rPr>
          <w:szCs w:val="22"/>
        </w:rPr>
      </w:pPr>
      <w:r>
        <w:rPr>
          <w:b/>
          <w:bCs/>
          <w:szCs w:val="22"/>
        </w:rPr>
        <w:t>Key words:</w:t>
      </w:r>
      <w:r>
        <w:rPr>
          <w:szCs w:val="22"/>
        </w:rPr>
        <w:t xml:space="preserve"> Astaxanthin; Flesh color; Antioxidant capacity; Nitrite stress; </w:t>
      </w:r>
      <w:r>
        <w:rPr>
          <w:i/>
          <w:iCs/>
          <w:szCs w:val="22"/>
        </w:rPr>
        <w:t>Oncorhynchus mykiss</w:t>
      </w:r>
    </w:p>
    <w:p/>
    <w:p>
      <w:pPr>
        <w:spacing w:line="360" w:lineRule="auto"/>
        <w:ind w:firstLine="480" w:firstLineChars="200"/>
        <w:rPr>
          <w:sz w:val="24"/>
          <w:szCs w:val="22"/>
        </w:rPr>
      </w:pPr>
      <w:r>
        <w:rPr>
          <w:sz w:val="24"/>
          <w:szCs w:val="22"/>
        </w:rPr>
        <w:t>随着单位水体水产养殖产量和养殖密度的增加</w:t>
      </w:r>
      <w:r>
        <w:rPr>
          <w:rFonts w:hint="eastAsia"/>
          <w:sz w:val="24"/>
          <w:szCs w:val="22"/>
        </w:rPr>
        <w:t>，</w:t>
      </w:r>
      <w:r>
        <w:rPr>
          <w:sz w:val="24"/>
          <w:szCs w:val="22"/>
        </w:rPr>
        <w:t>养殖动物的健康和品质受到从业者和消费者越来越多的关注。在高强度饲料投喂下</w:t>
      </w:r>
      <w:r>
        <w:rPr>
          <w:rFonts w:hint="eastAsia"/>
          <w:sz w:val="24"/>
          <w:szCs w:val="22"/>
        </w:rPr>
        <w:t>，</w:t>
      </w:r>
      <w:r>
        <w:rPr>
          <w:sz w:val="24"/>
          <w:szCs w:val="22"/>
        </w:rPr>
        <w:t>若养殖水处理系统或养殖环境中的硝化反应不够充分</w:t>
      </w:r>
      <w:r>
        <w:rPr>
          <w:rFonts w:hint="eastAsia"/>
          <w:sz w:val="24"/>
          <w:szCs w:val="22"/>
        </w:rPr>
        <w:t>，</w:t>
      </w:r>
      <w:r>
        <w:rPr>
          <w:sz w:val="24"/>
          <w:szCs w:val="22"/>
        </w:rPr>
        <w:t>会导致亚硝酸盐积累</w:t>
      </w:r>
      <w:r>
        <w:rPr>
          <w:rFonts w:hint="eastAsia"/>
          <w:sz w:val="24"/>
          <w:szCs w:val="22"/>
        </w:rPr>
        <w:t>，</w:t>
      </w:r>
      <w:r>
        <w:rPr>
          <w:sz w:val="24"/>
          <w:szCs w:val="22"/>
        </w:rPr>
        <w:t>对养殖鱼类的健康构成胁迫。养殖环境中高浓度的亚硝酸会严重损害鱼类健康</w:t>
      </w:r>
      <w:r>
        <w:rPr>
          <w:rFonts w:hint="eastAsia"/>
          <w:sz w:val="24"/>
          <w:szCs w:val="22"/>
        </w:rPr>
        <w:t>，</w:t>
      </w:r>
      <w:r>
        <w:rPr>
          <w:sz w:val="24"/>
          <w:szCs w:val="22"/>
        </w:rPr>
        <w:t>甚至引发大规模死亡</w:t>
      </w:r>
      <w:r>
        <w:rPr>
          <w:sz w:val="24"/>
          <w:szCs w:val="22"/>
          <w:vertAlign w:val="superscript"/>
        </w:rPr>
        <w:t>[1]</w:t>
      </w:r>
      <w:r>
        <w:rPr>
          <w:sz w:val="24"/>
          <w:szCs w:val="22"/>
        </w:rPr>
        <w:t>。在亚硝酸盐暴露后</w:t>
      </w:r>
      <w:r>
        <w:rPr>
          <w:rFonts w:hint="eastAsia"/>
          <w:sz w:val="24"/>
          <w:szCs w:val="22"/>
        </w:rPr>
        <w:t>，</w:t>
      </w:r>
      <w:r>
        <w:rPr>
          <w:sz w:val="24"/>
          <w:szCs w:val="22"/>
        </w:rPr>
        <w:t>水体中的亚硝酸盐会在鱼类的循环系统以及鳃、肝脏、脾脏、肌肉和大脑等组织中积累</w:t>
      </w:r>
      <w:r>
        <w:rPr>
          <w:rFonts w:hint="eastAsia"/>
          <w:sz w:val="24"/>
          <w:szCs w:val="22"/>
        </w:rPr>
        <w:t>，</w:t>
      </w:r>
      <w:r>
        <w:rPr>
          <w:sz w:val="24"/>
          <w:szCs w:val="22"/>
        </w:rPr>
        <w:t>引起鱼类的血浆生化指标的变化</w:t>
      </w:r>
      <w:r>
        <w:rPr>
          <w:sz w:val="24"/>
          <w:szCs w:val="22"/>
          <w:vertAlign w:val="superscript"/>
        </w:rPr>
        <w:t>[2]</w:t>
      </w:r>
      <w:r>
        <w:rPr>
          <w:sz w:val="24"/>
          <w:szCs w:val="22"/>
        </w:rPr>
        <w:t>。鱼体的抗氧化系统会对养殖环境中较高的亚硝酸盐做出相应的反应</w:t>
      </w:r>
      <w:r>
        <w:rPr>
          <w:rFonts w:hint="eastAsia"/>
          <w:sz w:val="24"/>
          <w:szCs w:val="22"/>
        </w:rPr>
        <w:t>：</w:t>
      </w:r>
      <w:r>
        <w:rPr>
          <w:sz w:val="24"/>
          <w:szCs w:val="22"/>
        </w:rPr>
        <w:t>例如通过增强机体超氧化物歧化酶(SOD)和过氧化氢酶(CAT)的活性来清除过量活性氧(ROS)</w:t>
      </w:r>
      <w:r>
        <w:rPr>
          <w:sz w:val="24"/>
          <w:szCs w:val="22"/>
          <w:vertAlign w:val="superscript"/>
        </w:rPr>
        <w:t>[3]</w:t>
      </w:r>
      <w:r>
        <w:rPr>
          <w:sz w:val="24"/>
          <w:szCs w:val="22"/>
        </w:rPr>
        <w:t>。</w:t>
      </w:r>
    </w:p>
    <w:p>
      <w:pPr>
        <w:spacing w:line="360" w:lineRule="auto"/>
        <w:ind w:firstLine="480" w:firstLineChars="200"/>
        <w:rPr>
          <w:sz w:val="24"/>
          <w:szCs w:val="22"/>
        </w:rPr>
      </w:pPr>
      <w:r>
        <w:rPr>
          <w:sz w:val="24"/>
          <w:szCs w:val="22"/>
        </w:rPr>
        <w:t>虾青素属于类胡萝卜素</w:t>
      </w:r>
      <w:r>
        <w:rPr>
          <w:rFonts w:hint="eastAsia"/>
          <w:sz w:val="24"/>
          <w:szCs w:val="22"/>
        </w:rPr>
        <w:t>，</w:t>
      </w:r>
      <w:r>
        <w:rPr>
          <w:sz w:val="24"/>
          <w:szCs w:val="22"/>
        </w:rPr>
        <w:t>是一种强效抗氧化剂</w:t>
      </w:r>
      <w:r>
        <w:rPr>
          <w:rFonts w:hint="eastAsia"/>
          <w:sz w:val="24"/>
          <w:szCs w:val="22"/>
        </w:rPr>
        <w:t>，</w:t>
      </w:r>
      <w:r>
        <w:rPr>
          <w:sz w:val="24"/>
          <w:szCs w:val="22"/>
        </w:rPr>
        <w:t>具有显著的抗氧化、抗应激和免疫调节作用</w:t>
      </w:r>
      <w:r>
        <w:rPr>
          <w:sz w:val="24"/>
          <w:szCs w:val="22"/>
          <w:vertAlign w:val="superscript"/>
        </w:rPr>
        <w:t>[4]</w:t>
      </w:r>
      <w:r>
        <w:rPr>
          <w:sz w:val="24"/>
          <w:szCs w:val="22"/>
        </w:rPr>
        <w:t>。饲料中添加抗氧化剂可有效地提高动物的抗氧化能力</w:t>
      </w:r>
      <w:r>
        <w:rPr>
          <w:rFonts w:hint="eastAsia"/>
          <w:sz w:val="24"/>
          <w:szCs w:val="22"/>
        </w:rPr>
        <w:t>，</w:t>
      </w:r>
      <w:r>
        <w:rPr>
          <w:sz w:val="24"/>
          <w:szCs w:val="22"/>
        </w:rPr>
        <w:t>Sheikhzadeh等</w:t>
      </w:r>
      <w:r>
        <w:rPr>
          <w:sz w:val="24"/>
          <w:szCs w:val="22"/>
          <w:vertAlign w:val="superscript"/>
        </w:rPr>
        <w:t>[5]</w:t>
      </w:r>
      <w:r>
        <w:rPr>
          <w:sz w:val="24"/>
          <w:szCs w:val="22"/>
        </w:rPr>
        <w:t>研究发现</w:t>
      </w:r>
      <w:r>
        <w:rPr>
          <w:rFonts w:hint="eastAsia"/>
          <w:sz w:val="24"/>
          <w:szCs w:val="22"/>
        </w:rPr>
        <w:t>，</w:t>
      </w:r>
      <w:r>
        <w:rPr>
          <w:sz w:val="24"/>
          <w:szCs w:val="22"/>
        </w:rPr>
        <w:t>饲喂雨生红球藻饲料可提高总抗氧化能力(T-AOC)</w:t>
      </w:r>
      <w:r>
        <w:rPr>
          <w:rFonts w:hint="eastAsia"/>
          <w:sz w:val="24"/>
          <w:szCs w:val="22"/>
        </w:rPr>
        <w:t>，</w:t>
      </w:r>
      <w:r>
        <w:rPr>
          <w:sz w:val="24"/>
          <w:szCs w:val="22"/>
        </w:rPr>
        <w:t>并降低脂质过氧化产物MDA的含量来改善虹鳟的抗氧化能力</w:t>
      </w:r>
      <w:r>
        <w:rPr>
          <w:rFonts w:hint="eastAsia"/>
          <w:sz w:val="24"/>
          <w:szCs w:val="22"/>
        </w:rPr>
        <w:t>，</w:t>
      </w:r>
      <w:r>
        <w:rPr>
          <w:sz w:val="24"/>
          <w:szCs w:val="22"/>
        </w:rPr>
        <w:t>同时研究表明</w:t>
      </w:r>
      <w:r>
        <w:rPr>
          <w:rFonts w:hint="eastAsia"/>
          <w:sz w:val="24"/>
          <w:szCs w:val="22"/>
        </w:rPr>
        <w:t>，</w:t>
      </w:r>
      <w:r>
        <w:rPr>
          <w:sz w:val="24"/>
          <w:szCs w:val="22"/>
        </w:rPr>
        <w:t>饲喂合成虾青素或者雨生红球藻饲料的虹鳟肝脏结构清晰</w:t>
      </w:r>
      <w:r>
        <w:rPr>
          <w:rFonts w:hint="eastAsia"/>
          <w:sz w:val="24"/>
          <w:szCs w:val="22"/>
        </w:rPr>
        <w:t>，</w:t>
      </w:r>
      <w:r>
        <w:rPr>
          <w:sz w:val="24"/>
          <w:szCs w:val="22"/>
        </w:rPr>
        <w:t>肝细胞完整且排列紧密</w:t>
      </w:r>
      <w:r>
        <w:rPr>
          <w:rFonts w:hint="eastAsia"/>
          <w:sz w:val="24"/>
          <w:szCs w:val="22"/>
        </w:rPr>
        <w:t>，</w:t>
      </w:r>
      <w:r>
        <w:rPr>
          <w:sz w:val="24"/>
          <w:szCs w:val="22"/>
        </w:rPr>
        <w:t>肝脏SOD活性显著提高</w:t>
      </w:r>
      <w:r>
        <w:rPr>
          <w:rFonts w:hint="eastAsia"/>
          <w:sz w:val="24"/>
          <w:szCs w:val="22"/>
        </w:rPr>
        <w:t>，</w:t>
      </w:r>
      <w:r>
        <w:rPr>
          <w:sz w:val="24"/>
          <w:szCs w:val="22"/>
        </w:rPr>
        <w:t>MDA含量显著降低</w:t>
      </w:r>
      <w:r>
        <w:rPr>
          <w:rFonts w:hint="eastAsia"/>
          <w:sz w:val="24"/>
          <w:szCs w:val="22"/>
        </w:rPr>
        <w:t>，</w:t>
      </w:r>
      <w:r>
        <w:rPr>
          <w:sz w:val="24"/>
          <w:szCs w:val="22"/>
        </w:rPr>
        <w:t>并且SOD和CAT的mRNA水平显著上调</w:t>
      </w:r>
      <w:r>
        <w:rPr>
          <w:sz w:val="24"/>
          <w:szCs w:val="22"/>
          <w:vertAlign w:val="superscript"/>
        </w:rPr>
        <w:t>[6]</w:t>
      </w:r>
      <w:r>
        <w:rPr>
          <w:rFonts w:hint="eastAsia"/>
          <w:sz w:val="24"/>
          <w:szCs w:val="22"/>
        </w:rPr>
        <w:t>，</w:t>
      </w:r>
      <w:r>
        <w:rPr>
          <w:sz w:val="24"/>
          <w:szCs w:val="22"/>
        </w:rPr>
        <w:t>因此虾青素可以改善氧化应激。研究还表明</w:t>
      </w:r>
      <w:r>
        <w:rPr>
          <w:rFonts w:hint="eastAsia"/>
          <w:sz w:val="24"/>
          <w:szCs w:val="22"/>
        </w:rPr>
        <w:t>，</w:t>
      </w:r>
      <w:r>
        <w:rPr>
          <w:sz w:val="24"/>
          <w:szCs w:val="22"/>
        </w:rPr>
        <w:t>虾青素能够清除活性氧(ROS)</w:t>
      </w:r>
      <w:r>
        <w:rPr>
          <w:rFonts w:hint="eastAsia"/>
          <w:sz w:val="24"/>
          <w:szCs w:val="22"/>
        </w:rPr>
        <w:t>，</w:t>
      </w:r>
      <w:r>
        <w:rPr>
          <w:sz w:val="24"/>
          <w:szCs w:val="22"/>
        </w:rPr>
        <w:t>减少脂质过氧化损伤</w:t>
      </w:r>
      <w:r>
        <w:rPr>
          <w:rFonts w:hint="eastAsia"/>
          <w:sz w:val="24"/>
          <w:szCs w:val="22"/>
        </w:rPr>
        <w:t>，</w:t>
      </w:r>
      <w:r>
        <w:rPr>
          <w:sz w:val="24"/>
          <w:szCs w:val="22"/>
        </w:rPr>
        <w:t>从而提高机体的抗氧化能力。此外</w:t>
      </w:r>
      <w:r>
        <w:rPr>
          <w:rFonts w:hint="eastAsia"/>
          <w:sz w:val="24"/>
          <w:szCs w:val="22"/>
        </w:rPr>
        <w:t>，</w:t>
      </w:r>
      <w:r>
        <w:rPr>
          <w:sz w:val="24"/>
          <w:szCs w:val="22"/>
        </w:rPr>
        <w:t>虾青素还能调节免疫因子的表达</w:t>
      </w:r>
      <w:r>
        <w:rPr>
          <w:rFonts w:hint="eastAsia"/>
          <w:sz w:val="24"/>
          <w:szCs w:val="22"/>
        </w:rPr>
        <w:t>，</w:t>
      </w:r>
      <w:r>
        <w:rPr>
          <w:sz w:val="24"/>
          <w:szCs w:val="22"/>
        </w:rPr>
        <w:t>增强鱼类的免疫功能</w:t>
      </w:r>
      <w:r>
        <w:rPr>
          <w:rFonts w:hint="eastAsia"/>
          <w:sz w:val="24"/>
          <w:szCs w:val="22"/>
        </w:rPr>
        <w:t>，</w:t>
      </w:r>
      <w:r>
        <w:rPr>
          <w:sz w:val="24"/>
          <w:szCs w:val="22"/>
        </w:rPr>
        <w:t>提高其对环境胁迫的耐受性。</w:t>
      </w:r>
    </w:p>
    <w:p>
      <w:pPr>
        <w:spacing w:line="360" w:lineRule="auto"/>
        <w:ind w:firstLine="480" w:firstLineChars="200"/>
        <w:rPr>
          <w:sz w:val="24"/>
          <w:szCs w:val="22"/>
        </w:rPr>
      </w:pPr>
      <w:r>
        <w:rPr>
          <w:sz w:val="24"/>
          <w:szCs w:val="22"/>
        </w:rPr>
        <w:t>副球菌(</w:t>
      </w:r>
      <w:r>
        <w:rPr>
          <w:i/>
          <w:iCs/>
          <w:sz w:val="24"/>
          <w:szCs w:val="22"/>
        </w:rPr>
        <w:t>Paracoccus</w:t>
      </w:r>
      <w:r>
        <w:rPr>
          <w:rFonts w:hint="eastAsia"/>
          <w:i/>
          <w:iCs/>
          <w:sz w:val="24"/>
          <w:szCs w:val="22"/>
        </w:rPr>
        <w:t xml:space="preserve"> </w:t>
      </w:r>
      <w:r>
        <w:rPr>
          <w:i/>
          <w:iCs/>
          <w:sz w:val="24"/>
          <w:szCs w:val="22"/>
        </w:rPr>
        <w:t>carotinifaciens</w:t>
      </w:r>
      <w:r>
        <w:rPr>
          <w:sz w:val="24"/>
          <w:szCs w:val="22"/>
        </w:rPr>
        <w:t>)是一种富含红色类胡萝卜素的细菌</w:t>
      </w:r>
      <w:r>
        <w:rPr>
          <w:rFonts w:hint="eastAsia"/>
          <w:sz w:val="24"/>
          <w:szCs w:val="22"/>
        </w:rPr>
        <w:t>，</w:t>
      </w:r>
      <w:r>
        <w:rPr>
          <w:sz w:val="24"/>
          <w:szCs w:val="22"/>
        </w:rPr>
        <w:t>干法灭菌后其产品含有约40g/kg的总类胡萝卜素</w:t>
      </w:r>
      <w:r>
        <w:rPr>
          <w:rFonts w:hint="eastAsia"/>
          <w:sz w:val="24"/>
          <w:szCs w:val="22"/>
        </w:rPr>
        <w:t>，</w:t>
      </w:r>
      <w:r>
        <w:rPr>
          <w:sz w:val="24"/>
          <w:szCs w:val="22"/>
        </w:rPr>
        <w:t>包括虾青素、肾上腺红素、角黄素和阿东黄素</w:t>
      </w:r>
      <w:r>
        <w:rPr>
          <w:rFonts w:hint="eastAsia"/>
          <w:sz w:val="24"/>
          <w:szCs w:val="22"/>
        </w:rPr>
        <w:t>，</w:t>
      </w:r>
      <w:r>
        <w:rPr>
          <w:sz w:val="24"/>
          <w:szCs w:val="22"/>
        </w:rPr>
        <w:t>并含有一定量的海胆酮、β-胡萝卜素、紫红酮和3-羟基海胆酮等</w:t>
      </w:r>
      <w:r>
        <w:rPr>
          <w:sz w:val="24"/>
          <w:szCs w:val="22"/>
          <w:vertAlign w:val="superscript"/>
        </w:rPr>
        <w:t>[7]</w:t>
      </w:r>
      <w:r>
        <w:rPr>
          <w:sz w:val="24"/>
          <w:szCs w:val="22"/>
        </w:rPr>
        <w:t>。副球菌具有培养时间短、商业价值高和生产设备要求低等主要优点</w:t>
      </w:r>
      <w:r>
        <w:rPr>
          <w:rFonts w:hint="eastAsia"/>
          <w:sz w:val="24"/>
          <w:szCs w:val="22"/>
        </w:rPr>
        <w:t>，</w:t>
      </w:r>
      <w:r>
        <w:rPr>
          <w:sz w:val="24"/>
          <w:szCs w:val="22"/>
        </w:rPr>
        <w:t>具有广阔的应用前景</w:t>
      </w:r>
      <w:r>
        <w:rPr>
          <w:sz w:val="24"/>
          <w:szCs w:val="22"/>
          <w:vertAlign w:val="superscript"/>
        </w:rPr>
        <w:t>[8]</w:t>
      </w:r>
      <w:r>
        <w:rPr>
          <w:sz w:val="24"/>
          <w:szCs w:val="22"/>
        </w:rPr>
        <w:t>。然而目前关于副球菌作为水产饲料添加剂的研究较少</w:t>
      </w:r>
      <w:r>
        <w:rPr>
          <w:rFonts w:hint="eastAsia"/>
          <w:sz w:val="24"/>
          <w:szCs w:val="22"/>
        </w:rPr>
        <w:t>，</w:t>
      </w:r>
      <w:r>
        <w:rPr>
          <w:sz w:val="24"/>
          <w:szCs w:val="22"/>
        </w:rPr>
        <w:t>一些研究表明饲料中添加副球菌可以促进大西洋鲑(</w:t>
      </w:r>
      <w:r>
        <w:rPr>
          <w:i/>
          <w:iCs/>
          <w:sz w:val="24"/>
          <w:szCs w:val="22"/>
        </w:rPr>
        <w:t>Salmosalar</w:t>
      </w:r>
      <w:r>
        <w:rPr>
          <w:sz w:val="24"/>
          <w:szCs w:val="22"/>
        </w:rPr>
        <w:t>)和虹鳟肌肉中虾青素在的沉积</w:t>
      </w:r>
      <w:r>
        <w:rPr>
          <w:sz w:val="24"/>
          <w:szCs w:val="22"/>
          <w:vertAlign w:val="superscript"/>
        </w:rPr>
        <w:t>[9]</w:t>
      </w:r>
      <w:r>
        <w:rPr>
          <w:sz w:val="24"/>
          <w:szCs w:val="22"/>
        </w:rPr>
        <w:t>。雨生红球藻(</w:t>
      </w:r>
      <w:r>
        <w:rPr>
          <w:i/>
          <w:iCs/>
          <w:sz w:val="24"/>
          <w:szCs w:val="22"/>
        </w:rPr>
        <w:t>Haematococcus</w:t>
      </w:r>
      <w:r>
        <w:rPr>
          <w:rFonts w:hint="eastAsia"/>
          <w:i/>
          <w:iCs/>
          <w:sz w:val="24"/>
          <w:szCs w:val="22"/>
        </w:rPr>
        <w:t xml:space="preserve"> </w:t>
      </w:r>
      <w:r>
        <w:rPr>
          <w:i/>
          <w:iCs/>
          <w:sz w:val="24"/>
          <w:szCs w:val="22"/>
        </w:rPr>
        <w:t>pluvialis</w:t>
      </w:r>
      <w:r>
        <w:rPr>
          <w:sz w:val="24"/>
          <w:szCs w:val="22"/>
        </w:rPr>
        <w:t>)是一种淡水单胞绿藻</w:t>
      </w:r>
      <w:r>
        <w:rPr>
          <w:rFonts w:hint="eastAsia"/>
          <w:sz w:val="24"/>
          <w:szCs w:val="22"/>
        </w:rPr>
        <w:t>，</w:t>
      </w:r>
      <w:r>
        <w:rPr>
          <w:sz w:val="24"/>
          <w:szCs w:val="22"/>
        </w:rPr>
        <w:t>该藻因富含虾青素而呈现红色。雨生红球藻作为水产饲料添加剂已在虹鳟</w:t>
      </w:r>
      <w:r>
        <w:rPr>
          <w:sz w:val="24"/>
          <w:szCs w:val="22"/>
          <w:vertAlign w:val="superscript"/>
        </w:rPr>
        <w:t>[10]</w:t>
      </w:r>
      <w:r>
        <w:rPr>
          <w:sz w:val="24"/>
          <w:szCs w:val="22"/>
        </w:rPr>
        <w:t>、大西洋鲑</w:t>
      </w:r>
      <w:r>
        <w:rPr>
          <w:sz w:val="24"/>
          <w:szCs w:val="22"/>
          <w:vertAlign w:val="superscript"/>
        </w:rPr>
        <w:t>[11]</w:t>
      </w:r>
      <w:r>
        <w:rPr>
          <w:sz w:val="24"/>
          <w:szCs w:val="22"/>
        </w:rPr>
        <w:t>和大黄鱼(</w:t>
      </w:r>
      <w:r>
        <w:rPr>
          <w:i/>
          <w:iCs/>
          <w:sz w:val="24"/>
          <w:szCs w:val="22"/>
        </w:rPr>
        <w:t>Pseudosciacna</w:t>
      </w:r>
      <w:r>
        <w:rPr>
          <w:rFonts w:hint="eastAsia"/>
          <w:i/>
          <w:iCs/>
          <w:sz w:val="24"/>
          <w:szCs w:val="22"/>
        </w:rPr>
        <w:t xml:space="preserve"> </w:t>
      </w:r>
      <w:r>
        <w:rPr>
          <w:i/>
          <w:iCs/>
          <w:sz w:val="24"/>
          <w:szCs w:val="22"/>
        </w:rPr>
        <w:t>crocea</w:t>
      </w:r>
      <w:r>
        <w:rPr>
          <w:sz w:val="24"/>
          <w:szCs w:val="22"/>
        </w:rPr>
        <w:t>)</w:t>
      </w:r>
      <w:r>
        <w:rPr>
          <w:sz w:val="24"/>
          <w:szCs w:val="22"/>
          <w:vertAlign w:val="superscript"/>
        </w:rPr>
        <w:t>[12]</w:t>
      </w:r>
      <w:r>
        <w:rPr>
          <w:sz w:val="24"/>
          <w:szCs w:val="22"/>
        </w:rPr>
        <w:t>等养殖鱼类中进行相关报道。这些研究表明雨生红球藻可以提高鱼体生长性能、具有改善着色和增强抗氧化的性能。雨生红球藻中的虾青素通常以酯化物的形式存在</w:t>
      </w:r>
      <w:r>
        <w:rPr>
          <w:rFonts w:hint="eastAsia"/>
          <w:sz w:val="24"/>
          <w:szCs w:val="22"/>
        </w:rPr>
        <w:t>，</w:t>
      </w:r>
      <w:r>
        <w:rPr>
          <w:sz w:val="24"/>
          <w:szCs w:val="22"/>
        </w:rPr>
        <w:t>构型为纯左旋结构(3S</w:t>
      </w:r>
      <w:r>
        <w:rPr>
          <w:rFonts w:hint="eastAsia"/>
          <w:sz w:val="24"/>
          <w:szCs w:val="22"/>
        </w:rPr>
        <w:t>，</w:t>
      </w:r>
      <w:r>
        <w:rPr>
          <w:sz w:val="24"/>
          <w:szCs w:val="22"/>
        </w:rPr>
        <w:t>3’S)</w:t>
      </w:r>
      <w:r>
        <w:rPr>
          <w:rFonts w:hint="eastAsia"/>
          <w:sz w:val="24"/>
          <w:szCs w:val="22"/>
        </w:rPr>
        <w:t>，</w:t>
      </w:r>
      <w:r>
        <w:rPr>
          <w:sz w:val="24"/>
          <w:szCs w:val="22"/>
        </w:rPr>
        <w:t>是抗氧化活性最强的一种构型</w:t>
      </w:r>
      <w:r>
        <w:rPr>
          <w:sz w:val="24"/>
          <w:szCs w:val="22"/>
          <w:vertAlign w:val="superscript"/>
        </w:rPr>
        <w:t>[13]</w:t>
      </w:r>
      <w:r>
        <w:rPr>
          <w:sz w:val="24"/>
          <w:szCs w:val="22"/>
        </w:rPr>
        <w:t>。然而</w:t>
      </w:r>
      <w:r>
        <w:rPr>
          <w:rFonts w:hint="eastAsia"/>
          <w:sz w:val="24"/>
          <w:szCs w:val="22"/>
        </w:rPr>
        <w:t>，</w:t>
      </w:r>
      <w:r>
        <w:rPr>
          <w:sz w:val="24"/>
          <w:szCs w:val="22"/>
        </w:rPr>
        <w:t>雨生红球藻具有较厚的细胞壁</w:t>
      </w:r>
      <w:r>
        <w:rPr>
          <w:rFonts w:hint="eastAsia"/>
          <w:sz w:val="24"/>
          <w:szCs w:val="22"/>
        </w:rPr>
        <w:t>，</w:t>
      </w:r>
      <w:r>
        <w:rPr>
          <w:sz w:val="24"/>
          <w:szCs w:val="22"/>
        </w:rPr>
        <w:t>会阻碍鱼类对类胡萝卜素的吸收利用</w:t>
      </w:r>
      <w:r>
        <w:rPr>
          <w:sz w:val="24"/>
          <w:szCs w:val="22"/>
          <w:vertAlign w:val="superscript"/>
        </w:rPr>
        <w:t>[14]</w:t>
      </w:r>
      <w:r>
        <w:rPr>
          <w:sz w:val="24"/>
          <w:szCs w:val="22"/>
        </w:rPr>
        <w:t>。加丽素粉红(Carophyll</w:t>
      </w:r>
      <w:r>
        <w:rPr>
          <w:rFonts w:hint="eastAsia"/>
          <w:sz w:val="24"/>
          <w:szCs w:val="22"/>
        </w:rPr>
        <w:t xml:space="preserve"> </w:t>
      </w:r>
      <w:r>
        <w:rPr>
          <w:sz w:val="24"/>
          <w:szCs w:val="22"/>
        </w:rPr>
        <w:t>pink)为一种化学合成的虾青素</w:t>
      </w:r>
      <w:r>
        <w:rPr>
          <w:rFonts w:hint="eastAsia"/>
          <w:sz w:val="24"/>
          <w:szCs w:val="22"/>
        </w:rPr>
        <w:t>，</w:t>
      </w:r>
      <w:r>
        <w:rPr>
          <w:sz w:val="24"/>
          <w:szCs w:val="22"/>
        </w:rPr>
        <w:t>主要成分为10%全反式虾青素</w:t>
      </w:r>
      <w:r>
        <w:rPr>
          <w:rFonts w:hint="eastAsia"/>
          <w:sz w:val="24"/>
          <w:szCs w:val="22"/>
        </w:rPr>
        <w:t>，</w:t>
      </w:r>
      <w:r>
        <w:rPr>
          <w:sz w:val="24"/>
          <w:szCs w:val="22"/>
        </w:rPr>
        <w:t>其中左旋、内消旋、右旋三种旋光异构体成分比例为1﹕2﹕1</w:t>
      </w:r>
      <w:r>
        <w:rPr>
          <w:rFonts w:hint="eastAsia"/>
          <w:sz w:val="24"/>
          <w:szCs w:val="22"/>
        </w:rPr>
        <w:t>，</w:t>
      </w:r>
      <w:r>
        <w:rPr>
          <w:sz w:val="24"/>
          <w:szCs w:val="22"/>
        </w:rPr>
        <w:t>具有微囊结构和水溶性好的特点</w:t>
      </w:r>
      <w:r>
        <w:rPr>
          <w:rFonts w:hint="eastAsia"/>
          <w:sz w:val="24"/>
          <w:szCs w:val="22"/>
        </w:rPr>
        <w:t>，</w:t>
      </w:r>
      <w:r>
        <w:rPr>
          <w:sz w:val="24"/>
          <w:szCs w:val="22"/>
        </w:rPr>
        <w:t>常用作水产饲料添加剂。研究表明加丽素粉红对养殖鱼类是安全的</w:t>
      </w:r>
      <w:r>
        <w:rPr>
          <w:rFonts w:hint="eastAsia"/>
          <w:sz w:val="24"/>
          <w:szCs w:val="22"/>
        </w:rPr>
        <w:t>，</w:t>
      </w:r>
      <w:r>
        <w:rPr>
          <w:sz w:val="24"/>
          <w:szCs w:val="22"/>
        </w:rPr>
        <w:t>能增强鱼类、虾类和其他甲壳类动物的体色和抗氧化能力</w:t>
      </w:r>
      <w:r>
        <w:rPr>
          <w:sz w:val="24"/>
          <w:szCs w:val="22"/>
          <w:vertAlign w:val="superscript"/>
        </w:rPr>
        <w:t>[15]</w:t>
      </w:r>
      <w:r>
        <w:rPr>
          <w:sz w:val="24"/>
          <w:szCs w:val="22"/>
        </w:rPr>
        <w:t>。然而有研究表明合成虾青素的抗氧化效果低于藻类来源的天然虾青素</w:t>
      </w:r>
      <w:r>
        <w:rPr>
          <w:sz w:val="24"/>
          <w:szCs w:val="22"/>
          <w:vertAlign w:val="superscript"/>
        </w:rPr>
        <w:t>[16]</w:t>
      </w:r>
      <w:r>
        <w:rPr>
          <w:sz w:val="24"/>
          <w:szCs w:val="22"/>
        </w:rPr>
        <w:t>。</w:t>
      </w:r>
    </w:p>
    <w:p>
      <w:pPr>
        <w:spacing w:line="360" w:lineRule="auto"/>
        <w:ind w:firstLine="480" w:firstLineChars="200"/>
        <w:rPr>
          <w:sz w:val="24"/>
          <w:szCs w:val="22"/>
        </w:rPr>
      </w:pPr>
      <w:r>
        <w:rPr>
          <w:sz w:val="24"/>
          <w:szCs w:val="22"/>
        </w:rPr>
        <w:t>虾青素作为饲料添加剂可以提高鱼类和虾类的免疫力、存活率和抗病力</w:t>
      </w:r>
      <w:r>
        <w:rPr>
          <w:rFonts w:hint="eastAsia"/>
          <w:sz w:val="24"/>
          <w:szCs w:val="22"/>
        </w:rPr>
        <w:t>，</w:t>
      </w:r>
      <w:r>
        <w:rPr>
          <w:sz w:val="24"/>
          <w:szCs w:val="22"/>
        </w:rPr>
        <w:t>也能促进鱼类(如鲑鳟类)和虾类肌肉中虾青素的沉积</w:t>
      </w:r>
      <w:r>
        <w:rPr>
          <w:rFonts w:hint="eastAsia"/>
          <w:sz w:val="24"/>
          <w:szCs w:val="22"/>
        </w:rPr>
        <w:t>，</w:t>
      </w:r>
      <w:r>
        <w:rPr>
          <w:sz w:val="24"/>
          <w:szCs w:val="22"/>
        </w:rPr>
        <w:t>改善肌肉颜色</w:t>
      </w:r>
      <w:r>
        <w:rPr>
          <w:rFonts w:hint="eastAsia"/>
          <w:sz w:val="24"/>
          <w:szCs w:val="22"/>
        </w:rPr>
        <w:t>，</w:t>
      </w:r>
      <w:r>
        <w:rPr>
          <w:sz w:val="24"/>
          <w:szCs w:val="22"/>
        </w:rPr>
        <w:t>提升品质。作为天然虾青素来源</w:t>
      </w:r>
      <w:r>
        <w:rPr>
          <w:rFonts w:hint="eastAsia"/>
          <w:sz w:val="24"/>
          <w:szCs w:val="22"/>
        </w:rPr>
        <w:t>，</w:t>
      </w:r>
      <w:r>
        <w:rPr>
          <w:sz w:val="24"/>
          <w:szCs w:val="22"/>
        </w:rPr>
        <w:t>副球菌和雨生红球藻在色素沉着、抗氧化与抗应激方面发挥了重要作用</w:t>
      </w:r>
      <w:r>
        <w:rPr>
          <w:sz w:val="24"/>
          <w:szCs w:val="22"/>
          <w:vertAlign w:val="superscript"/>
        </w:rPr>
        <w:t>[17</w:t>
      </w:r>
      <w:r>
        <w:rPr>
          <w:rFonts w:hint="eastAsia"/>
          <w:sz w:val="24"/>
          <w:szCs w:val="22"/>
          <w:vertAlign w:val="superscript"/>
        </w:rPr>
        <w:t>,</w:t>
      </w:r>
      <w:r>
        <w:rPr>
          <w:sz w:val="24"/>
          <w:szCs w:val="22"/>
          <w:vertAlign w:val="superscript"/>
        </w:rPr>
        <w:t>18]</w:t>
      </w:r>
      <w:r>
        <w:rPr>
          <w:rFonts w:hint="eastAsia"/>
          <w:sz w:val="24"/>
          <w:szCs w:val="22"/>
        </w:rPr>
        <w:t>，</w:t>
      </w:r>
      <w:r>
        <w:rPr>
          <w:sz w:val="24"/>
          <w:szCs w:val="22"/>
        </w:rPr>
        <w:t>它们与合成虾青素相比较的报道较少</w:t>
      </w:r>
      <w:r>
        <w:rPr>
          <w:rFonts w:hint="eastAsia"/>
          <w:sz w:val="24"/>
          <w:szCs w:val="22"/>
        </w:rPr>
        <w:t>，</w:t>
      </w:r>
      <w:r>
        <w:rPr>
          <w:sz w:val="24"/>
          <w:szCs w:val="22"/>
        </w:rPr>
        <w:t>而且不同来源虾青素可能具有不同的生理功能</w:t>
      </w:r>
      <w:r>
        <w:rPr>
          <w:sz w:val="24"/>
          <w:szCs w:val="22"/>
          <w:vertAlign w:val="superscript"/>
        </w:rPr>
        <w:t>[19</w:t>
      </w:r>
      <w:r>
        <w:rPr>
          <w:rFonts w:hint="eastAsia"/>
          <w:sz w:val="24"/>
          <w:szCs w:val="22"/>
          <w:vertAlign w:val="superscript"/>
        </w:rPr>
        <w:t>,</w:t>
      </w:r>
      <w:r>
        <w:rPr>
          <w:sz w:val="24"/>
          <w:szCs w:val="22"/>
          <w:vertAlign w:val="superscript"/>
        </w:rPr>
        <w:t>20]</w:t>
      </w:r>
      <w:r>
        <w:rPr>
          <w:sz w:val="24"/>
          <w:szCs w:val="22"/>
        </w:rPr>
        <w:t>。因此</w:t>
      </w:r>
      <w:r>
        <w:rPr>
          <w:rFonts w:hint="eastAsia"/>
          <w:sz w:val="24"/>
          <w:szCs w:val="22"/>
        </w:rPr>
        <w:t>，</w:t>
      </w:r>
      <w:r>
        <w:rPr>
          <w:sz w:val="24"/>
          <w:szCs w:val="22"/>
        </w:rPr>
        <w:t>本实验以虹鳟为研究对象</w:t>
      </w:r>
      <w:r>
        <w:rPr>
          <w:rFonts w:hint="eastAsia"/>
          <w:sz w:val="24"/>
          <w:szCs w:val="22"/>
        </w:rPr>
        <w:t>，</w:t>
      </w:r>
      <w:r>
        <w:rPr>
          <w:sz w:val="24"/>
          <w:szCs w:val="22"/>
        </w:rPr>
        <w:t>在饲料中分别添加副球菌、雨生红球藻和加丽素粉红</w:t>
      </w:r>
      <w:r>
        <w:rPr>
          <w:rFonts w:hint="eastAsia"/>
          <w:sz w:val="24"/>
          <w:szCs w:val="22"/>
        </w:rPr>
        <w:t>，</w:t>
      </w:r>
      <w:r>
        <w:rPr>
          <w:sz w:val="24"/>
          <w:szCs w:val="22"/>
        </w:rPr>
        <w:t>研究不同来源的虾青素对虹鳟生长、体色、抗氧化酶活性以及亚硝酸盐胁迫应激的影响</w:t>
      </w:r>
      <w:r>
        <w:rPr>
          <w:rFonts w:hint="eastAsia"/>
          <w:sz w:val="24"/>
          <w:szCs w:val="22"/>
        </w:rPr>
        <w:t>，</w:t>
      </w:r>
      <w:r>
        <w:rPr>
          <w:sz w:val="24"/>
          <w:szCs w:val="22"/>
        </w:rPr>
        <w:t>为改善虹鳟健康和品质的营养调控策略提供科学依据。</w:t>
      </w:r>
    </w:p>
    <w:p>
      <w:pPr>
        <w:spacing w:line="360" w:lineRule="auto"/>
        <w:rPr>
          <w:sz w:val="24"/>
          <w:szCs w:val="22"/>
        </w:rPr>
      </w:pPr>
      <w:r>
        <w:rPr>
          <w:sz w:val="24"/>
          <w:szCs w:val="22"/>
        </w:rPr>
        <w:t>1</w:t>
      </w:r>
      <w:r>
        <w:rPr>
          <w:rFonts w:hint="eastAsia"/>
          <w:sz w:val="24"/>
          <w:szCs w:val="22"/>
        </w:rPr>
        <w:t xml:space="preserve"> </w:t>
      </w:r>
      <w:r>
        <w:rPr>
          <w:sz w:val="24"/>
          <w:szCs w:val="22"/>
        </w:rPr>
        <w:t>材料与方法</w:t>
      </w:r>
    </w:p>
    <w:p>
      <w:pPr>
        <w:spacing w:line="360" w:lineRule="auto"/>
        <w:rPr>
          <w:sz w:val="24"/>
          <w:szCs w:val="22"/>
        </w:rPr>
      </w:pPr>
      <w:r>
        <w:rPr>
          <w:sz w:val="24"/>
          <w:szCs w:val="22"/>
        </w:rPr>
        <w:t>1.1</w:t>
      </w:r>
      <w:r>
        <w:rPr>
          <w:rFonts w:hint="eastAsia"/>
          <w:sz w:val="24"/>
          <w:szCs w:val="22"/>
        </w:rPr>
        <w:t xml:space="preserve"> </w:t>
      </w:r>
      <w:r>
        <w:rPr>
          <w:sz w:val="24"/>
          <w:szCs w:val="22"/>
        </w:rPr>
        <w:t>实验饲料</w:t>
      </w:r>
    </w:p>
    <w:p>
      <w:pPr>
        <w:spacing w:line="360" w:lineRule="auto"/>
        <w:ind w:firstLine="480" w:firstLineChars="200"/>
        <w:rPr>
          <w:sz w:val="24"/>
          <w:szCs w:val="22"/>
        </w:rPr>
      </w:pPr>
      <w:r>
        <w:rPr>
          <w:sz w:val="24"/>
          <w:szCs w:val="22"/>
        </w:rPr>
        <w:t>实验设置4组等氮等脂的饲料</w:t>
      </w:r>
      <w:r>
        <w:rPr>
          <w:rFonts w:hint="eastAsia"/>
          <w:sz w:val="24"/>
          <w:szCs w:val="22"/>
        </w:rPr>
        <w:t>，</w:t>
      </w:r>
      <w:r>
        <w:rPr>
          <w:sz w:val="24"/>
          <w:szCs w:val="22"/>
        </w:rPr>
        <w:t>以鱼粉、小麦浓缩蛋白和大豆浓缩蛋白为蛋白源</w:t>
      </w:r>
      <w:r>
        <w:rPr>
          <w:rFonts w:hint="eastAsia"/>
          <w:sz w:val="24"/>
          <w:szCs w:val="22"/>
        </w:rPr>
        <w:t>，</w:t>
      </w:r>
      <w:r>
        <w:rPr>
          <w:sz w:val="24"/>
          <w:szCs w:val="22"/>
        </w:rPr>
        <w:t>木薯淀粉为碳水化合物来源</w:t>
      </w:r>
      <w:r>
        <w:rPr>
          <w:rFonts w:hint="eastAsia"/>
          <w:sz w:val="24"/>
          <w:szCs w:val="22"/>
        </w:rPr>
        <w:t>，</w:t>
      </w:r>
      <w:r>
        <w:rPr>
          <w:sz w:val="24"/>
          <w:szCs w:val="22"/>
        </w:rPr>
        <w:t>鱼油和豆油为脂肪源。4种饲料包括不添加虾青素的基础饲料(CON)和在基础饲料中添加副球菌(PC)、雨生红球藻(HP)和加丽素粉红(CP)的实验饲料</w:t>
      </w:r>
      <w:r>
        <w:rPr>
          <w:rFonts w:hint="eastAsia"/>
          <w:sz w:val="24"/>
          <w:szCs w:val="22"/>
        </w:rPr>
        <w:t>，</w:t>
      </w:r>
      <w:r>
        <w:rPr>
          <w:sz w:val="24"/>
          <w:szCs w:val="22"/>
        </w:rPr>
        <w:t>实验组饲料中虾青素的含量分别为50.47、49.68和55.50mg/kg。实验饲料配方和化学成分如表1所示。</w:t>
      </w:r>
    </w:p>
    <w:p>
      <w:pPr>
        <w:spacing w:line="360" w:lineRule="auto"/>
        <w:rPr>
          <w:sz w:val="24"/>
          <w:szCs w:val="22"/>
        </w:rPr>
      </w:pPr>
      <w:r>
        <w:rPr>
          <w:sz w:val="24"/>
          <w:szCs w:val="22"/>
        </w:rPr>
        <w:t>1.2</w:t>
      </w:r>
      <w:r>
        <w:rPr>
          <w:rFonts w:hint="eastAsia"/>
          <w:sz w:val="24"/>
          <w:szCs w:val="22"/>
        </w:rPr>
        <w:t xml:space="preserve"> </w:t>
      </w:r>
      <w:r>
        <w:rPr>
          <w:sz w:val="24"/>
          <w:szCs w:val="22"/>
        </w:rPr>
        <w:t>实验鱼及养殖管理</w:t>
      </w:r>
    </w:p>
    <w:p>
      <w:pPr>
        <w:spacing w:line="360" w:lineRule="auto"/>
        <w:ind w:firstLine="480" w:firstLineChars="200"/>
        <w:rPr>
          <w:sz w:val="24"/>
          <w:szCs w:val="22"/>
        </w:rPr>
      </w:pPr>
      <w:r>
        <w:rPr>
          <w:sz w:val="24"/>
          <w:szCs w:val="22"/>
        </w:rPr>
        <w:t>本实验所需虹鳟购于昆明晓光渔业有限公司。实验前</w:t>
      </w:r>
      <w:r>
        <w:rPr>
          <w:rFonts w:hint="eastAsia"/>
          <w:sz w:val="24"/>
          <w:szCs w:val="22"/>
        </w:rPr>
        <w:t>，</w:t>
      </w:r>
      <w:r>
        <w:rPr>
          <w:sz w:val="24"/>
          <w:szCs w:val="22"/>
        </w:rPr>
        <w:t>所有虹鳟在1500L的圆缸中暂养两周进行驯化</w:t>
      </w:r>
      <w:r>
        <w:rPr>
          <w:rFonts w:hint="eastAsia"/>
          <w:sz w:val="24"/>
          <w:szCs w:val="22"/>
        </w:rPr>
        <w:t>，</w:t>
      </w:r>
      <w:r>
        <w:rPr>
          <w:sz w:val="24"/>
          <w:szCs w:val="22"/>
        </w:rPr>
        <w:t>暂养期间投喂暂养饲料。虹鳟禁食24h后</w:t>
      </w:r>
      <w:r>
        <w:rPr>
          <w:rFonts w:hint="eastAsia"/>
          <w:sz w:val="24"/>
          <w:szCs w:val="22"/>
        </w:rPr>
        <w:t>，</w:t>
      </w:r>
      <w:r>
        <w:rPr>
          <w:sz w:val="24"/>
          <w:szCs w:val="22"/>
        </w:rPr>
        <w:t>随机选取480尾健康、规格一致的初始体重为(6.17±0.08)g的鱼</w:t>
      </w:r>
      <w:r>
        <w:rPr>
          <w:rFonts w:hint="eastAsia"/>
          <w:sz w:val="24"/>
          <w:szCs w:val="22"/>
        </w:rPr>
        <w:t>，</w:t>
      </w:r>
      <w:r>
        <w:rPr>
          <w:sz w:val="24"/>
          <w:szCs w:val="22"/>
        </w:rPr>
        <w:t>放入16个圆形养殖缸(水体积200L)中。共计4个实验组</w:t>
      </w:r>
      <w:r>
        <w:rPr>
          <w:rFonts w:hint="eastAsia"/>
          <w:sz w:val="24"/>
          <w:szCs w:val="22"/>
        </w:rPr>
        <w:t>，</w:t>
      </w:r>
      <w:r>
        <w:rPr>
          <w:sz w:val="24"/>
          <w:szCs w:val="22"/>
        </w:rPr>
        <w:t>每组设置4个重复</w:t>
      </w:r>
      <w:r>
        <w:rPr>
          <w:rFonts w:hint="eastAsia"/>
          <w:sz w:val="24"/>
          <w:szCs w:val="22"/>
        </w:rPr>
        <w:t>，</w:t>
      </w:r>
      <w:r>
        <w:rPr>
          <w:sz w:val="24"/>
          <w:szCs w:val="22"/>
        </w:rPr>
        <w:t>每缸30尾鱼。养殖实验持续30d</w:t>
      </w:r>
      <w:r>
        <w:rPr>
          <w:rFonts w:hint="eastAsia"/>
          <w:sz w:val="24"/>
          <w:szCs w:val="22"/>
        </w:rPr>
        <w:t>，</w:t>
      </w:r>
      <w:r>
        <w:rPr>
          <w:sz w:val="24"/>
          <w:szCs w:val="22"/>
        </w:rPr>
        <w:t>每天9</w:t>
      </w:r>
      <w:r>
        <w:rPr>
          <w:rFonts w:hint="eastAsia"/>
          <w:sz w:val="24"/>
          <w:szCs w:val="22"/>
        </w:rPr>
        <w:t>：</w:t>
      </w:r>
      <w:r>
        <w:rPr>
          <w:sz w:val="24"/>
          <w:szCs w:val="22"/>
        </w:rPr>
        <w:t>00和16</w:t>
      </w:r>
      <w:r>
        <w:rPr>
          <w:rFonts w:hint="eastAsia"/>
          <w:sz w:val="24"/>
          <w:szCs w:val="22"/>
        </w:rPr>
        <w:t>：</w:t>
      </w:r>
      <w:r>
        <w:rPr>
          <w:sz w:val="24"/>
          <w:szCs w:val="22"/>
        </w:rPr>
        <w:t>00进行2次表观饱食投喂。实验期间</w:t>
      </w:r>
      <w:r>
        <w:rPr>
          <w:rFonts w:hint="eastAsia"/>
          <w:sz w:val="24"/>
          <w:szCs w:val="22"/>
        </w:rPr>
        <w:t>，</w:t>
      </w:r>
      <w:r>
        <w:rPr>
          <w:sz w:val="24"/>
          <w:szCs w:val="22"/>
        </w:rPr>
        <w:t>每个鱼缸24h用充气头连续充气增氧</w:t>
      </w:r>
      <w:r>
        <w:rPr>
          <w:rFonts w:hint="eastAsia"/>
          <w:sz w:val="24"/>
          <w:szCs w:val="22"/>
        </w:rPr>
        <w:t>，</w:t>
      </w:r>
      <w:r>
        <w:rPr>
          <w:sz w:val="24"/>
          <w:szCs w:val="22"/>
        </w:rPr>
        <w:t>水温(15±2)℃</w:t>
      </w:r>
      <w:r>
        <w:rPr>
          <w:rFonts w:hint="eastAsia"/>
          <w:sz w:val="24"/>
          <w:szCs w:val="22"/>
        </w:rPr>
        <w:t>，</w:t>
      </w:r>
      <w:r>
        <w:rPr>
          <w:sz w:val="24"/>
          <w:szCs w:val="22"/>
        </w:rPr>
        <w:t>每周监测水体溶氧、亚硝态氮和氨氮</w:t>
      </w:r>
      <w:r>
        <w:rPr>
          <w:rFonts w:hint="eastAsia"/>
          <w:sz w:val="24"/>
          <w:szCs w:val="22"/>
        </w:rPr>
        <w:t>，</w:t>
      </w:r>
      <w:r>
        <w:rPr>
          <w:sz w:val="24"/>
          <w:szCs w:val="22"/>
        </w:rPr>
        <w:t>pH在7.0—8.0</w:t>
      </w:r>
      <w:r>
        <w:rPr>
          <w:rFonts w:hint="eastAsia"/>
          <w:sz w:val="24"/>
          <w:szCs w:val="22"/>
        </w:rPr>
        <w:t>，</w:t>
      </w:r>
      <w:r>
        <w:rPr>
          <w:sz w:val="24"/>
          <w:szCs w:val="22"/>
        </w:rPr>
        <w:t>亚硝态氮和氨氮小于0.1mg/L</w:t>
      </w:r>
      <w:r>
        <w:rPr>
          <w:rFonts w:hint="eastAsia"/>
          <w:sz w:val="24"/>
          <w:szCs w:val="22"/>
        </w:rPr>
        <w:t>，</w:t>
      </w:r>
      <w:r>
        <w:rPr>
          <w:sz w:val="24"/>
          <w:szCs w:val="22"/>
        </w:rPr>
        <w:t>溶解氧大于6.8mg/L。</w:t>
      </w:r>
    </w:p>
    <w:p>
      <w:pPr>
        <w:spacing w:line="360" w:lineRule="auto"/>
        <w:rPr>
          <w:sz w:val="24"/>
          <w:szCs w:val="22"/>
        </w:rPr>
      </w:pPr>
      <w:r>
        <w:rPr>
          <w:sz w:val="24"/>
          <w:szCs w:val="22"/>
        </w:rPr>
        <w:t>1.3</w:t>
      </w:r>
      <w:r>
        <w:rPr>
          <w:rFonts w:hint="eastAsia"/>
          <w:sz w:val="24"/>
          <w:szCs w:val="22"/>
        </w:rPr>
        <w:t xml:space="preserve"> </w:t>
      </w:r>
      <w:r>
        <w:rPr>
          <w:sz w:val="24"/>
          <w:szCs w:val="22"/>
        </w:rPr>
        <w:t>样品采集</w:t>
      </w:r>
    </w:p>
    <w:p>
      <w:pPr>
        <w:spacing w:line="360" w:lineRule="auto"/>
        <w:ind w:firstLine="480" w:firstLineChars="200"/>
        <w:rPr>
          <w:sz w:val="24"/>
          <w:szCs w:val="22"/>
        </w:rPr>
      </w:pPr>
      <w:r>
        <w:rPr>
          <w:sz w:val="24"/>
          <w:szCs w:val="22"/>
        </w:rPr>
        <w:t>在养殖实验结束后</w:t>
      </w:r>
      <w:r>
        <w:rPr>
          <w:rFonts w:hint="eastAsia"/>
          <w:sz w:val="24"/>
          <w:szCs w:val="22"/>
        </w:rPr>
        <w:t>，</w:t>
      </w:r>
      <w:r>
        <w:rPr>
          <w:sz w:val="24"/>
          <w:szCs w:val="22"/>
        </w:rPr>
        <w:t>将所有的鱼禁食24h</w:t>
      </w:r>
      <w:r>
        <w:rPr>
          <w:rFonts w:hint="eastAsia"/>
          <w:sz w:val="24"/>
          <w:szCs w:val="22"/>
        </w:rPr>
        <w:t>，</w:t>
      </w:r>
      <w:r>
        <w:rPr>
          <w:sz w:val="24"/>
          <w:szCs w:val="22"/>
        </w:rPr>
        <w:t>统计每缸总数和终末重量。每缸中随机选取9尾鱼用MS-222(60mg/kg</w:t>
      </w:r>
      <w:r>
        <w:rPr>
          <w:rFonts w:hint="eastAsia"/>
          <w:sz w:val="24"/>
          <w:szCs w:val="22"/>
        </w:rPr>
        <w:t>，</w:t>
      </w:r>
      <w:r>
        <w:rPr>
          <w:sz w:val="24"/>
          <w:szCs w:val="22"/>
        </w:rPr>
        <w:t>Sigma</w:t>
      </w:r>
      <w:r>
        <w:rPr>
          <w:rFonts w:hint="eastAsia"/>
          <w:sz w:val="24"/>
          <w:szCs w:val="22"/>
        </w:rPr>
        <w:t>，</w:t>
      </w:r>
      <w:r>
        <w:rPr>
          <w:sz w:val="24"/>
          <w:szCs w:val="22"/>
        </w:rPr>
        <w:t>USA)麻醉后进行取样。其中3尾鱼称重记录后保存在–20℃冰箱</w:t>
      </w:r>
      <w:r>
        <w:rPr>
          <w:rFonts w:hint="eastAsia"/>
          <w:sz w:val="24"/>
          <w:szCs w:val="22"/>
        </w:rPr>
        <w:t>，</w:t>
      </w:r>
      <w:r>
        <w:rPr>
          <w:sz w:val="24"/>
          <w:szCs w:val="22"/>
        </w:rPr>
        <w:t>用于后续体成分分析</w:t>
      </w:r>
      <w:r>
        <w:rPr>
          <w:rFonts w:hint="eastAsia"/>
          <w:sz w:val="24"/>
          <w:szCs w:val="22"/>
        </w:rPr>
        <w:t>；</w:t>
      </w:r>
      <w:r>
        <w:rPr>
          <w:sz w:val="24"/>
          <w:szCs w:val="22"/>
        </w:rPr>
        <w:t>3尾鱼测量体长、体重、内脏重和肝脏重量</w:t>
      </w:r>
      <w:r>
        <w:rPr>
          <w:rFonts w:hint="eastAsia"/>
          <w:sz w:val="24"/>
          <w:szCs w:val="22"/>
        </w:rPr>
        <w:t>，</w:t>
      </w:r>
      <w:r>
        <w:rPr>
          <w:sz w:val="24"/>
          <w:szCs w:val="22"/>
        </w:rPr>
        <w:t>同时测定这3尾鱼的体表和背肌色度</w:t>
      </w:r>
      <w:r>
        <w:rPr>
          <w:rFonts w:hint="eastAsia"/>
          <w:sz w:val="24"/>
          <w:szCs w:val="22"/>
        </w:rPr>
        <w:t>；</w:t>
      </w:r>
      <w:r>
        <w:rPr>
          <w:sz w:val="24"/>
          <w:szCs w:val="22"/>
        </w:rPr>
        <w:t>另外3尾鱼进行血液、肝脏组织、肌肉组织和鳃组织的取样。使用肝素钠(浓度0.2%)抗凝润过注射器从尾静脉抽血</w:t>
      </w:r>
      <w:r>
        <w:rPr>
          <w:rFonts w:hint="eastAsia"/>
          <w:sz w:val="24"/>
          <w:szCs w:val="22"/>
        </w:rPr>
        <w:t>，</w:t>
      </w:r>
      <w:r>
        <w:rPr>
          <w:sz w:val="24"/>
          <w:szCs w:val="22"/>
        </w:rPr>
        <w:t>放入抗凝离心管中</w:t>
      </w:r>
      <w:r>
        <w:rPr>
          <w:rFonts w:hint="eastAsia"/>
          <w:sz w:val="24"/>
          <w:szCs w:val="22"/>
        </w:rPr>
        <w:t>，</w:t>
      </w:r>
      <w:r>
        <w:rPr>
          <w:sz w:val="24"/>
          <w:szCs w:val="22"/>
        </w:rPr>
        <w:t>用离心机在4℃3500r/min的条件下离心10min分离血浆</w:t>
      </w:r>
      <w:r>
        <w:rPr>
          <w:sz w:val="24"/>
          <w:szCs w:val="22"/>
          <w:vertAlign w:val="superscript"/>
        </w:rPr>
        <w:t>[21]</w:t>
      </w:r>
      <w:r>
        <w:rPr>
          <w:rFonts w:hint="eastAsia"/>
          <w:sz w:val="24"/>
          <w:szCs w:val="22"/>
        </w:rPr>
        <w:t>，</w:t>
      </w:r>
      <w:r>
        <w:rPr>
          <w:sz w:val="24"/>
          <w:szCs w:val="22"/>
        </w:rPr>
        <w:t>血浆样品储存于–80℃的冰箱保存</w:t>
      </w:r>
      <w:r>
        <w:rPr>
          <w:rFonts w:hint="eastAsia"/>
          <w:sz w:val="24"/>
          <w:szCs w:val="22"/>
        </w:rPr>
        <w:t>，</w:t>
      </w:r>
      <w:r>
        <w:rPr>
          <w:sz w:val="24"/>
          <w:szCs w:val="22"/>
        </w:rPr>
        <w:t>用于相关血液学指标测定。随后将鱼置于冰上解剖</w:t>
      </w:r>
      <w:r>
        <w:rPr>
          <w:rFonts w:hint="eastAsia"/>
          <w:sz w:val="24"/>
          <w:szCs w:val="22"/>
        </w:rPr>
        <w:t>，</w:t>
      </w:r>
      <w:r>
        <w:rPr>
          <w:sz w:val="24"/>
          <w:szCs w:val="22"/>
        </w:rPr>
        <w:t>采集肝脏组织、鳃组织及肌肉样品</w:t>
      </w:r>
      <w:r>
        <w:rPr>
          <w:rFonts w:hint="eastAsia"/>
          <w:sz w:val="24"/>
          <w:szCs w:val="22"/>
        </w:rPr>
        <w:t>，</w:t>
      </w:r>
      <w:r>
        <w:rPr>
          <w:sz w:val="24"/>
          <w:szCs w:val="22"/>
        </w:rPr>
        <w:t>组织切片的样品置于4%的多聚甲醛中进行固定</w:t>
      </w:r>
      <w:r>
        <w:rPr>
          <w:rFonts w:hint="eastAsia"/>
          <w:sz w:val="24"/>
          <w:szCs w:val="22"/>
        </w:rPr>
        <w:t>，</w:t>
      </w:r>
      <w:r>
        <w:rPr>
          <w:sz w:val="24"/>
          <w:szCs w:val="22"/>
        </w:rPr>
        <w:t>测定酶活性和mRNA相对表达量的样品在液氮中速冻</w:t>
      </w:r>
      <w:r>
        <w:rPr>
          <w:rFonts w:hint="eastAsia"/>
          <w:sz w:val="24"/>
          <w:szCs w:val="22"/>
        </w:rPr>
        <w:t>，</w:t>
      </w:r>
      <w:r>
        <w:rPr>
          <w:sz w:val="24"/>
          <w:szCs w:val="22"/>
        </w:rPr>
        <w:t>随后保存于–80℃冰箱用于后续分析。</w:t>
      </w:r>
    </w:p>
    <w:p>
      <w:pPr>
        <w:spacing w:line="360" w:lineRule="auto"/>
        <w:rPr>
          <w:sz w:val="24"/>
          <w:szCs w:val="22"/>
        </w:rPr>
      </w:pPr>
      <w:r>
        <w:rPr>
          <w:sz w:val="24"/>
          <w:szCs w:val="22"/>
        </w:rPr>
        <w:t>1.4</w:t>
      </w:r>
      <w:r>
        <w:rPr>
          <w:rFonts w:hint="eastAsia"/>
          <w:sz w:val="24"/>
          <w:szCs w:val="22"/>
        </w:rPr>
        <w:t xml:space="preserve"> </w:t>
      </w:r>
      <w:r>
        <w:rPr>
          <w:sz w:val="24"/>
          <w:szCs w:val="22"/>
        </w:rPr>
        <w:t>色度和色素的测定</w:t>
      </w:r>
    </w:p>
    <w:p>
      <w:pPr>
        <w:spacing w:line="360" w:lineRule="auto"/>
        <w:ind w:firstLine="480" w:firstLineChars="200"/>
        <w:rPr>
          <w:sz w:val="24"/>
          <w:szCs w:val="22"/>
        </w:rPr>
      </w:pPr>
      <w:r>
        <w:rPr>
          <w:sz w:val="24"/>
          <w:szCs w:val="22"/>
        </w:rPr>
        <w:t>鱼体背部、腹部和肌肉的颜色测定用色差计(CR400</w:t>
      </w:r>
      <w:r>
        <w:rPr>
          <w:rFonts w:hint="eastAsia"/>
          <w:sz w:val="24"/>
          <w:szCs w:val="22"/>
        </w:rPr>
        <w:t>，</w:t>
      </w:r>
      <w:r>
        <w:rPr>
          <w:sz w:val="24"/>
          <w:szCs w:val="22"/>
        </w:rPr>
        <w:t>柯尼卡-美能达</w:t>
      </w:r>
      <w:r>
        <w:rPr>
          <w:rFonts w:hint="eastAsia"/>
          <w:sz w:val="24"/>
          <w:szCs w:val="22"/>
        </w:rPr>
        <w:t>，</w:t>
      </w:r>
      <w:r>
        <w:rPr>
          <w:sz w:val="24"/>
          <w:szCs w:val="22"/>
        </w:rPr>
        <w:t>日本)进行测定(分别为背鳍下部皮肤、腹部皮肤和背鳍下侧肌肉</w:t>
      </w:r>
      <w:r>
        <w:rPr>
          <w:rFonts w:hint="eastAsia"/>
          <w:sz w:val="24"/>
          <w:szCs w:val="22"/>
        </w:rPr>
        <w:t>，</w:t>
      </w:r>
      <w:r>
        <w:rPr>
          <w:sz w:val="24"/>
          <w:szCs w:val="22"/>
        </w:rPr>
        <w:t>图1)</w:t>
      </w:r>
      <w:r>
        <w:rPr>
          <w:rFonts w:hint="eastAsia"/>
          <w:sz w:val="24"/>
          <w:szCs w:val="22"/>
        </w:rPr>
        <w:t>，</w:t>
      </w:r>
      <w:r>
        <w:rPr>
          <w:sz w:val="24"/>
          <w:szCs w:val="22"/>
        </w:rPr>
        <w:t>用L*表示亮度</w:t>
      </w:r>
      <w:r>
        <w:rPr>
          <w:rFonts w:hint="eastAsia"/>
          <w:sz w:val="24"/>
          <w:szCs w:val="22"/>
        </w:rPr>
        <w:t>，</w:t>
      </w:r>
      <w:r>
        <w:rPr>
          <w:sz w:val="24"/>
          <w:szCs w:val="22"/>
        </w:rPr>
        <w:t>+a*表示红色</w:t>
      </w:r>
      <w:r>
        <w:rPr>
          <w:rFonts w:hint="eastAsia"/>
          <w:sz w:val="24"/>
          <w:szCs w:val="22"/>
        </w:rPr>
        <w:t>，</w:t>
      </w:r>
      <w:r>
        <w:rPr>
          <w:sz w:val="24"/>
          <w:szCs w:val="22"/>
        </w:rPr>
        <w:t>-a*表示绿色</w:t>
      </w:r>
      <w:r>
        <w:rPr>
          <w:rFonts w:hint="eastAsia"/>
          <w:sz w:val="24"/>
          <w:szCs w:val="22"/>
        </w:rPr>
        <w:t>，</w:t>
      </w:r>
      <w:r>
        <w:rPr>
          <w:sz w:val="24"/>
          <w:szCs w:val="22"/>
        </w:rPr>
        <w:t>+b*表示黄色</w:t>
      </w:r>
      <w:r>
        <w:rPr>
          <w:rFonts w:hint="eastAsia"/>
          <w:sz w:val="24"/>
          <w:szCs w:val="22"/>
        </w:rPr>
        <w:t>，</w:t>
      </w:r>
      <w:r>
        <w:rPr>
          <w:sz w:val="24"/>
          <w:szCs w:val="22"/>
        </w:rPr>
        <w:t>-b表示蓝色</w:t>
      </w:r>
      <w:r>
        <w:rPr>
          <w:sz w:val="24"/>
          <w:szCs w:val="22"/>
          <w:vertAlign w:val="superscript"/>
        </w:rPr>
        <w:t>[22]</w:t>
      </w:r>
      <w:r>
        <w:rPr>
          <w:rFonts w:hint="eastAsia"/>
          <w:sz w:val="24"/>
          <w:szCs w:val="22"/>
        </w:rPr>
        <w:t>，</w:t>
      </w:r>
      <w:r>
        <w:rPr>
          <w:sz w:val="24"/>
          <w:szCs w:val="22"/>
        </w:rPr>
        <w:t>用数码单反相机(D5100</w:t>
      </w:r>
      <w:r>
        <w:rPr>
          <w:rFonts w:hint="eastAsia"/>
          <w:sz w:val="24"/>
          <w:szCs w:val="22"/>
        </w:rPr>
        <w:t>，</w:t>
      </w:r>
      <w:r>
        <w:rPr>
          <w:sz w:val="24"/>
          <w:szCs w:val="22"/>
        </w:rPr>
        <w:t>尼康)对整条鱼以及鱼的肌肉拍色。饲料和肌肉中的虾青素含量依据美国药典测试虾青素的提取和测定方法</w:t>
      </w:r>
      <w:r>
        <w:rPr>
          <w:sz w:val="24"/>
          <w:szCs w:val="22"/>
          <w:vertAlign w:val="superscript"/>
        </w:rPr>
        <w:t>[23]</w:t>
      </w:r>
      <w:r>
        <w:rPr>
          <w:sz w:val="24"/>
          <w:szCs w:val="22"/>
        </w:rPr>
        <w:t>。</w:t>
      </w:r>
    </w:p>
    <w:p>
      <w:pPr>
        <w:spacing w:line="360" w:lineRule="auto"/>
        <w:jc w:val="center"/>
        <w:rPr>
          <w:sz w:val="24"/>
          <w:szCs w:val="22"/>
        </w:rPr>
      </w:pPr>
      <w:r>
        <w:rPr>
          <w:rFonts w:ascii="宋体" w:hAnsi="宋体" w:cs="宋体"/>
          <w:sz w:val="24"/>
        </w:rPr>
        <w:drawing>
          <wp:inline distT="0" distB="0" distL="114300" distR="114300">
            <wp:extent cx="3439795" cy="8229600"/>
            <wp:effectExtent l="0" t="0" r="8255" b="0"/>
            <wp:docPr id="1022345340" name="图片 102234534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345340" name="图片 1022345340" descr="IMG_256"/>
                    <pic:cNvPicPr>
                      <a:picLocks noChangeAspect="1"/>
                    </pic:cNvPicPr>
                  </pic:nvPicPr>
                  <pic:blipFill>
                    <a:blip r:embed="rId25"/>
                    <a:stretch>
                      <a:fillRect/>
                    </a:stretch>
                  </pic:blipFill>
                  <pic:spPr>
                    <a:xfrm>
                      <a:off x="0" y="0"/>
                      <a:ext cx="3443106" cy="8237484"/>
                    </a:xfrm>
                    <a:prstGeom prst="rect">
                      <a:avLst/>
                    </a:prstGeom>
                    <a:noFill/>
                    <a:ln w="9525">
                      <a:noFill/>
                    </a:ln>
                  </pic:spPr>
                </pic:pic>
              </a:graphicData>
            </a:graphic>
          </wp:inline>
        </w:drawing>
      </w:r>
    </w:p>
    <w:p>
      <w:pPr>
        <w:spacing w:line="360" w:lineRule="auto"/>
        <w:rPr>
          <w:sz w:val="24"/>
          <w:szCs w:val="22"/>
        </w:rPr>
      </w:pPr>
      <w:r>
        <w:rPr>
          <w:sz w:val="24"/>
          <w:szCs w:val="22"/>
        </w:rPr>
        <w:t>1.5</w:t>
      </w:r>
      <w:r>
        <w:rPr>
          <w:rFonts w:hint="eastAsia"/>
          <w:sz w:val="24"/>
          <w:szCs w:val="22"/>
        </w:rPr>
        <w:t xml:space="preserve"> </w:t>
      </w:r>
      <w:r>
        <w:rPr>
          <w:sz w:val="24"/>
          <w:szCs w:val="22"/>
        </w:rPr>
        <w:t>生化分析</w:t>
      </w:r>
    </w:p>
    <w:p>
      <w:pPr>
        <w:spacing w:line="360" w:lineRule="auto"/>
        <w:ind w:firstLine="480" w:firstLineChars="200"/>
        <w:rPr>
          <w:sz w:val="24"/>
          <w:szCs w:val="22"/>
        </w:rPr>
      </w:pPr>
      <w:r>
        <w:rPr>
          <w:sz w:val="24"/>
          <w:szCs w:val="22"/>
        </w:rPr>
        <w:t>饲料样品的基本组分测定是根据AOAC</w:t>
      </w:r>
      <w:r>
        <w:rPr>
          <w:sz w:val="24"/>
          <w:szCs w:val="22"/>
          <w:vertAlign w:val="superscript"/>
        </w:rPr>
        <w:t>[24]</w:t>
      </w:r>
      <w:r>
        <w:rPr>
          <w:sz w:val="24"/>
          <w:szCs w:val="22"/>
        </w:rPr>
        <w:t>描述的方法进行分析</w:t>
      </w:r>
      <w:r>
        <w:rPr>
          <w:rFonts w:hint="eastAsia"/>
          <w:sz w:val="24"/>
          <w:szCs w:val="22"/>
        </w:rPr>
        <w:t>，</w:t>
      </w:r>
      <w:r>
        <w:rPr>
          <w:sz w:val="24"/>
          <w:szCs w:val="22"/>
        </w:rPr>
        <w:t>水分在105℃条件下烘干恒重测定</w:t>
      </w:r>
      <w:r>
        <w:rPr>
          <w:rFonts w:hint="eastAsia"/>
          <w:sz w:val="24"/>
          <w:szCs w:val="22"/>
        </w:rPr>
        <w:t>，</w:t>
      </w:r>
      <w:r>
        <w:rPr>
          <w:sz w:val="24"/>
          <w:szCs w:val="22"/>
        </w:rPr>
        <w:t>粗蛋白采用凯氏定氮仪测定(FOSSTecator</w:t>
      </w:r>
      <w:r>
        <w:rPr>
          <w:rFonts w:hint="eastAsia"/>
          <w:sz w:val="24"/>
          <w:szCs w:val="22"/>
        </w:rPr>
        <w:t>，</w:t>
      </w:r>
      <w:r>
        <w:rPr>
          <w:sz w:val="24"/>
          <w:szCs w:val="22"/>
        </w:rPr>
        <w:t>Haganas</w:t>
      </w:r>
      <w:r>
        <w:rPr>
          <w:rFonts w:hint="eastAsia"/>
          <w:sz w:val="24"/>
          <w:szCs w:val="22"/>
        </w:rPr>
        <w:t>，</w:t>
      </w:r>
      <w:r>
        <w:rPr>
          <w:sz w:val="24"/>
          <w:szCs w:val="22"/>
        </w:rPr>
        <w:t>Sweden)、粗脂肪用索氏抽提法测定(SOXTEC2005</w:t>
      </w:r>
      <w:r>
        <w:rPr>
          <w:rFonts w:hint="eastAsia"/>
          <w:sz w:val="24"/>
          <w:szCs w:val="22"/>
        </w:rPr>
        <w:t>，</w:t>
      </w:r>
      <w:r>
        <w:rPr>
          <w:sz w:val="24"/>
          <w:szCs w:val="22"/>
        </w:rPr>
        <w:t>FOSSTecator</w:t>
      </w:r>
      <w:r>
        <w:rPr>
          <w:rFonts w:hint="eastAsia"/>
          <w:sz w:val="24"/>
          <w:szCs w:val="22"/>
        </w:rPr>
        <w:t>，</w:t>
      </w:r>
      <w:r>
        <w:rPr>
          <w:sz w:val="24"/>
          <w:szCs w:val="22"/>
        </w:rPr>
        <w:t>Haganas</w:t>
      </w:r>
      <w:r>
        <w:rPr>
          <w:rFonts w:hint="eastAsia"/>
          <w:sz w:val="24"/>
          <w:szCs w:val="22"/>
        </w:rPr>
        <w:t>，</w:t>
      </w:r>
      <w:r>
        <w:rPr>
          <w:sz w:val="24"/>
          <w:szCs w:val="22"/>
        </w:rPr>
        <w:t>Sweden)</w:t>
      </w:r>
      <w:r>
        <w:rPr>
          <w:rFonts w:hint="eastAsia"/>
          <w:sz w:val="24"/>
          <w:szCs w:val="22"/>
        </w:rPr>
        <w:t>，</w:t>
      </w:r>
      <w:r>
        <w:rPr>
          <w:sz w:val="24"/>
          <w:szCs w:val="22"/>
        </w:rPr>
        <w:t>灰分在马弗炉(中国湖北英山县建立电炉制造厂)中550℃处理12h后称重测定。血浆中的葡萄糖(Glucose</w:t>
      </w:r>
      <w:r>
        <w:rPr>
          <w:rFonts w:hint="eastAsia"/>
          <w:sz w:val="24"/>
          <w:szCs w:val="22"/>
        </w:rPr>
        <w:t>：</w:t>
      </w:r>
      <w:r>
        <w:rPr>
          <w:sz w:val="24"/>
          <w:szCs w:val="22"/>
        </w:rPr>
        <w:t>A154-1-1)、天门冬氨酸氨基转移酶(AST</w:t>
      </w:r>
      <w:r>
        <w:rPr>
          <w:rFonts w:hint="eastAsia"/>
          <w:sz w:val="24"/>
          <w:szCs w:val="22"/>
        </w:rPr>
        <w:t>：</w:t>
      </w:r>
      <w:r>
        <w:rPr>
          <w:sz w:val="24"/>
          <w:szCs w:val="22"/>
        </w:rPr>
        <w:t>C010-2-1)、丙氨酸氨基转移酶(ALT</w:t>
      </w:r>
      <w:r>
        <w:rPr>
          <w:rFonts w:hint="eastAsia"/>
          <w:sz w:val="24"/>
          <w:szCs w:val="22"/>
        </w:rPr>
        <w:t>：</w:t>
      </w:r>
      <w:r>
        <w:rPr>
          <w:sz w:val="24"/>
          <w:szCs w:val="22"/>
        </w:rPr>
        <w:t>C009-2-1)、碱性磷酸酶(AKP</w:t>
      </w:r>
      <w:r>
        <w:rPr>
          <w:rFonts w:hint="eastAsia"/>
          <w:sz w:val="24"/>
          <w:szCs w:val="22"/>
        </w:rPr>
        <w:t>：</w:t>
      </w:r>
      <w:r>
        <w:rPr>
          <w:sz w:val="24"/>
          <w:szCs w:val="22"/>
        </w:rPr>
        <w:t>A059-2-2)、乳酸(LD</w:t>
      </w:r>
      <w:r>
        <w:rPr>
          <w:rFonts w:hint="eastAsia"/>
          <w:sz w:val="24"/>
          <w:szCs w:val="22"/>
        </w:rPr>
        <w:t>：</w:t>
      </w:r>
      <w:r>
        <w:rPr>
          <w:sz w:val="24"/>
          <w:szCs w:val="22"/>
        </w:rPr>
        <w:t>A019-2-1)和皮质醇(H094-1-2)均采用南京建成生物工程研究所提供的试剂盒进行检测。肝脏中过氧化氢酶(CAT</w:t>
      </w:r>
      <w:r>
        <w:rPr>
          <w:rFonts w:hint="eastAsia"/>
          <w:sz w:val="24"/>
          <w:szCs w:val="22"/>
        </w:rPr>
        <w:t>：</w:t>
      </w:r>
      <w:r>
        <w:rPr>
          <w:sz w:val="24"/>
          <w:szCs w:val="22"/>
        </w:rPr>
        <w:t>A007-1-1)、肝脏超氧化物歧化酶(SOD</w:t>
      </w:r>
      <w:r>
        <w:rPr>
          <w:rFonts w:hint="eastAsia"/>
          <w:sz w:val="24"/>
          <w:szCs w:val="22"/>
        </w:rPr>
        <w:t>：</w:t>
      </w:r>
      <w:r>
        <w:rPr>
          <w:sz w:val="24"/>
          <w:szCs w:val="22"/>
        </w:rPr>
        <w:t>A001-3-2)活性和丙二醛(MDA</w:t>
      </w:r>
      <w:r>
        <w:rPr>
          <w:rFonts w:hint="eastAsia"/>
          <w:sz w:val="24"/>
          <w:szCs w:val="22"/>
        </w:rPr>
        <w:t>：</w:t>
      </w:r>
      <w:r>
        <w:rPr>
          <w:sz w:val="24"/>
          <w:szCs w:val="22"/>
        </w:rPr>
        <w:t>A003-1-1)含量也采用南京建成生物工程研究所的试剂盒进行检测。肝脏中的ROS采用默沙克科生物的试剂盒(KT86537)进行测定。</w:t>
      </w:r>
    </w:p>
    <w:p>
      <w:pPr>
        <w:spacing w:line="360" w:lineRule="auto"/>
        <w:rPr>
          <w:sz w:val="24"/>
          <w:szCs w:val="22"/>
        </w:rPr>
      </w:pPr>
      <w:r>
        <w:rPr>
          <w:sz w:val="24"/>
          <w:szCs w:val="22"/>
        </w:rPr>
        <w:t>1.6</w:t>
      </w:r>
      <w:r>
        <w:rPr>
          <w:rFonts w:hint="eastAsia"/>
          <w:sz w:val="24"/>
          <w:szCs w:val="22"/>
        </w:rPr>
        <w:t xml:space="preserve"> </w:t>
      </w:r>
      <w:r>
        <w:rPr>
          <w:sz w:val="24"/>
          <w:szCs w:val="22"/>
        </w:rPr>
        <w:t>急性亚硝酸盐胁迫</w:t>
      </w:r>
    </w:p>
    <w:p>
      <w:pPr>
        <w:spacing w:line="360" w:lineRule="auto"/>
        <w:ind w:firstLine="480" w:firstLineChars="200"/>
        <w:rPr>
          <w:sz w:val="24"/>
          <w:szCs w:val="22"/>
        </w:rPr>
      </w:pPr>
      <w:r>
        <w:rPr>
          <w:sz w:val="24"/>
          <w:szCs w:val="22"/>
        </w:rPr>
        <w:t>在养殖实验取样结束后5d</w:t>
      </w:r>
      <w:r>
        <w:rPr>
          <w:rFonts w:hint="eastAsia"/>
          <w:sz w:val="24"/>
          <w:szCs w:val="22"/>
        </w:rPr>
        <w:t>，</w:t>
      </w:r>
      <w:r>
        <w:rPr>
          <w:sz w:val="24"/>
          <w:szCs w:val="22"/>
        </w:rPr>
        <w:t>采用亚硝酸钠(NaNO2)配制亚硝酸盐胁迫实验溶液。在正式实验前</w:t>
      </w:r>
      <w:r>
        <w:rPr>
          <w:rFonts w:hint="eastAsia"/>
          <w:sz w:val="24"/>
          <w:szCs w:val="22"/>
        </w:rPr>
        <w:t>，</w:t>
      </w:r>
      <w:r>
        <w:rPr>
          <w:sz w:val="24"/>
          <w:szCs w:val="22"/>
        </w:rPr>
        <w:t>根据Kroupova等</w:t>
      </w:r>
      <w:r>
        <w:rPr>
          <w:sz w:val="24"/>
          <w:szCs w:val="22"/>
          <w:vertAlign w:val="superscript"/>
        </w:rPr>
        <w:t>[25]</w:t>
      </w:r>
      <w:r>
        <w:rPr>
          <w:sz w:val="24"/>
          <w:szCs w:val="22"/>
        </w:rPr>
        <w:t>描述的方法进行半致死浓度的检测。预实验结果表明亚硝酸盐48h急性胁迫的半致死浓度为160mg/L。因此</w:t>
      </w:r>
      <w:r>
        <w:rPr>
          <w:rFonts w:hint="eastAsia"/>
          <w:sz w:val="24"/>
          <w:szCs w:val="22"/>
        </w:rPr>
        <w:t>，</w:t>
      </w:r>
      <w:r>
        <w:rPr>
          <w:sz w:val="24"/>
          <w:szCs w:val="22"/>
        </w:rPr>
        <w:t>正式实验亚硝酸盐急性胁迫浓度设定为160mg/L</w:t>
      </w:r>
      <w:r>
        <w:rPr>
          <w:rFonts w:hint="eastAsia"/>
          <w:sz w:val="24"/>
          <w:szCs w:val="22"/>
        </w:rPr>
        <w:t>，</w:t>
      </w:r>
      <w:r>
        <w:rPr>
          <w:sz w:val="24"/>
          <w:szCs w:val="22"/>
        </w:rPr>
        <w:t>暴露时间为48h。每个实验缸中随机选取10尾虹鳟进行胁迫实验</w:t>
      </w:r>
      <w:r>
        <w:rPr>
          <w:rFonts w:hint="eastAsia"/>
          <w:sz w:val="24"/>
          <w:szCs w:val="22"/>
        </w:rPr>
        <w:t>，</w:t>
      </w:r>
      <w:r>
        <w:rPr>
          <w:sz w:val="24"/>
          <w:szCs w:val="22"/>
        </w:rPr>
        <w:t>对照添加组、副球菌添加组、雨生红球藻添加组、加丽素粉红添加组在亚硝酸盐胁迫后分别对应NCON、NPC、NHP和NCP组。胁迫实验用与养殖实验同样的圆形养殖缸(水体积200L)</w:t>
      </w:r>
      <w:r>
        <w:rPr>
          <w:rFonts w:hint="eastAsia"/>
          <w:sz w:val="24"/>
          <w:szCs w:val="22"/>
        </w:rPr>
        <w:t>，</w:t>
      </w:r>
      <w:r>
        <w:rPr>
          <w:sz w:val="24"/>
          <w:szCs w:val="22"/>
        </w:rPr>
        <w:t>亚硝酸盐胁迫时水体积设置为100L。实验期间亚硝酸盐浓度每12h测定1次</w:t>
      </w:r>
      <w:r>
        <w:rPr>
          <w:rFonts w:hint="eastAsia"/>
          <w:sz w:val="24"/>
          <w:szCs w:val="22"/>
        </w:rPr>
        <w:t>，</w:t>
      </w:r>
      <w:r>
        <w:rPr>
          <w:sz w:val="24"/>
          <w:szCs w:val="22"/>
        </w:rPr>
        <w:t>使每缸中亚硝酸盐的浓度为160mg/L。在胁迫实验期间</w:t>
      </w:r>
      <w:r>
        <w:rPr>
          <w:rFonts w:hint="eastAsia"/>
          <w:sz w:val="24"/>
          <w:szCs w:val="22"/>
        </w:rPr>
        <w:t>，</w:t>
      </w:r>
      <w:r>
        <w:rPr>
          <w:sz w:val="24"/>
          <w:szCs w:val="22"/>
        </w:rPr>
        <w:t>水体氨氮低于0.1mg/L</w:t>
      </w:r>
      <w:r>
        <w:rPr>
          <w:rFonts w:hint="eastAsia"/>
          <w:sz w:val="24"/>
          <w:szCs w:val="22"/>
        </w:rPr>
        <w:t>，</w:t>
      </w:r>
      <w:r>
        <w:rPr>
          <w:sz w:val="24"/>
          <w:szCs w:val="22"/>
        </w:rPr>
        <w:t>pH在7.0—8.0</w:t>
      </w:r>
      <w:r>
        <w:rPr>
          <w:rFonts w:hint="eastAsia"/>
          <w:sz w:val="24"/>
          <w:szCs w:val="22"/>
        </w:rPr>
        <w:t>，</w:t>
      </w:r>
      <w:r>
        <w:rPr>
          <w:sz w:val="24"/>
          <w:szCs w:val="22"/>
        </w:rPr>
        <w:t>溶氧量大6.8g/L</w:t>
      </w:r>
      <w:r>
        <w:rPr>
          <w:rFonts w:hint="eastAsia"/>
          <w:sz w:val="24"/>
          <w:szCs w:val="22"/>
        </w:rPr>
        <w:t>，</w:t>
      </w:r>
      <w:r>
        <w:rPr>
          <w:sz w:val="24"/>
          <w:szCs w:val="22"/>
        </w:rPr>
        <w:t>实验期间保持禁食。</w:t>
      </w:r>
    </w:p>
    <w:p>
      <w:pPr>
        <w:spacing w:line="360" w:lineRule="auto"/>
        <w:rPr>
          <w:sz w:val="24"/>
          <w:szCs w:val="22"/>
        </w:rPr>
      </w:pPr>
      <w:r>
        <w:rPr>
          <w:sz w:val="24"/>
          <w:szCs w:val="22"/>
        </w:rPr>
        <w:t>1.7</w:t>
      </w:r>
      <w:r>
        <w:rPr>
          <w:rFonts w:hint="eastAsia"/>
          <w:sz w:val="24"/>
          <w:szCs w:val="22"/>
        </w:rPr>
        <w:t xml:space="preserve"> </w:t>
      </w:r>
      <w:r>
        <w:rPr>
          <w:sz w:val="24"/>
          <w:szCs w:val="22"/>
        </w:rPr>
        <w:t>组织学分析</w:t>
      </w:r>
    </w:p>
    <w:p>
      <w:pPr>
        <w:spacing w:line="360" w:lineRule="auto"/>
        <w:ind w:firstLine="480" w:firstLineChars="200"/>
        <w:rPr>
          <w:sz w:val="24"/>
          <w:szCs w:val="22"/>
        </w:rPr>
      </w:pPr>
      <w:r>
        <w:rPr>
          <w:sz w:val="24"/>
          <w:szCs w:val="22"/>
        </w:rPr>
        <w:t>新鲜的肝脏和鳃组织样本经过4%多聚甲醛固定过夜</w:t>
      </w:r>
      <w:r>
        <w:rPr>
          <w:rFonts w:hint="eastAsia"/>
          <w:sz w:val="24"/>
          <w:szCs w:val="22"/>
        </w:rPr>
        <w:t>，</w:t>
      </w:r>
      <w:r>
        <w:rPr>
          <w:sz w:val="24"/>
          <w:szCs w:val="22"/>
        </w:rPr>
        <w:t>用梯度乙醇进行脱水</w:t>
      </w:r>
      <w:r>
        <w:rPr>
          <w:rFonts w:hint="eastAsia"/>
          <w:sz w:val="24"/>
          <w:szCs w:val="22"/>
        </w:rPr>
        <w:t>，</w:t>
      </w:r>
      <w:r>
        <w:rPr>
          <w:sz w:val="24"/>
          <w:szCs w:val="22"/>
        </w:rPr>
        <w:t>石蜡包埋于5.0m</w:t>
      </w:r>
      <w:r>
        <w:rPr>
          <w:rFonts w:hint="eastAsia"/>
          <w:sz w:val="24"/>
          <w:szCs w:val="22"/>
        </w:rPr>
        <w:t>，</w:t>
      </w:r>
      <w:r>
        <w:rPr>
          <w:sz w:val="24"/>
          <w:szCs w:val="22"/>
        </w:rPr>
        <w:t>切成5μm厚度的切片。使用苏木精-伊红(HE)染色</w:t>
      </w:r>
      <w:r>
        <w:rPr>
          <w:rFonts w:hint="eastAsia"/>
          <w:sz w:val="24"/>
          <w:szCs w:val="22"/>
        </w:rPr>
        <w:t>，</w:t>
      </w:r>
      <w:r>
        <w:rPr>
          <w:sz w:val="24"/>
          <w:szCs w:val="22"/>
        </w:rPr>
        <w:t>封片后在显微镜下观察肝脏组织和鳃组织的病理情况。肝脏切片TUNEL染色的过程</w:t>
      </w:r>
      <w:r>
        <w:rPr>
          <w:rFonts w:hint="eastAsia"/>
          <w:sz w:val="24"/>
          <w:szCs w:val="22"/>
        </w:rPr>
        <w:t>：</w:t>
      </w:r>
      <w:r>
        <w:rPr>
          <w:sz w:val="24"/>
          <w:szCs w:val="22"/>
        </w:rPr>
        <w:t>肝脏的石蜡切片样品在65℃烘箱中烘烤2h</w:t>
      </w:r>
      <w:r>
        <w:rPr>
          <w:rFonts w:hint="eastAsia"/>
          <w:sz w:val="24"/>
          <w:szCs w:val="22"/>
        </w:rPr>
        <w:t>，</w:t>
      </w:r>
      <w:r>
        <w:rPr>
          <w:sz w:val="24"/>
          <w:szCs w:val="22"/>
        </w:rPr>
        <w:t>使用一系列的二甲苯和乙醇脱蜡水化后</w:t>
      </w:r>
      <w:r>
        <w:rPr>
          <w:rFonts w:hint="eastAsia"/>
          <w:sz w:val="24"/>
          <w:szCs w:val="22"/>
        </w:rPr>
        <w:t>，</w:t>
      </w:r>
      <w:r>
        <w:rPr>
          <w:sz w:val="24"/>
          <w:szCs w:val="22"/>
        </w:rPr>
        <w:t>使用蛋白酶K和Triton-X-100溶液对石蜡切片进行抗原修复和细胞渗透。利用TUNEL试剂盒(C1091</w:t>
      </w:r>
      <w:r>
        <w:rPr>
          <w:rFonts w:hint="eastAsia"/>
          <w:sz w:val="24"/>
          <w:szCs w:val="22"/>
        </w:rPr>
        <w:t>，</w:t>
      </w:r>
      <w:r>
        <w:rPr>
          <w:sz w:val="24"/>
          <w:szCs w:val="22"/>
        </w:rPr>
        <w:t>碧云天生物技术有限公司)进行染色</w:t>
      </w:r>
      <w:r>
        <w:rPr>
          <w:rFonts w:hint="eastAsia"/>
          <w:sz w:val="24"/>
          <w:szCs w:val="22"/>
        </w:rPr>
        <w:t>，</w:t>
      </w:r>
      <w:r>
        <w:rPr>
          <w:sz w:val="24"/>
          <w:szCs w:val="22"/>
        </w:rPr>
        <w:t>染色后在倒置荧光显微镜下观察并采集图像。使用Image-ProPlus6.0(Media</w:t>
      </w:r>
      <w:r>
        <w:rPr>
          <w:rFonts w:hint="eastAsia"/>
          <w:sz w:val="24"/>
          <w:szCs w:val="22"/>
        </w:rPr>
        <w:t xml:space="preserve"> </w:t>
      </w:r>
      <w:r>
        <w:rPr>
          <w:sz w:val="24"/>
          <w:szCs w:val="22"/>
        </w:rPr>
        <w:t>Cybernetics</w:t>
      </w:r>
      <w:r>
        <w:rPr>
          <w:rFonts w:hint="eastAsia"/>
          <w:sz w:val="24"/>
          <w:szCs w:val="22"/>
        </w:rPr>
        <w:t>，</w:t>
      </w:r>
      <w:r>
        <w:rPr>
          <w:sz w:val="24"/>
          <w:szCs w:val="22"/>
        </w:rPr>
        <w:t>USA)进行量化分析。</w:t>
      </w:r>
    </w:p>
    <w:p>
      <w:pPr>
        <w:spacing w:line="360" w:lineRule="auto"/>
        <w:ind w:firstLine="480" w:firstLineChars="200"/>
        <w:rPr>
          <w:sz w:val="24"/>
          <w:szCs w:val="22"/>
        </w:rPr>
      </w:pPr>
    </w:p>
    <w:p>
      <w:pPr>
        <w:spacing w:line="360" w:lineRule="auto"/>
        <w:rPr>
          <w:sz w:val="24"/>
          <w:szCs w:val="22"/>
        </w:rPr>
      </w:pPr>
      <w:r>
        <w:rPr>
          <w:sz w:val="24"/>
          <w:szCs w:val="22"/>
        </w:rPr>
        <w:t>1.8</w:t>
      </w:r>
      <w:r>
        <w:rPr>
          <w:rFonts w:hint="eastAsia"/>
          <w:sz w:val="24"/>
          <w:szCs w:val="22"/>
        </w:rPr>
        <w:t xml:space="preserve"> </w:t>
      </w:r>
      <w:r>
        <w:rPr>
          <w:sz w:val="24"/>
          <w:szCs w:val="22"/>
        </w:rPr>
        <w:t>实时荧光定量PCR分析</w:t>
      </w:r>
    </w:p>
    <w:p>
      <w:pPr>
        <w:spacing w:line="360" w:lineRule="auto"/>
        <w:ind w:firstLine="480" w:firstLineChars="200"/>
        <w:rPr>
          <w:sz w:val="24"/>
          <w:szCs w:val="22"/>
        </w:rPr>
      </w:pPr>
      <w:r>
        <w:rPr>
          <w:sz w:val="24"/>
          <w:szCs w:val="22"/>
        </w:rPr>
        <w:t>虹鳟在亚硝酸盐胁迫后肝脏基因表达分析按照何林岳等</w:t>
      </w:r>
      <w:r>
        <w:rPr>
          <w:sz w:val="24"/>
          <w:szCs w:val="22"/>
          <w:vertAlign w:val="superscript"/>
        </w:rPr>
        <w:t>[26]</w:t>
      </w:r>
      <w:r>
        <w:rPr>
          <w:sz w:val="24"/>
          <w:szCs w:val="22"/>
        </w:rPr>
        <w:t>文章中所描述的实时荧光定量PCR的方法进行。肝脏组织的总RNA提取利用TRIzol试剂盒(ET111</w:t>
      </w:r>
      <w:r>
        <w:rPr>
          <w:rFonts w:hint="eastAsia"/>
          <w:sz w:val="24"/>
          <w:szCs w:val="22"/>
        </w:rPr>
        <w:t>，</w:t>
      </w:r>
      <w:r>
        <w:rPr>
          <w:sz w:val="24"/>
          <w:szCs w:val="22"/>
        </w:rPr>
        <w:t>北京全式金生物技术有限公司)进行提取。在RNA提取结束后</w:t>
      </w:r>
      <w:r>
        <w:rPr>
          <w:rFonts w:hint="eastAsia"/>
          <w:sz w:val="24"/>
          <w:szCs w:val="22"/>
        </w:rPr>
        <w:t>，</w:t>
      </w:r>
      <w:r>
        <w:rPr>
          <w:sz w:val="24"/>
          <w:szCs w:val="22"/>
        </w:rPr>
        <w:t>取2μL用1%的琼脂糖凝胶电泳评估RNA的完整性。RNA的浓度使用NanoDrop</w:t>
      </w:r>
      <w:r>
        <w:rPr>
          <w:sz w:val="24"/>
          <w:szCs w:val="22"/>
          <w:vertAlign w:val="superscript"/>
        </w:rPr>
        <w:t>®</w:t>
      </w:r>
      <w:r>
        <w:rPr>
          <w:sz w:val="24"/>
          <w:szCs w:val="22"/>
        </w:rPr>
        <w:t>ND-2000(NanoDrop</w:t>
      </w:r>
      <w:r>
        <w:rPr>
          <w:rFonts w:hint="eastAsia"/>
          <w:sz w:val="24"/>
          <w:szCs w:val="22"/>
        </w:rPr>
        <w:t xml:space="preserve"> </w:t>
      </w:r>
      <w:r>
        <w:rPr>
          <w:sz w:val="24"/>
          <w:szCs w:val="22"/>
        </w:rPr>
        <w:t>Technologies</w:t>
      </w:r>
      <w:r>
        <w:rPr>
          <w:rFonts w:hint="eastAsia"/>
          <w:sz w:val="24"/>
          <w:szCs w:val="22"/>
        </w:rPr>
        <w:t>，</w:t>
      </w:r>
      <w:r>
        <w:rPr>
          <w:sz w:val="24"/>
          <w:szCs w:val="22"/>
        </w:rPr>
        <w:t>USA)进行测定</w:t>
      </w:r>
      <w:r>
        <w:rPr>
          <w:rFonts w:hint="eastAsia"/>
          <w:sz w:val="24"/>
          <w:szCs w:val="22"/>
        </w:rPr>
        <w:t>，</w:t>
      </w:r>
      <w:r>
        <w:rPr>
          <w:sz w:val="24"/>
          <w:szCs w:val="22"/>
        </w:rPr>
        <w:t>并保存样品于–80℃冰箱以备后期使用。然后使用逆转录试剂盒FastKing一步法除基因组cDNA第一链合成预混试剂(KR118</w:t>
      </w:r>
      <w:r>
        <w:rPr>
          <w:rFonts w:hint="eastAsia"/>
          <w:sz w:val="24"/>
          <w:szCs w:val="22"/>
        </w:rPr>
        <w:t>，</w:t>
      </w:r>
      <w:r>
        <w:rPr>
          <w:sz w:val="24"/>
          <w:szCs w:val="22"/>
        </w:rPr>
        <w:t>天根生化科技有限公司)进行cDNA的合成</w:t>
      </w:r>
      <w:r>
        <w:rPr>
          <w:rFonts w:hint="eastAsia"/>
          <w:sz w:val="24"/>
          <w:szCs w:val="22"/>
        </w:rPr>
        <w:t>，</w:t>
      </w:r>
      <w:r>
        <w:rPr>
          <w:sz w:val="24"/>
          <w:szCs w:val="22"/>
        </w:rPr>
        <w:t>采用荧光定量PCR试剂盒TransStar</w:t>
      </w:r>
      <w:r>
        <w:rPr>
          <w:rFonts w:hint="eastAsia"/>
          <w:sz w:val="24"/>
          <w:szCs w:val="22"/>
        </w:rPr>
        <w:t xml:space="preserve"> </w:t>
      </w:r>
      <w:r>
        <w:rPr>
          <w:sz w:val="24"/>
          <w:szCs w:val="22"/>
        </w:rPr>
        <w:t>Top</w:t>
      </w:r>
      <w:r>
        <w:rPr>
          <w:rFonts w:hint="eastAsia"/>
          <w:sz w:val="24"/>
          <w:szCs w:val="22"/>
        </w:rPr>
        <w:t xml:space="preserve"> </w:t>
      </w:r>
      <w:r>
        <w:rPr>
          <w:sz w:val="24"/>
          <w:szCs w:val="22"/>
        </w:rPr>
        <w:t>Green</w:t>
      </w:r>
      <w:r>
        <w:rPr>
          <w:rFonts w:hint="eastAsia"/>
          <w:sz w:val="24"/>
          <w:szCs w:val="22"/>
        </w:rPr>
        <w:t xml:space="preserve"> </w:t>
      </w:r>
      <w:r>
        <w:rPr>
          <w:sz w:val="24"/>
          <w:szCs w:val="22"/>
        </w:rPr>
        <w:t>qPCR</w:t>
      </w:r>
      <w:r>
        <w:rPr>
          <w:rFonts w:hint="eastAsia"/>
          <w:sz w:val="24"/>
          <w:szCs w:val="22"/>
        </w:rPr>
        <w:t xml:space="preserve"> </w:t>
      </w:r>
      <w:r>
        <w:rPr>
          <w:sz w:val="24"/>
          <w:szCs w:val="22"/>
        </w:rPr>
        <w:t>SuperMix(AQ131</w:t>
      </w:r>
      <w:r>
        <w:rPr>
          <w:rFonts w:hint="eastAsia"/>
          <w:sz w:val="24"/>
          <w:szCs w:val="22"/>
        </w:rPr>
        <w:t>，</w:t>
      </w:r>
      <w:r>
        <w:rPr>
          <w:sz w:val="24"/>
          <w:szCs w:val="22"/>
        </w:rPr>
        <w:t>北京全式金生物技术有限公司)进行基因定量。以</w:t>
      </w:r>
      <w:r>
        <w:rPr>
          <w:i/>
          <w:iCs/>
          <w:sz w:val="24"/>
          <w:szCs w:val="22"/>
        </w:rPr>
        <w:t>rpl7</w:t>
      </w:r>
      <w:r>
        <w:rPr>
          <w:sz w:val="24"/>
          <w:szCs w:val="22"/>
        </w:rPr>
        <w:t>作为内参基因进行肝脏基因相对表达量的检测。基因相对表达量采用2</w:t>
      </w:r>
      <w:r>
        <w:rPr>
          <w:sz w:val="24"/>
          <w:szCs w:val="22"/>
          <w:vertAlign w:val="superscript"/>
        </w:rPr>
        <w:t>–ΔΔCt</w:t>
      </w:r>
      <w:r>
        <w:rPr>
          <w:sz w:val="24"/>
          <w:szCs w:val="22"/>
        </w:rPr>
        <w:t>的方法的方法进行计算。基因定量使用的引物见表2。</w:t>
      </w:r>
    </w:p>
    <w:p>
      <w:pPr>
        <w:spacing w:line="360" w:lineRule="auto"/>
        <w:jc w:val="center"/>
        <w:rPr>
          <w:sz w:val="24"/>
          <w:szCs w:val="22"/>
        </w:rPr>
      </w:pPr>
      <w:r>
        <w:rPr>
          <w:rFonts w:ascii="宋体" w:hAnsi="宋体" w:cs="宋体"/>
          <w:sz w:val="24"/>
        </w:rPr>
        <w:drawing>
          <wp:inline distT="0" distB="0" distL="114300" distR="114300">
            <wp:extent cx="3225165" cy="4470400"/>
            <wp:effectExtent l="0" t="0" r="13335" b="6350"/>
            <wp:docPr id="1462115989" name="图片 146211598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2115989" name="图片 1462115989" descr="IMG_256"/>
                    <pic:cNvPicPr>
                      <a:picLocks noChangeAspect="1"/>
                    </pic:cNvPicPr>
                  </pic:nvPicPr>
                  <pic:blipFill>
                    <a:blip r:embed="rId26"/>
                    <a:stretch>
                      <a:fillRect/>
                    </a:stretch>
                  </pic:blipFill>
                  <pic:spPr>
                    <a:xfrm>
                      <a:off x="0" y="0"/>
                      <a:ext cx="3225165" cy="4470400"/>
                    </a:xfrm>
                    <a:prstGeom prst="rect">
                      <a:avLst/>
                    </a:prstGeom>
                    <a:noFill/>
                    <a:ln w="9525">
                      <a:noFill/>
                    </a:ln>
                  </pic:spPr>
                </pic:pic>
              </a:graphicData>
            </a:graphic>
          </wp:inline>
        </w:drawing>
      </w:r>
    </w:p>
    <w:p>
      <w:pPr>
        <w:spacing w:line="360" w:lineRule="auto"/>
        <w:rPr>
          <w:sz w:val="24"/>
          <w:szCs w:val="22"/>
        </w:rPr>
      </w:pPr>
      <w:r>
        <w:rPr>
          <w:sz w:val="24"/>
          <w:szCs w:val="22"/>
        </w:rPr>
        <w:t>1.9</w:t>
      </w:r>
      <w:r>
        <w:rPr>
          <w:rFonts w:hint="eastAsia"/>
          <w:sz w:val="24"/>
          <w:szCs w:val="22"/>
        </w:rPr>
        <w:t xml:space="preserve"> </w:t>
      </w:r>
      <w:r>
        <w:rPr>
          <w:sz w:val="24"/>
          <w:szCs w:val="22"/>
        </w:rPr>
        <w:t>数据分析</w:t>
      </w:r>
    </w:p>
    <w:p>
      <w:pPr>
        <w:spacing w:line="360" w:lineRule="auto"/>
        <w:ind w:firstLine="480" w:firstLineChars="200"/>
        <w:rPr>
          <w:sz w:val="24"/>
          <w:szCs w:val="22"/>
        </w:rPr>
      </w:pPr>
      <w:r>
        <w:rPr>
          <w:sz w:val="24"/>
          <w:szCs w:val="22"/>
        </w:rPr>
        <w:t>所有的实验数据使用SPSS25.0(SPSSInc.</w:t>
      </w:r>
      <w:r>
        <w:rPr>
          <w:rFonts w:hint="eastAsia"/>
          <w:sz w:val="24"/>
          <w:szCs w:val="22"/>
        </w:rPr>
        <w:t>，</w:t>
      </w:r>
      <w:r>
        <w:rPr>
          <w:sz w:val="24"/>
          <w:szCs w:val="22"/>
        </w:rPr>
        <w:t>Chicago</w:t>
      </w:r>
      <w:r>
        <w:rPr>
          <w:rFonts w:hint="eastAsia"/>
          <w:sz w:val="24"/>
          <w:szCs w:val="22"/>
        </w:rPr>
        <w:t>，</w:t>
      </w:r>
      <w:r>
        <w:rPr>
          <w:sz w:val="24"/>
          <w:szCs w:val="22"/>
        </w:rPr>
        <w:t>IL</w:t>
      </w:r>
      <w:r>
        <w:rPr>
          <w:rFonts w:hint="eastAsia"/>
          <w:sz w:val="24"/>
          <w:szCs w:val="22"/>
        </w:rPr>
        <w:t>，</w:t>
      </w:r>
      <w:r>
        <w:rPr>
          <w:sz w:val="24"/>
          <w:szCs w:val="22"/>
        </w:rPr>
        <w:t>UnitedStates)软件进行单因素方差分析(ANOVA)</w:t>
      </w:r>
      <w:r>
        <w:rPr>
          <w:rFonts w:hint="eastAsia"/>
          <w:sz w:val="24"/>
          <w:szCs w:val="22"/>
        </w:rPr>
        <w:t>，</w:t>
      </w:r>
      <w:r>
        <w:rPr>
          <w:sz w:val="24"/>
          <w:szCs w:val="22"/>
        </w:rPr>
        <w:t>方差齐性检验后</w:t>
      </w:r>
      <w:r>
        <w:rPr>
          <w:rFonts w:hint="eastAsia"/>
          <w:sz w:val="24"/>
          <w:szCs w:val="22"/>
        </w:rPr>
        <w:t>，</w:t>
      </w:r>
      <w:r>
        <w:rPr>
          <w:sz w:val="24"/>
          <w:szCs w:val="22"/>
        </w:rPr>
        <w:t>使用Duncan检验进行均值差异检验。研究中的所有数据均以均值±标准误(SEM)表示。当</w:t>
      </w:r>
      <w:r>
        <w:rPr>
          <w:rFonts w:hint="eastAsia"/>
          <w:i/>
          <w:sz w:val="24"/>
          <w:szCs w:val="22"/>
        </w:rPr>
        <w:t>P</w:t>
      </w:r>
      <w:r>
        <w:rPr>
          <w:rFonts w:hint="eastAsia"/>
          <w:sz w:val="24"/>
          <w:szCs w:val="22"/>
        </w:rPr>
        <w:t>&lt;</w:t>
      </w:r>
      <w:r>
        <w:rPr>
          <w:sz w:val="24"/>
          <w:szCs w:val="22"/>
        </w:rPr>
        <w:t>0.05时</w:t>
      </w:r>
      <w:r>
        <w:rPr>
          <w:rFonts w:hint="eastAsia"/>
          <w:sz w:val="24"/>
          <w:szCs w:val="22"/>
        </w:rPr>
        <w:t>，</w:t>
      </w:r>
      <w:r>
        <w:rPr>
          <w:sz w:val="24"/>
          <w:szCs w:val="22"/>
        </w:rPr>
        <w:t>表明处理间有统计学差异性</w:t>
      </w:r>
      <w:r>
        <w:rPr>
          <w:rFonts w:hint="eastAsia"/>
          <w:sz w:val="24"/>
          <w:szCs w:val="22"/>
        </w:rPr>
        <w:t>，</w:t>
      </w:r>
      <w:r>
        <w:rPr>
          <w:sz w:val="24"/>
          <w:szCs w:val="22"/>
        </w:rPr>
        <w:t>所有结果以平均值±标准误表示。采用GraphPad</w:t>
      </w:r>
      <w:r>
        <w:rPr>
          <w:rFonts w:hint="eastAsia"/>
          <w:sz w:val="24"/>
          <w:szCs w:val="22"/>
        </w:rPr>
        <w:t xml:space="preserve"> </w:t>
      </w:r>
      <w:r>
        <w:rPr>
          <w:sz w:val="24"/>
          <w:szCs w:val="22"/>
        </w:rPr>
        <w:t>Prism8.4.3(GraphPad</w:t>
      </w:r>
      <w:r>
        <w:rPr>
          <w:rFonts w:hint="eastAsia"/>
          <w:sz w:val="24"/>
          <w:szCs w:val="22"/>
        </w:rPr>
        <w:t xml:space="preserve"> </w:t>
      </w:r>
      <w:r>
        <w:rPr>
          <w:sz w:val="24"/>
          <w:szCs w:val="22"/>
        </w:rPr>
        <w:t>Software</w:t>
      </w:r>
      <w:r>
        <w:rPr>
          <w:rFonts w:hint="eastAsia"/>
          <w:sz w:val="24"/>
          <w:szCs w:val="22"/>
        </w:rPr>
        <w:t>，</w:t>
      </w:r>
      <w:r>
        <w:rPr>
          <w:sz w:val="24"/>
          <w:szCs w:val="22"/>
        </w:rPr>
        <w:t>San</w:t>
      </w:r>
      <w:r>
        <w:rPr>
          <w:rFonts w:hint="eastAsia"/>
          <w:sz w:val="24"/>
          <w:szCs w:val="22"/>
        </w:rPr>
        <w:t xml:space="preserve"> </w:t>
      </w:r>
      <w:r>
        <w:rPr>
          <w:sz w:val="24"/>
          <w:szCs w:val="22"/>
        </w:rPr>
        <w:t>Diego</w:t>
      </w:r>
      <w:r>
        <w:rPr>
          <w:rFonts w:hint="eastAsia"/>
          <w:sz w:val="24"/>
          <w:szCs w:val="22"/>
        </w:rPr>
        <w:t>，</w:t>
      </w:r>
      <w:r>
        <w:rPr>
          <w:sz w:val="24"/>
          <w:szCs w:val="22"/>
        </w:rPr>
        <w:t>CA</w:t>
      </w:r>
      <w:r>
        <w:rPr>
          <w:rFonts w:hint="eastAsia"/>
          <w:sz w:val="24"/>
          <w:szCs w:val="22"/>
        </w:rPr>
        <w:t>，</w:t>
      </w:r>
      <w:r>
        <w:rPr>
          <w:sz w:val="24"/>
          <w:szCs w:val="22"/>
        </w:rPr>
        <w:t>USA)软件进行作图。</w:t>
      </w:r>
    </w:p>
    <w:p>
      <w:pPr>
        <w:spacing w:line="360" w:lineRule="auto"/>
        <w:rPr>
          <w:sz w:val="24"/>
          <w:szCs w:val="22"/>
        </w:rPr>
      </w:pPr>
      <w:r>
        <w:rPr>
          <w:sz w:val="24"/>
          <w:szCs w:val="22"/>
        </w:rPr>
        <w:t>2</w:t>
      </w:r>
      <w:r>
        <w:rPr>
          <w:rFonts w:hint="eastAsia"/>
          <w:sz w:val="24"/>
          <w:szCs w:val="22"/>
        </w:rPr>
        <w:t xml:space="preserve"> </w:t>
      </w:r>
      <w:r>
        <w:rPr>
          <w:sz w:val="24"/>
          <w:szCs w:val="22"/>
        </w:rPr>
        <w:t>结果</w:t>
      </w:r>
    </w:p>
    <w:p>
      <w:pPr>
        <w:spacing w:line="360" w:lineRule="auto"/>
        <w:rPr>
          <w:sz w:val="24"/>
          <w:szCs w:val="22"/>
        </w:rPr>
      </w:pPr>
      <w:r>
        <w:rPr>
          <w:sz w:val="24"/>
          <w:szCs w:val="22"/>
        </w:rPr>
        <w:t>2.1</w:t>
      </w:r>
      <w:r>
        <w:rPr>
          <w:rFonts w:hint="eastAsia"/>
          <w:sz w:val="24"/>
          <w:szCs w:val="22"/>
        </w:rPr>
        <w:t xml:space="preserve"> </w:t>
      </w:r>
      <w:r>
        <w:rPr>
          <w:sz w:val="24"/>
          <w:szCs w:val="22"/>
        </w:rPr>
        <w:t>生长、饲料利用和形体指标</w:t>
      </w:r>
    </w:p>
    <w:p>
      <w:pPr>
        <w:spacing w:line="360" w:lineRule="auto"/>
        <w:ind w:firstLine="480" w:firstLineChars="200"/>
        <w:rPr>
          <w:sz w:val="24"/>
          <w:szCs w:val="22"/>
        </w:rPr>
      </w:pPr>
      <w:r>
        <w:rPr>
          <w:sz w:val="24"/>
          <w:szCs w:val="22"/>
        </w:rPr>
        <w:t>表3所示</w:t>
      </w:r>
      <w:r>
        <w:rPr>
          <w:rFonts w:hint="eastAsia"/>
          <w:sz w:val="24"/>
          <w:szCs w:val="22"/>
        </w:rPr>
        <w:t>，</w:t>
      </w:r>
      <w:r>
        <w:rPr>
          <w:sz w:val="24"/>
          <w:szCs w:val="22"/>
        </w:rPr>
        <w:t>饲料中添加不同来源虾青素添加剂组与对照组相比</w:t>
      </w:r>
      <w:r>
        <w:rPr>
          <w:rFonts w:hint="eastAsia"/>
          <w:sz w:val="24"/>
          <w:szCs w:val="22"/>
        </w:rPr>
        <w:t>，</w:t>
      </w:r>
      <w:r>
        <w:rPr>
          <w:sz w:val="24"/>
          <w:szCs w:val="22"/>
        </w:rPr>
        <w:t>终末体重、增重率、特定生长率和饲料效率均无显著性差异(</w:t>
      </w:r>
      <w:r>
        <w:rPr>
          <w:rFonts w:hint="eastAsia"/>
          <w:i/>
          <w:sz w:val="24"/>
          <w:szCs w:val="22"/>
        </w:rPr>
        <w:t>P</w:t>
      </w:r>
      <w:r>
        <w:rPr>
          <w:rFonts w:hint="eastAsia"/>
          <w:sz w:val="24"/>
          <w:szCs w:val="22"/>
        </w:rPr>
        <w:t>&gt;</w:t>
      </w:r>
      <w:r>
        <w:rPr>
          <w:sz w:val="24"/>
          <w:szCs w:val="22"/>
        </w:rPr>
        <w:t>0.05)。与对照组相比</w:t>
      </w:r>
      <w:r>
        <w:rPr>
          <w:rFonts w:hint="eastAsia"/>
          <w:sz w:val="24"/>
          <w:szCs w:val="22"/>
        </w:rPr>
        <w:t>，</w:t>
      </w:r>
      <w:r>
        <w:rPr>
          <w:sz w:val="24"/>
          <w:szCs w:val="22"/>
        </w:rPr>
        <w:t>饲料中添加雨生红球藻组的肥满度和肝体比显著上升(</w:t>
      </w:r>
      <w:r>
        <w:rPr>
          <w:rFonts w:hint="eastAsia"/>
          <w:i/>
          <w:sz w:val="24"/>
          <w:szCs w:val="22"/>
        </w:rPr>
        <w:t>P</w:t>
      </w:r>
      <w:r>
        <w:rPr>
          <w:rFonts w:hint="eastAsia"/>
          <w:sz w:val="24"/>
          <w:szCs w:val="22"/>
        </w:rPr>
        <w:t>&lt;</w:t>
      </w:r>
      <w:r>
        <w:rPr>
          <w:sz w:val="24"/>
          <w:szCs w:val="22"/>
        </w:rPr>
        <w:t>0.05)</w:t>
      </w:r>
      <w:r>
        <w:rPr>
          <w:rFonts w:hint="eastAsia"/>
          <w:sz w:val="24"/>
          <w:szCs w:val="22"/>
        </w:rPr>
        <w:t>，</w:t>
      </w:r>
      <w:r>
        <w:rPr>
          <w:sz w:val="24"/>
          <w:szCs w:val="22"/>
        </w:rPr>
        <w:t>添加加丽素粉红组的肝体比显著低于对照组(</w:t>
      </w:r>
      <w:r>
        <w:rPr>
          <w:rFonts w:hint="eastAsia"/>
          <w:i/>
          <w:sz w:val="24"/>
          <w:szCs w:val="22"/>
        </w:rPr>
        <w:t>P</w:t>
      </w:r>
      <w:r>
        <w:rPr>
          <w:rFonts w:hint="eastAsia"/>
          <w:sz w:val="24"/>
          <w:szCs w:val="22"/>
        </w:rPr>
        <w:t>&lt;</w:t>
      </w:r>
      <w:r>
        <w:rPr>
          <w:sz w:val="24"/>
          <w:szCs w:val="22"/>
        </w:rPr>
        <w:t>0.05)。</w:t>
      </w:r>
    </w:p>
    <w:p>
      <w:pPr>
        <w:spacing w:line="360" w:lineRule="auto"/>
        <w:jc w:val="center"/>
        <w:rPr>
          <w:sz w:val="24"/>
          <w:szCs w:val="22"/>
        </w:rPr>
      </w:pPr>
      <w:r>
        <w:rPr>
          <w:rFonts w:ascii="宋体" w:hAnsi="宋体" w:cs="宋体"/>
          <w:sz w:val="24"/>
        </w:rPr>
        <w:drawing>
          <wp:inline distT="0" distB="0" distL="114300" distR="114300">
            <wp:extent cx="3324860" cy="6548755"/>
            <wp:effectExtent l="0" t="0" r="8890" b="4445"/>
            <wp:docPr id="981631900" name="图片 98163190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1631900" name="图片 981631900" descr="IMG_256"/>
                    <pic:cNvPicPr>
                      <a:picLocks noChangeAspect="1"/>
                    </pic:cNvPicPr>
                  </pic:nvPicPr>
                  <pic:blipFill>
                    <a:blip r:embed="rId27"/>
                    <a:stretch>
                      <a:fillRect/>
                    </a:stretch>
                  </pic:blipFill>
                  <pic:spPr>
                    <a:xfrm>
                      <a:off x="0" y="0"/>
                      <a:ext cx="3331266" cy="6561073"/>
                    </a:xfrm>
                    <a:prstGeom prst="rect">
                      <a:avLst/>
                    </a:prstGeom>
                    <a:noFill/>
                    <a:ln w="9525">
                      <a:noFill/>
                    </a:ln>
                  </pic:spPr>
                </pic:pic>
              </a:graphicData>
            </a:graphic>
          </wp:inline>
        </w:drawing>
      </w:r>
    </w:p>
    <w:p>
      <w:pPr>
        <w:spacing w:line="360" w:lineRule="auto"/>
        <w:rPr>
          <w:sz w:val="24"/>
          <w:szCs w:val="22"/>
        </w:rPr>
      </w:pPr>
      <w:r>
        <w:rPr>
          <w:sz w:val="24"/>
          <w:szCs w:val="22"/>
        </w:rPr>
        <w:t>2.2</w:t>
      </w:r>
      <w:r>
        <w:rPr>
          <w:rFonts w:hint="eastAsia"/>
          <w:sz w:val="24"/>
          <w:szCs w:val="22"/>
        </w:rPr>
        <w:t xml:space="preserve"> </w:t>
      </w:r>
      <w:r>
        <w:rPr>
          <w:sz w:val="24"/>
          <w:szCs w:val="22"/>
        </w:rPr>
        <w:t>体色、肉色和肌肉虾青素分析</w:t>
      </w:r>
    </w:p>
    <w:p>
      <w:pPr>
        <w:spacing w:line="360" w:lineRule="auto"/>
        <w:ind w:firstLine="480" w:firstLineChars="200"/>
        <w:rPr>
          <w:sz w:val="24"/>
          <w:szCs w:val="22"/>
        </w:rPr>
      </w:pPr>
      <w:r>
        <w:rPr>
          <w:sz w:val="24"/>
          <w:szCs w:val="22"/>
        </w:rPr>
        <w:t>如图2所示</w:t>
      </w:r>
      <w:r>
        <w:rPr>
          <w:rFonts w:hint="eastAsia"/>
          <w:sz w:val="24"/>
          <w:szCs w:val="22"/>
        </w:rPr>
        <w:t>，</w:t>
      </w:r>
      <w:r>
        <w:rPr>
          <w:sz w:val="24"/>
          <w:szCs w:val="22"/>
        </w:rPr>
        <w:t>饲料中添加虾青素添加剂降低了虹鳟肌肉的亮度</w:t>
      </w:r>
      <w:r>
        <w:rPr>
          <w:rFonts w:hint="eastAsia"/>
          <w:sz w:val="24"/>
          <w:szCs w:val="22"/>
        </w:rPr>
        <w:t>，</w:t>
      </w:r>
      <w:r>
        <w:rPr>
          <w:sz w:val="24"/>
          <w:szCs w:val="22"/>
        </w:rPr>
        <w:t>其中副球菌和加丽素粉红处理组的肌肉亮度(L*)显著低于对照组(</w:t>
      </w:r>
      <w:r>
        <w:rPr>
          <w:rFonts w:hint="eastAsia"/>
          <w:i/>
          <w:sz w:val="24"/>
          <w:szCs w:val="22"/>
        </w:rPr>
        <w:t>P</w:t>
      </w:r>
      <w:r>
        <w:rPr>
          <w:rFonts w:hint="eastAsia"/>
          <w:sz w:val="24"/>
          <w:szCs w:val="22"/>
        </w:rPr>
        <w:t>&lt;</w:t>
      </w:r>
      <w:r>
        <w:rPr>
          <w:sz w:val="24"/>
          <w:szCs w:val="22"/>
        </w:rPr>
        <w:t>0.05)</w:t>
      </w:r>
      <w:r>
        <w:rPr>
          <w:rFonts w:hint="eastAsia"/>
          <w:sz w:val="24"/>
          <w:szCs w:val="22"/>
        </w:rPr>
        <w:t>，</w:t>
      </w:r>
      <w:r>
        <w:rPr>
          <w:sz w:val="24"/>
          <w:szCs w:val="22"/>
        </w:rPr>
        <w:t>3种虾青素添加剂处理组的肌肉红度(a*)和黄度(b*)均显著高于对照A1组(</w:t>
      </w:r>
      <w:r>
        <w:rPr>
          <w:rFonts w:hint="eastAsia"/>
          <w:i/>
          <w:sz w:val="24"/>
          <w:szCs w:val="22"/>
        </w:rPr>
        <w:t>P</w:t>
      </w:r>
      <w:r>
        <w:rPr>
          <w:rFonts w:hint="eastAsia"/>
          <w:sz w:val="24"/>
          <w:szCs w:val="22"/>
        </w:rPr>
        <w:t>&lt;</w:t>
      </w:r>
      <w:r>
        <w:rPr>
          <w:sz w:val="24"/>
          <w:szCs w:val="22"/>
        </w:rPr>
        <w:t>0.05</w:t>
      </w:r>
      <w:r>
        <w:rPr>
          <w:rFonts w:hint="eastAsia"/>
          <w:sz w:val="24"/>
          <w:szCs w:val="22"/>
        </w:rPr>
        <w:t>；</w:t>
      </w:r>
      <w:r>
        <w:rPr>
          <w:sz w:val="24"/>
          <w:szCs w:val="22"/>
        </w:rPr>
        <w:t>图2A)。液相色谱的分析结果表明各虾青素添加剂处理组肌肉中的虾青素显著高于对照对照组(</w:t>
      </w:r>
      <w:r>
        <w:rPr>
          <w:rFonts w:hint="eastAsia"/>
          <w:i/>
          <w:sz w:val="24"/>
          <w:szCs w:val="22"/>
        </w:rPr>
        <w:t>P</w:t>
      </w:r>
      <w:r>
        <w:rPr>
          <w:rFonts w:hint="eastAsia"/>
          <w:sz w:val="24"/>
          <w:szCs w:val="22"/>
        </w:rPr>
        <w:t>&lt;</w:t>
      </w:r>
      <w:r>
        <w:rPr>
          <w:sz w:val="24"/>
          <w:szCs w:val="22"/>
        </w:rPr>
        <w:t>0.05)</w:t>
      </w:r>
      <w:r>
        <w:rPr>
          <w:rFonts w:hint="eastAsia"/>
          <w:sz w:val="24"/>
          <w:szCs w:val="22"/>
        </w:rPr>
        <w:t>，</w:t>
      </w:r>
      <w:r>
        <w:rPr>
          <w:sz w:val="24"/>
          <w:szCs w:val="22"/>
        </w:rPr>
        <w:t>且加丽素粉红添加处理组的肌肉虾青素含量最高(</w:t>
      </w:r>
      <w:r>
        <w:rPr>
          <w:rFonts w:hint="eastAsia"/>
          <w:i/>
          <w:sz w:val="24"/>
          <w:szCs w:val="22"/>
        </w:rPr>
        <w:t>P</w:t>
      </w:r>
      <w:r>
        <w:rPr>
          <w:rFonts w:hint="eastAsia"/>
          <w:sz w:val="24"/>
          <w:szCs w:val="22"/>
        </w:rPr>
        <w:t>&lt;</w:t>
      </w:r>
      <w:r>
        <w:rPr>
          <w:sz w:val="24"/>
          <w:szCs w:val="22"/>
        </w:rPr>
        <w:t>0.05</w:t>
      </w:r>
      <w:r>
        <w:rPr>
          <w:rFonts w:hint="eastAsia"/>
          <w:sz w:val="24"/>
          <w:szCs w:val="22"/>
        </w:rPr>
        <w:t>；</w:t>
      </w:r>
      <w:r>
        <w:rPr>
          <w:sz w:val="24"/>
          <w:szCs w:val="22"/>
        </w:rPr>
        <w:t>图2B)。虹鳟背部皮肤的亮度、红度和黄度在各组间无显著性差异(</w:t>
      </w:r>
      <w:r>
        <w:rPr>
          <w:rFonts w:hint="eastAsia"/>
          <w:i/>
          <w:sz w:val="24"/>
          <w:szCs w:val="22"/>
        </w:rPr>
        <w:t>P</w:t>
      </w:r>
      <w:r>
        <w:rPr>
          <w:rFonts w:hint="eastAsia"/>
          <w:sz w:val="24"/>
          <w:szCs w:val="22"/>
        </w:rPr>
        <w:t>&gt;</w:t>
      </w:r>
      <w:r>
        <w:rPr>
          <w:sz w:val="24"/>
          <w:szCs w:val="22"/>
        </w:rPr>
        <w:t>0.05</w:t>
      </w:r>
      <w:r>
        <w:rPr>
          <w:rFonts w:hint="eastAsia"/>
          <w:sz w:val="24"/>
          <w:szCs w:val="22"/>
        </w:rPr>
        <w:t>；</w:t>
      </w:r>
      <w:r>
        <w:rPr>
          <w:sz w:val="24"/>
          <w:szCs w:val="22"/>
        </w:rPr>
        <w:t>图2C)。丽素粉红添加处理组腹部皮肤的亮度(L*)显著高于对照组(</w:t>
      </w:r>
      <w:r>
        <w:rPr>
          <w:rFonts w:hint="eastAsia"/>
          <w:i/>
          <w:sz w:val="24"/>
          <w:szCs w:val="22"/>
        </w:rPr>
        <w:t>P</w:t>
      </w:r>
      <w:r>
        <w:rPr>
          <w:rFonts w:hint="eastAsia"/>
          <w:sz w:val="24"/>
          <w:szCs w:val="22"/>
        </w:rPr>
        <w:t>&lt;</w:t>
      </w:r>
      <w:r>
        <w:rPr>
          <w:sz w:val="24"/>
          <w:szCs w:val="22"/>
        </w:rPr>
        <w:t>0.05)</w:t>
      </w:r>
      <w:r>
        <w:rPr>
          <w:rFonts w:hint="eastAsia"/>
          <w:sz w:val="24"/>
          <w:szCs w:val="22"/>
        </w:rPr>
        <w:t>，</w:t>
      </w:r>
      <w:r>
        <w:rPr>
          <w:sz w:val="24"/>
          <w:szCs w:val="22"/>
        </w:rPr>
        <w:t>3种虾青素添加剂处理组的腹部皮肤的黄度(b*)显著高于对照组(</w:t>
      </w:r>
      <w:r>
        <w:rPr>
          <w:rFonts w:hint="eastAsia"/>
          <w:i/>
          <w:sz w:val="24"/>
          <w:szCs w:val="22"/>
        </w:rPr>
        <w:t>P</w:t>
      </w:r>
      <w:r>
        <w:rPr>
          <w:rFonts w:hint="eastAsia"/>
          <w:sz w:val="24"/>
          <w:szCs w:val="22"/>
        </w:rPr>
        <w:t>&lt;</w:t>
      </w:r>
      <w:r>
        <w:rPr>
          <w:sz w:val="24"/>
          <w:szCs w:val="22"/>
        </w:rPr>
        <w:t>0.05</w:t>
      </w:r>
      <w:r>
        <w:rPr>
          <w:rFonts w:hint="eastAsia"/>
          <w:sz w:val="24"/>
          <w:szCs w:val="22"/>
        </w:rPr>
        <w:t>；</w:t>
      </w:r>
      <w:r>
        <w:rPr>
          <w:sz w:val="24"/>
          <w:szCs w:val="22"/>
        </w:rPr>
        <w:t>图2D)。</w:t>
      </w:r>
    </w:p>
    <w:p>
      <w:pPr>
        <w:spacing w:line="360" w:lineRule="auto"/>
        <w:jc w:val="center"/>
        <w:rPr>
          <w:sz w:val="24"/>
          <w:szCs w:val="22"/>
        </w:rPr>
      </w:pPr>
      <w:r>
        <w:rPr>
          <w:rFonts w:ascii="宋体" w:hAnsi="宋体" w:cs="宋体"/>
          <w:sz w:val="24"/>
        </w:rPr>
        <w:drawing>
          <wp:inline distT="0" distB="0" distL="114300" distR="114300">
            <wp:extent cx="5861050" cy="3448050"/>
            <wp:effectExtent l="0" t="0" r="6350" b="0"/>
            <wp:docPr id="1873159616" name="图片 187315961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3159616" name="图片 1873159616" descr="IMG_256"/>
                    <pic:cNvPicPr>
                      <a:picLocks noChangeAspect="1"/>
                    </pic:cNvPicPr>
                  </pic:nvPicPr>
                  <pic:blipFill>
                    <a:blip r:embed="rId28"/>
                    <a:stretch>
                      <a:fillRect/>
                    </a:stretch>
                  </pic:blipFill>
                  <pic:spPr>
                    <a:xfrm>
                      <a:off x="0" y="0"/>
                      <a:ext cx="5875090" cy="3456856"/>
                    </a:xfrm>
                    <a:prstGeom prst="rect">
                      <a:avLst/>
                    </a:prstGeom>
                    <a:noFill/>
                    <a:ln w="9525">
                      <a:noFill/>
                    </a:ln>
                  </pic:spPr>
                </pic:pic>
              </a:graphicData>
            </a:graphic>
          </wp:inline>
        </w:drawing>
      </w:r>
    </w:p>
    <w:p>
      <w:pPr>
        <w:spacing w:line="360" w:lineRule="auto"/>
        <w:rPr>
          <w:sz w:val="24"/>
          <w:szCs w:val="22"/>
        </w:rPr>
      </w:pPr>
      <w:r>
        <w:rPr>
          <w:sz w:val="24"/>
          <w:szCs w:val="22"/>
        </w:rPr>
        <w:t>2.3</w:t>
      </w:r>
      <w:r>
        <w:rPr>
          <w:rFonts w:hint="eastAsia"/>
          <w:sz w:val="24"/>
          <w:szCs w:val="22"/>
        </w:rPr>
        <w:t xml:space="preserve"> </w:t>
      </w:r>
      <w:r>
        <w:rPr>
          <w:sz w:val="24"/>
          <w:szCs w:val="22"/>
        </w:rPr>
        <w:t>肝脏抗氧化指标</w:t>
      </w:r>
    </w:p>
    <w:p>
      <w:pPr>
        <w:spacing w:line="360" w:lineRule="auto"/>
        <w:ind w:firstLine="480" w:firstLineChars="200"/>
        <w:rPr>
          <w:sz w:val="24"/>
          <w:szCs w:val="22"/>
        </w:rPr>
      </w:pPr>
      <w:r>
        <w:rPr>
          <w:sz w:val="24"/>
          <w:szCs w:val="22"/>
        </w:rPr>
        <w:t>如图3所示</w:t>
      </w:r>
      <w:r>
        <w:rPr>
          <w:rFonts w:hint="eastAsia"/>
          <w:sz w:val="24"/>
          <w:szCs w:val="22"/>
        </w:rPr>
        <w:t>，</w:t>
      </w:r>
      <w:r>
        <w:rPr>
          <w:sz w:val="24"/>
          <w:szCs w:val="22"/>
        </w:rPr>
        <w:t>各虾青素添加剂处理组的肝脏超氧化物歧化酶活性均高于对照组</w:t>
      </w:r>
      <w:r>
        <w:rPr>
          <w:rFonts w:hint="eastAsia"/>
          <w:sz w:val="24"/>
          <w:szCs w:val="22"/>
        </w:rPr>
        <w:t>，</w:t>
      </w:r>
      <w:r>
        <w:rPr>
          <w:sz w:val="24"/>
          <w:szCs w:val="22"/>
        </w:rPr>
        <w:t>而只有副球菌添加处理组的超氧化物歧化酶的活性显著高于对照处理组(</w:t>
      </w:r>
      <w:r>
        <w:rPr>
          <w:rFonts w:hint="eastAsia"/>
          <w:i/>
          <w:sz w:val="24"/>
          <w:szCs w:val="22"/>
        </w:rPr>
        <w:t>P</w:t>
      </w:r>
      <w:r>
        <w:rPr>
          <w:rFonts w:hint="eastAsia"/>
          <w:sz w:val="24"/>
          <w:szCs w:val="22"/>
        </w:rPr>
        <w:t>&lt;</w:t>
      </w:r>
      <w:r>
        <w:rPr>
          <w:sz w:val="24"/>
          <w:szCs w:val="22"/>
        </w:rPr>
        <w:t>0.05</w:t>
      </w:r>
      <w:r>
        <w:rPr>
          <w:rFonts w:hint="eastAsia"/>
          <w:sz w:val="24"/>
          <w:szCs w:val="22"/>
        </w:rPr>
        <w:t>；</w:t>
      </w:r>
      <w:r>
        <w:rPr>
          <w:sz w:val="24"/>
          <w:szCs w:val="22"/>
        </w:rPr>
        <w:t>图3A)。3种虾青素添加剂处理组的总抗氧化能力和过氧化氢酶活性均显著高于对照组(</w:t>
      </w:r>
      <w:r>
        <w:rPr>
          <w:rFonts w:hint="eastAsia"/>
          <w:i/>
          <w:sz w:val="24"/>
          <w:szCs w:val="22"/>
        </w:rPr>
        <w:t>P</w:t>
      </w:r>
      <w:r>
        <w:rPr>
          <w:rFonts w:hint="eastAsia"/>
          <w:sz w:val="24"/>
          <w:szCs w:val="22"/>
        </w:rPr>
        <w:t>&lt;</w:t>
      </w:r>
      <w:r>
        <w:rPr>
          <w:sz w:val="24"/>
          <w:szCs w:val="22"/>
        </w:rPr>
        <w:t>0.05</w:t>
      </w:r>
      <w:r>
        <w:rPr>
          <w:rFonts w:hint="eastAsia"/>
          <w:sz w:val="24"/>
          <w:szCs w:val="22"/>
        </w:rPr>
        <w:t>；</w:t>
      </w:r>
      <w:r>
        <w:rPr>
          <w:sz w:val="24"/>
          <w:szCs w:val="22"/>
        </w:rPr>
        <w:t>图3B和3C)</w:t>
      </w:r>
      <w:r>
        <w:rPr>
          <w:rFonts w:hint="eastAsia"/>
          <w:sz w:val="24"/>
          <w:szCs w:val="22"/>
        </w:rPr>
        <w:t>，</w:t>
      </w:r>
      <w:r>
        <w:rPr>
          <w:sz w:val="24"/>
          <w:szCs w:val="22"/>
        </w:rPr>
        <w:t>同时3种虾青素添加剂处理组的肝脏组织丙二醛含量均显著低于对照处理组(</w:t>
      </w:r>
      <w:r>
        <w:rPr>
          <w:rFonts w:hint="eastAsia"/>
          <w:i/>
          <w:sz w:val="24"/>
          <w:szCs w:val="22"/>
        </w:rPr>
        <w:t>P</w:t>
      </w:r>
      <w:r>
        <w:rPr>
          <w:rFonts w:hint="eastAsia"/>
          <w:sz w:val="24"/>
          <w:szCs w:val="22"/>
        </w:rPr>
        <w:t>&lt;</w:t>
      </w:r>
      <w:r>
        <w:rPr>
          <w:sz w:val="24"/>
          <w:szCs w:val="22"/>
        </w:rPr>
        <w:t>0.05</w:t>
      </w:r>
      <w:r>
        <w:rPr>
          <w:rFonts w:hint="eastAsia"/>
          <w:sz w:val="24"/>
          <w:szCs w:val="22"/>
        </w:rPr>
        <w:t>；</w:t>
      </w:r>
      <w:r>
        <w:rPr>
          <w:sz w:val="24"/>
          <w:szCs w:val="22"/>
        </w:rPr>
        <w:t>图3D)。</w:t>
      </w:r>
    </w:p>
    <w:p>
      <w:pPr>
        <w:spacing w:line="360" w:lineRule="auto"/>
        <w:rPr>
          <w:sz w:val="24"/>
          <w:szCs w:val="22"/>
        </w:rPr>
      </w:pPr>
      <w:r>
        <w:rPr>
          <w:sz w:val="24"/>
          <w:szCs w:val="22"/>
        </w:rPr>
        <w:t>2.4</w:t>
      </w:r>
      <w:r>
        <w:rPr>
          <w:rFonts w:hint="eastAsia"/>
          <w:sz w:val="24"/>
          <w:szCs w:val="22"/>
        </w:rPr>
        <w:t xml:space="preserve"> </w:t>
      </w:r>
      <w:r>
        <w:rPr>
          <w:sz w:val="24"/>
          <w:szCs w:val="22"/>
        </w:rPr>
        <w:t>急性亚硝酸盐胁迫后虹鳟的血浆生化指标</w:t>
      </w:r>
    </w:p>
    <w:p>
      <w:pPr>
        <w:spacing w:line="360" w:lineRule="auto"/>
        <w:ind w:firstLine="480" w:firstLineChars="200"/>
        <w:rPr>
          <w:sz w:val="24"/>
          <w:szCs w:val="22"/>
        </w:rPr>
      </w:pPr>
      <w:r>
        <w:rPr>
          <w:sz w:val="24"/>
          <w:szCs w:val="22"/>
        </w:rPr>
        <w:t>如图4所示</w:t>
      </w:r>
      <w:r>
        <w:rPr>
          <w:rFonts w:hint="eastAsia"/>
          <w:sz w:val="24"/>
          <w:szCs w:val="22"/>
        </w:rPr>
        <w:t>，</w:t>
      </w:r>
      <w:r>
        <w:rPr>
          <w:sz w:val="24"/>
          <w:szCs w:val="22"/>
        </w:rPr>
        <w:t>在亚硝酸胁迫后</w:t>
      </w:r>
      <w:r>
        <w:rPr>
          <w:rFonts w:hint="eastAsia"/>
          <w:sz w:val="24"/>
          <w:szCs w:val="22"/>
        </w:rPr>
        <w:t>，</w:t>
      </w:r>
      <w:r>
        <w:rPr>
          <w:sz w:val="24"/>
          <w:szCs w:val="22"/>
        </w:rPr>
        <w:t>虾青素添加剂组的皮质醇、葡萄糖和乳酸含量显著低于对照组(图4A—C)。只有雨生红球藻添加剂处理组的碱性磷酸酶和谷丙转氨酶活性显著低于对照组(</w:t>
      </w:r>
      <w:r>
        <w:rPr>
          <w:rFonts w:hint="eastAsia"/>
          <w:i/>
          <w:sz w:val="24"/>
          <w:szCs w:val="22"/>
        </w:rPr>
        <w:t>P</w:t>
      </w:r>
      <w:r>
        <w:rPr>
          <w:rFonts w:hint="eastAsia"/>
          <w:sz w:val="24"/>
          <w:szCs w:val="22"/>
        </w:rPr>
        <w:t>&lt;</w:t>
      </w:r>
      <w:r>
        <w:rPr>
          <w:sz w:val="24"/>
          <w:szCs w:val="22"/>
        </w:rPr>
        <w:t>0.05</w:t>
      </w:r>
      <w:r>
        <w:rPr>
          <w:rFonts w:hint="eastAsia"/>
          <w:sz w:val="24"/>
          <w:szCs w:val="22"/>
        </w:rPr>
        <w:t>；</w:t>
      </w:r>
      <w:r>
        <w:rPr>
          <w:sz w:val="24"/>
          <w:szCs w:val="22"/>
        </w:rPr>
        <w:t>图4D和4E)。各虾青素添加剂组的谷丙转氨酶水平较对照组均出现降低</w:t>
      </w:r>
      <w:r>
        <w:rPr>
          <w:rFonts w:hint="eastAsia"/>
          <w:sz w:val="24"/>
          <w:szCs w:val="22"/>
        </w:rPr>
        <w:t>，</w:t>
      </w:r>
      <w:r>
        <w:rPr>
          <w:sz w:val="24"/>
          <w:szCs w:val="22"/>
        </w:rPr>
        <w:t>且雨生红球藻添加剂处理组显著低于对照组(</w:t>
      </w:r>
      <w:r>
        <w:rPr>
          <w:rFonts w:hint="eastAsia"/>
          <w:i/>
          <w:sz w:val="24"/>
          <w:szCs w:val="22"/>
        </w:rPr>
        <w:t>P</w:t>
      </w:r>
      <w:r>
        <w:rPr>
          <w:rFonts w:hint="eastAsia"/>
          <w:sz w:val="24"/>
          <w:szCs w:val="22"/>
        </w:rPr>
        <w:t>&lt;</w:t>
      </w:r>
      <w:r>
        <w:rPr>
          <w:sz w:val="24"/>
          <w:szCs w:val="22"/>
        </w:rPr>
        <w:t>0.05</w:t>
      </w:r>
      <w:r>
        <w:rPr>
          <w:rFonts w:hint="eastAsia"/>
          <w:sz w:val="24"/>
          <w:szCs w:val="22"/>
        </w:rPr>
        <w:t>；</w:t>
      </w:r>
      <w:r>
        <w:rPr>
          <w:sz w:val="24"/>
          <w:szCs w:val="22"/>
        </w:rPr>
        <w:t>图4F)。</w:t>
      </w:r>
    </w:p>
    <w:p>
      <w:pPr>
        <w:spacing w:line="360" w:lineRule="auto"/>
        <w:jc w:val="center"/>
        <w:rPr>
          <w:sz w:val="24"/>
          <w:szCs w:val="22"/>
        </w:rPr>
      </w:pPr>
      <w:r>
        <w:rPr>
          <w:rFonts w:ascii="宋体" w:hAnsi="宋体" w:cs="宋体"/>
          <w:sz w:val="24"/>
        </w:rPr>
        <w:drawing>
          <wp:inline distT="0" distB="0" distL="114300" distR="114300">
            <wp:extent cx="5975350" cy="5390515"/>
            <wp:effectExtent l="0" t="0" r="6350" b="635"/>
            <wp:docPr id="1728220316" name="图片 172822031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8220316" name="图片 1728220316" descr="IMG_256"/>
                    <pic:cNvPicPr>
                      <a:picLocks noChangeAspect="1"/>
                    </pic:cNvPicPr>
                  </pic:nvPicPr>
                  <pic:blipFill>
                    <a:blip r:embed="rId29"/>
                    <a:stretch>
                      <a:fillRect/>
                    </a:stretch>
                  </pic:blipFill>
                  <pic:spPr>
                    <a:xfrm>
                      <a:off x="0" y="0"/>
                      <a:ext cx="5983068" cy="5397043"/>
                    </a:xfrm>
                    <a:prstGeom prst="rect">
                      <a:avLst/>
                    </a:prstGeom>
                    <a:noFill/>
                    <a:ln w="9525">
                      <a:noFill/>
                    </a:ln>
                  </pic:spPr>
                </pic:pic>
              </a:graphicData>
            </a:graphic>
          </wp:inline>
        </w:drawing>
      </w:r>
    </w:p>
    <w:p>
      <w:pPr>
        <w:spacing w:line="360" w:lineRule="auto"/>
        <w:rPr>
          <w:sz w:val="24"/>
          <w:szCs w:val="22"/>
        </w:rPr>
      </w:pPr>
      <w:r>
        <w:rPr>
          <w:sz w:val="24"/>
          <w:szCs w:val="22"/>
        </w:rPr>
        <w:t>2.5</w:t>
      </w:r>
      <w:r>
        <w:rPr>
          <w:rFonts w:hint="eastAsia"/>
          <w:sz w:val="24"/>
          <w:szCs w:val="22"/>
        </w:rPr>
        <w:t xml:space="preserve"> </w:t>
      </w:r>
      <w:r>
        <w:rPr>
          <w:sz w:val="24"/>
          <w:szCs w:val="22"/>
        </w:rPr>
        <w:t>急性亚硝酸盐胁迫后虹鳟的组织学分析</w:t>
      </w:r>
    </w:p>
    <w:p>
      <w:pPr>
        <w:spacing w:line="360" w:lineRule="auto"/>
        <w:ind w:firstLine="480" w:firstLineChars="200"/>
        <w:rPr>
          <w:sz w:val="24"/>
          <w:szCs w:val="22"/>
        </w:rPr>
      </w:pPr>
      <w:r>
        <w:rPr>
          <w:sz w:val="24"/>
          <w:szCs w:val="22"/>
        </w:rPr>
        <w:t>如图5所示</w:t>
      </w:r>
      <w:r>
        <w:rPr>
          <w:rFonts w:hint="eastAsia"/>
          <w:sz w:val="24"/>
          <w:szCs w:val="22"/>
        </w:rPr>
        <w:t>，</w:t>
      </w:r>
      <w:r>
        <w:rPr>
          <w:sz w:val="24"/>
          <w:szCs w:val="22"/>
        </w:rPr>
        <w:t>急性亚硝酸盐胁迫使对照组鳃组织损伤最为严重</w:t>
      </w:r>
      <w:r>
        <w:rPr>
          <w:rFonts w:hint="eastAsia"/>
          <w:sz w:val="24"/>
          <w:szCs w:val="22"/>
        </w:rPr>
        <w:t>，</w:t>
      </w:r>
      <w:r>
        <w:rPr>
          <w:sz w:val="24"/>
          <w:szCs w:val="22"/>
        </w:rPr>
        <w:t>导致了鳃小片上皮细胞的脱落和水肿(图5A)</w:t>
      </w:r>
      <w:r>
        <w:rPr>
          <w:rFonts w:hint="eastAsia"/>
          <w:sz w:val="24"/>
          <w:szCs w:val="22"/>
        </w:rPr>
        <w:t>，</w:t>
      </w:r>
      <w:r>
        <w:rPr>
          <w:sz w:val="24"/>
          <w:szCs w:val="22"/>
        </w:rPr>
        <w:t>饲料中添加3种虾青素处理组缓解了这一现象。肝脏组织HE切片分析表明</w:t>
      </w:r>
      <w:r>
        <w:rPr>
          <w:rFonts w:hint="eastAsia"/>
          <w:sz w:val="24"/>
          <w:szCs w:val="22"/>
        </w:rPr>
        <w:t>，</w:t>
      </w:r>
      <w:r>
        <w:rPr>
          <w:sz w:val="24"/>
          <w:szCs w:val="22"/>
        </w:rPr>
        <w:t>对照组肝细胞出现了明显的空泡化和炎性细胞浸润的情况(图5B)</w:t>
      </w:r>
      <w:r>
        <w:rPr>
          <w:rFonts w:hint="eastAsia"/>
          <w:sz w:val="24"/>
          <w:szCs w:val="22"/>
        </w:rPr>
        <w:t>，</w:t>
      </w:r>
      <w:r>
        <w:rPr>
          <w:sz w:val="24"/>
          <w:szCs w:val="22"/>
        </w:rPr>
        <w:t>虾青素添加剂处理组肝脏细胞的空泡化和炎性细胞浸润得到了有效的改善(图5)。</w:t>
      </w:r>
    </w:p>
    <w:p>
      <w:pPr>
        <w:spacing w:line="360" w:lineRule="auto"/>
        <w:rPr>
          <w:sz w:val="24"/>
          <w:szCs w:val="22"/>
        </w:rPr>
      </w:pPr>
      <w:r>
        <w:rPr>
          <w:sz w:val="24"/>
          <w:szCs w:val="22"/>
        </w:rPr>
        <w:t>2.6</w:t>
      </w:r>
      <w:r>
        <w:rPr>
          <w:rFonts w:hint="eastAsia"/>
          <w:sz w:val="24"/>
          <w:szCs w:val="22"/>
        </w:rPr>
        <w:t xml:space="preserve"> </w:t>
      </w:r>
      <w:r>
        <w:rPr>
          <w:sz w:val="24"/>
          <w:szCs w:val="22"/>
        </w:rPr>
        <w:t>急性亚硝酸盐胁迫后虹鳟肝脏抗氧化和应激相关基因表达分析</w:t>
      </w:r>
    </w:p>
    <w:p>
      <w:pPr>
        <w:spacing w:line="360" w:lineRule="auto"/>
        <w:ind w:firstLine="480" w:firstLineChars="200"/>
        <w:rPr>
          <w:sz w:val="24"/>
          <w:szCs w:val="22"/>
        </w:rPr>
      </w:pPr>
      <w:r>
        <w:rPr>
          <w:sz w:val="24"/>
          <w:szCs w:val="22"/>
        </w:rPr>
        <w:t>如图6所示</w:t>
      </w:r>
      <w:r>
        <w:rPr>
          <w:rFonts w:hint="eastAsia"/>
          <w:sz w:val="24"/>
          <w:szCs w:val="22"/>
        </w:rPr>
        <w:t>，</w:t>
      </w:r>
      <w:r>
        <w:rPr>
          <w:sz w:val="24"/>
          <w:szCs w:val="22"/>
        </w:rPr>
        <w:t>与对照组相比</w:t>
      </w:r>
      <w:r>
        <w:rPr>
          <w:rFonts w:hint="eastAsia"/>
          <w:sz w:val="24"/>
          <w:szCs w:val="22"/>
        </w:rPr>
        <w:t>，</w:t>
      </w:r>
      <w:r>
        <w:rPr>
          <w:sz w:val="24"/>
          <w:szCs w:val="22"/>
        </w:rPr>
        <w:t>虾青素添加剂处理组均显著提高了亚硝酸盐胁迫后肝脏的超氧化物歧化酶活性、总抗氧化能力和过氧化氢酶活性(图6A—C</w:t>
      </w:r>
      <w:r>
        <w:rPr>
          <w:rFonts w:hint="eastAsia"/>
          <w:sz w:val="24"/>
          <w:szCs w:val="22"/>
        </w:rPr>
        <w:t>；</w:t>
      </w:r>
      <w:r>
        <w:rPr>
          <w:rFonts w:hint="eastAsia"/>
          <w:i/>
          <w:sz w:val="24"/>
          <w:szCs w:val="22"/>
        </w:rPr>
        <w:t>P</w:t>
      </w:r>
      <w:r>
        <w:rPr>
          <w:rFonts w:hint="eastAsia"/>
          <w:sz w:val="24"/>
          <w:szCs w:val="22"/>
        </w:rPr>
        <w:t>&lt;</w:t>
      </w:r>
      <w:r>
        <w:rPr>
          <w:sz w:val="24"/>
          <w:szCs w:val="22"/>
        </w:rPr>
        <w:t>0.05)</w:t>
      </w:r>
      <w:r>
        <w:rPr>
          <w:rFonts w:hint="eastAsia"/>
          <w:sz w:val="24"/>
          <w:szCs w:val="22"/>
        </w:rPr>
        <w:t>，</w:t>
      </w:r>
      <w:r>
        <w:rPr>
          <w:sz w:val="24"/>
          <w:szCs w:val="22"/>
        </w:rPr>
        <w:t>同时副球菌添加处理组和雨生红球藻添加处理组显著降低了肝脏中丙二醛的含量(</w:t>
      </w:r>
      <w:r>
        <w:rPr>
          <w:rFonts w:hint="eastAsia"/>
          <w:i/>
          <w:sz w:val="24"/>
          <w:szCs w:val="22"/>
        </w:rPr>
        <w:t>P</w:t>
      </w:r>
      <w:r>
        <w:rPr>
          <w:rFonts w:hint="eastAsia"/>
          <w:sz w:val="24"/>
          <w:szCs w:val="22"/>
        </w:rPr>
        <w:t>&lt;</w:t>
      </w:r>
      <w:r>
        <w:rPr>
          <w:sz w:val="24"/>
          <w:szCs w:val="22"/>
        </w:rPr>
        <w:t>0.05</w:t>
      </w:r>
      <w:r>
        <w:rPr>
          <w:rFonts w:hint="eastAsia"/>
          <w:sz w:val="24"/>
          <w:szCs w:val="22"/>
        </w:rPr>
        <w:t>；</w:t>
      </w:r>
      <w:r>
        <w:rPr>
          <w:sz w:val="24"/>
          <w:szCs w:val="22"/>
        </w:rPr>
        <w:t>图6D)。肝脏中活性氧水平表明</w:t>
      </w:r>
      <w:r>
        <w:rPr>
          <w:rFonts w:hint="eastAsia"/>
          <w:sz w:val="24"/>
          <w:szCs w:val="22"/>
        </w:rPr>
        <w:t>，</w:t>
      </w:r>
      <w:r>
        <w:rPr>
          <w:sz w:val="24"/>
          <w:szCs w:val="22"/>
        </w:rPr>
        <w:t>各虾青素添加剂处理组均显著降低了活性氧的水平(</w:t>
      </w:r>
      <w:r>
        <w:rPr>
          <w:rFonts w:hint="eastAsia"/>
          <w:i/>
          <w:sz w:val="24"/>
          <w:szCs w:val="22"/>
        </w:rPr>
        <w:t>P</w:t>
      </w:r>
      <w:r>
        <w:rPr>
          <w:rFonts w:hint="eastAsia"/>
          <w:sz w:val="24"/>
          <w:szCs w:val="22"/>
        </w:rPr>
        <w:t>&lt;</w:t>
      </w:r>
      <w:r>
        <w:rPr>
          <w:sz w:val="24"/>
          <w:szCs w:val="22"/>
        </w:rPr>
        <w:t>0.05</w:t>
      </w:r>
      <w:r>
        <w:rPr>
          <w:rFonts w:hint="eastAsia"/>
          <w:sz w:val="24"/>
          <w:szCs w:val="22"/>
        </w:rPr>
        <w:t>；</w:t>
      </w:r>
      <w:r>
        <w:rPr>
          <w:sz w:val="24"/>
          <w:szCs w:val="22"/>
        </w:rPr>
        <w:t>图6E)。雨生红球藻添加组和加丽素粉红添加组的肝脏的</w:t>
      </w:r>
      <w:r>
        <w:rPr>
          <w:i/>
          <w:iCs/>
          <w:sz w:val="24"/>
          <w:szCs w:val="22"/>
        </w:rPr>
        <w:t>keap1</w:t>
      </w:r>
      <w:r>
        <w:rPr>
          <w:sz w:val="24"/>
          <w:szCs w:val="22"/>
        </w:rPr>
        <w:t>基因的表达水平显著低于对照组</w:t>
      </w:r>
      <w:r>
        <w:rPr>
          <w:rFonts w:hint="eastAsia"/>
          <w:sz w:val="24"/>
          <w:szCs w:val="22"/>
        </w:rPr>
        <w:t>，</w:t>
      </w:r>
      <w:r>
        <w:rPr>
          <w:i/>
          <w:iCs/>
          <w:sz w:val="24"/>
          <w:szCs w:val="22"/>
        </w:rPr>
        <w:t>nrf2</w:t>
      </w:r>
      <w:r>
        <w:rPr>
          <w:sz w:val="24"/>
          <w:szCs w:val="22"/>
        </w:rPr>
        <w:t>和</w:t>
      </w:r>
      <w:r>
        <w:rPr>
          <w:i/>
          <w:iCs/>
          <w:sz w:val="24"/>
          <w:szCs w:val="22"/>
        </w:rPr>
        <w:t>sod</w:t>
      </w:r>
      <w:r>
        <w:rPr>
          <w:sz w:val="24"/>
          <w:szCs w:val="22"/>
        </w:rPr>
        <w:t>基因的表达水平均显著高于对照组。在抗应激方面</w:t>
      </w:r>
      <w:r>
        <w:rPr>
          <w:rFonts w:hint="eastAsia"/>
          <w:sz w:val="24"/>
          <w:szCs w:val="22"/>
        </w:rPr>
        <w:t>，</w:t>
      </w:r>
      <w:r>
        <w:rPr>
          <w:sz w:val="24"/>
          <w:szCs w:val="22"/>
        </w:rPr>
        <w:t>副球菌添加处理组和加丽素粉红添加处理组</w:t>
      </w:r>
      <w:r>
        <w:rPr>
          <w:i/>
          <w:iCs/>
          <w:sz w:val="24"/>
          <w:szCs w:val="22"/>
        </w:rPr>
        <w:t>hsp70a</w:t>
      </w:r>
      <w:r>
        <w:rPr>
          <w:sz w:val="24"/>
          <w:szCs w:val="22"/>
        </w:rPr>
        <w:t>和</w:t>
      </w:r>
      <w:r>
        <w:rPr>
          <w:i/>
          <w:iCs/>
          <w:sz w:val="24"/>
          <w:szCs w:val="22"/>
        </w:rPr>
        <w:t>hsp90</w:t>
      </w:r>
      <w:r>
        <w:rPr>
          <w:sz w:val="24"/>
          <w:szCs w:val="22"/>
        </w:rPr>
        <w:t>的表达水平显著低于对照组(</w:t>
      </w:r>
      <w:r>
        <w:rPr>
          <w:rFonts w:hint="eastAsia"/>
          <w:i/>
          <w:sz w:val="24"/>
          <w:szCs w:val="22"/>
        </w:rPr>
        <w:t>P</w:t>
      </w:r>
      <w:r>
        <w:rPr>
          <w:rFonts w:hint="eastAsia"/>
          <w:sz w:val="24"/>
          <w:szCs w:val="22"/>
        </w:rPr>
        <w:t>&lt;</w:t>
      </w:r>
      <w:r>
        <w:rPr>
          <w:sz w:val="24"/>
          <w:szCs w:val="22"/>
        </w:rPr>
        <w:t>0.05</w:t>
      </w:r>
      <w:r>
        <w:rPr>
          <w:rFonts w:hint="eastAsia"/>
          <w:sz w:val="24"/>
          <w:szCs w:val="22"/>
        </w:rPr>
        <w:t>；</w:t>
      </w:r>
      <w:r>
        <w:rPr>
          <w:sz w:val="24"/>
          <w:szCs w:val="22"/>
        </w:rPr>
        <w:t>图6F)。</w:t>
      </w:r>
    </w:p>
    <w:p>
      <w:pPr>
        <w:spacing w:line="360" w:lineRule="auto"/>
        <w:jc w:val="center"/>
        <w:rPr>
          <w:sz w:val="24"/>
          <w:szCs w:val="22"/>
        </w:rPr>
      </w:pPr>
      <w:r>
        <w:rPr>
          <w:rFonts w:ascii="宋体" w:hAnsi="宋体" w:cs="宋体"/>
          <w:sz w:val="24"/>
        </w:rPr>
        <w:drawing>
          <wp:inline distT="0" distB="0" distL="114300" distR="114300">
            <wp:extent cx="5967095" cy="4859020"/>
            <wp:effectExtent l="0" t="0" r="0" b="0"/>
            <wp:docPr id="231850012" name="图片 23185001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850012" name="图片 231850012" descr="IMG_256"/>
                    <pic:cNvPicPr>
                      <a:picLocks noChangeAspect="1"/>
                    </pic:cNvPicPr>
                  </pic:nvPicPr>
                  <pic:blipFill>
                    <a:blip r:embed="rId30"/>
                    <a:stretch>
                      <a:fillRect/>
                    </a:stretch>
                  </pic:blipFill>
                  <pic:spPr>
                    <a:xfrm>
                      <a:off x="0" y="0"/>
                      <a:ext cx="5980268" cy="4870111"/>
                    </a:xfrm>
                    <a:prstGeom prst="rect">
                      <a:avLst/>
                    </a:prstGeom>
                    <a:noFill/>
                    <a:ln w="9525">
                      <a:noFill/>
                    </a:ln>
                  </pic:spPr>
                </pic:pic>
              </a:graphicData>
            </a:graphic>
          </wp:inline>
        </w:drawing>
      </w:r>
    </w:p>
    <w:p>
      <w:pPr>
        <w:spacing w:line="360" w:lineRule="auto"/>
        <w:rPr>
          <w:sz w:val="24"/>
          <w:szCs w:val="22"/>
        </w:rPr>
      </w:pPr>
      <w:r>
        <w:rPr>
          <w:sz w:val="24"/>
          <w:szCs w:val="22"/>
        </w:rPr>
        <w:t>2.7</w:t>
      </w:r>
      <w:r>
        <w:rPr>
          <w:rFonts w:hint="eastAsia"/>
          <w:sz w:val="24"/>
          <w:szCs w:val="22"/>
        </w:rPr>
        <w:t xml:space="preserve"> </w:t>
      </w:r>
      <w:r>
        <w:rPr>
          <w:sz w:val="24"/>
          <w:szCs w:val="22"/>
        </w:rPr>
        <w:t>不同来源虾青素添加剂对虹鳟亚硝酸盐胁迫后肝细胞凋亡及相关基因分析</w:t>
      </w:r>
    </w:p>
    <w:p>
      <w:pPr>
        <w:spacing w:line="360" w:lineRule="auto"/>
        <w:ind w:firstLine="480" w:firstLineChars="200"/>
        <w:rPr>
          <w:sz w:val="24"/>
          <w:szCs w:val="22"/>
        </w:rPr>
      </w:pPr>
      <w:r>
        <w:rPr>
          <w:sz w:val="24"/>
          <w:szCs w:val="22"/>
        </w:rPr>
        <w:t>如图7所示</w:t>
      </w:r>
      <w:r>
        <w:rPr>
          <w:rFonts w:hint="eastAsia"/>
          <w:sz w:val="24"/>
          <w:szCs w:val="22"/>
        </w:rPr>
        <w:t>，</w:t>
      </w:r>
      <w:r>
        <w:rPr>
          <w:sz w:val="24"/>
          <w:szCs w:val="22"/>
        </w:rPr>
        <w:t>通过肝脏TUNEL染色分析发现</w:t>
      </w:r>
      <w:r>
        <w:rPr>
          <w:rFonts w:hint="eastAsia"/>
          <w:sz w:val="24"/>
          <w:szCs w:val="22"/>
        </w:rPr>
        <w:t>，</w:t>
      </w:r>
      <w:r>
        <w:rPr>
          <w:sz w:val="24"/>
          <w:szCs w:val="22"/>
        </w:rPr>
        <w:t>对照组的细胞凋亡信号明显高于其他各实验组(图7A)。对肝脏组织细胞凋亡相关基因表达的研究表明</w:t>
      </w:r>
      <w:r>
        <w:rPr>
          <w:rFonts w:hint="eastAsia"/>
          <w:sz w:val="24"/>
          <w:szCs w:val="22"/>
        </w:rPr>
        <w:t>，</w:t>
      </w:r>
      <w:r>
        <w:rPr>
          <w:sz w:val="24"/>
          <w:szCs w:val="22"/>
        </w:rPr>
        <w:t>饲料中添加不同来源虾青素能显著降低虹鳟肝脏中凋亡相关基因</w:t>
      </w:r>
      <w:r>
        <w:rPr>
          <w:i/>
          <w:iCs/>
          <w:sz w:val="24"/>
          <w:szCs w:val="22"/>
        </w:rPr>
        <w:t>bcl2</w:t>
      </w:r>
      <w:r>
        <w:rPr>
          <w:sz w:val="24"/>
          <w:szCs w:val="22"/>
        </w:rPr>
        <w:t>和</w:t>
      </w:r>
      <w:r>
        <w:rPr>
          <w:i/>
          <w:iCs/>
          <w:sz w:val="24"/>
          <w:szCs w:val="22"/>
        </w:rPr>
        <w:t>caspase9</w:t>
      </w:r>
      <w:r>
        <w:rPr>
          <w:sz w:val="24"/>
          <w:szCs w:val="22"/>
        </w:rPr>
        <w:t>的表达</w:t>
      </w:r>
      <w:r>
        <w:rPr>
          <w:rFonts w:hint="eastAsia"/>
          <w:sz w:val="24"/>
          <w:szCs w:val="22"/>
        </w:rPr>
        <w:t>，</w:t>
      </w:r>
      <w:r>
        <w:rPr>
          <w:sz w:val="24"/>
          <w:szCs w:val="22"/>
        </w:rPr>
        <w:t>同时雨生红球藻添加处理组和加丽素粉红处理组的</w:t>
      </w:r>
      <w:r>
        <w:rPr>
          <w:i/>
          <w:iCs/>
          <w:sz w:val="24"/>
          <w:szCs w:val="22"/>
        </w:rPr>
        <w:t>bax</w:t>
      </w:r>
      <w:r>
        <w:rPr>
          <w:sz w:val="24"/>
          <w:szCs w:val="22"/>
        </w:rPr>
        <w:t>的表达显著低于对照对照组(</w:t>
      </w:r>
      <w:r>
        <w:rPr>
          <w:rFonts w:hint="eastAsia"/>
          <w:i/>
          <w:sz w:val="24"/>
          <w:szCs w:val="22"/>
        </w:rPr>
        <w:t>P</w:t>
      </w:r>
      <w:r>
        <w:rPr>
          <w:rFonts w:hint="eastAsia"/>
          <w:sz w:val="24"/>
          <w:szCs w:val="22"/>
        </w:rPr>
        <w:t>&lt;</w:t>
      </w:r>
      <w:r>
        <w:rPr>
          <w:sz w:val="24"/>
          <w:szCs w:val="22"/>
        </w:rPr>
        <w:t>0.05</w:t>
      </w:r>
      <w:r>
        <w:rPr>
          <w:rFonts w:hint="eastAsia"/>
          <w:sz w:val="24"/>
          <w:szCs w:val="22"/>
        </w:rPr>
        <w:t>；</w:t>
      </w:r>
      <w:r>
        <w:rPr>
          <w:sz w:val="24"/>
          <w:szCs w:val="22"/>
        </w:rPr>
        <w:t>图7B)。</w:t>
      </w:r>
    </w:p>
    <w:p>
      <w:pPr>
        <w:spacing w:line="360" w:lineRule="auto"/>
        <w:rPr>
          <w:sz w:val="24"/>
          <w:szCs w:val="22"/>
        </w:rPr>
      </w:pPr>
      <w:r>
        <w:rPr>
          <w:sz w:val="24"/>
          <w:szCs w:val="22"/>
        </w:rPr>
        <w:t>3</w:t>
      </w:r>
      <w:r>
        <w:rPr>
          <w:rFonts w:hint="eastAsia"/>
          <w:sz w:val="24"/>
          <w:szCs w:val="22"/>
        </w:rPr>
        <w:t xml:space="preserve"> </w:t>
      </w:r>
      <w:r>
        <w:rPr>
          <w:sz w:val="24"/>
          <w:szCs w:val="22"/>
        </w:rPr>
        <w:t>讨论</w:t>
      </w:r>
    </w:p>
    <w:p>
      <w:pPr>
        <w:spacing w:line="360" w:lineRule="auto"/>
        <w:rPr>
          <w:sz w:val="24"/>
          <w:szCs w:val="22"/>
        </w:rPr>
      </w:pPr>
      <w:r>
        <w:rPr>
          <w:sz w:val="24"/>
          <w:szCs w:val="22"/>
        </w:rPr>
        <w:t>3.1</w:t>
      </w:r>
      <w:r>
        <w:rPr>
          <w:rFonts w:hint="eastAsia"/>
          <w:sz w:val="24"/>
          <w:szCs w:val="22"/>
        </w:rPr>
        <w:t xml:space="preserve"> </w:t>
      </w:r>
      <w:r>
        <w:rPr>
          <w:sz w:val="24"/>
          <w:szCs w:val="22"/>
        </w:rPr>
        <w:t>不同来源虾青素添加剂对虹鳟生长性能的影响</w:t>
      </w:r>
    </w:p>
    <w:p>
      <w:pPr>
        <w:spacing w:line="360" w:lineRule="auto"/>
        <w:ind w:firstLine="480" w:firstLineChars="200"/>
        <w:rPr>
          <w:sz w:val="24"/>
          <w:szCs w:val="22"/>
        </w:rPr>
      </w:pPr>
      <w:r>
        <w:rPr>
          <w:sz w:val="24"/>
          <w:szCs w:val="22"/>
        </w:rPr>
        <w:t>在本研究中</w:t>
      </w:r>
      <w:r>
        <w:rPr>
          <w:rFonts w:hint="eastAsia"/>
          <w:sz w:val="24"/>
          <w:szCs w:val="22"/>
        </w:rPr>
        <w:t>，</w:t>
      </w:r>
      <w:r>
        <w:rPr>
          <w:sz w:val="24"/>
          <w:szCs w:val="22"/>
        </w:rPr>
        <w:t>饲料中添加副球菌、雨生红球藻和加丽素粉红对虹鳟的生长无显著影响。在鲶(</w:t>
      </w:r>
      <w:r>
        <w:rPr>
          <w:i/>
          <w:iCs/>
          <w:sz w:val="24"/>
          <w:szCs w:val="22"/>
        </w:rPr>
        <w:t>Lophiosilurus</w:t>
      </w:r>
      <w:r>
        <w:rPr>
          <w:rFonts w:hint="eastAsia"/>
          <w:i/>
          <w:iCs/>
          <w:sz w:val="24"/>
          <w:szCs w:val="22"/>
        </w:rPr>
        <w:t xml:space="preserve"> </w:t>
      </w:r>
      <w:r>
        <w:rPr>
          <w:i/>
          <w:iCs/>
          <w:sz w:val="24"/>
          <w:szCs w:val="22"/>
        </w:rPr>
        <w:t>alexandri</w:t>
      </w:r>
      <w:r>
        <w:rPr>
          <w:sz w:val="24"/>
          <w:szCs w:val="22"/>
        </w:rPr>
        <w:t>)上的研究结果与本研究相似</w:t>
      </w:r>
      <w:r>
        <w:rPr>
          <w:rFonts w:hint="eastAsia"/>
          <w:sz w:val="24"/>
          <w:szCs w:val="22"/>
        </w:rPr>
        <w:t>，</w:t>
      </w:r>
      <w:r>
        <w:rPr>
          <w:sz w:val="24"/>
          <w:szCs w:val="22"/>
        </w:rPr>
        <w:t>饲料中添加虾青素对机体的生长没有显著性影响</w:t>
      </w:r>
      <w:r>
        <w:rPr>
          <w:sz w:val="24"/>
          <w:szCs w:val="22"/>
          <w:vertAlign w:val="superscript"/>
        </w:rPr>
        <w:t>[27]</w:t>
      </w:r>
      <w:r>
        <w:rPr>
          <w:sz w:val="24"/>
          <w:szCs w:val="22"/>
        </w:rPr>
        <w:t>。在大口黑鲈(</w:t>
      </w:r>
      <w:r>
        <w:rPr>
          <w:i/>
          <w:iCs/>
          <w:sz w:val="24"/>
          <w:szCs w:val="22"/>
        </w:rPr>
        <w:t>Micropterus</w:t>
      </w:r>
      <w:r>
        <w:rPr>
          <w:rFonts w:hint="eastAsia"/>
          <w:i/>
          <w:iCs/>
          <w:sz w:val="24"/>
          <w:szCs w:val="22"/>
        </w:rPr>
        <w:t xml:space="preserve"> </w:t>
      </w:r>
      <w:r>
        <w:rPr>
          <w:i/>
          <w:iCs/>
          <w:sz w:val="24"/>
          <w:szCs w:val="22"/>
        </w:rPr>
        <w:t>salmoides</w:t>
      </w:r>
      <w:r>
        <w:rPr>
          <w:sz w:val="24"/>
          <w:szCs w:val="22"/>
        </w:rPr>
        <w:t>)饲喂含虾青素的饲料的研究中发现</w:t>
      </w:r>
      <w:r>
        <w:rPr>
          <w:rFonts w:hint="eastAsia"/>
          <w:sz w:val="24"/>
          <w:szCs w:val="22"/>
        </w:rPr>
        <w:t>，</w:t>
      </w:r>
      <w:r>
        <w:rPr>
          <w:sz w:val="24"/>
          <w:szCs w:val="22"/>
        </w:rPr>
        <w:t>添加虾青素能够提高大口黑鲈生长性能与饲料效率</w:t>
      </w:r>
      <w:r>
        <w:rPr>
          <w:sz w:val="24"/>
          <w:szCs w:val="22"/>
          <w:vertAlign w:val="superscript"/>
        </w:rPr>
        <w:t>[28]</w:t>
      </w:r>
      <w:r>
        <w:rPr>
          <w:sz w:val="24"/>
          <w:szCs w:val="22"/>
        </w:rPr>
        <w:t>。饲料中添加加丽素粉红相较其他两种虾青素能够有效的提高虹鳟的摄食率。因此</w:t>
      </w:r>
      <w:r>
        <w:rPr>
          <w:rFonts w:hint="eastAsia"/>
          <w:sz w:val="24"/>
          <w:szCs w:val="22"/>
        </w:rPr>
        <w:t>，</w:t>
      </w:r>
      <w:r>
        <w:rPr>
          <w:sz w:val="24"/>
          <w:szCs w:val="22"/>
        </w:rPr>
        <w:t>这表明虾青素的来源不同可能会对虾青素的摄食产生不同的作用影响。</w:t>
      </w:r>
    </w:p>
    <w:p>
      <w:pPr>
        <w:spacing w:line="360" w:lineRule="auto"/>
        <w:jc w:val="center"/>
        <w:rPr>
          <w:sz w:val="24"/>
          <w:szCs w:val="22"/>
        </w:rPr>
      </w:pPr>
      <w:r>
        <w:rPr>
          <w:rFonts w:ascii="宋体" w:hAnsi="宋体" w:cs="宋体"/>
          <w:sz w:val="24"/>
        </w:rPr>
        <w:drawing>
          <wp:inline distT="0" distB="0" distL="114300" distR="114300">
            <wp:extent cx="4203065" cy="3909695"/>
            <wp:effectExtent l="0" t="0" r="6985" b="0"/>
            <wp:docPr id="1176615669" name="图片 117661566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615669" name="图片 1176615669" descr="IMG_256"/>
                    <pic:cNvPicPr>
                      <a:picLocks noChangeAspect="1"/>
                    </pic:cNvPicPr>
                  </pic:nvPicPr>
                  <pic:blipFill>
                    <a:blip r:embed="rId31"/>
                    <a:stretch>
                      <a:fillRect/>
                    </a:stretch>
                  </pic:blipFill>
                  <pic:spPr>
                    <a:xfrm>
                      <a:off x="0" y="0"/>
                      <a:ext cx="4212673" cy="3918999"/>
                    </a:xfrm>
                    <a:prstGeom prst="rect">
                      <a:avLst/>
                    </a:prstGeom>
                    <a:noFill/>
                    <a:ln w="9525">
                      <a:noFill/>
                    </a:ln>
                  </pic:spPr>
                </pic:pic>
              </a:graphicData>
            </a:graphic>
          </wp:inline>
        </w:drawing>
      </w:r>
    </w:p>
    <w:p>
      <w:pPr>
        <w:spacing w:line="360" w:lineRule="auto"/>
        <w:rPr>
          <w:sz w:val="24"/>
          <w:szCs w:val="22"/>
        </w:rPr>
      </w:pPr>
      <w:r>
        <w:rPr>
          <w:sz w:val="24"/>
          <w:szCs w:val="22"/>
        </w:rPr>
        <w:t>3.2</w:t>
      </w:r>
      <w:r>
        <w:rPr>
          <w:rFonts w:hint="eastAsia"/>
          <w:sz w:val="24"/>
          <w:szCs w:val="22"/>
        </w:rPr>
        <w:t xml:space="preserve"> </w:t>
      </w:r>
      <w:r>
        <w:rPr>
          <w:sz w:val="24"/>
          <w:szCs w:val="22"/>
        </w:rPr>
        <w:t>不同来源虾青素添加剂对虹鳟体色的影响</w:t>
      </w:r>
    </w:p>
    <w:p>
      <w:pPr>
        <w:spacing w:line="360" w:lineRule="auto"/>
        <w:ind w:firstLine="480" w:firstLineChars="200"/>
        <w:rPr>
          <w:sz w:val="24"/>
          <w:szCs w:val="22"/>
        </w:rPr>
      </w:pPr>
      <w:r>
        <w:rPr>
          <w:sz w:val="24"/>
          <w:szCs w:val="22"/>
        </w:rPr>
        <w:t>虾青素对虹鳟、大西洋鲑和甲壳类养殖动物肉色和体色的改善具有重要作用</w:t>
      </w:r>
      <w:r>
        <w:rPr>
          <w:sz w:val="24"/>
          <w:szCs w:val="22"/>
          <w:vertAlign w:val="superscript"/>
        </w:rPr>
        <w:t>[17</w:t>
      </w:r>
      <w:r>
        <w:rPr>
          <w:rFonts w:hint="eastAsia"/>
          <w:sz w:val="24"/>
          <w:szCs w:val="22"/>
          <w:vertAlign w:val="superscript"/>
        </w:rPr>
        <w:t>，</w:t>
      </w:r>
      <w:r>
        <w:rPr>
          <w:sz w:val="24"/>
          <w:szCs w:val="22"/>
          <w:vertAlign w:val="superscript"/>
        </w:rPr>
        <w:t>18]</w:t>
      </w:r>
      <w:r>
        <w:rPr>
          <w:sz w:val="24"/>
          <w:szCs w:val="22"/>
        </w:rPr>
        <w:t>。研究表明</w:t>
      </w:r>
      <w:r>
        <w:rPr>
          <w:rFonts w:hint="eastAsia"/>
          <w:sz w:val="24"/>
          <w:szCs w:val="22"/>
        </w:rPr>
        <w:t>，</w:t>
      </w:r>
      <w:r>
        <w:rPr>
          <w:sz w:val="24"/>
          <w:szCs w:val="22"/>
        </w:rPr>
        <w:t>补充虾青素能够让多种鱼类的皮肤和肌肉颜色的黄度和红度增强。在本实验中</w:t>
      </w:r>
      <w:r>
        <w:rPr>
          <w:rFonts w:hint="eastAsia"/>
          <w:sz w:val="24"/>
          <w:szCs w:val="22"/>
        </w:rPr>
        <w:t>，</w:t>
      </w:r>
      <w:r>
        <w:rPr>
          <w:sz w:val="24"/>
          <w:szCs w:val="22"/>
        </w:rPr>
        <w:t>饲料中添加副球菌、雨生红球藻和加丽素粉红对虹鳟肌肉中虾青素的含量有显著提高作用</w:t>
      </w:r>
      <w:r>
        <w:rPr>
          <w:rFonts w:hint="eastAsia"/>
          <w:sz w:val="24"/>
          <w:szCs w:val="22"/>
        </w:rPr>
        <w:t>，</w:t>
      </w:r>
      <w:r>
        <w:rPr>
          <w:sz w:val="24"/>
          <w:szCs w:val="22"/>
        </w:rPr>
        <w:t>同时增强了虹鳟的红度和黄度和提高了体表皮肤的亮度。在南美白对虾(</w:t>
      </w:r>
      <w:r>
        <w:rPr>
          <w:i/>
          <w:iCs/>
          <w:sz w:val="24"/>
          <w:szCs w:val="22"/>
        </w:rPr>
        <w:t>Litopenaeus</w:t>
      </w:r>
      <w:r>
        <w:rPr>
          <w:rFonts w:hint="eastAsia"/>
          <w:i/>
          <w:iCs/>
          <w:sz w:val="24"/>
          <w:szCs w:val="22"/>
        </w:rPr>
        <w:t xml:space="preserve"> </w:t>
      </w:r>
      <w:r>
        <w:rPr>
          <w:i/>
          <w:iCs/>
          <w:sz w:val="24"/>
          <w:szCs w:val="22"/>
        </w:rPr>
        <w:t>vannamei</w:t>
      </w:r>
      <w:r>
        <w:rPr>
          <w:sz w:val="24"/>
          <w:szCs w:val="22"/>
        </w:rPr>
        <w:t>)的研究中也发现副球菌能够添加类胡萝卜素、合成虾青素可以使大西洋鲑的体色增强</w:t>
      </w:r>
      <w:r>
        <w:rPr>
          <w:sz w:val="24"/>
          <w:szCs w:val="22"/>
          <w:vertAlign w:val="superscript"/>
        </w:rPr>
        <w:t>[31]</w:t>
      </w:r>
      <w:r>
        <w:rPr>
          <w:sz w:val="24"/>
          <w:szCs w:val="22"/>
        </w:rPr>
        <w:t>和添加类胡萝卜素可以显著提高斑点叉尾鮰(</w:t>
      </w:r>
      <w:r>
        <w:rPr>
          <w:i/>
          <w:iCs/>
          <w:sz w:val="24"/>
          <w:szCs w:val="22"/>
        </w:rPr>
        <w:t>Ictalurus</w:t>
      </w:r>
      <w:r>
        <w:rPr>
          <w:rFonts w:hint="eastAsia"/>
          <w:i/>
          <w:iCs/>
          <w:sz w:val="24"/>
          <w:szCs w:val="22"/>
        </w:rPr>
        <w:t xml:space="preserve"> </w:t>
      </w:r>
      <w:r>
        <w:rPr>
          <w:i/>
          <w:iCs/>
          <w:sz w:val="24"/>
          <w:szCs w:val="22"/>
        </w:rPr>
        <w:t>punctatus</w:t>
      </w:r>
      <w:r>
        <w:rPr>
          <w:sz w:val="24"/>
          <w:szCs w:val="22"/>
        </w:rPr>
        <w:t>)体表的黄度</w:t>
      </w:r>
      <w:r>
        <w:rPr>
          <w:sz w:val="24"/>
          <w:szCs w:val="22"/>
          <w:vertAlign w:val="superscript"/>
        </w:rPr>
        <w:t>[32]</w:t>
      </w:r>
      <w:r>
        <w:rPr>
          <w:sz w:val="24"/>
          <w:szCs w:val="22"/>
        </w:rPr>
        <w:t>等</w:t>
      </w:r>
      <w:r>
        <w:rPr>
          <w:rFonts w:hint="eastAsia"/>
          <w:sz w:val="24"/>
          <w:szCs w:val="22"/>
        </w:rPr>
        <w:t>，</w:t>
      </w:r>
      <w:r>
        <w:rPr>
          <w:sz w:val="24"/>
          <w:szCs w:val="22"/>
        </w:rPr>
        <w:t>在本研究中</w:t>
      </w:r>
      <w:r>
        <w:rPr>
          <w:rFonts w:hint="eastAsia"/>
          <w:sz w:val="24"/>
          <w:szCs w:val="22"/>
        </w:rPr>
        <w:t>，</w:t>
      </w:r>
      <w:r>
        <w:rPr>
          <w:sz w:val="24"/>
          <w:szCs w:val="22"/>
        </w:rPr>
        <w:t>加丽素粉红添加组对虹鳟的着色效果最好</w:t>
      </w:r>
      <w:r>
        <w:rPr>
          <w:rFonts w:hint="eastAsia"/>
          <w:sz w:val="24"/>
          <w:szCs w:val="22"/>
        </w:rPr>
        <w:t>，</w:t>
      </w:r>
      <w:r>
        <w:rPr>
          <w:sz w:val="24"/>
          <w:szCs w:val="22"/>
        </w:rPr>
        <w:t>其次是副球菌</w:t>
      </w:r>
      <w:r>
        <w:rPr>
          <w:rFonts w:hint="eastAsia"/>
          <w:sz w:val="24"/>
          <w:szCs w:val="22"/>
        </w:rPr>
        <w:t>，</w:t>
      </w:r>
      <w:r>
        <w:rPr>
          <w:sz w:val="24"/>
          <w:szCs w:val="22"/>
        </w:rPr>
        <w:t>最后是雨生红球藻。与之相似</w:t>
      </w:r>
      <w:r>
        <w:rPr>
          <w:rFonts w:hint="eastAsia"/>
          <w:sz w:val="24"/>
          <w:szCs w:val="22"/>
        </w:rPr>
        <w:t>，</w:t>
      </w:r>
      <w:r>
        <w:rPr>
          <w:sz w:val="24"/>
          <w:szCs w:val="22"/>
        </w:rPr>
        <w:t>一项虹鳟的研究中与饲喂天然虾青素来源相比</w:t>
      </w:r>
      <w:r>
        <w:rPr>
          <w:rFonts w:hint="eastAsia"/>
          <w:sz w:val="24"/>
          <w:szCs w:val="22"/>
        </w:rPr>
        <w:t>，</w:t>
      </w:r>
      <w:r>
        <w:rPr>
          <w:sz w:val="24"/>
          <w:szCs w:val="22"/>
        </w:rPr>
        <w:t>合成虾青素添加组具有更好的红度和黄度</w:t>
      </w:r>
      <w:r>
        <w:rPr>
          <w:sz w:val="24"/>
          <w:szCs w:val="22"/>
          <w:vertAlign w:val="superscript"/>
        </w:rPr>
        <w:t>[33]</w:t>
      </w:r>
      <w:r>
        <w:rPr>
          <w:rFonts w:hint="eastAsia"/>
          <w:sz w:val="24"/>
          <w:szCs w:val="22"/>
        </w:rPr>
        <w:t>，</w:t>
      </w:r>
      <w:r>
        <w:rPr>
          <w:sz w:val="24"/>
          <w:szCs w:val="22"/>
        </w:rPr>
        <w:t>因此不同来源的虾青素可能会影响鱼体的着色。</w:t>
      </w:r>
    </w:p>
    <w:p>
      <w:pPr>
        <w:spacing w:line="360" w:lineRule="auto"/>
        <w:rPr>
          <w:sz w:val="24"/>
          <w:szCs w:val="22"/>
        </w:rPr>
      </w:pPr>
      <w:r>
        <w:rPr>
          <w:rFonts w:ascii="宋体" w:hAnsi="宋体" w:cs="宋体"/>
          <w:sz w:val="24"/>
        </w:rPr>
        <w:drawing>
          <wp:inline distT="0" distB="0" distL="114300" distR="114300">
            <wp:extent cx="5976620" cy="3689985"/>
            <wp:effectExtent l="0" t="0" r="5080" b="5715"/>
            <wp:docPr id="515839573" name="图片 51583957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839573" name="图片 515839573" descr="IMG_256"/>
                    <pic:cNvPicPr>
                      <a:picLocks noChangeAspect="1"/>
                    </pic:cNvPicPr>
                  </pic:nvPicPr>
                  <pic:blipFill>
                    <a:blip r:embed="rId32"/>
                    <a:stretch>
                      <a:fillRect/>
                    </a:stretch>
                  </pic:blipFill>
                  <pic:spPr>
                    <a:xfrm>
                      <a:off x="0" y="0"/>
                      <a:ext cx="5976620" cy="3690581"/>
                    </a:xfrm>
                    <a:prstGeom prst="rect">
                      <a:avLst/>
                    </a:prstGeom>
                    <a:noFill/>
                    <a:ln w="9525">
                      <a:noFill/>
                    </a:ln>
                  </pic:spPr>
                </pic:pic>
              </a:graphicData>
            </a:graphic>
          </wp:inline>
        </w:drawing>
      </w:r>
    </w:p>
    <w:p>
      <w:pPr>
        <w:spacing w:line="360" w:lineRule="auto"/>
        <w:rPr>
          <w:sz w:val="24"/>
          <w:szCs w:val="22"/>
        </w:rPr>
      </w:pPr>
      <w:r>
        <w:rPr>
          <w:sz w:val="24"/>
          <w:szCs w:val="22"/>
        </w:rPr>
        <w:t>3.3</w:t>
      </w:r>
      <w:r>
        <w:rPr>
          <w:rFonts w:hint="eastAsia"/>
          <w:sz w:val="24"/>
          <w:szCs w:val="22"/>
        </w:rPr>
        <w:t xml:space="preserve"> </w:t>
      </w:r>
      <w:r>
        <w:rPr>
          <w:sz w:val="24"/>
          <w:szCs w:val="22"/>
        </w:rPr>
        <w:t>不同来源虾青素添加剂对虹鳟抗氧化能力的影响</w:t>
      </w:r>
    </w:p>
    <w:p>
      <w:pPr>
        <w:spacing w:line="360" w:lineRule="auto"/>
        <w:ind w:firstLine="480" w:firstLineChars="200"/>
        <w:rPr>
          <w:sz w:val="24"/>
          <w:szCs w:val="22"/>
        </w:rPr>
      </w:pPr>
      <w:r>
        <w:rPr>
          <w:sz w:val="24"/>
          <w:szCs w:val="22"/>
          <w14:ligatures w14:val="standardContextual"/>
        </w:rPr>
        <w:t>抗氧化能力常用来指示水生动物的健康状态</w:t>
      </w:r>
      <w:r>
        <w:rPr>
          <w:sz w:val="24"/>
          <w:szCs w:val="22"/>
          <w:vertAlign w:val="superscript"/>
          <w14:ligatures w14:val="standardContextual"/>
        </w:rPr>
        <w:t>[34]</w:t>
      </w:r>
      <w:r>
        <w:rPr>
          <w:rFonts w:hint="eastAsia"/>
          <w:sz w:val="24"/>
          <w:szCs w:val="22"/>
          <w14:ligatures w14:val="standardContextual"/>
        </w:rPr>
        <w:t>，</w:t>
      </w:r>
      <w:r>
        <w:rPr>
          <w:sz w:val="24"/>
          <w:szCs w:val="22"/>
          <w14:ligatures w14:val="standardContextual"/>
        </w:rPr>
        <w:t>虾青素作为一种高活性的抗氧化剂</w:t>
      </w:r>
      <w:r>
        <w:rPr>
          <w:rFonts w:hint="eastAsia"/>
          <w:sz w:val="24"/>
          <w:szCs w:val="22"/>
          <w14:ligatures w14:val="standardContextual"/>
        </w:rPr>
        <w:t>，</w:t>
      </w:r>
      <w:r>
        <w:rPr>
          <w:sz w:val="24"/>
          <w:szCs w:val="22"/>
          <w14:ligatures w14:val="standardContextual"/>
        </w:rPr>
        <w:t>能有效的缓解应激对鱼体的不良反应。研究表明饲料中添加虾青素可以提高大鳞副泥鳅(</w:t>
      </w:r>
      <w:r>
        <w:rPr>
          <w:i/>
          <w:iCs/>
          <w:sz w:val="24"/>
          <w:szCs w:val="22"/>
          <w14:ligatures w14:val="standardContextual"/>
        </w:rPr>
        <w:t>Paramisgurnus</w:t>
      </w:r>
      <w:r>
        <w:rPr>
          <w:rFonts w:hint="eastAsia"/>
          <w:i/>
          <w:iCs/>
          <w:sz w:val="24"/>
          <w:szCs w:val="22"/>
          <w14:ligatures w14:val="standardContextual"/>
        </w:rPr>
        <w:t xml:space="preserve"> </w:t>
      </w:r>
      <w:r>
        <w:rPr>
          <w:i/>
          <w:iCs/>
          <w:sz w:val="24"/>
          <w:szCs w:val="22"/>
          <w14:ligatures w14:val="standardContextual"/>
        </w:rPr>
        <w:t>dabryanus</w:t>
      </w:r>
      <w:r>
        <w:rPr>
          <w:sz w:val="24"/>
          <w:szCs w:val="22"/>
          <w14:ligatures w14:val="standardContextual"/>
        </w:rPr>
        <w:t>)机体的抗氧化水平</w:t>
      </w:r>
      <w:r>
        <w:rPr>
          <w:sz w:val="24"/>
          <w:szCs w:val="22"/>
          <w:vertAlign w:val="superscript"/>
          <w14:ligatures w14:val="standardContextual"/>
        </w:rPr>
        <w:t>[35]</w:t>
      </w:r>
      <w:r>
        <w:rPr>
          <w:sz w:val="24"/>
          <w:szCs w:val="22"/>
          <w14:ligatures w14:val="standardContextual"/>
        </w:rPr>
        <w:t>。本研究结果表明</w:t>
      </w:r>
      <w:r>
        <w:rPr>
          <w:rFonts w:hint="eastAsia"/>
          <w:sz w:val="24"/>
          <w:szCs w:val="22"/>
          <w14:ligatures w14:val="standardContextual"/>
        </w:rPr>
        <w:t>，</w:t>
      </w:r>
      <w:r>
        <w:rPr>
          <w:sz w:val="24"/>
          <w:szCs w:val="22"/>
          <w14:ligatures w14:val="standardContextual"/>
        </w:rPr>
        <w:t>在亚硝酸盐胁迫前</w:t>
      </w:r>
      <w:r>
        <w:rPr>
          <w:rFonts w:hint="eastAsia"/>
          <w:sz w:val="24"/>
          <w:szCs w:val="22"/>
          <w14:ligatures w14:val="standardContextual"/>
        </w:rPr>
        <w:t>，</w:t>
      </w:r>
      <w:r>
        <w:rPr>
          <w:sz w:val="24"/>
          <w:szCs w:val="22"/>
          <w14:ligatures w14:val="standardContextual"/>
        </w:rPr>
        <w:t>饲料中添加副球菌、雨生红球藻和加丽素粉红均能显著提高肝脏T-AOC和CAT的活性</w:t>
      </w:r>
      <w:r>
        <w:rPr>
          <w:rFonts w:hint="eastAsia"/>
          <w:sz w:val="24"/>
          <w:szCs w:val="22"/>
          <w14:ligatures w14:val="standardContextual"/>
        </w:rPr>
        <w:t>，</w:t>
      </w:r>
      <w:r>
        <w:rPr>
          <w:sz w:val="24"/>
          <w:szCs w:val="22"/>
          <w14:ligatures w14:val="standardContextual"/>
        </w:rPr>
        <w:t>同时显著降低MDA的含量</w:t>
      </w:r>
      <w:r>
        <w:rPr>
          <w:rFonts w:hint="eastAsia"/>
          <w:sz w:val="24"/>
          <w:szCs w:val="22"/>
          <w14:ligatures w14:val="standardContextual"/>
        </w:rPr>
        <w:t>，</w:t>
      </w:r>
      <w:r>
        <w:rPr>
          <w:sz w:val="24"/>
          <w:szCs w:val="22"/>
          <w14:ligatures w14:val="standardContextual"/>
        </w:rPr>
        <w:t>饲料中添加副球菌还能显著提高鱼体肝脏的SOD活性</w:t>
      </w:r>
      <w:r>
        <w:rPr>
          <w:rFonts w:hint="eastAsia"/>
          <w:sz w:val="24"/>
          <w:szCs w:val="22"/>
          <w14:ligatures w14:val="standardContextual"/>
        </w:rPr>
        <w:t>，</w:t>
      </w:r>
      <w:r>
        <w:rPr>
          <w:sz w:val="24"/>
          <w:szCs w:val="22"/>
          <w14:ligatures w14:val="standardContextual"/>
        </w:rPr>
        <w:t>说明这3种虾青素在实验过程中都发挥了抗氧化性作用。与先前虾青素在虹鳟上的研究结果保持一致</w:t>
      </w:r>
      <w:r>
        <w:rPr>
          <w:sz w:val="24"/>
          <w:szCs w:val="22"/>
          <w:vertAlign w:val="superscript"/>
          <w14:ligatures w14:val="standardContextual"/>
        </w:rPr>
        <w:t>[36]</w:t>
      </w:r>
      <w:r>
        <w:rPr>
          <w:rFonts w:hint="eastAsia"/>
          <w:sz w:val="24"/>
          <w:szCs w:val="22"/>
          <w14:ligatures w14:val="standardContextual"/>
        </w:rPr>
        <w:t>，</w:t>
      </w:r>
      <w:r>
        <w:rPr>
          <w:sz w:val="24"/>
          <w:szCs w:val="22"/>
          <w14:ligatures w14:val="standardContextual"/>
        </w:rPr>
        <w:t>饲料中添加四种不同比例的反式(All-trans)和顺式(Cis)虾青素可以显著降低肝脏里的MDA含量。此外</w:t>
      </w:r>
      <w:r>
        <w:rPr>
          <w:rFonts w:hint="eastAsia"/>
          <w:sz w:val="24"/>
          <w:szCs w:val="22"/>
          <w14:ligatures w14:val="standardContextual"/>
        </w:rPr>
        <w:t>，</w:t>
      </w:r>
      <w:r>
        <w:rPr>
          <w:sz w:val="24"/>
          <w:szCs w:val="22"/>
          <w14:ligatures w14:val="standardContextual"/>
        </w:rPr>
        <w:t>在斑节对虾中添加虾青素后也能显著提高机体的抗氧化能力</w:t>
      </w:r>
      <w:r>
        <w:rPr>
          <w:sz w:val="24"/>
          <w:szCs w:val="22"/>
          <w:vertAlign w:val="superscript"/>
          <w14:ligatures w14:val="standardContextual"/>
        </w:rPr>
        <w:t>[37]</w:t>
      </w:r>
      <w:r>
        <w:rPr>
          <w:sz w:val="24"/>
          <w:szCs w:val="22"/>
          <w14:ligatures w14:val="standardContextual"/>
        </w:rPr>
        <w:t>。在亚硝酸盐胁迫后</w:t>
      </w:r>
      <w:r>
        <w:rPr>
          <w:rFonts w:hint="eastAsia"/>
          <w:sz w:val="24"/>
          <w:szCs w:val="22"/>
          <w14:ligatures w14:val="standardContextual"/>
        </w:rPr>
        <w:t>，</w:t>
      </w:r>
      <w:r>
        <w:rPr>
          <w:sz w:val="24"/>
          <w:szCs w:val="22"/>
          <w14:ligatures w14:val="standardContextual"/>
        </w:rPr>
        <w:t>副球菌、雨生红球藻和加丽素粉红均显著提高了肝脏SOD、T-AOC和CAT的活性</w:t>
      </w:r>
      <w:r>
        <w:rPr>
          <w:rFonts w:hint="eastAsia"/>
          <w:sz w:val="24"/>
          <w:szCs w:val="22"/>
          <w14:ligatures w14:val="standardContextual"/>
        </w:rPr>
        <w:t>，</w:t>
      </w:r>
      <w:r>
        <w:rPr>
          <w:sz w:val="24"/>
          <w:szCs w:val="22"/>
          <w14:ligatures w14:val="standardContextual"/>
        </w:rPr>
        <w:t>副球菌和加丽素粉红显著降低了肝脏MDA的含量</w:t>
      </w:r>
      <w:r>
        <w:rPr>
          <w:rFonts w:hint="eastAsia"/>
          <w:sz w:val="24"/>
          <w:szCs w:val="22"/>
          <w14:ligatures w14:val="standardContextual"/>
        </w:rPr>
        <w:t>，</w:t>
      </w:r>
      <w:r>
        <w:rPr>
          <w:sz w:val="24"/>
          <w:szCs w:val="22"/>
          <w14:ligatures w14:val="standardContextual"/>
        </w:rPr>
        <w:t>说明饲料中添加虾青素可以提高鱼体清除自由基的能力。这与虾青素在雄性小鼠氧化应激中的研究结果中一致</w:t>
      </w:r>
      <w:r>
        <w:rPr>
          <w:rFonts w:hint="eastAsia"/>
          <w:sz w:val="24"/>
          <w:szCs w:val="22"/>
          <w14:ligatures w14:val="standardContextual"/>
        </w:rPr>
        <w:t>，</w:t>
      </w:r>
      <w:r>
        <w:rPr>
          <w:sz w:val="24"/>
          <w:szCs w:val="22"/>
          <w14:ligatures w14:val="standardContextual"/>
        </w:rPr>
        <w:t>饲料中添加虾青素添加能有效缓解超氧化物歧化酶、过氧化氢酶和丙二醛等氧化损伤指标的变化</w:t>
      </w:r>
      <w:r>
        <w:rPr>
          <w:sz w:val="24"/>
          <w:szCs w:val="22"/>
          <w:vertAlign w:val="superscript"/>
          <w14:ligatures w14:val="standardContextual"/>
        </w:rPr>
        <w:t>[38]</w:t>
      </w:r>
      <w:r>
        <w:rPr>
          <w:sz w:val="24"/>
          <w:szCs w:val="22"/>
          <w14:ligatures w14:val="standardContextual"/>
        </w:rPr>
        <w:t>。总的来说</w:t>
      </w:r>
      <w:r>
        <w:rPr>
          <w:rFonts w:hint="eastAsia"/>
          <w:sz w:val="24"/>
          <w:szCs w:val="22"/>
          <w14:ligatures w14:val="standardContextual"/>
        </w:rPr>
        <w:t>，</w:t>
      </w:r>
      <w:r>
        <w:rPr>
          <w:sz w:val="24"/>
          <w:szCs w:val="22"/>
          <w14:ligatures w14:val="standardContextual"/>
        </w:rPr>
        <w:t>虹鳟饲料中添加副球菌、雨生红球</w:t>
      </w:r>
      <w:r>
        <w:rPr>
          <w:sz w:val="24"/>
          <w:szCs w:val="22"/>
        </w:rPr>
        <w:t>藻和加丽素粉红添加剂可以有效的改善机体的抗氧化性能。</w:t>
      </w:r>
    </w:p>
    <w:p>
      <w:pPr>
        <w:spacing w:line="360" w:lineRule="auto"/>
        <w:ind w:firstLine="480" w:firstLineChars="200"/>
        <w:rPr>
          <w:sz w:val="24"/>
          <w:szCs w:val="22"/>
        </w:rPr>
      </w:pPr>
      <w:r>
        <w:rPr>
          <w:sz w:val="24"/>
          <w:szCs w:val="22"/>
        </w:rPr>
        <w:t>进一步的研究发现</w:t>
      </w:r>
      <w:r>
        <w:rPr>
          <w:rFonts w:hint="eastAsia"/>
          <w:sz w:val="24"/>
          <w:szCs w:val="22"/>
        </w:rPr>
        <w:t>，</w:t>
      </w:r>
      <w:r>
        <w:rPr>
          <w:sz w:val="24"/>
          <w:szCs w:val="22"/>
        </w:rPr>
        <w:t>在亚硝酸盐胁迫后</w:t>
      </w:r>
      <w:r>
        <w:rPr>
          <w:rFonts w:hint="eastAsia"/>
          <w:sz w:val="24"/>
          <w:szCs w:val="22"/>
        </w:rPr>
        <w:t>，</w:t>
      </w:r>
      <w:r>
        <w:rPr>
          <w:sz w:val="24"/>
          <w:szCs w:val="22"/>
        </w:rPr>
        <w:t>饲料中添加副球菌、雨生红球藻和加丽素粉红3种来源的虾青素均上调了虹鳟肝脏中Keap1-Nrf2抗氧化信号通路中的相关蛋白基因的表达</w:t>
      </w:r>
      <w:r>
        <w:rPr>
          <w:rFonts w:hint="eastAsia"/>
          <w:sz w:val="24"/>
          <w:szCs w:val="22"/>
        </w:rPr>
        <w:t>，</w:t>
      </w:r>
      <w:r>
        <w:rPr>
          <w:sz w:val="24"/>
          <w:szCs w:val="22"/>
        </w:rPr>
        <w:t>激活机体的抗氧化能力。有研究表明</w:t>
      </w:r>
      <w:r>
        <w:rPr>
          <w:rFonts w:hint="eastAsia"/>
          <w:sz w:val="24"/>
          <w:szCs w:val="22"/>
        </w:rPr>
        <w:t>，</w:t>
      </w:r>
      <w:r>
        <w:rPr>
          <w:sz w:val="24"/>
          <w:szCs w:val="22"/>
        </w:rPr>
        <w:t>Nrf2通过激活和调节抗氧化基因的表达</w:t>
      </w:r>
      <w:r>
        <w:rPr>
          <w:rFonts w:hint="eastAsia"/>
          <w:sz w:val="24"/>
          <w:szCs w:val="22"/>
        </w:rPr>
        <w:t>，</w:t>
      </w:r>
      <w:r>
        <w:rPr>
          <w:sz w:val="24"/>
          <w:szCs w:val="22"/>
        </w:rPr>
        <w:t>在抗氧化应激反应中发挥着关键作用</w:t>
      </w:r>
      <w:r>
        <w:rPr>
          <w:sz w:val="24"/>
          <w:szCs w:val="22"/>
          <w:vertAlign w:val="superscript"/>
        </w:rPr>
        <w:t>[39]</w:t>
      </w:r>
      <w:r>
        <w:rPr>
          <w:sz w:val="24"/>
          <w:szCs w:val="22"/>
        </w:rPr>
        <w:t>。本研究发现饲料中不同来源的虾青素可以显著降低亚硝酸盐胁迫后肝脏应激产生的活性氧(ROS)的水平。与本研究结果一致的是</w:t>
      </w:r>
      <w:r>
        <w:rPr>
          <w:rFonts w:hint="eastAsia"/>
          <w:sz w:val="24"/>
          <w:szCs w:val="22"/>
        </w:rPr>
        <w:t>，</w:t>
      </w:r>
      <w:r>
        <w:rPr>
          <w:sz w:val="24"/>
          <w:szCs w:val="22"/>
        </w:rPr>
        <w:t>在氧化应激情况下</w:t>
      </w:r>
      <w:r>
        <w:rPr>
          <w:rFonts w:hint="eastAsia"/>
          <w:sz w:val="24"/>
          <w:szCs w:val="22"/>
        </w:rPr>
        <w:t>，</w:t>
      </w:r>
      <w:r>
        <w:rPr>
          <w:sz w:val="24"/>
          <w:szCs w:val="22"/>
        </w:rPr>
        <w:t>小鼠饲喂虾青素能够有效抑制ROS产生</w:t>
      </w:r>
      <w:r>
        <w:rPr>
          <w:rFonts w:hint="eastAsia"/>
          <w:sz w:val="24"/>
          <w:szCs w:val="22"/>
        </w:rPr>
        <w:t>，</w:t>
      </w:r>
      <w:r>
        <w:rPr>
          <w:sz w:val="24"/>
          <w:szCs w:val="22"/>
        </w:rPr>
        <w:t>减轻氧化应激</w:t>
      </w:r>
      <w:r>
        <w:rPr>
          <w:sz w:val="24"/>
          <w:szCs w:val="22"/>
          <w:vertAlign w:val="superscript"/>
        </w:rPr>
        <w:t>[40]</w:t>
      </w:r>
      <w:r>
        <w:rPr>
          <w:sz w:val="24"/>
          <w:szCs w:val="22"/>
        </w:rPr>
        <w:t>。这一结果表明虾青素类添加剂可以有效缓解亚硝酸盐胁迫带来的氧化应激。先前的研究表明</w:t>
      </w:r>
      <w:r>
        <w:rPr>
          <w:rFonts w:hint="eastAsia"/>
          <w:sz w:val="24"/>
          <w:szCs w:val="22"/>
        </w:rPr>
        <w:t>，</w:t>
      </w:r>
      <w:r>
        <w:rPr>
          <w:sz w:val="24"/>
          <w:szCs w:val="22"/>
        </w:rPr>
        <w:t>虾青素中含有大量的抗氧化物质</w:t>
      </w:r>
      <w:r>
        <w:rPr>
          <w:rFonts w:hint="eastAsia"/>
          <w:sz w:val="24"/>
          <w:szCs w:val="22"/>
        </w:rPr>
        <w:t>，</w:t>
      </w:r>
      <w:r>
        <w:rPr>
          <w:sz w:val="24"/>
          <w:szCs w:val="22"/>
        </w:rPr>
        <w:t>这些抗氧化物质可以通过调节Nrf2来介导抗氧化反应</w:t>
      </w:r>
      <w:r>
        <w:rPr>
          <w:rFonts w:hint="eastAsia"/>
          <w:sz w:val="24"/>
          <w:szCs w:val="22"/>
        </w:rPr>
        <w:t>，</w:t>
      </w:r>
      <w:r>
        <w:rPr>
          <w:sz w:val="24"/>
          <w:szCs w:val="22"/>
        </w:rPr>
        <w:t>增强机体的抗氧化能力</w:t>
      </w:r>
      <w:r>
        <w:rPr>
          <w:sz w:val="24"/>
          <w:szCs w:val="22"/>
          <w:vertAlign w:val="superscript"/>
        </w:rPr>
        <w:t>[41]</w:t>
      </w:r>
      <w:r>
        <w:rPr>
          <w:sz w:val="24"/>
          <w:szCs w:val="22"/>
        </w:rPr>
        <w:t>。在本实验中发现饲料中添加副球菌、雨生红球藻和加丽素粉红可以使虹鳟肝脏受亚硝酸盐胁迫后ROS水平的显著降低</w:t>
      </w:r>
      <w:r>
        <w:rPr>
          <w:rFonts w:hint="eastAsia"/>
          <w:sz w:val="24"/>
          <w:szCs w:val="22"/>
        </w:rPr>
        <w:t>，</w:t>
      </w:r>
      <w:r>
        <w:rPr>
          <w:sz w:val="24"/>
          <w:szCs w:val="22"/>
        </w:rPr>
        <w:t>且Keap1-Nrf2信号通路相关基因及抗氧化基因表达上调</w:t>
      </w:r>
      <w:r>
        <w:rPr>
          <w:rFonts w:hint="eastAsia"/>
          <w:sz w:val="24"/>
          <w:szCs w:val="22"/>
        </w:rPr>
        <w:t>，</w:t>
      </w:r>
      <w:r>
        <w:rPr>
          <w:sz w:val="24"/>
          <w:szCs w:val="22"/>
        </w:rPr>
        <w:t>这些结果表明Keap1-Nrf2信号通路可能参与亚硝酸盐胁迫下虾青素类添加剂的抗氧化作用。</w:t>
      </w:r>
    </w:p>
    <w:p>
      <w:pPr>
        <w:spacing w:line="360" w:lineRule="auto"/>
        <w:jc w:val="center"/>
        <w:rPr>
          <w:sz w:val="24"/>
          <w:szCs w:val="22"/>
        </w:rPr>
      </w:pPr>
      <w:r>
        <w:rPr>
          <w:rFonts w:ascii="宋体" w:hAnsi="宋体" w:cs="宋体"/>
          <w:sz w:val="24"/>
        </w:rPr>
        <w:drawing>
          <wp:inline distT="0" distB="0" distL="114300" distR="114300">
            <wp:extent cx="3474720" cy="5765165"/>
            <wp:effectExtent l="0" t="0" r="0" b="6985"/>
            <wp:docPr id="181384236" name="图片 18138423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384236" name="图片 181384236" descr="IMG_256"/>
                    <pic:cNvPicPr>
                      <a:picLocks noChangeAspect="1"/>
                    </pic:cNvPicPr>
                  </pic:nvPicPr>
                  <pic:blipFill>
                    <a:blip r:embed="rId33"/>
                    <a:stretch>
                      <a:fillRect/>
                    </a:stretch>
                  </pic:blipFill>
                  <pic:spPr>
                    <a:xfrm>
                      <a:off x="0" y="0"/>
                      <a:ext cx="3476728" cy="5768694"/>
                    </a:xfrm>
                    <a:prstGeom prst="rect">
                      <a:avLst/>
                    </a:prstGeom>
                    <a:noFill/>
                    <a:ln w="9525">
                      <a:noFill/>
                    </a:ln>
                  </pic:spPr>
                </pic:pic>
              </a:graphicData>
            </a:graphic>
          </wp:inline>
        </w:drawing>
      </w:r>
    </w:p>
    <w:p>
      <w:pPr>
        <w:spacing w:line="360" w:lineRule="auto"/>
        <w:rPr>
          <w:sz w:val="24"/>
          <w:szCs w:val="22"/>
        </w:rPr>
      </w:pPr>
      <w:r>
        <w:rPr>
          <w:sz w:val="24"/>
          <w:szCs w:val="22"/>
        </w:rPr>
        <w:t>3.4</w:t>
      </w:r>
      <w:r>
        <w:rPr>
          <w:rFonts w:hint="eastAsia"/>
          <w:sz w:val="24"/>
          <w:szCs w:val="22"/>
        </w:rPr>
        <w:t xml:space="preserve"> </w:t>
      </w:r>
      <w:r>
        <w:rPr>
          <w:sz w:val="24"/>
          <w:szCs w:val="22"/>
        </w:rPr>
        <w:t>不同来源虾青素添加剂对虹鳟抗应激能力的影响</w:t>
      </w:r>
    </w:p>
    <w:p>
      <w:pPr>
        <w:spacing w:line="360" w:lineRule="auto"/>
        <w:ind w:firstLine="480" w:firstLineChars="200"/>
        <w:rPr>
          <w:sz w:val="24"/>
          <w:szCs w:val="22"/>
        </w:rPr>
      </w:pPr>
      <w:r>
        <w:rPr>
          <w:sz w:val="24"/>
          <w:szCs w:val="22"/>
        </w:rPr>
        <w:t>亚硝酸盐胁迫往往会导致生物机体发生强烈的应激反应。热应激蛋白(Heat</w:t>
      </w:r>
      <w:r>
        <w:rPr>
          <w:rFonts w:hint="eastAsia"/>
          <w:sz w:val="24"/>
          <w:szCs w:val="22"/>
        </w:rPr>
        <w:t xml:space="preserve"> </w:t>
      </w:r>
      <w:r>
        <w:rPr>
          <w:sz w:val="24"/>
          <w:szCs w:val="22"/>
        </w:rPr>
        <w:t>Shock</w:t>
      </w:r>
      <w:r>
        <w:rPr>
          <w:rFonts w:hint="eastAsia"/>
          <w:sz w:val="24"/>
          <w:szCs w:val="22"/>
        </w:rPr>
        <w:t xml:space="preserve"> </w:t>
      </w:r>
      <w:r>
        <w:rPr>
          <w:sz w:val="24"/>
          <w:szCs w:val="22"/>
        </w:rPr>
        <w:t>Proteins</w:t>
      </w:r>
      <w:r>
        <w:rPr>
          <w:rFonts w:hint="eastAsia"/>
          <w:sz w:val="24"/>
          <w:szCs w:val="22"/>
        </w:rPr>
        <w:t>，</w:t>
      </w:r>
      <w:r>
        <w:rPr>
          <w:sz w:val="24"/>
          <w:szCs w:val="22"/>
        </w:rPr>
        <w:t>HSPs)是应激的标志物</w:t>
      </w:r>
      <w:r>
        <w:rPr>
          <w:rFonts w:hint="eastAsia"/>
          <w:sz w:val="24"/>
          <w:szCs w:val="22"/>
        </w:rPr>
        <w:t>，</w:t>
      </w:r>
      <w:r>
        <w:rPr>
          <w:sz w:val="24"/>
          <w:szCs w:val="22"/>
        </w:rPr>
        <w:t>在保护细胞免受应激和调往方面发挥着关键作用</w:t>
      </w:r>
      <w:r>
        <w:rPr>
          <w:sz w:val="24"/>
          <w:szCs w:val="22"/>
          <w:vertAlign w:val="superscript"/>
        </w:rPr>
        <w:t>[42]</w:t>
      </w:r>
      <w:r>
        <w:rPr>
          <w:sz w:val="24"/>
          <w:szCs w:val="22"/>
        </w:rPr>
        <w:t>。本研究发现</w:t>
      </w:r>
      <w:r>
        <w:rPr>
          <w:rFonts w:hint="eastAsia"/>
          <w:sz w:val="24"/>
          <w:szCs w:val="22"/>
        </w:rPr>
        <w:t>，</w:t>
      </w:r>
      <w:r>
        <w:rPr>
          <w:sz w:val="24"/>
          <w:szCs w:val="22"/>
        </w:rPr>
        <w:t>3种不同来源的虾青素类添加剂可以有效的下调亚硝酸盐胁迫导致的热应激基因hsp70a和hsp90基因的高表达。这些结果表明在虹鳟饲料中添加虾青素类添加剂可以有效的缓解亚硝酸盐胁迫导致的应激。皮质醇是鱼类中重要的生理应激反应指标</w:t>
      </w:r>
      <w:r>
        <w:rPr>
          <w:sz w:val="24"/>
          <w:szCs w:val="22"/>
          <w:vertAlign w:val="superscript"/>
        </w:rPr>
        <w:t>[43]</w:t>
      </w:r>
      <w:r>
        <w:rPr>
          <w:rFonts w:hint="eastAsia"/>
          <w:sz w:val="24"/>
          <w:szCs w:val="22"/>
        </w:rPr>
        <w:t>，</w:t>
      </w:r>
      <w:r>
        <w:rPr>
          <w:sz w:val="24"/>
          <w:szCs w:val="22"/>
        </w:rPr>
        <w:t>研究表明大西洋鲑血糖和乳酸含量在应激反应中会增加</w:t>
      </w:r>
      <w:r>
        <w:rPr>
          <w:sz w:val="24"/>
          <w:szCs w:val="22"/>
          <w:vertAlign w:val="superscript"/>
        </w:rPr>
        <w:t>[44]</w:t>
      </w:r>
      <w:r>
        <w:rPr>
          <w:rFonts w:hint="eastAsia"/>
          <w:sz w:val="24"/>
          <w:szCs w:val="22"/>
        </w:rPr>
        <w:t>，</w:t>
      </w:r>
      <w:r>
        <w:rPr>
          <w:sz w:val="24"/>
          <w:szCs w:val="22"/>
        </w:rPr>
        <w:t>同时在尼罗罗非鱼(</w:t>
      </w:r>
      <w:r>
        <w:rPr>
          <w:i/>
          <w:iCs/>
          <w:sz w:val="24"/>
          <w:szCs w:val="22"/>
        </w:rPr>
        <w:t>Oreochromis</w:t>
      </w:r>
      <w:r>
        <w:rPr>
          <w:rFonts w:hint="eastAsia"/>
          <w:i/>
          <w:iCs/>
          <w:sz w:val="24"/>
          <w:szCs w:val="22"/>
        </w:rPr>
        <w:t xml:space="preserve"> </w:t>
      </w:r>
      <w:r>
        <w:rPr>
          <w:i/>
          <w:iCs/>
          <w:sz w:val="24"/>
          <w:szCs w:val="22"/>
        </w:rPr>
        <w:t>niloticus</w:t>
      </w:r>
      <w:r>
        <w:rPr>
          <w:sz w:val="24"/>
          <w:szCs w:val="22"/>
        </w:rPr>
        <w:t>)中谷草转氨酶和谷丙转氨酶在应激后也会增加</w:t>
      </w:r>
      <w:r>
        <w:rPr>
          <w:sz w:val="24"/>
          <w:szCs w:val="22"/>
          <w:vertAlign w:val="superscript"/>
        </w:rPr>
        <w:t>[45]</w:t>
      </w:r>
      <w:r>
        <w:rPr>
          <w:sz w:val="24"/>
          <w:szCs w:val="22"/>
        </w:rPr>
        <w:t>。本研究发现</w:t>
      </w:r>
      <w:r>
        <w:rPr>
          <w:rFonts w:hint="eastAsia"/>
          <w:sz w:val="24"/>
          <w:szCs w:val="22"/>
        </w:rPr>
        <w:t>，</w:t>
      </w:r>
      <w:r>
        <w:rPr>
          <w:sz w:val="24"/>
          <w:szCs w:val="22"/>
        </w:rPr>
        <w:t>虹鳟饲料中添加副球菌、雨生红球藻和加丽素粉红后</w:t>
      </w:r>
      <w:r>
        <w:rPr>
          <w:rFonts w:hint="eastAsia"/>
          <w:sz w:val="24"/>
          <w:szCs w:val="22"/>
        </w:rPr>
        <w:t>，</w:t>
      </w:r>
      <w:r>
        <w:rPr>
          <w:sz w:val="24"/>
          <w:szCs w:val="22"/>
        </w:rPr>
        <w:t>在亚硝酸盐胁迫后血浆中的皮质醇、血糖和乳酸水平均显著下降</w:t>
      </w:r>
      <w:r>
        <w:rPr>
          <w:rFonts w:hint="eastAsia"/>
          <w:sz w:val="24"/>
          <w:szCs w:val="22"/>
        </w:rPr>
        <w:t>，</w:t>
      </w:r>
      <w:r>
        <w:rPr>
          <w:sz w:val="24"/>
          <w:szCs w:val="22"/>
        </w:rPr>
        <w:t>碱性磷酸酶、谷草转氨酶和谷丙转氨酶同时也显著降低</w:t>
      </w:r>
      <w:r>
        <w:rPr>
          <w:rFonts w:hint="eastAsia"/>
          <w:sz w:val="24"/>
          <w:szCs w:val="22"/>
        </w:rPr>
        <w:t>，</w:t>
      </w:r>
      <w:r>
        <w:rPr>
          <w:sz w:val="24"/>
          <w:szCs w:val="22"/>
        </w:rPr>
        <w:t>说明饲料中添加虾青素能够调节血浆中皮质醇、乳酸和血糖的水平有效缓解亚硝酸盐胁迫造成的应激。这与先前在虹鳟和银汉鱼(</w:t>
      </w:r>
      <w:r>
        <w:rPr>
          <w:i/>
          <w:iCs/>
          <w:sz w:val="24"/>
          <w:szCs w:val="22"/>
        </w:rPr>
        <w:t>Melanotaenia</w:t>
      </w:r>
      <w:r>
        <w:rPr>
          <w:rFonts w:hint="eastAsia"/>
          <w:i/>
          <w:iCs/>
          <w:sz w:val="24"/>
          <w:szCs w:val="22"/>
        </w:rPr>
        <w:t xml:space="preserve"> </w:t>
      </w:r>
      <w:r>
        <w:rPr>
          <w:i/>
          <w:iCs/>
          <w:sz w:val="24"/>
          <w:szCs w:val="22"/>
        </w:rPr>
        <w:t>parva</w:t>
      </w:r>
      <w:r>
        <w:rPr>
          <w:rFonts w:hint="eastAsia"/>
          <w:i/>
          <w:iCs/>
          <w:sz w:val="24"/>
          <w:szCs w:val="22"/>
        </w:rPr>
        <w:t xml:space="preserve"> </w:t>
      </w:r>
      <w:r>
        <w:rPr>
          <w:i/>
          <w:iCs/>
          <w:sz w:val="24"/>
          <w:szCs w:val="22"/>
        </w:rPr>
        <w:t>Allen</w:t>
      </w:r>
      <w:r>
        <w:rPr>
          <w:sz w:val="24"/>
          <w:szCs w:val="22"/>
        </w:rPr>
        <w:t>)中的研究结果一致。在虹鳟中的研究结果表明</w:t>
      </w:r>
      <w:r>
        <w:rPr>
          <w:rFonts w:hint="eastAsia"/>
          <w:sz w:val="24"/>
          <w:szCs w:val="22"/>
        </w:rPr>
        <w:t>，</w:t>
      </w:r>
      <w:r>
        <w:rPr>
          <w:sz w:val="24"/>
          <w:szCs w:val="22"/>
        </w:rPr>
        <w:t>应激条件下血浆的皮质醇和血糖能够随着螺旋藻的增加而显著降低</w:t>
      </w:r>
      <w:r>
        <w:rPr>
          <w:sz w:val="24"/>
          <w:szCs w:val="22"/>
          <w:vertAlign w:val="superscript"/>
        </w:rPr>
        <w:t>[46]</w:t>
      </w:r>
      <w:r>
        <w:rPr>
          <w:rFonts w:hint="eastAsia"/>
          <w:sz w:val="24"/>
          <w:szCs w:val="22"/>
        </w:rPr>
        <w:t>，</w:t>
      </w:r>
      <w:r>
        <w:rPr>
          <w:sz w:val="24"/>
          <w:szCs w:val="22"/>
        </w:rPr>
        <w:t>在银汉鱼中的研究也表明</w:t>
      </w:r>
      <w:r>
        <w:rPr>
          <w:rFonts w:hint="eastAsia"/>
          <w:sz w:val="24"/>
          <w:szCs w:val="22"/>
        </w:rPr>
        <w:t>，</w:t>
      </w:r>
      <w:r>
        <w:rPr>
          <w:sz w:val="24"/>
          <w:szCs w:val="22"/>
        </w:rPr>
        <w:t>饲料中添加类胡萝卜素也能够缓解应激反应</w:t>
      </w:r>
      <w:r>
        <w:rPr>
          <w:sz w:val="24"/>
          <w:szCs w:val="22"/>
          <w:vertAlign w:val="superscript"/>
        </w:rPr>
        <w:t>[47]</w:t>
      </w:r>
      <w:r>
        <w:rPr>
          <w:sz w:val="24"/>
          <w:szCs w:val="22"/>
        </w:rPr>
        <w:t>。综合肝脏中应激相关基因表达和酶活的水平分析发现</w:t>
      </w:r>
      <w:r>
        <w:rPr>
          <w:rFonts w:hint="eastAsia"/>
          <w:sz w:val="24"/>
          <w:szCs w:val="22"/>
        </w:rPr>
        <w:t>，</w:t>
      </w:r>
      <w:r>
        <w:rPr>
          <w:sz w:val="24"/>
          <w:szCs w:val="22"/>
        </w:rPr>
        <w:t>从肝脏应激基因表达层面</w:t>
      </w:r>
      <w:r>
        <w:rPr>
          <w:rFonts w:hint="eastAsia"/>
          <w:sz w:val="24"/>
          <w:szCs w:val="22"/>
        </w:rPr>
        <w:t>，</w:t>
      </w:r>
      <w:r>
        <w:rPr>
          <w:sz w:val="24"/>
          <w:szCs w:val="22"/>
        </w:rPr>
        <w:t>副球菌添加组和加丽粉红素添加组相较于雨生红球藻添加组表现更优</w:t>
      </w:r>
      <w:r>
        <w:rPr>
          <w:rFonts w:hint="eastAsia"/>
          <w:sz w:val="24"/>
          <w:szCs w:val="22"/>
        </w:rPr>
        <w:t>；</w:t>
      </w:r>
      <w:r>
        <w:rPr>
          <w:sz w:val="24"/>
          <w:szCs w:val="22"/>
        </w:rPr>
        <w:t>从肝脏应激酶活层面</w:t>
      </w:r>
      <w:r>
        <w:rPr>
          <w:rFonts w:hint="eastAsia"/>
          <w:sz w:val="24"/>
          <w:szCs w:val="22"/>
        </w:rPr>
        <w:t>，</w:t>
      </w:r>
      <w:r>
        <w:rPr>
          <w:sz w:val="24"/>
          <w:szCs w:val="22"/>
        </w:rPr>
        <w:t>副球菌添加组和加丽粉红素添加组的相关抗氧化酶活高于雨生红球藻添加组</w:t>
      </w:r>
      <w:r>
        <w:rPr>
          <w:rFonts w:hint="eastAsia"/>
          <w:sz w:val="24"/>
          <w:szCs w:val="22"/>
        </w:rPr>
        <w:t>，</w:t>
      </w:r>
      <w:r>
        <w:rPr>
          <w:sz w:val="24"/>
          <w:szCs w:val="22"/>
        </w:rPr>
        <w:t>这些结果表明了副球菌和加丽粉红素可以更有效的激活虹鳟机体抗应激能力。</w:t>
      </w:r>
    </w:p>
    <w:p>
      <w:pPr>
        <w:spacing w:line="360" w:lineRule="auto"/>
        <w:ind w:firstLine="480" w:firstLineChars="200"/>
        <w:rPr>
          <w:sz w:val="24"/>
          <w:szCs w:val="22"/>
        </w:rPr>
      </w:pPr>
      <w:r>
        <w:rPr>
          <w:sz w:val="24"/>
          <w:szCs w:val="22"/>
        </w:rPr>
        <w:t>应激会促进机体细胞的凋亡进程的发生。细胞凋亡是一种程序性细胞死亡过程</w:t>
      </w:r>
      <w:r>
        <w:rPr>
          <w:rFonts w:hint="eastAsia"/>
          <w:sz w:val="24"/>
          <w:szCs w:val="22"/>
        </w:rPr>
        <w:t>，</w:t>
      </w:r>
      <w:r>
        <w:rPr>
          <w:sz w:val="24"/>
          <w:szCs w:val="22"/>
        </w:rPr>
        <w:t>是细胞更新的重要机制</w:t>
      </w:r>
      <w:r>
        <w:rPr>
          <w:rFonts w:hint="eastAsia"/>
          <w:sz w:val="24"/>
          <w:szCs w:val="22"/>
        </w:rPr>
        <w:t>，</w:t>
      </w:r>
      <w:r>
        <w:rPr>
          <w:sz w:val="24"/>
          <w:szCs w:val="22"/>
        </w:rPr>
        <w:t>但过度的细胞凋亡会导致组织的损伤</w:t>
      </w:r>
      <w:r>
        <w:rPr>
          <w:sz w:val="24"/>
          <w:szCs w:val="22"/>
          <w:vertAlign w:val="superscript"/>
        </w:rPr>
        <w:t>[48]</w:t>
      </w:r>
      <w:r>
        <w:rPr>
          <w:rFonts w:hint="eastAsia"/>
          <w:sz w:val="24"/>
          <w:szCs w:val="22"/>
        </w:rPr>
        <w:t>，</w:t>
      </w:r>
      <w:r>
        <w:rPr>
          <w:sz w:val="24"/>
          <w:szCs w:val="22"/>
        </w:rPr>
        <w:t>本研究中的TUNEL染色分析表明饲料中添加不同来源的虾青素类添加剂导致肝脏组织细胞凋亡信号显著降低。在草鱼亚硝酸盐胁迫的研究中也表明</w:t>
      </w:r>
      <w:r>
        <w:rPr>
          <w:rFonts w:hint="eastAsia"/>
          <w:sz w:val="24"/>
          <w:szCs w:val="22"/>
        </w:rPr>
        <w:t>，</w:t>
      </w:r>
      <w:r>
        <w:rPr>
          <w:sz w:val="24"/>
          <w:szCs w:val="22"/>
        </w:rPr>
        <w:t>急性的亚硝酸盐胁迫会导致肝脏细胞严重的凋亡现象</w:t>
      </w:r>
      <w:r>
        <w:rPr>
          <w:sz w:val="24"/>
          <w:szCs w:val="22"/>
          <w:vertAlign w:val="superscript"/>
        </w:rPr>
        <w:t>[49]</w:t>
      </w:r>
      <w:r>
        <w:rPr>
          <w:rFonts w:hint="eastAsia"/>
          <w:sz w:val="24"/>
          <w:szCs w:val="22"/>
        </w:rPr>
        <w:t>；</w:t>
      </w:r>
      <w:r>
        <w:rPr>
          <w:sz w:val="24"/>
          <w:szCs w:val="22"/>
        </w:rPr>
        <w:t>另外在大鼠的亚硝酸盐胁迫的研究中发现</w:t>
      </w:r>
      <w:r>
        <w:rPr>
          <w:rFonts w:hint="eastAsia"/>
          <w:sz w:val="24"/>
          <w:szCs w:val="22"/>
        </w:rPr>
        <w:t>，</w:t>
      </w:r>
      <w:r>
        <w:rPr>
          <w:sz w:val="24"/>
          <w:szCs w:val="22"/>
        </w:rPr>
        <w:t>亚硝酸钠会引起大鼠肾组织损伤同时使肾组织发生细胞凋亡因此</w:t>
      </w:r>
      <w:r>
        <w:rPr>
          <w:sz w:val="24"/>
          <w:szCs w:val="22"/>
          <w:vertAlign w:val="superscript"/>
        </w:rPr>
        <w:t>[50]</w:t>
      </w:r>
      <w:r>
        <w:rPr>
          <w:rFonts w:hint="eastAsia"/>
          <w:sz w:val="24"/>
          <w:szCs w:val="22"/>
        </w:rPr>
        <w:t>，</w:t>
      </w:r>
      <w:r>
        <w:rPr>
          <w:sz w:val="24"/>
          <w:szCs w:val="22"/>
        </w:rPr>
        <w:t>本研究的结果表明</w:t>
      </w:r>
      <w:r>
        <w:rPr>
          <w:rFonts w:hint="eastAsia"/>
          <w:sz w:val="24"/>
          <w:szCs w:val="22"/>
        </w:rPr>
        <w:t>，</w:t>
      </w:r>
      <w:r>
        <w:rPr>
          <w:sz w:val="24"/>
          <w:szCs w:val="22"/>
        </w:rPr>
        <w:t>饲料中副球菌、雨生红球藻和加丽素粉红的添加可以有效的缓解亚硝酸盐胁迫导致的虹鳟细胞凋亡</w:t>
      </w:r>
      <w:r>
        <w:rPr>
          <w:rFonts w:hint="eastAsia"/>
          <w:sz w:val="24"/>
          <w:szCs w:val="22"/>
        </w:rPr>
        <w:t>，</w:t>
      </w:r>
      <w:r>
        <w:rPr>
          <w:sz w:val="24"/>
          <w:szCs w:val="22"/>
        </w:rPr>
        <w:t>从而降低肝脏细胞的损伤</w:t>
      </w:r>
      <w:r>
        <w:rPr>
          <w:rFonts w:hint="eastAsia"/>
          <w:sz w:val="24"/>
          <w:szCs w:val="22"/>
        </w:rPr>
        <w:t>，</w:t>
      </w:r>
      <w:r>
        <w:rPr>
          <w:sz w:val="24"/>
          <w:szCs w:val="22"/>
        </w:rPr>
        <w:t>改善胁迫条件下虹鳟机体的健康状况。进一步的研究发现</w:t>
      </w:r>
      <w:r>
        <w:rPr>
          <w:rFonts w:hint="eastAsia"/>
          <w:sz w:val="24"/>
          <w:szCs w:val="22"/>
        </w:rPr>
        <w:t>，</w:t>
      </w:r>
      <w:r>
        <w:rPr>
          <w:sz w:val="24"/>
          <w:szCs w:val="22"/>
        </w:rPr>
        <w:t>饲料中添加副球菌、雨生红球藻和加丽素粉红下调了肝脏中</w:t>
      </w:r>
      <w:r>
        <w:rPr>
          <w:i/>
          <w:iCs/>
          <w:sz w:val="24"/>
          <w:szCs w:val="22"/>
        </w:rPr>
        <w:t>caspase3</w:t>
      </w:r>
      <w:r>
        <w:rPr>
          <w:sz w:val="24"/>
          <w:szCs w:val="22"/>
        </w:rPr>
        <w:t>和</w:t>
      </w:r>
      <w:r>
        <w:rPr>
          <w:i/>
          <w:iCs/>
          <w:sz w:val="24"/>
          <w:szCs w:val="22"/>
        </w:rPr>
        <w:t>caspase9</w:t>
      </w:r>
      <w:r>
        <w:rPr>
          <w:sz w:val="24"/>
          <w:szCs w:val="22"/>
        </w:rPr>
        <w:t>的表达</w:t>
      </w:r>
      <w:r>
        <w:rPr>
          <w:rFonts w:hint="eastAsia"/>
          <w:sz w:val="24"/>
          <w:szCs w:val="22"/>
        </w:rPr>
        <w:t>，</w:t>
      </w:r>
      <w:r>
        <w:rPr>
          <w:sz w:val="24"/>
          <w:szCs w:val="22"/>
        </w:rPr>
        <w:t>并下调了</w:t>
      </w:r>
      <w:r>
        <w:rPr>
          <w:i/>
          <w:iCs/>
          <w:sz w:val="24"/>
          <w:szCs w:val="22"/>
        </w:rPr>
        <w:t>bcl2</w:t>
      </w:r>
      <w:r>
        <w:rPr>
          <w:sz w:val="24"/>
          <w:szCs w:val="22"/>
        </w:rPr>
        <w:t>和</w:t>
      </w:r>
      <w:r>
        <w:rPr>
          <w:i/>
          <w:iCs/>
          <w:sz w:val="24"/>
          <w:szCs w:val="22"/>
        </w:rPr>
        <w:t>bax</w:t>
      </w:r>
      <w:r>
        <w:rPr>
          <w:sz w:val="24"/>
          <w:szCs w:val="22"/>
        </w:rPr>
        <w:t>的表达</w:t>
      </w:r>
      <w:r>
        <w:rPr>
          <w:rFonts w:hint="eastAsia"/>
          <w:sz w:val="24"/>
          <w:szCs w:val="22"/>
        </w:rPr>
        <w:t>，</w:t>
      </w:r>
      <w:r>
        <w:rPr>
          <w:sz w:val="24"/>
          <w:szCs w:val="22"/>
        </w:rPr>
        <w:t>表明虾青素可以降低亚硝酸盐胁迫诱导的细胞凋亡相关基因的表达。与本研究结果相似</w:t>
      </w:r>
      <w:r>
        <w:rPr>
          <w:rFonts w:hint="eastAsia"/>
          <w:sz w:val="24"/>
          <w:szCs w:val="22"/>
        </w:rPr>
        <w:t>，</w:t>
      </w:r>
      <w:r>
        <w:rPr>
          <w:sz w:val="24"/>
          <w:szCs w:val="22"/>
        </w:rPr>
        <w:t>在斑马鱼饲料中添加虾青素可以下调</w:t>
      </w:r>
      <w:r>
        <w:rPr>
          <w:i/>
          <w:iCs/>
          <w:sz w:val="24"/>
          <w:szCs w:val="22"/>
        </w:rPr>
        <w:t>caspase-3</w:t>
      </w:r>
      <w:r>
        <w:rPr>
          <w:sz w:val="24"/>
          <w:szCs w:val="22"/>
        </w:rPr>
        <w:t>和</w:t>
      </w:r>
      <w:r>
        <w:rPr>
          <w:i/>
          <w:iCs/>
          <w:sz w:val="24"/>
          <w:szCs w:val="22"/>
        </w:rPr>
        <w:t>caspase-9</w:t>
      </w:r>
      <w:r>
        <w:rPr>
          <w:sz w:val="24"/>
          <w:szCs w:val="22"/>
        </w:rPr>
        <w:t>的表达水平来应对铁应激</w:t>
      </w:r>
      <w:r>
        <w:rPr>
          <w:sz w:val="24"/>
          <w:szCs w:val="22"/>
          <w:vertAlign w:val="superscript"/>
        </w:rPr>
        <w:t>[51]</w:t>
      </w:r>
      <w:r>
        <w:rPr>
          <w:sz w:val="24"/>
          <w:szCs w:val="22"/>
        </w:rPr>
        <w:t>。综合以上表明</w:t>
      </w:r>
      <w:r>
        <w:rPr>
          <w:rFonts w:hint="eastAsia"/>
          <w:sz w:val="24"/>
          <w:szCs w:val="22"/>
        </w:rPr>
        <w:t>，</w:t>
      </w:r>
      <w:r>
        <w:rPr>
          <w:sz w:val="24"/>
          <w:szCs w:val="22"/>
        </w:rPr>
        <w:t>天然虾青素和合成虾青素均可以通过激活Keap1-Nrf2通路来增强虹鳟的抗氧化能力(表现为ROS清除和抗氧化基因上调)</w:t>
      </w:r>
      <w:r>
        <w:rPr>
          <w:rFonts w:hint="eastAsia"/>
          <w:sz w:val="24"/>
          <w:szCs w:val="22"/>
        </w:rPr>
        <w:t>，</w:t>
      </w:r>
      <w:r>
        <w:rPr>
          <w:sz w:val="24"/>
          <w:szCs w:val="22"/>
        </w:rPr>
        <w:t>并通过降低HSPs表达减轻应激反应</w:t>
      </w:r>
      <w:r>
        <w:rPr>
          <w:rFonts w:hint="eastAsia"/>
          <w:sz w:val="24"/>
          <w:szCs w:val="22"/>
        </w:rPr>
        <w:t>，</w:t>
      </w:r>
      <w:r>
        <w:rPr>
          <w:sz w:val="24"/>
          <w:szCs w:val="22"/>
        </w:rPr>
        <w:t>从而改善肝脏细胞凋亡导致的肝细胞损伤。这表明副球菌、雨生红球藻和加丽素粉红这些虾青素类功能性的饲料添加剂有益于胁迫养殖环境中虹鳟的健康和生长。</w:t>
      </w:r>
    </w:p>
    <w:p>
      <w:pPr>
        <w:spacing w:line="360" w:lineRule="auto"/>
        <w:rPr>
          <w:sz w:val="24"/>
          <w:szCs w:val="22"/>
        </w:rPr>
      </w:pPr>
      <w:r>
        <w:rPr>
          <w:sz w:val="24"/>
          <w:szCs w:val="22"/>
        </w:rPr>
        <w:t>4</w:t>
      </w:r>
      <w:r>
        <w:rPr>
          <w:rFonts w:hint="eastAsia"/>
          <w:sz w:val="24"/>
          <w:szCs w:val="22"/>
        </w:rPr>
        <w:t xml:space="preserve"> </w:t>
      </w:r>
      <w:r>
        <w:rPr>
          <w:sz w:val="24"/>
          <w:szCs w:val="22"/>
        </w:rPr>
        <w:t>结论</w:t>
      </w:r>
    </w:p>
    <w:p>
      <w:pPr>
        <w:spacing w:line="360" w:lineRule="auto"/>
        <w:ind w:firstLine="480" w:firstLineChars="200"/>
        <w:rPr>
          <w:sz w:val="24"/>
          <w:szCs w:val="22"/>
        </w:rPr>
      </w:pPr>
      <w:r>
        <w:rPr>
          <w:sz w:val="24"/>
          <w:szCs w:val="22"/>
        </w:rPr>
        <w:t>本研究探究饲料中添加含有60mg/kg虾青素的副球菌、雨生红球藻和加丽素粉红对虹鳟生长、体色</w:t>
      </w:r>
      <w:r>
        <w:rPr>
          <w:rFonts w:hint="eastAsia"/>
          <w:sz w:val="24"/>
          <w:szCs w:val="22"/>
        </w:rPr>
        <w:t>，</w:t>
      </w:r>
      <w:r>
        <w:rPr>
          <w:sz w:val="24"/>
          <w:szCs w:val="22"/>
        </w:rPr>
        <w:t>抗氧化和抗应激能力。总的来说</w:t>
      </w:r>
      <w:r>
        <w:rPr>
          <w:rFonts w:hint="eastAsia"/>
          <w:sz w:val="24"/>
          <w:szCs w:val="22"/>
        </w:rPr>
        <w:t>，</w:t>
      </w:r>
      <w:r>
        <w:rPr>
          <w:sz w:val="24"/>
          <w:szCs w:val="22"/>
        </w:rPr>
        <w:t>饲料中添加副球菌、雨生红球藻和加丽素粉红均可以增强虹鳟的体色和肉色</w:t>
      </w:r>
      <w:r>
        <w:rPr>
          <w:rFonts w:hint="eastAsia"/>
          <w:sz w:val="24"/>
          <w:szCs w:val="22"/>
        </w:rPr>
        <w:t>，</w:t>
      </w:r>
      <w:r>
        <w:rPr>
          <w:sz w:val="24"/>
          <w:szCs w:val="22"/>
        </w:rPr>
        <w:t>加丽素粉红增强体色效果更明显</w:t>
      </w:r>
      <w:r>
        <w:rPr>
          <w:rFonts w:hint="eastAsia"/>
          <w:sz w:val="24"/>
          <w:szCs w:val="22"/>
        </w:rPr>
        <w:t>，</w:t>
      </w:r>
      <w:r>
        <w:rPr>
          <w:sz w:val="24"/>
          <w:szCs w:val="22"/>
        </w:rPr>
        <w:t>肌肉中沉积的虾青素含量更高。饲料中添加3种不同来源的虾青素都能在亚硝酸盐胁迫前后增强虹鳟抗氧化酶的活性</w:t>
      </w:r>
      <w:r>
        <w:rPr>
          <w:rFonts w:hint="eastAsia"/>
          <w:sz w:val="24"/>
          <w:szCs w:val="22"/>
        </w:rPr>
        <w:t>，</w:t>
      </w:r>
      <w:r>
        <w:rPr>
          <w:sz w:val="24"/>
          <w:szCs w:val="22"/>
        </w:rPr>
        <w:t>并且有效的缓解亚硝酸胁迫带来的氧化应激。不同来源的虾青素添加后</w:t>
      </w:r>
      <w:r>
        <w:rPr>
          <w:rFonts w:hint="eastAsia"/>
          <w:sz w:val="24"/>
          <w:szCs w:val="22"/>
        </w:rPr>
        <w:t>，</w:t>
      </w:r>
      <w:r>
        <w:rPr>
          <w:sz w:val="24"/>
          <w:szCs w:val="22"/>
        </w:rPr>
        <w:t>虹鳟应对亚硝酸盐胁迫的反应有所不同</w:t>
      </w:r>
      <w:r>
        <w:rPr>
          <w:rFonts w:hint="eastAsia"/>
          <w:sz w:val="24"/>
          <w:szCs w:val="22"/>
        </w:rPr>
        <w:t>，</w:t>
      </w:r>
      <w:r>
        <w:rPr>
          <w:sz w:val="24"/>
          <w:szCs w:val="22"/>
        </w:rPr>
        <w:t>副球菌和加丽素粉红在增强虹鳟的抗氧化能力方面发挥了更好的效果</w:t>
      </w:r>
      <w:r>
        <w:rPr>
          <w:rFonts w:hint="eastAsia"/>
          <w:sz w:val="24"/>
          <w:szCs w:val="22"/>
        </w:rPr>
        <w:t>，</w:t>
      </w:r>
      <w:r>
        <w:rPr>
          <w:sz w:val="24"/>
          <w:szCs w:val="22"/>
        </w:rPr>
        <w:t>而雨生红球藻减缓了虹鳟的细胞凋亡。</w:t>
      </w:r>
    </w:p>
    <w:p>
      <w:pPr>
        <w:spacing w:line="360" w:lineRule="auto"/>
        <w:ind w:firstLine="480" w:firstLineChars="200"/>
        <w:rPr>
          <w:sz w:val="24"/>
          <w:szCs w:val="22"/>
        </w:rPr>
      </w:pPr>
      <w:r>
        <w:rPr>
          <w:sz w:val="24"/>
          <w:szCs w:val="22"/>
        </w:rPr>
        <w:t>(作者声明本文符合出版伦理要求)</w:t>
      </w:r>
    </w:p>
    <w:p>
      <w:pPr>
        <w:spacing w:line="360" w:lineRule="auto"/>
        <w:rPr>
          <w:sz w:val="24"/>
        </w:rPr>
      </w:pPr>
      <w:r>
        <w:rPr>
          <w:rFonts w:hint="eastAsia"/>
          <w:sz w:val="24"/>
        </w:rPr>
        <w:t>参考文献：略</w:t>
      </w:r>
    </w:p>
    <w:p>
      <w:pPr>
        <w:widowControl/>
        <w:jc w:val="right"/>
        <w:rPr>
          <w:sz w:val="24"/>
          <w:szCs w:val="22"/>
        </w:rPr>
      </w:pPr>
      <w:r>
        <w:rPr>
          <w:rFonts w:hint="eastAsia"/>
          <w:szCs w:val="21"/>
        </w:rPr>
        <w:t>原文刊登在《水生生物学报》，网络首发时间：</w:t>
      </w:r>
      <w:r>
        <w:rPr>
          <w:rFonts w:hint="eastAsia" w:eastAsia="Times-Roman" w:cs="Times-Roman"/>
          <w:color w:val="000000"/>
          <w:kern w:val="0"/>
          <w:szCs w:val="21"/>
          <w:lang w:bidi="ar"/>
        </w:rPr>
        <w:t>2025-06-20 08:08:37</w:t>
      </w:r>
    </w:p>
    <w:p>
      <w:pPr>
        <w:jc w:val="center"/>
        <w:outlineLvl w:val="1"/>
        <w:rPr>
          <w:rFonts w:eastAsia="黑体"/>
          <w:b/>
          <w:bCs/>
          <w:sz w:val="32"/>
          <w:szCs w:val="32"/>
        </w:rPr>
      </w:pPr>
      <w:bookmarkStart w:id="52" w:name="_Toc206013210"/>
      <w:r>
        <w:rPr>
          <w:rFonts w:eastAsia="黑体"/>
          <w:b/>
          <w:bCs/>
          <w:sz w:val="32"/>
          <w:szCs w:val="32"/>
        </w:rPr>
        <w:t>饲料中添加蒲公英提取物对四氯化碳胁迫后石斑鱼肝脏形态、血清生化指标和抗氧化能力的影响</w:t>
      </w:r>
      <w:bookmarkEnd w:id="52"/>
    </w:p>
    <w:p>
      <w:pPr>
        <w:jc w:val="center"/>
        <w:rPr>
          <w:szCs w:val="21"/>
        </w:rPr>
      </w:pPr>
      <w:r>
        <w:rPr>
          <w:szCs w:val="21"/>
        </w:rPr>
        <w:t>孙珍珠</w:t>
      </w:r>
      <w:r>
        <w:rPr>
          <w:szCs w:val="21"/>
          <w:vertAlign w:val="superscript"/>
        </w:rPr>
        <w:t>1,2</w:t>
      </w:r>
      <w:r>
        <w:rPr>
          <w:szCs w:val="21"/>
        </w:rPr>
        <w:t>黄杨杨</w:t>
      </w:r>
      <w:r>
        <w:rPr>
          <w:szCs w:val="21"/>
          <w:vertAlign w:val="superscript"/>
        </w:rPr>
        <w:t>1</w:t>
      </w:r>
      <w:r>
        <w:rPr>
          <w:szCs w:val="21"/>
        </w:rPr>
        <w:t>李晶晶</w:t>
      </w:r>
      <w:r>
        <w:rPr>
          <w:szCs w:val="21"/>
          <w:vertAlign w:val="superscript"/>
        </w:rPr>
        <w:t>1</w:t>
      </w:r>
      <w:r>
        <w:rPr>
          <w:szCs w:val="21"/>
        </w:rPr>
        <w:t>文菁</w:t>
      </w:r>
      <w:r>
        <w:rPr>
          <w:szCs w:val="21"/>
          <w:vertAlign w:val="superscript"/>
        </w:rPr>
        <w:t>1,2</w:t>
      </w:r>
    </w:p>
    <w:p>
      <w:pPr>
        <w:jc w:val="center"/>
        <w:rPr>
          <w:szCs w:val="21"/>
        </w:rPr>
      </w:pPr>
      <w:r>
        <w:rPr>
          <w:szCs w:val="21"/>
        </w:rPr>
        <w:t>(1.韶关学院生物与农业学院，韶关512005；2.韶关学院广东省粤北水土资源高效利用工程技术研究中心，韶关512005)</w:t>
      </w:r>
    </w:p>
    <w:p>
      <w:pPr>
        <w:rPr>
          <w:szCs w:val="21"/>
        </w:rPr>
      </w:pPr>
      <w:r>
        <w:rPr>
          <w:b/>
          <w:bCs/>
          <w:szCs w:val="21"/>
        </w:rPr>
        <w:t>摘要：</w:t>
      </w:r>
      <w:r>
        <w:rPr>
          <w:szCs w:val="21"/>
        </w:rPr>
        <w:t>本试验旨在研究饲料中添加蒲公英提取物对四氯化碳(CCl</w:t>
      </w:r>
      <w:r>
        <w:rPr>
          <w:szCs w:val="21"/>
          <w:vertAlign w:val="subscript"/>
        </w:rPr>
        <w:t>4</w:t>
      </w:r>
      <w:r>
        <w:rPr>
          <w:szCs w:val="21"/>
        </w:rPr>
        <w:t>)胁迫后石斑鱼肝脏形态、血清生化指标和抗氧化能力的影响。选择体重相近、状态良好的珍珠龙胆石斑鱼300尾，随机分成5组，每组3个重复，每个重复20尾。对照组饲喂基础饲料，试验组(Ⅰ～Ⅳ组)分别在基础饲料中添加0.1%、0.2%、0.4%和0.8%的蒲公英提取物。试验期8周。饲养结束后，试验组注射橄榄油稀释的30%CCl</w:t>
      </w:r>
      <w:r>
        <w:rPr>
          <w:szCs w:val="21"/>
          <w:vertAlign w:val="subscript"/>
        </w:rPr>
        <w:t>4</w:t>
      </w:r>
      <w:r>
        <w:rPr>
          <w:szCs w:val="21"/>
        </w:rPr>
        <w:t>；对照组再随机分为2组，一组注射纯橄榄油作为空白对照组，另一组注射30%CCl</w:t>
      </w:r>
      <w:r>
        <w:rPr>
          <w:szCs w:val="21"/>
          <w:vertAlign w:val="subscript"/>
        </w:rPr>
        <w:t>4</w:t>
      </w:r>
      <w:r>
        <w:rPr>
          <w:szCs w:val="21"/>
        </w:rPr>
        <w:t>作为模型组。72h后取样分析。结果表明：1)试验Ⅱ组珍珠龙胆石斑鱼肝细胞膜完好，细胞核形态结构较完整，位置居中未发生明显偏移。2)试验Ⅰ、Ⅱ组血清丙氨酸氨基转移酶(ALT)活性显著低于模型组(</w:t>
      </w:r>
      <w:r>
        <w:rPr>
          <w:i/>
          <w:szCs w:val="21"/>
        </w:rPr>
        <w:t>P</w:t>
      </w:r>
      <w:r>
        <w:rPr>
          <w:szCs w:val="21"/>
        </w:rPr>
        <w:t>＜0.05)，空白对照组血清碱性磷酸酶(ALP)活性显著低于其他各组(</w:t>
      </w:r>
      <w:r>
        <w:rPr>
          <w:i/>
          <w:szCs w:val="21"/>
        </w:rPr>
        <w:t>P</w:t>
      </w:r>
      <w:r>
        <w:rPr>
          <w:szCs w:val="21"/>
        </w:rPr>
        <w:t>＜0.05)，试验Ⅱ组血清白蛋白(ALB)含量显著高于空白对照组和模型组(</w:t>
      </w:r>
      <w:r>
        <w:rPr>
          <w:i/>
          <w:szCs w:val="21"/>
        </w:rPr>
        <w:t>P</w:t>
      </w:r>
      <w:r>
        <w:rPr>
          <w:szCs w:val="21"/>
        </w:rPr>
        <w:t>＜0.05)。3)与模型组相比，试验Ⅰ～Ⅳ组肝脏Kelch样环氧氯丙烷相关蛋白1(</w:t>
      </w:r>
      <w:r>
        <w:rPr>
          <w:i/>
          <w:iCs/>
          <w:szCs w:val="21"/>
        </w:rPr>
        <w:t>Keap</w:t>
      </w:r>
      <w:r>
        <w:rPr>
          <w:szCs w:val="21"/>
        </w:rPr>
        <w:t>1)的mRNA相对表达量显著降低(</w:t>
      </w:r>
      <w:r>
        <w:rPr>
          <w:i/>
          <w:szCs w:val="21"/>
        </w:rPr>
        <w:t>P</w:t>
      </w:r>
      <w:r>
        <w:rPr>
          <w:szCs w:val="21"/>
        </w:rPr>
        <w:t>＜0.05)，试验Ⅱ～Ⅳ组肝脏锰超氧化物歧化酶(</w:t>
      </w:r>
      <w:r>
        <w:rPr>
          <w:i/>
          <w:iCs/>
          <w:szCs w:val="21"/>
        </w:rPr>
        <w:t>MnSOD</w:t>
      </w:r>
      <w:r>
        <w:rPr>
          <w:szCs w:val="21"/>
        </w:rPr>
        <w:t>)的mRNA相对表达量显著提高(</w:t>
      </w:r>
      <w:r>
        <w:rPr>
          <w:i/>
          <w:szCs w:val="21"/>
        </w:rPr>
        <w:t>P</w:t>
      </w:r>
      <w:r>
        <w:rPr>
          <w:szCs w:val="21"/>
        </w:rPr>
        <w:t>＜0.05)，试验Ⅰ～Ⅳ组头肾过氧化氢酶(</w:t>
      </w:r>
      <w:r>
        <w:rPr>
          <w:i/>
          <w:iCs/>
          <w:szCs w:val="21"/>
        </w:rPr>
        <w:t>CAT</w:t>
      </w:r>
      <w:r>
        <w:rPr>
          <w:szCs w:val="21"/>
        </w:rPr>
        <w:t>)、谷胱甘肽还原酶(</w:t>
      </w:r>
      <w:r>
        <w:rPr>
          <w:i/>
          <w:iCs/>
          <w:szCs w:val="21"/>
        </w:rPr>
        <w:t>GR</w:t>
      </w:r>
      <w:r>
        <w:rPr>
          <w:szCs w:val="21"/>
        </w:rPr>
        <w:t>)的mRNA相对表达量显著提高(</w:t>
      </w:r>
      <w:r>
        <w:rPr>
          <w:i/>
          <w:szCs w:val="21"/>
        </w:rPr>
        <w:t>P</w:t>
      </w:r>
      <w:r>
        <w:rPr>
          <w:szCs w:val="21"/>
        </w:rPr>
        <w:t>＜0.05)。综上所述，饲料添加0.1%～0.2%蒲公英提取物有改善CCl</w:t>
      </w:r>
      <w:r>
        <w:rPr>
          <w:szCs w:val="21"/>
          <w:vertAlign w:val="subscript"/>
        </w:rPr>
        <w:t>4</w:t>
      </w:r>
      <w:r>
        <w:rPr>
          <w:szCs w:val="21"/>
        </w:rPr>
        <w:t>胁迫后珍珠龙胆石斑鱼肝脏形态和抗氧化能力的作用。</w:t>
      </w:r>
    </w:p>
    <w:p>
      <w:pPr>
        <w:rPr>
          <w:szCs w:val="21"/>
        </w:rPr>
      </w:pPr>
      <w:r>
        <w:rPr>
          <w:b/>
          <w:bCs/>
          <w:szCs w:val="21"/>
        </w:rPr>
        <w:t>关键词：</w:t>
      </w:r>
      <w:r>
        <w:rPr>
          <w:szCs w:val="21"/>
        </w:rPr>
        <w:t>蒲公英提取物；珍珠龙胆石斑鱼；肝脏形态；血清生化；抗氧化能力</w:t>
      </w:r>
    </w:p>
    <w:p>
      <w:pPr>
        <w:rPr>
          <w:szCs w:val="21"/>
        </w:rPr>
      </w:pPr>
    </w:p>
    <w:p>
      <w:pPr>
        <w:jc w:val="center"/>
        <w:rPr>
          <w:b/>
          <w:bCs/>
          <w:sz w:val="24"/>
        </w:rPr>
      </w:pPr>
      <w:r>
        <w:rPr>
          <w:b/>
          <w:bCs/>
          <w:sz w:val="24"/>
        </w:rPr>
        <w:t>Effects of Dietary Dandelion Extract on Liver Morphology，Serum</w:t>
      </w:r>
    </w:p>
    <w:p>
      <w:pPr>
        <w:jc w:val="center"/>
        <w:rPr>
          <w:b/>
          <w:bCs/>
          <w:sz w:val="24"/>
        </w:rPr>
      </w:pPr>
      <w:r>
        <w:rPr>
          <w:b/>
          <w:bCs/>
          <w:sz w:val="24"/>
        </w:rPr>
        <w:t>Biochemical Indexes and Antioxidant Capacity of Pearl</w:t>
      </w:r>
    </w:p>
    <w:p>
      <w:pPr>
        <w:jc w:val="center"/>
        <w:rPr>
          <w:b/>
          <w:bCs/>
          <w:i/>
          <w:iCs/>
          <w:sz w:val="24"/>
        </w:rPr>
      </w:pPr>
      <w:r>
        <w:rPr>
          <w:b/>
          <w:bCs/>
          <w:sz w:val="24"/>
        </w:rPr>
        <w:t xml:space="preserve">Gentian Grouper ( </w:t>
      </w:r>
      <w:r>
        <w:rPr>
          <w:b/>
          <w:bCs/>
          <w:i/>
          <w:iCs/>
          <w:sz w:val="24"/>
        </w:rPr>
        <w:t>Epinephelus lanceolatu</w:t>
      </w:r>
      <w:r>
        <w:rPr>
          <w:b/>
          <w:bCs/>
          <w:sz w:val="24"/>
        </w:rPr>
        <w:t xml:space="preserve"> ♂×</w:t>
      </w:r>
      <w:r>
        <w:rPr>
          <w:b/>
          <w:bCs/>
          <w:i/>
          <w:iCs/>
          <w:sz w:val="24"/>
        </w:rPr>
        <w:t>Epinephelus</w:t>
      </w:r>
    </w:p>
    <w:p>
      <w:pPr>
        <w:jc w:val="center"/>
        <w:rPr>
          <w:b/>
          <w:bCs/>
          <w:sz w:val="24"/>
        </w:rPr>
      </w:pPr>
      <w:r>
        <w:rPr>
          <w:b/>
          <w:bCs/>
          <w:i/>
          <w:iCs/>
          <w:sz w:val="24"/>
        </w:rPr>
        <w:t>fuscoguttatus</w:t>
      </w:r>
      <w:r>
        <w:rPr>
          <w:b/>
          <w:bCs/>
          <w:sz w:val="24"/>
        </w:rPr>
        <w:t>♀) after Carbon Tetrachloride Stressed</w:t>
      </w:r>
    </w:p>
    <w:p>
      <w:pPr>
        <w:jc w:val="center"/>
        <w:rPr>
          <w:szCs w:val="22"/>
        </w:rPr>
      </w:pPr>
      <w:r>
        <w:rPr>
          <w:szCs w:val="22"/>
        </w:rPr>
        <w:t>SUN Zhenzhu</w:t>
      </w:r>
      <w:r>
        <w:rPr>
          <w:szCs w:val="22"/>
          <w:vertAlign w:val="superscript"/>
        </w:rPr>
        <w:t>1,2</w:t>
      </w:r>
      <w:r>
        <w:rPr>
          <w:szCs w:val="22"/>
        </w:rPr>
        <w:t xml:space="preserve"> HUANG Yangyang </w:t>
      </w:r>
      <w:r>
        <w:rPr>
          <w:szCs w:val="22"/>
          <w:vertAlign w:val="superscript"/>
        </w:rPr>
        <w:t>1</w:t>
      </w:r>
      <w:r>
        <w:rPr>
          <w:szCs w:val="22"/>
        </w:rPr>
        <w:t xml:space="preserve"> LI Jingjing </w:t>
      </w:r>
      <w:r>
        <w:rPr>
          <w:szCs w:val="22"/>
          <w:vertAlign w:val="superscript"/>
        </w:rPr>
        <w:t>1</w:t>
      </w:r>
      <w:r>
        <w:rPr>
          <w:szCs w:val="22"/>
        </w:rPr>
        <w:t xml:space="preserve"> WEN Jing </w:t>
      </w:r>
      <w:r>
        <w:rPr>
          <w:szCs w:val="22"/>
          <w:vertAlign w:val="superscript"/>
        </w:rPr>
        <w:t>1,2</w:t>
      </w:r>
    </w:p>
    <w:p>
      <w:pPr>
        <w:jc w:val="center"/>
        <w:rPr>
          <w:i/>
          <w:iCs/>
          <w:szCs w:val="22"/>
        </w:rPr>
      </w:pPr>
      <w:r>
        <w:rPr>
          <w:i/>
          <w:iCs/>
          <w:szCs w:val="22"/>
        </w:rPr>
        <w:t>( 1</w:t>
      </w:r>
      <w:r>
        <w:rPr>
          <w:iCs/>
          <w:szCs w:val="22"/>
        </w:rPr>
        <w:t>.</w:t>
      </w:r>
      <w:r>
        <w:rPr>
          <w:i/>
          <w:iCs/>
          <w:szCs w:val="22"/>
        </w:rPr>
        <w:t xml:space="preserve"> School of Biology and Agriculture，Shaoguan University，Shaoguan 512005，China; 2</w:t>
      </w:r>
      <w:r>
        <w:rPr>
          <w:iCs/>
          <w:szCs w:val="22"/>
        </w:rPr>
        <w:t>.</w:t>
      </w:r>
      <w:r>
        <w:rPr>
          <w:i/>
          <w:iCs/>
          <w:szCs w:val="22"/>
        </w:rPr>
        <w:t xml:space="preserve"> North Guangdong Engineering Technology Research Center for the Efficient Utilization of Water and Soil Resources， Shaoguan University，Shaoguan 512005，China)</w:t>
      </w:r>
    </w:p>
    <w:p>
      <w:pPr>
        <w:rPr>
          <w:szCs w:val="22"/>
        </w:rPr>
      </w:pPr>
      <w:r>
        <w:rPr>
          <w:b/>
          <w:bCs/>
          <w:szCs w:val="22"/>
        </w:rPr>
        <w:t>Abstract:</w:t>
      </w:r>
      <w:r>
        <w:rPr>
          <w:szCs w:val="22"/>
        </w:rPr>
        <w:t xml:space="preserve"> The aim of this experiment was to study the effects of dietary dandelion extract on liver morphology，serum biochemical indexes and antioxidant capacity of pearl gentian grouper ( </w:t>
      </w:r>
      <w:r>
        <w:rPr>
          <w:i/>
          <w:iCs/>
          <w:szCs w:val="22"/>
        </w:rPr>
        <w:t>Epinephelus lanceolatu</w:t>
      </w:r>
      <w:r>
        <w:rPr>
          <w:sz w:val="24"/>
        </w:rPr>
        <w:t>♂</w:t>
      </w:r>
      <w:r>
        <w:rPr>
          <w:szCs w:val="22"/>
        </w:rPr>
        <w:t xml:space="preserve">× </w:t>
      </w:r>
      <w:r>
        <w:rPr>
          <w:i/>
          <w:iCs/>
          <w:szCs w:val="22"/>
        </w:rPr>
        <w:t>Epinephelus fuscoguttatus</w:t>
      </w:r>
      <w:r>
        <w:rPr>
          <w:sz w:val="24"/>
        </w:rPr>
        <w:t>♀</w:t>
      </w:r>
      <w:r>
        <w:rPr>
          <w:szCs w:val="22"/>
        </w:rPr>
        <w:t>) after carbon tetrachloride ( CCl</w:t>
      </w:r>
      <w:r>
        <w:rPr>
          <w:szCs w:val="22"/>
          <w:vertAlign w:val="subscript"/>
        </w:rPr>
        <w:t>4</w:t>
      </w:r>
      <w:r>
        <w:rPr>
          <w:szCs w:val="22"/>
        </w:rPr>
        <w:t xml:space="preserve"> ) stressed. A total of 300 healthy pearl gentian grouper with similar body weight were randomly divided into 5 groups with 3 replicates per group and 20 fish per replicate. The control group was fed a basal diet，and the test groups ( groups Ⅰ to Ⅳ) were fed the basal diets supplemented with 0.1%，0.2%，0.4% and 0.8% dandelion extract，respectively. The trial lasted for 8 weeks. After feeding，the experimental groups were injected with 30% CCl</w:t>
      </w:r>
      <w:r>
        <w:rPr>
          <w:szCs w:val="22"/>
          <w:vertAlign w:val="subscript"/>
        </w:rPr>
        <w:t>4</w:t>
      </w:r>
      <w:r>
        <w:rPr>
          <w:szCs w:val="22"/>
        </w:rPr>
        <w:t xml:space="preserve"> diluted in olive oil; the control group was randomly divided into 2 groups，one group was injected with pure olive oil as a blank control group， and the other group was injected with 30% CCl</w:t>
      </w:r>
      <w:r>
        <w:rPr>
          <w:szCs w:val="22"/>
          <w:vertAlign w:val="subscript"/>
        </w:rPr>
        <w:t>4</w:t>
      </w:r>
      <w:r>
        <w:rPr>
          <w:szCs w:val="22"/>
        </w:rPr>
        <w:t xml:space="preserve"> as a model group. The samples were analyzed 72 hours later. The results showed as follows: 1) the liver cell membrane of pearl gentian grouper in test group Ⅱ was intact， the cell nucleus was complete，and the position was in the middle without significant shift. 2) The serum alanine aminotransferase ( ALT) activity of test groups Ⅰ and Ⅱ was significantly lower than that of the model group ( </w:t>
      </w:r>
      <w:r>
        <w:rPr>
          <w:i/>
          <w:szCs w:val="22"/>
        </w:rPr>
        <w:t>P</w:t>
      </w:r>
      <w:r>
        <w:rPr>
          <w:szCs w:val="22"/>
        </w:rPr>
        <w:t xml:space="preserve">＜0.05) ，the serum alkaline phosphatase ( ALP) activity of the blank control group was significantly lower than that of other groups ( </w:t>
      </w:r>
      <w:r>
        <w:rPr>
          <w:i/>
          <w:szCs w:val="22"/>
        </w:rPr>
        <w:t>P</w:t>
      </w:r>
      <w:r>
        <w:rPr>
          <w:szCs w:val="22"/>
        </w:rPr>
        <w:t xml:space="preserve">＜0.05) ，and the serum albumin ( ALB) content of test group Ⅱ was significantly higher than that of blank control group and model group ( </w:t>
      </w:r>
      <w:r>
        <w:rPr>
          <w:i/>
          <w:szCs w:val="22"/>
        </w:rPr>
        <w:t>P</w:t>
      </w:r>
      <w:r>
        <w:rPr>
          <w:szCs w:val="22"/>
        </w:rPr>
        <w:t xml:space="preserve">＜0.05) . 3) Compared with model group， the mRNA relative expression level of Kelch-like ECH-associated protein 1 ( </w:t>
      </w:r>
      <w:r>
        <w:rPr>
          <w:i/>
          <w:iCs/>
          <w:szCs w:val="22"/>
        </w:rPr>
        <w:t>Keap</w:t>
      </w:r>
      <w:r>
        <w:rPr>
          <w:szCs w:val="22"/>
        </w:rPr>
        <w:t xml:space="preserve">1) in liver of test groups Ⅰ to Ⅳ was significantly decreased ( </w:t>
      </w:r>
      <w:r>
        <w:rPr>
          <w:i/>
          <w:szCs w:val="22"/>
        </w:rPr>
        <w:t>P</w:t>
      </w:r>
      <w:r>
        <w:rPr>
          <w:szCs w:val="22"/>
        </w:rPr>
        <w:t xml:space="preserve">＜0.05) ，the mRNA relative expression level of manganese superoxide dismutase ( </w:t>
      </w:r>
      <w:r>
        <w:rPr>
          <w:i/>
          <w:iCs/>
          <w:szCs w:val="22"/>
        </w:rPr>
        <w:t>MnSOD</w:t>
      </w:r>
      <w:r>
        <w:rPr>
          <w:szCs w:val="22"/>
        </w:rPr>
        <w:t xml:space="preserve">) in liver of test groups Ⅱ to Ⅳ was significantly increased ( </w:t>
      </w:r>
      <w:r>
        <w:rPr>
          <w:i/>
          <w:szCs w:val="22"/>
        </w:rPr>
        <w:t>P</w:t>
      </w:r>
      <w:r>
        <w:rPr>
          <w:szCs w:val="22"/>
        </w:rPr>
        <w:t xml:space="preserve">＜0.05) ，and the mRNA relative expression levels of catalase ( </w:t>
      </w:r>
      <w:r>
        <w:rPr>
          <w:i/>
          <w:iCs/>
          <w:szCs w:val="22"/>
        </w:rPr>
        <w:t>CAT</w:t>
      </w:r>
      <w:r>
        <w:rPr>
          <w:szCs w:val="22"/>
        </w:rPr>
        <w:t xml:space="preserve">) and glutathione reductase ( </w:t>
      </w:r>
      <w:r>
        <w:rPr>
          <w:i/>
          <w:iCs/>
          <w:szCs w:val="22"/>
        </w:rPr>
        <w:t>GR</w:t>
      </w:r>
      <w:r>
        <w:rPr>
          <w:szCs w:val="22"/>
        </w:rPr>
        <w:t xml:space="preserve">) in head kidney of test groups Ⅰ to Ⅳ were significantly increased ( </w:t>
      </w:r>
      <w:r>
        <w:rPr>
          <w:i/>
          <w:szCs w:val="22"/>
        </w:rPr>
        <w:t>P</w:t>
      </w:r>
      <w:r>
        <w:rPr>
          <w:szCs w:val="22"/>
        </w:rPr>
        <w:t>＜0.05) . In conclusion，dietary supplementation of 0.1% to 0.2% dandelion extract can improve the liver morphology and antioxidant capacity of pearl gentian grouper under CCl</w:t>
      </w:r>
      <w:r>
        <w:rPr>
          <w:szCs w:val="22"/>
          <w:vertAlign w:val="subscript"/>
        </w:rPr>
        <w:t>4</w:t>
      </w:r>
      <w:r>
        <w:rPr>
          <w:szCs w:val="22"/>
        </w:rPr>
        <w:t xml:space="preserve"> stressed.</w:t>
      </w:r>
    </w:p>
    <w:p>
      <w:pPr>
        <w:rPr>
          <w:szCs w:val="22"/>
        </w:rPr>
      </w:pPr>
      <w:r>
        <w:rPr>
          <w:b/>
          <w:bCs/>
          <w:szCs w:val="22"/>
        </w:rPr>
        <w:t>Key words:</w:t>
      </w:r>
      <w:r>
        <w:rPr>
          <w:szCs w:val="22"/>
        </w:rPr>
        <w:t xml:space="preserve"> dandelion extract; pearl gentian grouper; liver morphology; serum biochemical; antioxidant capacity</w:t>
      </w:r>
    </w:p>
    <w:p>
      <w:pPr>
        <w:rPr>
          <w:szCs w:val="21"/>
        </w:rPr>
      </w:pPr>
    </w:p>
    <w:p>
      <w:pPr>
        <w:spacing w:line="360" w:lineRule="auto"/>
        <w:ind w:firstLine="480" w:firstLineChars="200"/>
        <w:rPr>
          <w:sz w:val="24"/>
          <w:szCs w:val="22"/>
        </w:rPr>
      </w:pPr>
      <w:r>
        <w:rPr>
          <w:sz w:val="24"/>
          <w:szCs w:val="22"/>
        </w:rPr>
        <w:t>蒲公英(</w:t>
      </w:r>
      <w:r>
        <w:rPr>
          <w:i/>
          <w:iCs/>
          <w:sz w:val="24"/>
          <w:szCs w:val="22"/>
        </w:rPr>
        <w:t>Taraxacum</w:t>
      </w:r>
      <w:r>
        <w:rPr>
          <w:rFonts w:hint="eastAsia"/>
          <w:i/>
          <w:iCs/>
          <w:sz w:val="24"/>
          <w:szCs w:val="22"/>
        </w:rPr>
        <w:t xml:space="preserve"> </w:t>
      </w:r>
      <w:r>
        <w:rPr>
          <w:i/>
          <w:iCs/>
          <w:sz w:val="24"/>
          <w:szCs w:val="22"/>
        </w:rPr>
        <w:t>mongolicum</w:t>
      </w:r>
      <w:r>
        <w:rPr>
          <w:rFonts w:hint="eastAsia"/>
          <w:i/>
          <w:iCs/>
          <w:sz w:val="24"/>
          <w:szCs w:val="22"/>
        </w:rPr>
        <w:t xml:space="preserve"> </w:t>
      </w:r>
      <w:r>
        <w:rPr>
          <w:i/>
          <w:iCs/>
          <w:sz w:val="24"/>
          <w:szCs w:val="22"/>
        </w:rPr>
        <w:t>Hand</w:t>
      </w:r>
      <w:r>
        <w:rPr>
          <w:sz w:val="24"/>
          <w:szCs w:val="22"/>
        </w:rPr>
        <w:t>.-Mazz.)别名婆婆丁，主要产于北半球温带至亚热带地区。作为药食同源的中草药，蒲公英提取物含有皂苷、多糖、生物碱等多种活性成分，具有抗氧化、抗炎、抑菌、提高免疫力等多种功能</w:t>
      </w:r>
      <w:r>
        <w:rPr>
          <w:sz w:val="24"/>
          <w:szCs w:val="22"/>
          <w:vertAlign w:val="superscript"/>
        </w:rPr>
        <w:t>[1</w:t>
      </w:r>
      <w:r>
        <w:rPr>
          <w:rFonts w:hint="eastAsia"/>
          <w:sz w:val="24"/>
          <w:szCs w:val="22"/>
          <w:vertAlign w:val="superscript"/>
        </w:rPr>
        <w:t>-</w:t>
      </w:r>
      <w:r>
        <w:rPr>
          <w:sz w:val="24"/>
          <w:szCs w:val="22"/>
          <w:vertAlign w:val="superscript"/>
        </w:rPr>
        <w:t>4]</w:t>
      </w:r>
      <w:r>
        <w:rPr>
          <w:sz w:val="24"/>
          <w:szCs w:val="22"/>
        </w:rPr>
        <w:t>。近年来，蒲公英及其提取物在养殖生产活动中常作为抗生素的替代品，用于改善畜、禽、鱼类的生长性能，增强动物的免疫力和抗氧化能力，进而提高畜、禽、鱼类的生产效益</w:t>
      </w:r>
      <w:r>
        <w:rPr>
          <w:sz w:val="24"/>
          <w:szCs w:val="22"/>
          <w:vertAlign w:val="superscript"/>
        </w:rPr>
        <w:t>[5]</w:t>
      </w:r>
      <w:r>
        <w:rPr>
          <w:sz w:val="24"/>
          <w:szCs w:val="22"/>
        </w:rPr>
        <w:t>。</w:t>
      </w:r>
    </w:p>
    <w:p>
      <w:pPr>
        <w:spacing w:line="360" w:lineRule="auto"/>
        <w:ind w:firstLine="480" w:firstLineChars="200"/>
        <w:rPr>
          <w:sz w:val="24"/>
          <w:szCs w:val="22"/>
        </w:rPr>
      </w:pPr>
      <w:r>
        <w:rPr>
          <w:sz w:val="24"/>
          <w:szCs w:val="22"/>
        </w:rPr>
        <w:t>Sun等</w:t>
      </w:r>
      <w:r>
        <w:rPr>
          <w:sz w:val="24"/>
          <w:szCs w:val="22"/>
          <w:vertAlign w:val="superscript"/>
        </w:rPr>
        <w:t>[6]</w:t>
      </w:r>
      <w:r>
        <w:rPr>
          <w:sz w:val="24"/>
          <w:szCs w:val="22"/>
        </w:rPr>
        <w:t>研究发现，在饲料中添加蒲公英提取物可以降低杂交石斑鱼全身的脂质含量，增加抗氧化酶过氧化氢酶(</w:t>
      </w:r>
      <w:r>
        <w:rPr>
          <w:i/>
          <w:iCs/>
          <w:sz w:val="24"/>
          <w:szCs w:val="22"/>
        </w:rPr>
        <w:t>CAT</w:t>
      </w:r>
      <w:r>
        <w:rPr>
          <w:sz w:val="24"/>
          <w:szCs w:val="22"/>
        </w:rPr>
        <w:t>)、谷胱甘肽过氧化物酶(</w:t>
      </w:r>
      <w:r>
        <w:rPr>
          <w:i/>
          <w:iCs/>
          <w:sz w:val="24"/>
          <w:szCs w:val="22"/>
        </w:rPr>
        <w:t>GPX</w:t>
      </w:r>
      <w:r>
        <w:rPr>
          <w:sz w:val="24"/>
          <w:szCs w:val="22"/>
        </w:rPr>
        <w:t>)、谷胱甘肽还原酶(</w:t>
      </w:r>
      <w:r>
        <w:rPr>
          <w:i/>
          <w:iCs/>
          <w:sz w:val="24"/>
          <w:szCs w:val="22"/>
        </w:rPr>
        <w:t>GR</w:t>
      </w:r>
      <w:r>
        <w:rPr>
          <w:sz w:val="24"/>
          <w:szCs w:val="22"/>
        </w:rPr>
        <w:t>)以及炎症因子白细胞介素</w:t>
      </w:r>
      <w:r>
        <w:rPr>
          <w:rFonts w:hint="eastAsia"/>
          <w:sz w:val="24"/>
          <w:szCs w:val="22"/>
        </w:rPr>
        <w:t>-</w:t>
      </w:r>
      <w:r>
        <w:rPr>
          <w:sz w:val="24"/>
          <w:szCs w:val="22"/>
        </w:rPr>
        <w:t>8(</w:t>
      </w:r>
      <w:r>
        <w:rPr>
          <w:i/>
          <w:iCs/>
          <w:sz w:val="24"/>
          <w:szCs w:val="22"/>
        </w:rPr>
        <w:t>IL</w:t>
      </w:r>
      <w:r>
        <w:rPr>
          <w:sz w:val="24"/>
          <w:szCs w:val="22"/>
        </w:rPr>
        <w:t>-8)的mRNA相对表达量。在对鲤鱼的研究中发现，蒲公英提取物可以提高鲤鱼增重率(WGR)和饲料系数(FCR)，改善血液生化指标及增强机体抗氧化能力</w:t>
      </w:r>
      <w:r>
        <w:rPr>
          <w:sz w:val="24"/>
          <w:szCs w:val="22"/>
          <w:vertAlign w:val="superscript"/>
        </w:rPr>
        <w:t>[7]</w:t>
      </w:r>
      <w:r>
        <w:rPr>
          <w:sz w:val="24"/>
          <w:szCs w:val="22"/>
        </w:rPr>
        <w:t>；在对斑马鱼的研究中发现，蒲公英提取物可以减少机体炎症反应</w:t>
      </w:r>
      <w:r>
        <w:rPr>
          <w:sz w:val="24"/>
          <w:szCs w:val="22"/>
          <w:vertAlign w:val="superscript"/>
        </w:rPr>
        <w:t>[8]</w:t>
      </w:r>
      <w:r>
        <w:rPr>
          <w:sz w:val="24"/>
          <w:szCs w:val="22"/>
        </w:rPr>
        <w:t>。Tan等</w:t>
      </w:r>
      <w:r>
        <w:rPr>
          <w:sz w:val="24"/>
          <w:szCs w:val="22"/>
          <w:vertAlign w:val="superscript"/>
        </w:rPr>
        <w:t>[9]</w:t>
      </w:r>
      <w:r>
        <w:rPr>
          <w:sz w:val="24"/>
          <w:szCs w:val="22"/>
        </w:rPr>
        <w:t>研究发现，饲料中添加蒲公英提取物可通过改善鲳鱼肠道形态、免疫、抗氧化能力和肠道屏障来促进肠道健康。综上所述，蒲公英提取物能够改善鱼类的生理功能，促进鱼类的健康成长。</w:t>
      </w:r>
    </w:p>
    <w:p>
      <w:pPr>
        <w:spacing w:line="360" w:lineRule="auto"/>
        <w:ind w:firstLine="480" w:firstLineChars="200"/>
        <w:rPr>
          <w:sz w:val="24"/>
          <w:szCs w:val="22"/>
        </w:rPr>
      </w:pPr>
      <w:r>
        <w:rPr>
          <w:sz w:val="24"/>
          <w:szCs w:val="22"/>
        </w:rPr>
        <w:t>四氯化碳(CCl</w:t>
      </w:r>
      <w:r>
        <w:rPr>
          <w:sz w:val="24"/>
          <w:szCs w:val="22"/>
          <w:vertAlign w:val="subscript"/>
        </w:rPr>
        <w:t>4</w:t>
      </w:r>
      <w:r>
        <w:rPr>
          <w:sz w:val="24"/>
          <w:szCs w:val="22"/>
        </w:rPr>
        <w:t>)作为经典的致肝细胞坏死的肝损伤模型药物，广泛运用于研究保肝药物及药用植物提取物的评价</w:t>
      </w:r>
      <w:r>
        <w:rPr>
          <w:sz w:val="24"/>
          <w:szCs w:val="22"/>
          <w:vertAlign w:val="superscript"/>
        </w:rPr>
        <w:t>[10</w:t>
      </w:r>
      <w:r>
        <w:rPr>
          <w:rFonts w:hint="eastAsia"/>
          <w:sz w:val="24"/>
          <w:szCs w:val="22"/>
          <w:vertAlign w:val="superscript"/>
        </w:rPr>
        <w:t>-</w:t>
      </w:r>
      <w:r>
        <w:rPr>
          <w:sz w:val="24"/>
          <w:szCs w:val="22"/>
          <w:vertAlign w:val="superscript"/>
        </w:rPr>
        <w:t>11]</w:t>
      </w:r>
      <w:r>
        <w:rPr>
          <w:sz w:val="24"/>
          <w:szCs w:val="22"/>
        </w:rPr>
        <w:t>。李洪宇等</w:t>
      </w:r>
      <w:r>
        <w:rPr>
          <w:sz w:val="24"/>
          <w:szCs w:val="22"/>
          <w:vertAlign w:val="superscript"/>
        </w:rPr>
        <w:t>[12]</w:t>
      </w:r>
      <w:r>
        <w:rPr>
          <w:sz w:val="24"/>
          <w:szCs w:val="22"/>
        </w:rPr>
        <w:t>使用CCl</w:t>
      </w:r>
      <w:r>
        <w:rPr>
          <w:sz w:val="24"/>
          <w:szCs w:val="22"/>
          <w:vertAlign w:val="subscript"/>
        </w:rPr>
        <w:t>4</w:t>
      </w:r>
      <w:r>
        <w:rPr>
          <w:sz w:val="24"/>
          <w:szCs w:val="22"/>
        </w:rPr>
        <w:t>诱导小鼠急性肝损伤，探讨了两色金鸡菊提取物的保肝作用；何秋霞等</w:t>
      </w:r>
      <w:r>
        <w:rPr>
          <w:sz w:val="24"/>
          <w:szCs w:val="22"/>
          <w:vertAlign w:val="superscript"/>
        </w:rPr>
        <w:t>[13]</w:t>
      </w:r>
      <w:r>
        <w:rPr>
          <w:sz w:val="24"/>
          <w:szCs w:val="22"/>
        </w:rPr>
        <w:t>利用CCl</w:t>
      </w:r>
      <w:r>
        <w:rPr>
          <w:sz w:val="24"/>
          <w:szCs w:val="22"/>
          <w:vertAlign w:val="subscript"/>
        </w:rPr>
        <w:t>4</w:t>
      </w:r>
      <w:r>
        <w:rPr>
          <w:sz w:val="24"/>
          <w:szCs w:val="22"/>
        </w:rPr>
        <w:t>处理斑马鱼仔鱼，制作了CCl</w:t>
      </w:r>
      <w:r>
        <w:rPr>
          <w:sz w:val="24"/>
          <w:szCs w:val="22"/>
          <w:vertAlign w:val="subscript"/>
        </w:rPr>
        <w:t>4</w:t>
      </w:r>
      <w:r>
        <w:rPr>
          <w:sz w:val="24"/>
          <w:szCs w:val="22"/>
        </w:rPr>
        <w:t>致损的斑马鱼肝损伤模型；Krasnov等</w:t>
      </w:r>
      <w:r>
        <w:rPr>
          <w:sz w:val="24"/>
          <w:szCs w:val="22"/>
          <w:vertAlign w:val="superscript"/>
        </w:rPr>
        <w:t>[14]</w:t>
      </w:r>
      <w:r>
        <w:rPr>
          <w:sz w:val="24"/>
          <w:szCs w:val="22"/>
        </w:rPr>
        <w:t>利用CCl</w:t>
      </w:r>
      <w:r>
        <w:rPr>
          <w:sz w:val="24"/>
          <w:szCs w:val="22"/>
          <w:vertAlign w:val="subscript"/>
        </w:rPr>
        <w:t>4</w:t>
      </w:r>
      <w:r>
        <w:rPr>
          <w:sz w:val="24"/>
          <w:szCs w:val="22"/>
        </w:rPr>
        <w:t>胁迫后的虹鳟鱼幼鱼，研究了影响虹鳟鱼参与细胞应激、蛋白质折叠和类固醇代谢的结构蛋白和基因等。综上所述，CCl</w:t>
      </w:r>
      <w:r>
        <w:rPr>
          <w:sz w:val="24"/>
          <w:szCs w:val="22"/>
          <w:vertAlign w:val="subscript"/>
        </w:rPr>
        <w:t>4</w:t>
      </w:r>
      <w:r>
        <w:rPr>
          <w:sz w:val="24"/>
          <w:szCs w:val="22"/>
        </w:rPr>
        <w:t>在试验动物肝损伤模型的建立中具有广泛的应用。因此，本研究采用CCl</w:t>
      </w:r>
      <w:r>
        <w:rPr>
          <w:sz w:val="24"/>
          <w:szCs w:val="22"/>
          <w:vertAlign w:val="subscript"/>
        </w:rPr>
        <w:t>4</w:t>
      </w:r>
      <w:r>
        <w:rPr>
          <w:sz w:val="24"/>
          <w:szCs w:val="22"/>
        </w:rPr>
        <w:t>注射的方法，建立珍珠龙胆石斑鱼肝损伤模型，进而研究饲喂不同浓度蒲公英提取物饲料的珍珠龙胆石斑鱼经过CCl</w:t>
      </w:r>
      <w:r>
        <w:rPr>
          <w:sz w:val="24"/>
          <w:szCs w:val="22"/>
          <w:vertAlign w:val="subscript"/>
        </w:rPr>
        <w:t>4</w:t>
      </w:r>
      <w:r>
        <w:rPr>
          <w:sz w:val="24"/>
          <w:szCs w:val="22"/>
        </w:rPr>
        <w:t>注射后其肝脏形态、血清生化指标和抗氧化基因表达水平的变化情况。</w:t>
      </w:r>
    </w:p>
    <w:p>
      <w:pPr>
        <w:spacing w:line="360" w:lineRule="auto"/>
        <w:ind w:firstLine="480" w:firstLineChars="200"/>
        <w:rPr>
          <w:sz w:val="24"/>
          <w:szCs w:val="22"/>
        </w:rPr>
      </w:pPr>
      <w:r>
        <w:rPr>
          <w:sz w:val="24"/>
          <w:szCs w:val="22"/>
        </w:rPr>
        <w:t>珍珠龙胆石斑鱼是以抗病力强的棕点石斑鱼(</w:t>
      </w:r>
      <w:r>
        <w:rPr>
          <w:i/>
          <w:iCs/>
          <w:sz w:val="24"/>
          <w:szCs w:val="22"/>
        </w:rPr>
        <w:t>Epinephelus</w:t>
      </w:r>
      <w:r>
        <w:rPr>
          <w:rFonts w:hint="eastAsia"/>
          <w:i/>
          <w:iCs/>
          <w:sz w:val="24"/>
          <w:szCs w:val="22"/>
        </w:rPr>
        <w:t xml:space="preserve"> </w:t>
      </w:r>
      <w:r>
        <w:rPr>
          <w:i/>
          <w:iCs/>
          <w:sz w:val="24"/>
          <w:szCs w:val="22"/>
        </w:rPr>
        <w:t>fuscoguttatus</w:t>
      </w:r>
      <w:r>
        <w:rPr>
          <w:sz w:val="24"/>
          <w:szCs w:val="22"/>
        </w:rPr>
        <w:t>)为父本和生长速度快的鞍带石斑鱼(</w:t>
      </w:r>
      <w:r>
        <w:rPr>
          <w:i/>
          <w:iCs/>
          <w:sz w:val="24"/>
          <w:szCs w:val="22"/>
        </w:rPr>
        <w:t>Epinephelus</w:t>
      </w:r>
      <w:r>
        <w:rPr>
          <w:rFonts w:hint="eastAsia"/>
          <w:i/>
          <w:iCs/>
          <w:sz w:val="24"/>
          <w:szCs w:val="22"/>
        </w:rPr>
        <w:t xml:space="preserve"> </w:t>
      </w:r>
      <w:r>
        <w:rPr>
          <w:i/>
          <w:iCs/>
          <w:sz w:val="24"/>
          <w:szCs w:val="22"/>
        </w:rPr>
        <w:t>lanceolatus</w:t>
      </w:r>
      <w:r>
        <w:rPr>
          <w:sz w:val="24"/>
          <w:szCs w:val="22"/>
        </w:rPr>
        <w:t>)为母本杂交而来的，具有亲本双方生长速度快、蛋白质含量高、肉质纤维细腻等优点</w:t>
      </w:r>
      <w:r>
        <w:rPr>
          <w:sz w:val="24"/>
          <w:szCs w:val="22"/>
          <w:vertAlign w:val="superscript"/>
        </w:rPr>
        <w:t>[15]</w:t>
      </w:r>
      <w:r>
        <w:rPr>
          <w:sz w:val="24"/>
          <w:szCs w:val="22"/>
        </w:rPr>
        <w:t>，显示出较强的杂种优势，已经成为中国、韩国、日本以及东南亚等地区的重要经济鱼类</w:t>
      </w:r>
      <w:r>
        <w:rPr>
          <w:sz w:val="24"/>
          <w:szCs w:val="22"/>
          <w:vertAlign w:val="superscript"/>
        </w:rPr>
        <w:t>[6]</w:t>
      </w:r>
      <w:r>
        <w:rPr>
          <w:sz w:val="24"/>
          <w:szCs w:val="22"/>
        </w:rPr>
        <w:t>，具有较高的经济价值。但关于蒲公英提取物对珍珠龙胆石斑鱼等水产动物在CCl</w:t>
      </w:r>
      <w:r>
        <w:rPr>
          <w:sz w:val="24"/>
          <w:szCs w:val="22"/>
          <w:vertAlign w:val="subscript"/>
        </w:rPr>
        <w:t>4</w:t>
      </w:r>
      <w:r>
        <w:rPr>
          <w:sz w:val="24"/>
          <w:szCs w:val="22"/>
        </w:rPr>
        <w:t>胁迫下的保肝作用仍不清楚。因此，本研究以不同浓度蒲公英提取物对CCl</w:t>
      </w:r>
      <w:r>
        <w:rPr>
          <w:sz w:val="24"/>
          <w:szCs w:val="22"/>
          <w:vertAlign w:val="subscript"/>
        </w:rPr>
        <w:t>4</w:t>
      </w:r>
      <w:r>
        <w:rPr>
          <w:sz w:val="24"/>
          <w:szCs w:val="22"/>
        </w:rPr>
        <w:t>胁迫后珍珠龙胆石斑鱼肝脏形态、血清生化指标和抗氧化能力的影响进行分析，探索不同浓度蒲公英提取物对石斑鱼保肝护肝和抗氧化能力的影响，为蒲公英提取物作为水产动物免疫增强剂的应用提供理论依据和数据参考。</w:t>
      </w:r>
    </w:p>
    <w:p>
      <w:pPr>
        <w:spacing w:line="360" w:lineRule="auto"/>
        <w:rPr>
          <w:sz w:val="24"/>
          <w:szCs w:val="22"/>
        </w:rPr>
      </w:pPr>
      <w:r>
        <w:rPr>
          <w:sz w:val="24"/>
          <w:szCs w:val="22"/>
        </w:rPr>
        <w:t>1</w:t>
      </w:r>
      <w:r>
        <w:rPr>
          <w:rFonts w:hint="eastAsia"/>
          <w:sz w:val="24"/>
          <w:szCs w:val="22"/>
        </w:rPr>
        <w:t xml:space="preserve"> </w:t>
      </w:r>
      <w:r>
        <w:rPr>
          <w:sz w:val="24"/>
          <w:szCs w:val="22"/>
        </w:rPr>
        <w:t>材料与方法</w:t>
      </w:r>
    </w:p>
    <w:p>
      <w:pPr>
        <w:spacing w:line="360" w:lineRule="auto"/>
        <w:rPr>
          <w:sz w:val="24"/>
          <w:szCs w:val="22"/>
        </w:rPr>
      </w:pPr>
      <w:r>
        <w:rPr>
          <w:sz w:val="24"/>
          <w:szCs w:val="22"/>
        </w:rPr>
        <w:t>1.1</w:t>
      </w:r>
      <w:r>
        <w:rPr>
          <w:rFonts w:hint="eastAsia"/>
          <w:sz w:val="24"/>
          <w:szCs w:val="22"/>
        </w:rPr>
        <w:t xml:space="preserve"> </w:t>
      </w:r>
      <w:r>
        <w:rPr>
          <w:sz w:val="24"/>
          <w:szCs w:val="22"/>
        </w:rPr>
        <w:t>试验材料</w:t>
      </w:r>
    </w:p>
    <w:p>
      <w:pPr>
        <w:spacing w:line="360" w:lineRule="auto"/>
        <w:ind w:firstLine="480" w:firstLineChars="200"/>
        <w:rPr>
          <w:sz w:val="24"/>
          <w:szCs w:val="22"/>
        </w:rPr>
      </w:pPr>
      <w:r>
        <w:rPr>
          <w:sz w:val="24"/>
          <w:szCs w:val="22"/>
        </w:rPr>
        <w:t>本研究所使用的蒲公英提取物购自南京道斯夫生物科技有限公司，其有效成分黄酮含量为20%；珍珠龙胆石斑鱼苗来自惠州大亚湾试验基地，平均体重为(43.32±0.60)g。</w:t>
      </w:r>
    </w:p>
    <w:p>
      <w:pPr>
        <w:spacing w:line="360" w:lineRule="auto"/>
        <w:rPr>
          <w:sz w:val="24"/>
          <w:szCs w:val="22"/>
        </w:rPr>
      </w:pPr>
      <w:r>
        <w:rPr>
          <w:sz w:val="24"/>
          <w:szCs w:val="22"/>
        </w:rPr>
        <w:t>1.2</w:t>
      </w:r>
      <w:r>
        <w:rPr>
          <w:rFonts w:hint="eastAsia"/>
          <w:sz w:val="24"/>
          <w:szCs w:val="22"/>
        </w:rPr>
        <w:t xml:space="preserve"> </w:t>
      </w:r>
      <w:r>
        <w:rPr>
          <w:sz w:val="24"/>
          <w:szCs w:val="22"/>
        </w:rPr>
        <w:t>试验设计和饲料制作</w:t>
      </w:r>
    </w:p>
    <w:p>
      <w:pPr>
        <w:spacing w:line="360" w:lineRule="auto"/>
        <w:ind w:firstLine="480" w:firstLineChars="200"/>
        <w:rPr>
          <w:sz w:val="24"/>
          <w:szCs w:val="22"/>
        </w:rPr>
      </w:pPr>
      <w:r>
        <w:rPr>
          <w:sz w:val="24"/>
          <w:szCs w:val="22"/>
        </w:rPr>
        <w:t>华南师范大学动物饲养管理与使用委员会批准了本研究(批准文号：SCNU</w:t>
      </w:r>
      <w:r>
        <w:rPr>
          <w:rFonts w:hint="eastAsia"/>
          <w:sz w:val="24"/>
          <w:szCs w:val="22"/>
        </w:rPr>
        <w:t>-</w:t>
      </w:r>
      <w:r>
        <w:rPr>
          <w:sz w:val="24"/>
          <w:szCs w:val="22"/>
        </w:rPr>
        <w:t>SLS</w:t>
      </w:r>
      <w:r>
        <w:rPr>
          <w:rFonts w:hint="eastAsia"/>
          <w:sz w:val="24"/>
          <w:szCs w:val="22"/>
        </w:rPr>
        <w:t>-</w:t>
      </w:r>
      <w:r>
        <w:rPr>
          <w:sz w:val="24"/>
          <w:szCs w:val="22"/>
        </w:rPr>
        <w:t>2023</w:t>
      </w:r>
      <w:r>
        <w:rPr>
          <w:rFonts w:hint="eastAsia"/>
          <w:sz w:val="24"/>
          <w:szCs w:val="22"/>
        </w:rPr>
        <w:t>-</w:t>
      </w:r>
      <w:r>
        <w:rPr>
          <w:sz w:val="24"/>
          <w:szCs w:val="22"/>
        </w:rPr>
        <w:t>040)，本研究严格遵循了相关指导原则。</w:t>
      </w:r>
    </w:p>
    <w:p>
      <w:pPr>
        <w:spacing w:line="360" w:lineRule="auto"/>
        <w:ind w:firstLine="480" w:firstLineChars="200"/>
        <w:rPr>
          <w:sz w:val="24"/>
          <w:szCs w:val="22"/>
        </w:rPr>
      </w:pPr>
      <w:r>
        <w:rPr>
          <w:sz w:val="24"/>
          <w:szCs w:val="22"/>
        </w:rPr>
        <w:t>选择体重相近、状态良好的珍珠龙胆石斑鱼300尾，随机分成5组，每组3个重复，每个重复20尾。对照组饲喂基础饲料，试验组(Ⅰ～Ⅳ组)分别在基础饲料中添加0.1%、0.2%、0.4%和0.8%的蒲公英提取物。以鱼粉和豆粕为蛋白质源，以鱼油和豆油为脂肪源制作饲料。所有的饲料原料经粉碎后过60mm目筛，将原料均匀混合后按30%的比例加入纯净水，然后使用双螺杆挤条机(购自华南理工大学)和造粒机(购自华南理工大学)将混合后的饲料制成直径为2.5mm的颗粒料。自然晾干，置于</w:t>
      </w:r>
      <w:r>
        <w:rPr>
          <w:rFonts w:hint="eastAsia"/>
          <w:sz w:val="24"/>
          <w:szCs w:val="22"/>
        </w:rPr>
        <w:t>-</w:t>
      </w:r>
      <w:r>
        <w:rPr>
          <w:sz w:val="24"/>
          <w:szCs w:val="22"/>
        </w:rPr>
        <w:t>20℃的冰箱中保存备用。饲料组成及营养水平见先前发表的数据</w:t>
      </w:r>
      <w:r>
        <w:rPr>
          <w:sz w:val="24"/>
          <w:szCs w:val="22"/>
          <w:vertAlign w:val="superscript"/>
        </w:rPr>
        <w:t>[6]</w:t>
      </w:r>
      <w:r>
        <w:rPr>
          <w:sz w:val="24"/>
          <w:szCs w:val="22"/>
        </w:rPr>
        <w:t>。</w:t>
      </w:r>
    </w:p>
    <w:p>
      <w:pPr>
        <w:spacing w:line="360" w:lineRule="auto"/>
        <w:rPr>
          <w:sz w:val="24"/>
          <w:szCs w:val="22"/>
        </w:rPr>
      </w:pPr>
      <w:r>
        <w:rPr>
          <w:sz w:val="24"/>
          <w:szCs w:val="22"/>
        </w:rPr>
        <w:t>1.3</w:t>
      </w:r>
      <w:r>
        <w:rPr>
          <w:rFonts w:hint="eastAsia"/>
          <w:sz w:val="24"/>
          <w:szCs w:val="22"/>
        </w:rPr>
        <w:t xml:space="preserve"> </w:t>
      </w:r>
      <w:r>
        <w:rPr>
          <w:sz w:val="24"/>
          <w:szCs w:val="22"/>
        </w:rPr>
        <w:t>石斑鱼饲养与管理</w:t>
      </w:r>
    </w:p>
    <w:p>
      <w:pPr>
        <w:spacing w:line="360" w:lineRule="auto"/>
        <w:ind w:firstLine="480" w:firstLineChars="200"/>
        <w:rPr>
          <w:sz w:val="24"/>
          <w:szCs w:val="22"/>
        </w:rPr>
      </w:pPr>
      <w:r>
        <w:rPr>
          <w:sz w:val="24"/>
          <w:szCs w:val="22"/>
        </w:rPr>
        <w:t>将珍珠龙胆石斑鱼随机饲养于容量为500L的玻璃钢桶中，在正式试验之前用商品饲料暂养1周。按照试验计划，提前准备15个玻璃钢桶并按1～15依次编号，分别随机取20尾鱼置于各个桶中。除投喂的饲料组分不同外，各组间饲养管理无差异，每天进行2次饱食投喂(08：00和16：00)。养殖期为8周，养殖期间水温23～30℃，盐度保持30‰，溶氧量在6.0mg/L以上，pH保持在7.8～8.0，氨氮含量低于0.05mg/L。</w:t>
      </w:r>
    </w:p>
    <w:p>
      <w:pPr>
        <w:spacing w:line="360" w:lineRule="auto"/>
        <w:rPr>
          <w:sz w:val="24"/>
          <w:szCs w:val="22"/>
        </w:rPr>
      </w:pPr>
      <w:r>
        <w:rPr>
          <w:sz w:val="24"/>
          <w:szCs w:val="22"/>
        </w:rPr>
        <w:t>1.4</w:t>
      </w:r>
      <w:r>
        <w:rPr>
          <w:rFonts w:hint="eastAsia"/>
          <w:sz w:val="24"/>
          <w:szCs w:val="22"/>
        </w:rPr>
        <w:t xml:space="preserve"> </w:t>
      </w:r>
      <w:r>
        <w:rPr>
          <w:sz w:val="24"/>
          <w:szCs w:val="22"/>
        </w:rPr>
        <w:t>胁迫试验</w:t>
      </w:r>
    </w:p>
    <w:p>
      <w:pPr>
        <w:spacing w:line="360" w:lineRule="auto"/>
        <w:ind w:firstLine="480" w:firstLineChars="200"/>
        <w:rPr>
          <w:sz w:val="24"/>
          <w:szCs w:val="22"/>
        </w:rPr>
      </w:pPr>
      <w:r>
        <w:rPr>
          <w:sz w:val="24"/>
          <w:szCs w:val="22"/>
        </w:rPr>
        <w:t>养殖期结束后，饥饿24h。使用橄榄油将CCl</w:t>
      </w:r>
      <w:r>
        <w:rPr>
          <w:sz w:val="24"/>
          <w:szCs w:val="22"/>
          <w:vertAlign w:val="subscript"/>
        </w:rPr>
        <w:t>4</w:t>
      </w:r>
      <w:r>
        <w:rPr>
          <w:sz w:val="24"/>
          <w:szCs w:val="22"/>
        </w:rPr>
        <w:t>稀释至30%。试验组(Ⅰ～Ⅳ组)每重复随机取10尾鱼，注射橄榄油稀释的30%CCl</w:t>
      </w:r>
      <w:r>
        <w:rPr>
          <w:sz w:val="24"/>
          <w:szCs w:val="22"/>
          <w:vertAlign w:val="subscript"/>
        </w:rPr>
        <w:t>4</w:t>
      </w:r>
      <w:r>
        <w:rPr>
          <w:sz w:val="24"/>
          <w:szCs w:val="22"/>
        </w:rPr>
        <w:t>；对照组每重复随机取10尾鱼，再随机分为2组，每组3个重复，每重复10尾鱼，一组注射纯橄榄油作为空白对照组，另一组注射30%CCl</w:t>
      </w:r>
      <w:r>
        <w:rPr>
          <w:sz w:val="24"/>
          <w:szCs w:val="22"/>
          <w:vertAlign w:val="subscript"/>
        </w:rPr>
        <w:t>4</w:t>
      </w:r>
      <w:r>
        <w:rPr>
          <w:sz w:val="24"/>
          <w:szCs w:val="22"/>
        </w:rPr>
        <w:t>作为模型组。各组均采用腹腔注射(按照每10g体重0.05mL的剂量)。注射完成后，胁迫72h，密切监测石斑鱼的生理状态。</w:t>
      </w:r>
    </w:p>
    <w:p>
      <w:pPr>
        <w:spacing w:line="360" w:lineRule="auto"/>
        <w:rPr>
          <w:sz w:val="24"/>
          <w:szCs w:val="22"/>
        </w:rPr>
      </w:pPr>
      <w:r>
        <w:rPr>
          <w:sz w:val="24"/>
          <w:szCs w:val="22"/>
        </w:rPr>
        <w:t>1.5</w:t>
      </w:r>
      <w:r>
        <w:rPr>
          <w:rFonts w:hint="eastAsia"/>
          <w:sz w:val="24"/>
          <w:szCs w:val="22"/>
        </w:rPr>
        <w:t xml:space="preserve"> </w:t>
      </w:r>
      <w:r>
        <w:rPr>
          <w:sz w:val="24"/>
          <w:szCs w:val="22"/>
        </w:rPr>
        <w:t>样品收集</w:t>
      </w:r>
    </w:p>
    <w:p>
      <w:pPr>
        <w:spacing w:line="360" w:lineRule="auto"/>
        <w:ind w:firstLine="480" w:firstLineChars="200"/>
        <w:rPr>
          <w:sz w:val="24"/>
          <w:szCs w:val="22"/>
        </w:rPr>
      </w:pPr>
      <w:r>
        <w:rPr>
          <w:sz w:val="24"/>
          <w:szCs w:val="22"/>
        </w:rPr>
        <w:t>CCl</w:t>
      </w:r>
      <w:r>
        <w:rPr>
          <w:sz w:val="24"/>
          <w:szCs w:val="22"/>
          <w:vertAlign w:val="subscript"/>
        </w:rPr>
        <w:t>4</w:t>
      </w:r>
      <w:r>
        <w:rPr>
          <w:sz w:val="24"/>
          <w:szCs w:val="22"/>
        </w:rPr>
        <w:t>胁迫72h后，每桶随机取活鱼3～5尾，用100mg/L的MS-222麻醉，用1mL注射器从尾部静脉处取血，将血样置于离心管中，在冰箱4℃放置过夜后放入离心机进行1000×g离心10min，取上清获得血清样本，</w:t>
      </w:r>
      <w:r>
        <w:rPr>
          <w:rFonts w:hint="eastAsia"/>
          <w:sz w:val="24"/>
          <w:szCs w:val="22"/>
        </w:rPr>
        <w:t>-</w:t>
      </w:r>
      <w:r>
        <w:rPr>
          <w:sz w:val="24"/>
          <w:szCs w:val="22"/>
        </w:rPr>
        <w:t>80℃冻存；然后剖开腹部，剥离出肝脏、头肾和脾脏，取适量样本。每组样品中随机取适量肝脏，置于4%多聚甲醛保存，用于制作组织切片观察肝</w:t>
      </w:r>
      <w:r>
        <w:rPr>
          <w:rFonts w:hint="eastAsia"/>
          <w:sz w:val="24"/>
          <w:szCs w:val="22"/>
        </w:rPr>
        <w:t>脏形态；其余样品迅速于液氮速冻后，置于-</w:t>
      </w:r>
      <w:r>
        <w:rPr>
          <w:sz w:val="24"/>
          <w:szCs w:val="22"/>
        </w:rPr>
        <w:t>80℃冰箱</w:t>
      </w:r>
      <w:r>
        <w:rPr>
          <w:rFonts w:hint="eastAsia"/>
          <w:sz w:val="24"/>
          <w:szCs w:val="22"/>
        </w:rPr>
        <w:t>保存，用于分</w:t>
      </w:r>
      <w:r>
        <w:rPr>
          <w:sz w:val="24"/>
          <w:szCs w:val="22"/>
        </w:rPr>
        <w:t>析抗氧化基因表达。</w:t>
      </w:r>
    </w:p>
    <w:p>
      <w:pPr>
        <w:spacing w:line="360" w:lineRule="auto"/>
        <w:rPr>
          <w:sz w:val="24"/>
          <w:szCs w:val="22"/>
        </w:rPr>
      </w:pPr>
      <w:r>
        <w:rPr>
          <w:sz w:val="24"/>
          <w:szCs w:val="22"/>
        </w:rPr>
        <w:t>1.6</w:t>
      </w:r>
      <w:r>
        <w:rPr>
          <w:rFonts w:hint="eastAsia"/>
          <w:sz w:val="24"/>
          <w:szCs w:val="22"/>
        </w:rPr>
        <w:t xml:space="preserve"> </w:t>
      </w:r>
      <w:r>
        <w:rPr>
          <w:sz w:val="24"/>
          <w:szCs w:val="22"/>
        </w:rPr>
        <w:t>指标测定</w:t>
      </w:r>
    </w:p>
    <w:p>
      <w:pPr>
        <w:spacing w:line="360" w:lineRule="auto"/>
        <w:rPr>
          <w:sz w:val="24"/>
          <w:szCs w:val="22"/>
        </w:rPr>
      </w:pPr>
      <w:r>
        <w:rPr>
          <w:sz w:val="24"/>
          <w:szCs w:val="22"/>
        </w:rPr>
        <w:t>1.6.1</w:t>
      </w:r>
      <w:r>
        <w:rPr>
          <w:rFonts w:hint="eastAsia"/>
          <w:sz w:val="24"/>
          <w:szCs w:val="22"/>
        </w:rPr>
        <w:t xml:space="preserve"> </w:t>
      </w:r>
      <w:r>
        <w:rPr>
          <w:sz w:val="24"/>
          <w:szCs w:val="22"/>
        </w:rPr>
        <w:t>肝脏组织切片的制作与观察</w:t>
      </w:r>
    </w:p>
    <w:p>
      <w:pPr>
        <w:spacing w:line="360" w:lineRule="auto"/>
        <w:ind w:firstLine="480" w:firstLineChars="200"/>
        <w:rPr>
          <w:sz w:val="24"/>
          <w:szCs w:val="22"/>
        </w:rPr>
      </w:pPr>
      <w:r>
        <w:rPr>
          <w:sz w:val="24"/>
          <w:szCs w:val="22"/>
        </w:rPr>
        <w:t>取4%多聚甲醛固定好的肝脏组织0.5cm</w:t>
      </w:r>
      <w:r>
        <w:rPr>
          <w:sz w:val="24"/>
          <w:szCs w:val="22"/>
          <w:vertAlign w:val="superscript"/>
        </w:rPr>
        <w:t>3</w:t>
      </w:r>
      <w:r>
        <w:rPr>
          <w:sz w:val="24"/>
          <w:szCs w:val="22"/>
        </w:rPr>
        <w:t>，经水洗、脱水、透明、浸蜡、包埋、切片后，附贴于用甘油处理过的载玻片上进行苏木精</w:t>
      </w:r>
      <w:r>
        <w:rPr>
          <w:rFonts w:hint="eastAsia"/>
          <w:sz w:val="24"/>
          <w:szCs w:val="22"/>
        </w:rPr>
        <w:t>-</w:t>
      </w:r>
      <w:r>
        <w:rPr>
          <w:sz w:val="24"/>
          <w:szCs w:val="22"/>
        </w:rPr>
        <w:t>伊红(HE)染色，用中性树胶进行封片，置于光学显微镜下观察并记录，评估肝脏组织形态变化。</w:t>
      </w:r>
    </w:p>
    <w:p>
      <w:pPr>
        <w:spacing w:line="360" w:lineRule="auto"/>
        <w:ind w:firstLine="480" w:firstLineChars="200"/>
        <w:rPr>
          <w:sz w:val="24"/>
          <w:szCs w:val="22"/>
        </w:rPr>
      </w:pPr>
    </w:p>
    <w:p>
      <w:pPr>
        <w:spacing w:line="360" w:lineRule="auto"/>
        <w:rPr>
          <w:sz w:val="24"/>
          <w:szCs w:val="22"/>
        </w:rPr>
      </w:pPr>
      <w:r>
        <w:rPr>
          <w:sz w:val="24"/>
          <w:szCs w:val="22"/>
        </w:rPr>
        <w:t>1.6.2</w:t>
      </w:r>
      <w:r>
        <w:rPr>
          <w:rFonts w:hint="eastAsia"/>
          <w:sz w:val="24"/>
          <w:szCs w:val="22"/>
        </w:rPr>
        <w:t xml:space="preserve"> </w:t>
      </w:r>
      <w:r>
        <w:rPr>
          <w:sz w:val="24"/>
          <w:szCs w:val="22"/>
        </w:rPr>
        <w:t>血清生化指标测定</w:t>
      </w:r>
    </w:p>
    <w:p>
      <w:pPr>
        <w:spacing w:line="360" w:lineRule="auto"/>
        <w:ind w:firstLine="480" w:firstLineChars="200"/>
        <w:rPr>
          <w:sz w:val="24"/>
          <w:szCs w:val="22"/>
        </w:rPr>
      </w:pPr>
      <w:r>
        <w:rPr>
          <w:sz w:val="24"/>
          <w:szCs w:val="22"/>
        </w:rPr>
        <w:t>使用全自动生化分析仪(7180型，HITACHI公司，日本)按照WAKOLabAssay系列试剂盒(上海金畔生物科技有限公司)的说明书，分别测定血清中丙氨酸氨基转移酶(ALT)、天冬氨酸氨基转移酶(AST)、碱性磷酸酶(ALP)、乳酸脱氢酶(LDH)活性及总蛋白(TP)、球蛋白(GLOB)、白蛋白(ALB)含量。</w:t>
      </w:r>
    </w:p>
    <w:p>
      <w:pPr>
        <w:spacing w:line="360" w:lineRule="auto"/>
        <w:rPr>
          <w:sz w:val="24"/>
          <w:szCs w:val="22"/>
        </w:rPr>
      </w:pPr>
      <w:r>
        <w:rPr>
          <w:sz w:val="24"/>
          <w:szCs w:val="22"/>
        </w:rPr>
        <w:t>1.6.3</w:t>
      </w:r>
      <w:r>
        <w:rPr>
          <w:rFonts w:hint="eastAsia"/>
          <w:sz w:val="24"/>
          <w:szCs w:val="22"/>
        </w:rPr>
        <w:t xml:space="preserve"> </w:t>
      </w:r>
      <w:r>
        <w:rPr>
          <w:sz w:val="24"/>
          <w:szCs w:val="22"/>
        </w:rPr>
        <w:t>抗氧化基因表达</w:t>
      </w:r>
    </w:p>
    <w:p>
      <w:pPr>
        <w:spacing w:line="360" w:lineRule="auto"/>
        <w:ind w:firstLine="480" w:firstLineChars="200"/>
        <w:rPr>
          <w:sz w:val="24"/>
          <w:szCs w:val="22"/>
        </w:rPr>
      </w:pPr>
      <w:r>
        <w:rPr>
          <w:sz w:val="24"/>
          <w:szCs w:val="22"/>
        </w:rPr>
        <w:t>根据试剂盒(北京全式金生物科技有限公司)说明书操作，采用两步法在荧光定量PCR仪(CFX96，Bio-Rad</w:t>
      </w:r>
      <w:r>
        <w:rPr>
          <w:rFonts w:hint="eastAsia"/>
          <w:sz w:val="24"/>
          <w:szCs w:val="22"/>
        </w:rPr>
        <w:t xml:space="preserve"> </w:t>
      </w:r>
      <w:r>
        <w:rPr>
          <w:sz w:val="24"/>
          <w:szCs w:val="22"/>
        </w:rPr>
        <w:t>Laboratories，Inc.，美国)测定各组石斑鱼肝脏、脾脏和头肾的Kelch样环氧氯丙烷相关蛋白1(</w:t>
      </w:r>
      <w:r>
        <w:rPr>
          <w:i/>
          <w:iCs/>
          <w:sz w:val="24"/>
          <w:szCs w:val="22"/>
        </w:rPr>
        <w:t>Keap</w:t>
      </w:r>
      <w:r>
        <w:rPr>
          <w:sz w:val="24"/>
          <w:szCs w:val="22"/>
        </w:rPr>
        <w:t>1)、锰超氧化物歧化酶(</w:t>
      </w:r>
      <w:r>
        <w:rPr>
          <w:i/>
          <w:iCs/>
          <w:sz w:val="24"/>
          <w:szCs w:val="22"/>
        </w:rPr>
        <w:t>MnSOD</w:t>
      </w:r>
      <w:r>
        <w:rPr>
          <w:sz w:val="24"/>
          <w:szCs w:val="22"/>
        </w:rPr>
        <w:t>)、</w:t>
      </w:r>
      <w:r>
        <w:rPr>
          <w:i/>
          <w:iCs/>
          <w:sz w:val="24"/>
          <w:szCs w:val="22"/>
        </w:rPr>
        <w:t>GPX</w:t>
      </w:r>
      <w:r>
        <w:rPr>
          <w:sz w:val="24"/>
          <w:szCs w:val="22"/>
        </w:rPr>
        <w:t>、</w:t>
      </w:r>
      <w:r>
        <w:rPr>
          <w:i/>
          <w:iCs/>
          <w:sz w:val="24"/>
          <w:szCs w:val="22"/>
        </w:rPr>
        <w:t>CAT</w:t>
      </w:r>
      <w:r>
        <w:rPr>
          <w:sz w:val="24"/>
          <w:szCs w:val="22"/>
        </w:rPr>
        <w:t>和</w:t>
      </w:r>
      <w:r>
        <w:rPr>
          <w:i/>
          <w:iCs/>
          <w:sz w:val="24"/>
          <w:szCs w:val="22"/>
        </w:rPr>
        <w:t>GR</w:t>
      </w:r>
      <w:r>
        <w:rPr>
          <w:sz w:val="24"/>
          <w:szCs w:val="22"/>
        </w:rPr>
        <w:t>的mRNA相对表达量。引物序列参考之前已发表的文章</w:t>
      </w:r>
      <w:r>
        <w:rPr>
          <w:sz w:val="24"/>
          <w:szCs w:val="22"/>
          <w:vertAlign w:val="superscript"/>
        </w:rPr>
        <w:t>[6]</w:t>
      </w:r>
      <w:r>
        <w:rPr>
          <w:sz w:val="24"/>
          <w:szCs w:val="22"/>
        </w:rPr>
        <w:t>。</w:t>
      </w:r>
    </w:p>
    <w:p>
      <w:pPr>
        <w:spacing w:line="360" w:lineRule="auto"/>
        <w:rPr>
          <w:sz w:val="24"/>
          <w:szCs w:val="22"/>
        </w:rPr>
      </w:pPr>
      <w:r>
        <w:rPr>
          <w:sz w:val="24"/>
          <w:szCs w:val="22"/>
        </w:rPr>
        <w:t>1.7</w:t>
      </w:r>
      <w:r>
        <w:rPr>
          <w:rFonts w:hint="eastAsia"/>
          <w:sz w:val="24"/>
          <w:szCs w:val="22"/>
        </w:rPr>
        <w:t xml:space="preserve"> </w:t>
      </w:r>
      <w:r>
        <w:rPr>
          <w:sz w:val="24"/>
          <w:szCs w:val="22"/>
        </w:rPr>
        <w:t>数据统计分析</w:t>
      </w:r>
    </w:p>
    <w:p>
      <w:pPr>
        <w:spacing w:line="360" w:lineRule="auto"/>
        <w:ind w:firstLine="480" w:firstLineChars="200"/>
        <w:rPr>
          <w:sz w:val="24"/>
          <w:szCs w:val="22"/>
        </w:rPr>
      </w:pPr>
      <w:r>
        <w:rPr>
          <w:sz w:val="24"/>
          <w:szCs w:val="22"/>
        </w:rPr>
        <w:t>试验结果采用SPSS22.0软件进行单因素方差分析(one-wayANOVA)，并用Duncan氏多重比较法进行差异显著性分析，结果以平均值±标准差(mean±SD)表示，</w:t>
      </w:r>
      <w:r>
        <w:rPr>
          <w:i/>
          <w:sz w:val="24"/>
          <w:szCs w:val="22"/>
        </w:rPr>
        <w:t>P</w:t>
      </w:r>
      <w:r>
        <w:rPr>
          <w:sz w:val="24"/>
          <w:szCs w:val="22"/>
        </w:rPr>
        <w:t>＜0.05为存在显著差异。</w:t>
      </w:r>
    </w:p>
    <w:p>
      <w:pPr>
        <w:spacing w:line="360" w:lineRule="auto"/>
        <w:rPr>
          <w:sz w:val="24"/>
          <w:szCs w:val="22"/>
        </w:rPr>
      </w:pPr>
      <w:r>
        <w:rPr>
          <w:sz w:val="24"/>
          <w:szCs w:val="22"/>
        </w:rPr>
        <w:t>2</w:t>
      </w:r>
      <w:r>
        <w:rPr>
          <w:rFonts w:hint="eastAsia"/>
          <w:sz w:val="24"/>
          <w:szCs w:val="22"/>
        </w:rPr>
        <w:t xml:space="preserve"> </w:t>
      </w:r>
      <w:r>
        <w:rPr>
          <w:sz w:val="24"/>
          <w:szCs w:val="22"/>
        </w:rPr>
        <w:t>结果</w:t>
      </w:r>
    </w:p>
    <w:p>
      <w:pPr>
        <w:spacing w:line="360" w:lineRule="auto"/>
        <w:rPr>
          <w:sz w:val="24"/>
          <w:szCs w:val="22"/>
        </w:rPr>
      </w:pPr>
      <w:r>
        <w:rPr>
          <w:sz w:val="24"/>
          <w:szCs w:val="22"/>
        </w:rPr>
        <w:t>2.1</w:t>
      </w:r>
      <w:r>
        <w:rPr>
          <w:rFonts w:hint="eastAsia"/>
          <w:sz w:val="24"/>
          <w:szCs w:val="22"/>
        </w:rPr>
        <w:t xml:space="preserve"> </w:t>
      </w:r>
      <w:r>
        <w:rPr>
          <w:sz w:val="24"/>
          <w:szCs w:val="22"/>
        </w:rPr>
        <w:t>蒲公英提取物对CCl</w:t>
      </w:r>
      <w:r>
        <w:rPr>
          <w:sz w:val="24"/>
          <w:szCs w:val="22"/>
          <w:vertAlign w:val="subscript"/>
        </w:rPr>
        <w:t>4</w:t>
      </w:r>
      <w:r>
        <w:rPr>
          <w:sz w:val="24"/>
          <w:szCs w:val="22"/>
        </w:rPr>
        <w:t>胁迫后珍珠龙胆石斑鱼肝脏形态的影响</w:t>
      </w:r>
    </w:p>
    <w:p>
      <w:pPr>
        <w:spacing w:line="360" w:lineRule="auto"/>
        <w:ind w:firstLine="480" w:firstLineChars="200"/>
        <w:rPr>
          <w:sz w:val="24"/>
          <w:szCs w:val="22"/>
        </w:rPr>
      </w:pPr>
      <w:r>
        <w:rPr>
          <w:sz w:val="24"/>
          <w:szCs w:val="22"/>
        </w:rPr>
        <w:t>如图1所示，与空白对照组对比，模型组肝细胞发生空泡化，部分细胞膜明显破裂，且大部分细胞核位置发生明显偏移或者聚集现象；试验Ⅱ组肝细胞形态比较完整，未出现空泡化，细胞核位置居中；试验Ⅲ组肝细胞出现空泡化，细胞膜边缘模糊化，且细胞核发生细微偏移，细胞核保持着较完好的形态结构；试验Ⅳ组肝细胞核明显偏移，核膜破裂导致形态发生改变。</w:t>
      </w:r>
    </w:p>
    <w:p>
      <w:pPr>
        <w:spacing w:line="360" w:lineRule="auto"/>
        <w:jc w:val="center"/>
        <w:rPr>
          <w:sz w:val="24"/>
          <w:szCs w:val="22"/>
        </w:rPr>
      </w:pPr>
      <w:r>
        <w:rPr>
          <w:rFonts w:ascii="宋体" w:hAnsi="宋体" w:cs="宋体"/>
          <w:sz w:val="24"/>
        </w:rPr>
        <w:drawing>
          <wp:inline distT="0" distB="0" distL="114300" distR="114300">
            <wp:extent cx="4841875" cy="2546985"/>
            <wp:effectExtent l="0" t="0" r="0" b="5715"/>
            <wp:docPr id="1577156470" name="图片 157715647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7156470" name="图片 1577156470" descr="IMG_256"/>
                    <pic:cNvPicPr>
                      <a:picLocks noChangeAspect="1"/>
                    </pic:cNvPicPr>
                  </pic:nvPicPr>
                  <pic:blipFill>
                    <a:blip r:embed="rId34"/>
                    <a:stretch>
                      <a:fillRect/>
                    </a:stretch>
                  </pic:blipFill>
                  <pic:spPr>
                    <a:xfrm>
                      <a:off x="0" y="0"/>
                      <a:ext cx="4864859" cy="2559285"/>
                    </a:xfrm>
                    <a:prstGeom prst="rect">
                      <a:avLst/>
                    </a:prstGeom>
                    <a:noFill/>
                    <a:ln w="9525">
                      <a:noFill/>
                    </a:ln>
                  </pic:spPr>
                </pic:pic>
              </a:graphicData>
            </a:graphic>
          </wp:inline>
        </w:drawing>
      </w:r>
    </w:p>
    <w:p>
      <w:pPr>
        <w:spacing w:line="360" w:lineRule="auto"/>
        <w:rPr>
          <w:sz w:val="24"/>
          <w:szCs w:val="22"/>
        </w:rPr>
      </w:pPr>
      <w:r>
        <w:rPr>
          <w:sz w:val="24"/>
          <w:szCs w:val="22"/>
        </w:rPr>
        <w:t>2.2</w:t>
      </w:r>
      <w:r>
        <w:rPr>
          <w:rFonts w:hint="eastAsia"/>
          <w:sz w:val="24"/>
          <w:szCs w:val="22"/>
        </w:rPr>
        <w:t xml:space="preserve"> </w:t>
      </w:r>
      <w:r>
        <w:rPr>
          <w:sz w:val="24"/>
          <w:szCs w:val="22"/>
        </w:rPr>
        <w:t>蒲公英提取物对CCl</w:t>
      </w:r>
      <w:r>
        <w:rPr>
          <w:sz w:val="24"/>
          <w:szCs w:val="22"/>
          <w:vertAlign w:val="subscript"/>
        </w:rPr>
        <w:t>4</w:t>
      </w:r>
      <w:r>
        <w:rPr>
          <w:sz w:val="24"/>
          <w:szCs w:val="22"/>
        </w:rPr>
        <w:t>胁迫后珍珠龙胆石斑鱼血清生化指标的影响</w:t>
      </w:r>
    </w:p>
    <w:p>
      <w:pPr>
        <w:spacing w:line="360" w:lineRule="auto"/>
        <w:ind w:firstLine="480" w:firstLineChars="200"/>
        <w:rPr>
          <w:sz w:val="24"/>
          <w:szCs w:val="22"/>
        </w:rPr>
      </w:pPr>
      <w:r>
        <w:rPr>
          <w:sz w:val="24"/>
          <w:szCs w:val="22"/>
        </w:rPr>
        <w:t>如表1所示，试验Ⅰ组血清ALT活性最低，试验Ⅰ、Ⅱ组血清ALT活性显著低于模型组(</w:t>
      </w:r>
      <w:r>
        <w:rPr>
          <w:i/>
          <w:sz w:val="24"/>
          <w:szCs w:val="22"/>
        </w:rPr>
        <w:t>P</w:t>
      </w:r>
      <w:r>
        <w:rPr>
          <w:sz w:val="24"/>
          <w:szCs w:val="22"/>
        </w:rPr>
        <w:t>＜0.05)；空白对照组血清ALP活性显著低于其他各组(</w:t>
      </w:r>
      <w:r>
        <w:rPr>
          <w:i/>
          <w:sz w:val="24"/>
          <w:szCs w:val="22"/>
        </w:rPr>
        <w:t>P</w:t>
      </w:r>
      <w:r>
        <w:rPr>
          <w:sz w:val="24"/>
          <w:szCs w:val="22"/>
        </w:rPr>
        <w:t>＜0.05)；试验Ⅱ组血清ALB含量显著高于空白对照组和模型组(</w:t>
      </w:r>
      <w:r>
        <w:rPr>
          <w:i/>
          <w:sz w:val="24"/>
          <w:szCs w:val="22"/>
        </w:rPr>
        <w:t>P</w:t>
      </w:r>
      <w:r>
        <w:rPr>
          <w:sz w:val="24"/>
          <w:szCs w:val="22"/>
        </w:rPr>
        <w:t>＜0.05)。各组之间血清AST、LDH活性及TP、GLOB含量无显著差异(</w:t>
      </w:r>
      <w:r>
        <w:rPr>
          <w:i/>
          <w:sz w:val="24"/>
          <w:szCs w:val="22"/>
        </w:rPr>
        <w:t>P</w:t>
      </w:r>
      <w:r>
        <w:rPr>
          <w:sz w:val="24"/>
          <w:szCs w:val="22"/>
        </w:rPr>
        <w:t>＞0.05)。</w:t>
      </w:r>
    </w:p>
    <w:p>
      <w:pPr>
        <w:spacing w:line="360" w:lineRule="auto"/>
        <w:jc w:val="center"/>
        <w:rPr>
          <w:sz w:val="24"/>
          <w:szCs w:val="22"/>
        </w:rPr>
      </w:pPr>
      <w:r>
        <w:rPr>
          <w:rFonts w:ascii="宋体" w:hAnsi="宋体" w:cs="宋体"/>
          <w:sz w:val="24"/>
        </w:rPr>
        <w:drawing>
          <wp:inline distT="0" distB="0" distL="114300" distR="114300">
            <wp:extent cx="5906135" cy="2690495"/>
            <wp:effectExtent l="0" t="0" r="0" b="0"/>
            <wp:docPr id="2091992132" name="图片 209199213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992132" name="图片 2091992132" descr="IMG_256"/>
                    <pic:cNvPicPr>
                      <a:picLocks noChangeAspect="1"/>
                    </pic:cNvPicPr>
                  </pic:nvPicPr>
                  <pic:blipFill>
                    <a:blip r:embed="rId35"/>
                    <a:stretch>
                      <a:fillRect/>
                    </a:stretch>
                  </pic:blipFill>
                  <pic:spPr>
                    <a:xfrm>
                      <a:off x="0" y="0"/>
                      <a:ext cx="5912545" cy="2693653"/>
                    </a:xfrm>
                    <a:prstGeom prst="rect">
                      <a:avLst/>
                    </a:prstGeom>
                    <a:noFill/>
                    <a:ln w="9525">
                      <a:noFill/>
                    </a:ln>
                  </pic:spPr>
                </pic:pic>
              </a:graphicData>
            </a:graphic>
          </wp:inline>
        </w:drawing>
      </w:r>
    </w:p>
    <w:p>
      <w:pPr>
        <w:spacing w:line="360" w:lineRule="auto"/>
        <w:rPr>
          <w:sz w:val="24"/>
          <w:szCs w:val="22"/>
        </w:rPr>
      </w:pPr>
      <w:r>
        <w:rPr>
          <w:sz w:val="24"/>
          <w:szCs w:val="22"/>
        </w:rPr>
        <w:t>2.3</w:t>
      </w:r>
      <w:r>
        <w:rPr>
          <w:rFonts w:hint="eastAsia"/>
          <w:sz w:val="24"/>
          <w:szCs w:val="22"/>
        </w:rPr>
        <w:t xml:space="preserve"> </w:t>
      </w:r>
      <w:r>
        <w:rPr>
          <w:sz w:val="24"/>
          <w:szCs w:val="22"/>
        </w:rPr>
        <w:t>蒲公英提取物对CCl</w:t>
      </w:r>
      <w:r>
        <w:rPr>
          <w:sz w:val="24"/>
          <w:szCs w:val="22"/>
          <w:vertAlign w:val="subscript"/>
        </w:rPr>
        <w:t>4</w:t>
      </w:r>
      <w:r>
        <w:rPr>
          <w:sz w:val="24"/>
          <w:szCs w:val="22"/>
        </w:rPr>
        <w:t>胁迫后珍珠龙胆石斑鱼抗氧化能力的影响</w:t>
      </w:r>
    </w:p>
    <w:p>
      <w:pPr>
        <w:spacing w:line="360" w:lineRule="auto"/>
        <w:rPr>
          <w:sz w:val="24"/>
          <w:szCs w:val="22"/>
        </w:rPr>
      </w:pPr>
      <w:r>
        <w:rPr>
          <w:sz w:val="24"/>
          <w:szCs w:val="22"/>
        </w:rPr>
        <w:t>2.3.1</w:t>
      </w:r>
      <w:r>
        <w:rPr>
          <w:rFonts w:hint="eastAsia"/>
          <w:sz w:val="24"/>
          <w:szCs w:val="22"/>
        </w:rPr>
        <w:t xml:space="preserve"> </w:t>
      </w:r>
      <w:r>
        <w:rPr>
          <w:sz w:val="24"/>
          <w:szCs w:val="22"/>
        </w:rPr>
        <w:t>蒲公英提取物对CCl</w:t>
      </w:r>
      <w:r>
        <w:rPr>
          <w:sz w:val="24"/>
          <w:szCs w:val="22"/>
          <w:vertAlign w:val="subscript"/>
        </w:rPr>
        <w:t>4</w:t>
      </w:r>
      <w:r>
        <w:rPr>
          <w:sz w:val="24"/>
          <w:szCs w:val="22"/>
        </w:rPr>
        <w:t>胁迫后珍珠龙胆石斑鱼肝脏抗氧化基因表达的影响</w:t>
      </w:r>
    </w:p>
    <w:p>
      <w:pPr>
        <w:spacing w:line="360" w:lineRule="auto"/>
        <w:ind w:firstLine="480" w:firstLineChars="200"/>
        <w:rPr>
          <w:sz w:val="24"/>
          <w:szCs w:val="22"/>
        </w:rPr>
      </w:pPr>
      <w:r>
        <w:rPr>
          <w:sz w:val="24"/>
          <w:szCs w:val="22"/>
        </w:rPr>
        <w:t>如图2所示，模型组肝脏</w:t>
      </w:r>
      <w:r>
        <w:rPr>
          <w:i/>
          <w:iCs/>
          <w:sz w:val="24"/>
          <w:szCs w:val="22"/>
        </w:rPr>
        <w:t>Keap</w:t>
      </w:r>
      <w:r>
        <w:rPr>
          <w:sz w:val="24"/>
          <w:szCs w:val="22"/>
        </w:rPr>
        <w:t>1的mRNA相对表达量显著高于空白对照组(</w:t>
      </w:r>
      <w:r>
        <w:rPr>
          <w:i/>
          <w:sz w:val="24"/>
          <w:szCs w:val="22"/>
        </w:rPr>
        <w:t>P</w:t>
      </w:r>
      <w:r>
        <w:rPr>
          <w:sz w:val="24"/>
          <w:szCs w:val="22"/>
        </w:rPr>
        <w:t>＜0.05)；试验Ⅰ、Ⅱ、Ⅲ、Ⅳ组肝脏</w:t>
      </w:r>
      <w:r>
        <w:rPr>
          <w:i/>
          <w:iCs/>
          <w:sz w:val="24"/>
          <w:szCs w:val="22"/>
        </w:rPr>
        <w:t>Keap</w:t>
      </w:r>
      <w:r>
        <w:rPr>
          <w:sz w:val="24"/>
          <w:szCs w:val="22"/>
        </w:rPr>
        <w:t>1的mRNA相对表达量呈现逐渐增高的趋势，但均显著低于模型组(</w:t>
      </w:r>
      <w:r>
        <w:rPr>
          <w:i/>
          <w:sz w:val="24"/>
          <w:szCs w:val="22"/>
        </w:rPr>
        <w:t>P</w:t>
      </w:r>
      <w:r>
        <w:rPr>
          <w:sz w:val="24"/>
          <w:szCs w:val="22"/>
        </w:rPr>
        <w:t>＜0.05)。模型组肝脏</w:t>
      </w:r>
      <w:r>
        <w:rPr>
          <w:i/>
          <w:iCs/>
          <w:sz w:val="24"/>
          <w:szCs w:val="22"/>
        </w:rPr>
        <w:t>GPX</w:t>
      </w:r>
      <w:r>
        <w:rPr>
          <w:sz w:val="24"/>
          <w:szCs w:val="22"/>
        </w:rPr>
        <w:t>、</w:t>
      </w:r>
      <w:r>
        <w:rPr>
          <w:i/>
          <w:iCs/>
          <w:sz w:val="24"/>
          <w:szCs w:val="22"/>
        </w:rPr>
        <w:t>CAT</w:t>
      </w:r>
      <w:r>
        <w:rPr>
          <w:sz w:val="24"/>
          <w:szCs w:val="22"/>
        </w:rPr>
        <w:t>和</w:t>
      </w:r>
      <w:r>
        <w:rPr>
          <w:i/>
          <w:iCs/>
          <w:sz w:val="24"/>
          <w:szCs w:val="22"/>
        </w:rPr>
        <w:t>GR</w:t>
      </w:r>
      <w:r>
        <w:rPr>
          <w:sz w:val="24"/>
          <w:szCs w:val="22"/>
        </w:rPr>
        <w:t>的mRNA相对表达量均显著高于空白对照组(</w:t>
      </w:r>
      <w:r>
        <w:rPr>
          <w:i/>
          <w:sz w:val="24"/>
          <w:szCs w:val="22"/>
        </w:rPr>
        <w:t>P</w:t>
      </w:r>
      <w:r>
        <w:rPr>
          <w:sz w:val="24"/>
          <w:szCs w:val="22"/>
        </w:rPr>
        <w:t>＜0.05)。试验Ⅱ、Ⅲ、Ⅳ组肝脏</w:t>
      </w:r>
      <w:r>
        <w:rPr>
          <w:i/>
          <w:iCs/>
          <w:sz w:val="24"/>
          <w:szCs w:val="22"/>
        </w:rPr>
        <w:t>GPX</w:t>
      </w:r>
      <w:r>
        <w:rPr>
          <w:sz w:val="24"/>
          <w:szCs w:val="22"/>
        </w:rPr>
        <w:t>和</w:t>
      </w:r>
      <w:r>
        <w:rPr>
          <w:i/>
          <w:iCs/>
          <w:sz w:val="24"/>
          <w:szCs w:val="22"/>
        </w:rPr>
        <w:t>MnSOD</w:t>
      </w:r>
      <w:r>
        <w:rPr>
          <w:sz w:val="24"/>
          <w:szCs w:val="22"/>
        </w:rPr>
        <w:t>的mRNA相对表达量均显著高于试验Ⅰ组和空白对照组(</w:t>
      </w:r>
      <w:r>
        <w:rPr>
          <w:i/>
          <w:sz w:val="24"/>
          <w:szCs w:val="22"/>
        </w:rPr>
        <w:t>P</w:t>
      </w:r>
      <w:r>
        <w:rPr>
          <w:sz w:val="24"/>
          <w:szCs w:val="22"/>
        </w:rPr>
        <w:t>＜0.05)。模型组及试验Ⅰ、Ⅱ组肝脏</w:t>
      </w:r>
      <w:r>
        <w:rPr>
          <w:i/>
          <w:iCs/>
          <w:sz w:val="24"/>
          <w:szCs w:val="22"/>
        </w:rPr>
        <w:t>CAT</w:t>
      </w:r>
      <w:r>
        <w:rPr>
          <w:sz w:val="24"/>
          <w:szCs w:val="22"/>
        </w:rPr>
        <w:t>和</w:t>
      </w:r>
      <w:r>
        <w:rPr>
          <w:i/>
          <w:iCs/>
          <w:sz w:val="24"/>
          <w:szCs w:val="22"/>
        </w:rPr>
        <w:t>GR</w:t>
      </w:r>
      <w:r>
        <w:rPr>
          <w:sz w:val="24"/>
          <w:szCs w:val="22"/>
        </w:rPr>
        <w:t>的mRNA相对表达量显著高于其他各组(</w:t>
      </w:r>
      <w:r>
        <w:rPr>
          <w:i/>
          <w:sz w:val="24"/>
          <w:szCs w:val="22"/>
        </w:rPr>
        <w:t>P</w:t>
      </w:r>
      <w:r>
        <w:rPr>
          <w:sz w:val="24"/>
          <w:szCs w:val="22"/>
        </w:rPr>
        <w:t>＜0.05)。</w:t>
      </w:r>
    </w:p>
    <w:p>
      <w:pPr>
        <w:spacing w:line="360" w:lineRule="auto"/>
        <w:rPr>
          <w:sz w:val="24"/>
          <w:szCs w:val="22"/>
        </w:rPr>
      </w:pPr>
      <w:r>
        <w:rPr>
          <w:sz w:val="24"/>
          <w:szCs w:val="22"/>
        </w:rPr>
        <w:t>2.3.2</w:t>
      </w:r>
      <w:r>
        <w:rPr>
          <w:rFonts w:hint="eastAsia"/>
          <w:sz w:val="24"/>
          <w:szCs w:val="22"/>
        </w:rPr>
        <w:t xml:space="preserve"> </w:t>
      </w:r>
      <w:r>
        <w:rPr>
          <w:sz w:val="24"/>
          <w:szCs w:val="22"/>
        </w:rPr>
        <w:t>蒲公英提取物对CCl</w:t>
      </w:r>
      <w:r>
        <w:rPr>
          <w:sz w:val="24"/>
          <w:szCs w:val="22"/>
          <w:vertAlign w:val="subscript"/>
        </w:rPr>
        <w:t>4</w:t>
      </w:r>
      <w:r>
        <w:rPr>
          <w:sz w:val="24"/>
          <w:szCs w:val="22"/>
        </w:rPr>
        <w:t>胁迫后珍珠龙胆石斑鱼头肾抗氧化基因表达的影响</w:t>
      </w:r>
    </w:p>
    <w:p>
      <w:pPr>
        <w:spacing w:line="360" w:lineRule="auto"/>
        <w:ind w:firstLine="480" w:firstLineChars="200"/>
        <w:rPr>
          <w:sz w:val="24"/>
          <w:szCs w:val="22"/>
        </w:rPr>
      </w:pPr>
      <w:r>
        <w:rPr>
          <w:sz w:val="24"/>
          <w:szCs w:val="22"/>
        </w:rPr>
        <w:t>如图3所示，空白对照组头肾</w:t>
      </w:r>
      <w:r>
        <w:rPr>
          <w:i/>
          <w:iCs/>
          <w:sz w:val="24"/>
          <w:szCs w:val="22"/>
        </w:rPr>
        <w:t>Keap</w:t>
      </w:r>
      <w:r>
        <w:rPr>
          <w:sz w:val="24"/>
          <w:szCs w:val="22"/>
        </w:rPr>
        <w:t>1、</w:t>
      </w:r>
      <w:r>
        <w:rPr>
          <w:i/>
          <w:iCs/>
          <w:sz w:val="24"/>
          <w:szCs w:val="22"/>
        </w:rPr>
        <w:t>GPX</w:t>
      </w:r>
      <w:r>
        <w:rPr>
          <w:sz w:val="24"/>
          <w:szCs w:val="22"/>
        </w:rPr>
        <w:t>和</w:t>
      </w:r>
      <w:r>
        <w:rPr>
          <w:i/>
          <w:iCs/>
          <w:sz w:val="24"/>
          <w:szCs w:val="22"/>
        </w:rPr>
        <w:t>MnSOD</w:t>
      </w:r>
      <w:r>
        <w:rPr>
          <w:sz w:val="24"/>
          <w:szCs w:val="22"/>
        </w:rPr>
        <w:t>的mRNA相对表达量显著高于其他各组(</w:t>
      </w:r>
      <w:r>
        <w:rPr>
          <w:i/>
          <w:sz w:val="24"/>
          <w:szCs w:val="22"/>
        </w:rPr>
        <w:t>P</w:t>
      </w:r>
      <w:r>
        <w:rPr>
          <w:sz w:val="24"/>
          <w:szCs w:val="22"/>
        </w:rPr>
        <w:t>＜0.05)。模型组头肾</w:t>
      </w:r>
      <w:r>
        <w:rPr>
          <w:i/>
          <w:iCs/>
          <w:sz w:val="24"/>
          <w:szCs w:val="22"/>
        </w:rPr>
        <w:t>CAT</w:t>
      </w:r>
      <w:r>
        <w:rPr>
          <w:sz w:val="24"/>
          <w:szCs w:val="22"/>
        </w:rPr>
        <w:t>和</w:t>
      </w:r>
      <w:r>
        <w:rPr>
          <w:i/>
          <w:iCs/>
          <w:sz w:val="24"/>
          <w:szCs w:val="22"/>
        </w:rPr>
        <w:t>GR</w:t>
      </w:r>
      <w:r>
        <w:rPr>
          <w:sz w:val="24"/>
          <w:szCs w:val="22"/>
        </w:rPr>
        <w:t>的mRNA相对表达量显著低于其他各组(</w:t>
      </w:r>
      <w:r>
        <w:rPr>
          <w:i/>
          <w:sz w:val="24"/>
          <w:szCs w:val="22"/>
        </w:rPr>
        <w:t>P</w:t>
      </w:r>
      <w:r>
        <w:rPr>
          <w:sz w:val="24"/>
          <w:szCs w:val="22"/>
        </w:rPr>
        <w:t>＜0.05)。试验Ⅰ、Ⅱ、Ⅲ、Ⅳ组头肾</w:t>
      </w:r>
      <w:r>
        <w:rPr>
          <w:i/>
          <w:iCs/>
          <w:sz w:val="24"/>
          <w:szCs w:val="22"/>
        </w:rPr>
        <w:t>GPX</w:t>
      </w:r>
      <w:r>
        <w:rPr>
          <w:sz w:val="24"/>
          <w:szCs w:val="22"/>
        </w:rPr>
        <w:t>和</w:t>
      </w:r>
      <w:r>
        <w:rPr>
          <w:i/>
          <w:iCs/>
          <w:sz w:val="24"/>
          <w:szCs w:val="22"/>
        </w:rPr>
        <w:t>CAT</w:t>
      </w:r>
      <w:r>
        <w:rPr>
          <w:sz w:val="24"/>
          <w:szCs w:val="22"/>
        </w:rPr>
        <w:t>的mRNA相对表达量呈现先降低后升高的趋势，且均在试验Ⅲ组达到最低值。</w:t>
      </w:r>
    </w:p>
    <w:p>
      <w:pPr>
        <w:spacing w:line="360" w:lineRule="auto"/>
        <w:jc w:val="center"/>
        <w:rPr>
          <w:sz w:val="24"/>
          <w:szCs w:val="22"/>
        </w:rPr>
      </w:pPr>
      <w:r>
        <w:rPr>
          <w:rFonts w:ascii="宋体" w:hAnsi="宋体" w:cs="宋体"/>
          <w:sz w:val="24"/>
        </w:rPr>
        <w:drawing>
          <wp:inline distT="0" distB="0" distL="114300" distR="114300">
            <wp:extent cx="5921375" cy="3048000"/>
            <wp:effectExtent l="0" t="0" r="3175" b="0"/>
            <wp:docPr id="1638340301" name="图片 163834030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340301" name="图片 1638340301" descr="IMG_256"/>
                    <pic:cNvPicPr>
                      <a:picLocks noChangeAspect="1"/>
                    </pic:cNvPicPr>
                  </pic:nvPicPr>
                  <pic:blipFill>
                    <a:blip r:embed="rId36"/>
                    <a:stretch>
                      <a:fillRect/>
                    </a:stretch>
                  </pic:blipFill>
                  <pic:spPr>
                    <a:xfrm>
                      <a:off x="0" y="0"/>
                      <a:ext cx="5940145" cy="3057662"/>
                    </a:xfrm>
                    <a:prstGeom prst="rect">
                      <a:avLst/>
                    </a:prstGeom>
                    <a:noFill/>
                    <a:ln w="9525">
                      <a:noFill/>
                    </a:ln>
                  </pic:spPr>
                </pic:pic>
              </a:graphicData>
            </a:graphic>
          </wp:inline>
        </w:drawing>
      </w:r>
    </w:p>
    <w:p>
      <w:pPr>
        <w:spacing w:line="360" w:lineRule="auto"/>
        <w:jc w:val="center"/>
        <w:rPr>
          <w:sz w:val="24"/>
          <w:szCs w:val="22"/>
        </w:rPr>
      </w:pPr>
      <w:r>
        <w:rPr>
          <w:rFonts w:ascii="宋体" w:hAnsi="宋体" w:cs="宋体"/>
          <w:sz w:val="24"/>
        </w:rPr>
        <w:drawing>
          <wp:inline distT="0" distB="0" distL="114300" distR="114300">
            <wp:extent cx="5862955" cy="3248025"/>
            <wp:effectExtent l="0" t="0" r="4445" b="9525"/>
            <wp:docPr id="514915232" name="图片 51491523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915232" name="图片 514915232" descr="IMG_256"/>
                    <pic:cNvPicPr>
                      <a:picLocks noChangeAspect="1"/>
                    </pic:cNvPicPr>
                  </pic:nvPicPr>
                  <pic:blipFill>
                    <a:blip r:embed="rId37"/>
                    <a:stretch>
                      <a:fillRect/>
                    </a:stretch>
                  </pic:blipFill>
                  <pic:spPr>
                    <a:xfrm>
                      <a:off x="0" y="0"/>
                      <a:ext cx="5875572" cy="3255096"/>
                    </a:xfrm>
                    <a:prstGeom prst="rect">
                      <a:avLst/>
                    </a:prstGeom>
                    <a:noFill/>
                    <a:ln w="9525">
                      <a:noFill/>
                    </a:ln>
                  </pic:spPr>
                </pic:pic>
              </a:graphicData>
            </a:graphic>
          </wp:inline>
        </w:drawing>
      </w:r>
    </w:p>
    <w:p>
      <w:pPr>
        <w:spacing w:line="360" w:lineRule="auto"/>
        <w:rPr>
          <w:sz w:val="24"/>
          <w:szCs w:val="22"/>
        </w:rPr>
      </w:pPr>
      <w:r>
        <w:rPr>
          <w:sz w:val="24"/>
          <w:szCs w:val="22"/>
        </w:rPr>
        <w:t>2.3.3</w:t>
      </w:r>
      <w:r>
        <w:rPr>
          <w:rFonts w:hint="eastAsia"/>
          <w:sz w:val="24"/>
          <w:szCs w:val="22"/>
        </w:rPr>
        <w:t xml:space="preserve"> </w:t>
      </w:r>
      <w:r>
        <w:rPr>
          <w:sz w:val="24"/>
          <w:szCs w:val="22"/>
        </w:rPr>
        <w:t>蒲公英提取物对CCl</w:t>
      </w:r>
      <w:r>
        <w:rPr>
          <w:sz w:val="24"/>
          <w:szCs w:val="22"/>
          <w:vertAlign w:val="subscript"/>
        </w:rPr>
        <w:t>4</w:t>
      </w:r>
      <w:r>
        <w:rPr>
          <w:sz w:val="24"/>
          <w:szCs w:val="22"/>
        </w:rPr>
        <w:t>胁迫后珍珠龙胆石斑鱼脾脏抗氧化基因表达的影响</w:t>
      </w:r>
    </w:p>
    <w:p>
      <w:pPr>
        <w:spacing w:line="360" w:lineRule="auto"/>
        <w:ind w:firstLine="480" w:firstLineChars="200"/>
        <w:rPr>
          <w:sz w:val="24"/>
          <w:szCs w:val="22"/>
        </w:rPr>
      </w:pPr>
      <w:r>
        <w:rPr>
          <w:sz w:val="24"/>
          <w:szCs w:val="22"/>
        </w:rPr>
        <w:t>如图4所示，空白对照组脾脏</w:t>
      </w:r>
      <w:r>
        <w:rPr>
          <w:i/>
          <w:iCs/>
          <w:sz w:val="24"/>
          <w:szCs w:val="22"/>
        </w:rPr>
        <w:t>Keap</w:t>
      </w:r>
      <w:r>
        <w:rPr>
          <w:sz w:val="24"/>
          <w:szCs w:val="22"/>
        </w:rPr>
        <w:t>1的mRNA相对表达量显著低于模型组及试验Ⅲ、Ⅳ组(</w:t>
      </w:r>
      <w:r>
        <w:rPr>
          <w:i/>
          <w:sz w:val="24"/>
          <w:szCs w:val="22"/>
        </w:rPr>
        <w:t>P</w:t>
      </w:r>
      <w:r>
        <w:rPr>
          <w:sz w:val="24"/>
          <w:szCs w:val="22"/>
        </w:rPr>
        <w:t>＜0.05)。模型组脾脏</w:t>
      </w:r>
      <w:r>
        <w:rPr>
          <w:i/>
          <w:iCs/>
          <w:sz w:val="24"/>
          <w:szCs w:val="22"/>
        </w:rPr>
        <w:t>MnSOD</w:t>
      </w:r>
      <w:r>
        <w:rPr>
          <w:sz w:val="24"/>
          <w:szCs w:val="22"/>
        </w:rPr>
        <w:t>和</w:t>
      </w:r>
      <w:r>
        <w:rPr>
          <w:i/>
          <w:iCs/>
          <w:sz w:val="24"/>
          <w:szCs w:val="22"/>
        </w:rPr>
        <w:t>GR</w:t>
      </w:r>
      <w:r>
        <w:rPr>
          <w:sz w:val="24"/>
          <w:szCs w:val="22"/>
        </w:rPr>
        <w:t>的mRNA相对表达量显著低于空白对照组(</w:t>
      </w:r>
      <w:r>
        <w:rPr>
          <w:i/>
          <w:sz w:val="24"/>
          <w:szCs w:val="22"/>
        </w:rPr>
        <w:t>P</w:t>
      </w:r>
      <w:r>
        <w:rPr>
          <w:sz w:val="24"/>
          <w:szCs w:val="22"/>
        </w:rPr>
        <w:t>＜0.05)。试验Ⅲ组脾脏</w:t>
      </w:r>
      <w:r>
        <w:rPr>
          <w:i/>
          <w:iCs/>
          <w:sz w:val="24"/>
          <w:szCs w:val="22"/>
        </w:rPr>
        <w:t>MnSOD</w:t>
      </w:r>
      <w:r>
        <w:rPr>
          <w:sz w:val="24"/>
          <w:szCs w:val="22"/>
        </w:rPr>
        <w:t>和</w:t>
      </w:r>
      <w:r>
        <w:rPr>
          <w:i/>
          <w:iCs/>
          <w:sz w:val="24"/>
          <w:szCs w:val="22"/>
        </w:rPr>
        <w:t>CAT</w:t>
      </w:r>
      <w:r>
        <w:rPr>
          <w:sz w:val="24"/>
          <w:szCs w:val="22"/>
        </w:rPr>
        <w:t>的mRNA显著高于模型组(</w:t>
      </w:r>
      <w:r>
        <w:rPr>
          <w:i/>
          <w:sz w:val="24"/>
          <w:szCs w:val="22"/>
        </w:rPr>
        <w:t>P</w:t>
      </w:r>
      <w:r>
        <w:rPr>
          <w:sz w:val="24"/>
          <w:szCs w:val="22"/>
        </w:rPr>
        <w:t>＜0.05)。</w:t>
      </w:r>
    </w:p>
    <w:p>
      <w:pPr>
        <w:spacing w:line="360" w:lineRule="auto"/>
        <w:jc w:val="center"/>
        <w:rPr>
          <w:sz w:val="24"/>
          <w:szCs w:val="22"/>
        </w:rPr>
      </w:pPr>
      <w:r>
        <w:rPr>
          <w:rFonts w:ascii="宋体" w:hAnsi="宋体" w:cs="宋体"/>
          <w:sz w:val="24"/>
        </w:rPr>
        <w:drawing>
          <wp:inline distT="0" distB="0" distL="114300" distR="114300">
            <wp:extent cx="5860415" cy="2292350"/>
            <wp:effectExtent l="0" t="0" r="6985" b="0"/>
            <wp:docPr id="5"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256"/>
                    <pic:cNvPicPr>
                      <a:picLocks noChangeAspect="1"/>
                    </pic:cNvPicPr>
                  </pic:nvPicPr>
                  <pic:blipFill>
                    <a:blip r:embed="rId38"/>
                    <a:stretch>
                      <a:fillRect/>
                    </a:stretch>
                  </pic:blipFill>
                  <pic:spPr>
                    <a:xfrm>
                      <a:off x="0" y="0"/>
                      <a:ext cx="5866169" cy="2294903"/>
                    </a:xfrm>
                    <a:prstGeom prst="rect">
                      <a:avLst/>
                    </a:prstGeom>
                    <a:noFill/>
                    <a:ln w="9525">
                      <a:noFill/>
                    </a:ln>
                  </pic:spPr>
                </pic:pic>
              </a:graphicData>
            </a:graphic>
          </wp:inline>
        </w:drawing>
      </w:r>
    </w:p>
    <w:p>
      <w:pPr>
        <w:spacing w:line="360" w:lineRule="auto"/>
        <w:rPr>
          <w:sz w:val="24"/>
          <w:szCs w:val="22"/>
        </w:rPr>
      </w:pPr>
      <w:r>
        <w:rPr>
          <w:sz w:val="24"/>
          <w:szCs w:val="22"/>
        </w:rPr>
        <w:t>3</w:t>
      </w:r>
      <w:r>
        <w:rPr>
          <w:rFonts w:hint="eastAsia"/>
          <w:sz w:val="24"/>
          <w:szCs w:val="22"/>
        </w:rPr>
        <w:t xml:space="preserve"> </w:t>
      </w:r>
      <w:r>
        <w:rPr>
          <w:sz w:val="24"/>
          <w:szCs w:val="22"/>
        </w:rPr>
        <w:t>讨论</w:t>
      </w:r>
    </w:p>
    <w:p>
      <w:pPr>
        <w:spacing w:line="360" w:lineRule="auto"/>
        <w:rPr>
          <w:sz w:val="24"/>
          <w:szCs w:val="22"/>
        </w:rPr>
      </w:pPr>
      <w:r>
        <w:rPr>
          <w:sz w:val="24"/>
          <w:szCs w:val="22"/>
        </w:rPr>
        <w:t>3.1</w:t>
      </w:r>
      <w:r>
        <w:rPr>
          <w:rFonts w:hint="eastAsia"/>
          <w:sz w:val="24"/>
          <w:szCs w:val="22"/>
        </w:rPr>
        <w:t xml:space="preserve"> </w:t>
      </w:r>
      <w:r>
        <w:rPr>
          <w:sz w:val="24"/>
          <w:szCs w:val="22"/>
        </w:rPr>
        <w:t>蒲公英提取物对CCl</w:t>
      </w:r>
      <w:r>
        <w:rPr>
          <w:sz w:val="24"/>
          <w:szCs w:val="22"/>
          <w:vertAlign w:val="subscript"/>
        </w:rPr>
        <w:t>4</w:t>
      </w:r>
      <w:r>
        <w:rPr>
          <w:sz w:val="24"/>
          <w:szCs w:val="22"/>
        </w:rPr>
        <w:t>胁迫后珍珠龙胆石斑鱼肝脏形态的影响</w:t>
      </w:r>
    </w:p>
    <w:p>
      <w:pPr>
        <w:spacing w:line="360" w:lineRule="auto"/>
        <w:ind w:firstLine="480" w:firstLineChars="200"/>
        <w:rPr>
          <w:sz w:val="24"/>
          <w:szCs w:val="22"/>
        </w:rPr>
      </w:pPr>
      <w:r>
        <w:rPr>
          <w:sz w:val="24"/>
          <w:szCs w:val="22"/>
        </w:rPr>
        <w:t>通过显微镜认真观察肝组织切片，本研究发现CCl</w:t>
      </w:r>
      <w:r>
        <w:rPr>
          <w:sz w:val="24"/>
          <w:szCs w:val="22"/>
          <w:vertAlign w:val="subscript"/>
        </w:rPr>
        <w:t>4</w:t>
      </w:r>
      <w:r>
        <w:rPr>
          <w:sz w:val="24"/>
          <w:szCs w:val="22"/>
        </w:rPr>
        <w:t>胁迫对石斑鱼肝脏造成了显著的损伤，表现为肝脏细胞空泡化、细胞核偏移及聚集等病理现象。这些观察结果与先前研究中CCl</w:t>
      </w:r>
      <w:r>
        <w:rPr>
          <w:sz w:val="24"/>
          <w:szCs w:val="22"/>
          <w:vertAlign w:val="subscript"/>
        </w:rPr>
        <w:t>4</w:t>
      </w:r>
      <w:r>
        <w:rPr>
          <w:sz w:val="24"/>
          <w:szCs w:val="22"/>
        </w:rPr>
        <w:t>对水生生物及哺乳动物肝脏的毒性作用相一致，进一步验证了CCl</w:t>
      </w:r>
      <w:r>
        <w:rPr>
          <w:sz w:val="24"/>
          <w:szCs w:val="22"/>
          <w:vertAlign w:val="subscript"/>
        </w:rPr>
        <w:t>4</w:t>
      </w:r>
      <w:r>
        <w:rPr>
          <w:sz w:val="24"/>
          <w:szCs w:val="22"/>
        </w:rPr>
        <w:t>作为肝损伤诱导剂的可靠性。值得注意的是，饲喂添加蒲公英提取物饲料的珍珠龙胆石斑鱼在CCl</w:t>
      </w:r>
      <w:r>
        <w:rPr>
          <w:sz w:val="24"/>
          <w:szCs w:val="22"/>
          <w:vertAlign w:val="subscript"/>
        </w:rPr>
        <w:t>4</w:t>
      </w:r>
      <w:r>
        <w:rPr>
          <w:sz w:val="24"/>
          <w:szCs w:val="22"/>
        </w:rPr>
        <w:t>胁迫后，其肝脏的病理变化得到了明显的改善。特别是肝细胞空泡化和细胞核聚集现象，在蒲公英提取物的作用下得到了显著的缓解。这一发现不仅揭示了蒲公英提取物对石斑鱼肝脏损伤具有潜在的修复作用，还提示蒲公英提取物中的某些活性成分可能具有保护肝脏免受化学性损伤的能力。通过对比不同试验组的肝脏组织切片，发现饲料中添加0.2%的蒲公英提取物展现出了最佳的修复效果。这一结果不仅为蒲公英提取物的应用提供了具体的浓度参考，也为后续深入研究其活性成分及作用机制奠定了基础。</w:t>
      </w:r>
    </w:p>
    <w:p>
      <w:pPr>
        <w:spacing w:line="360" w:lineRule="auto"/>
        <w:ind w:firstLine="480" w:firstLineChars="200"/>
        <w:rPr>
          <w:sz w:val="24"/>
          <w:szCs w:val="22"/>
        </w:rPr>
      </w:pPr>
      <w:r>
        <w:rPr>
          <w:sz w:val="24"/>
          <w:szCs w:val="22"/>
        </w:rPr>
        <w:t>此外，本研究结果与先前关于姜黄素对鲤鱼肝脏损伤修复</w:t>
      </w:r>
      <w:r>
        <w:rPr>
          <w:sz w:val="24"/>
          <w:szCs w:val="22"/>
          <w:vertAlign w:val="superscript"/>
        </w:rPr>
        <w:t>[16]</w:t>
      </w:r>
      <w:r>
        <w:rPr>
          <w:sz w:val="24"/>
          <w:szCs w:val="22"/>
        </w:rPr>
        <w:t>以及人参皂苷对大鼠肝脏损伤修护</w:t>
      </w:r>
      <w:r>
        <w:rPr>
          <w:sz w:val="24"/>
          <w:szCs w:val="22"/>
          <w:vertAlign w:val="superscript"/>
        </w:rPr>
        <w:t>[17]</w:t>
      </w:r>
      <w:r>
        <w:rPr>
          <w:sz w:val="24"/>
          <w:szCs w:val="22"/>
        </w:rPr>
        <w:t>的报道存在相似之处。这些研究均表明，天然植物提取物在化学性肝损伤的治疗中具有广阔的应用前景。笔者推测，蒲公英提取物对石斑鱼肝脏形态的改善可能与其抑制肝脏炎症反应、促进肝细胞再生等生物活性密切相关。然而，这一推测尚需进一步的试验验证。</w:t>
      </w:r>
    </w:p>
    <w:p>
      <w:pPr>
        <w:spacing w:line="360" w:lineRule="auto"/>
        <w:rPr>
          <w:sz w:val="24"/>
          <w:szCs w:val="22"/>
        </w:rPr>
      </w:pPr>
      <w:r>
        <w:rPr>
          <w:sz w:val="24"/>
          <w:szCs w:val="22"/>
        </w:rPr>
        <w:t>3.2</w:t>
      </w:r>
      <w:r>
        <w:rPr>
          <w:rFonts w:hint="eastAsia"/>
          <w:sz w:val="24"/>
          <w:szCs w:val="22"/>
        </w:rPr>
        <w:t xml:space="preserve"> </w:t>
      </w:r>
      <w:r>
        <w:rPr>
          <w:sz w:val="24"/>
          <w:szCs w:val="22"/>
        </w:rPr>
        <w:t>蒲公英提取物对CCl</w:t>
      </w:r>
      <w:r>
        <w:rPr>
          <w:sz w:val="24"/>
          <w:szCs w:val="22"/>
          <w:vertAlign w:val="subscript"/>
        </w:rPr>
        <w:t>4</w:t>
      </w:r>
      <w:r>
        <w:rPr>
          <w:sz w:val="24"/>
          <w:szCs w:val="22"/>
        </w:rPr>
        <w:t>胁迫后珍珠龙胆石斑鱼血清生化指标的影响</w:t>
      </w:r>
    </w:p>
    <w:p>
      <w:pPr>
        <w:spacing w:line="360" w:lineRule="auto"/>
        <w:ind w:firstLine="480" w:firstLineChars="200"/>
        <w:rPr>
          <w:sz w:val="24"/>
          <w:szCs w:val="22"/>
        </w:rPr>
      </w:pPr>
      <w:r>
        <w:rPr>
          <w:sz w:val="24"/>
          <w:szCs w:val="22"/>
        </w:rPr>
        <w:t>血清生化指标如ALT、AST、LDH和ALP等，在一定程度上可以反映水生动物的生理健康情况</w:t>
      </w:r>
      <w:r>
        <w:rPr>
          <w:sz w:val="24"/>
          <w:szCs w:val="22"/>
          <w:vertAlign w:val="superscript"/>
        </w:rPr>
        <w:t>[18]</w:t>
      </w:r>
      <w:r>
        <w:rPr>
          <w:sz w:val="24"/>
          <w:szCs w:val="22"/>
        </w:rPr>
        <w:t>。ALT广泛分布于肝脏、骨骼、肠、肾等组织，参与水解核酸、蛋白质、生物碱等机体活动。AST存在于干细胞的线粒体，参与氨基酸代谢和尿素循环的关键步骤。正常情况下，ALT和AST在血清中的活性不高，但是当鱼体的细胞破裂，其中的ALT和AST释放到血清中，使得在血清中的ALT和AST活性升高，一定程度上表明鱼体的肝功能出现异常</w:t>
      </w:r>
      <w:r>
        <w:rPr>
          <w:sz w:val="24"/>
          <w:szCs w:val="22"/>
          <w:vertAlign w:val="superscript"/>
        </w:rPr>
        <w:t>[19]</w:t>
      </w:r>
      <w:r>
        <w:rPr>
          <w:sz w:val="24"/>
          <w:szCs w:val="22"/>
        </w:rPr>
        <w:t>。LDH是一种在细胞代谢和能量产生中有着重要作用的酶。ALP存在于肝脏、骨骼和胆管等组织</w:t>
      </w:r>
      <w:r>
        <w:rPr>
          <w:rFonts w:hint="eastAsia"/>
          <w:sz w:val="24"/>
          <w:szCs w:val="22"/>
        </w:rPr>
        <w:t>中</w:t>
      </w:r>
      <w:r>
        <w:rPr>
          <w:sz w:val="24"/>
          <w:szCs w:val="22"/>
        </w:rPr>
        <w:t>,</w:t>
      </w:r>
      <w:r>
        <w:rPr>
          <w:rFonts w:hint="eastAsia"/>
          <w:sz w:val="24"/>
          <w:szCs w:val="22"/>
        </w:rPr>
        <w:t>起促进磷酸酶水解反应的作用｡</w:t>
      </w:r>
      <w:r>
        <w:rPr>
          <w:sz w:val="24"/>
          <w:szCs w:val="22"/>
        </w:rPr>
        <w:t>TP由ALB和GLOB共同组成</w:t>
      </w:r>
      <w:r>
        <w:rPr>
          <w:rFonts w:hint="eastAsia"/>
          <w:sz w:val="24"/>
          <w:szCs w:val="22"/>
        </w:rPr>
        <w:t>｡</w:t>
      </w:r>
      <w:r>
        <w:rPr>
          <w:sz w:val="24"/>
          <w:szCs w:val="22"/>
        </w:rPr>
        <w:t>ALB是肝脏实</w:t>
      </w:r>
      <w:r>
        <w:rPr>
          <w:rFonts w:hint="eastAsia"/>
          <w:sz w:val="24"/>
          <w:szCs w:val="22"/>
        </w:rPr>
        <w:t>质性细胞合成,用于</w:t>
      </w:r>
      <w:r>
        <w:rPr>
          <w:sz w:val="24"/>
          <w:szCs w:val="22"/>
        </w:rPr>
        <w:t>修补机体组织和提</w:t>
      </w:r>
      <w:r>
        <w:rPr>
          <w:rFonts w:hint="eastAsia"/>
          <w:sz w:val="24"/>
          <w:szCs w:val="22"/>
        </w:rPr>
        <w:t>供能量,与</w:t>
      </w:r>
      <w:r>
        <w:rPr>
          <w:sz w:val="24"/>
          <w:szCs w:val="22"/>
        </w:rPr>
        <w:t>GLOB共同反映机体对环境的抵抗力</w:t>
      </w:r>
      <w:r>
        <w:rPr>
          <w:sz w:val="24"/>
          <w:szCs w:val="22"/>
          <w:vertAlign w:val="superscript"/>
        </w:rPr>
        <w:t>[20]</w:t>
      </w:r>
      <w:r>
        <w:rPr>
          <w:rFonts w:hint="eastAsia"/>
          <w:sz w:val="24"/>
          <w:szCs w:val="22"/>
        </w:rPr>
        <w:t>｡在</w:t>
      </w:r>
      <w:r>
        <w:rPr>
          <w:sz w:val="24"/>
          <w:szCs w:val="22"/>
        </w:rPr>
        <w:t>正常范围内ALB和GLOB的含量升</w:t>
      </w:r>
      <w:r>
        <w:rPr>
          <w:rFonts w:hint="eastAsia"/>
          <w:sz w:val="24"/>
          <w:szCs w:val="22"/>
        </w:rPr>
        <w:t>高时,一定程度上</w:t>
      </w:r>
      <w:r>
        <w:rPr>
          <w:sz w:val="24"/>
          <w:szCs w:val="22"/>
        </w:rPr>
        <w:t>反映了机体的免疫力提高</w:t>
      </w:r>
      <w:r>
        <w:rPr>
          <w:sz w:val="24"/>
          <w:szCs w:val="22"/>
          <w:vertAlign w:val="superscript"/>
        </w:rPr>
        <w:t>[21]</w:t>
      </w:r>
      <w:r>
        <w:rPr>
          <w:sz w:val="24"/>
          <w:szCs w:val="22"/>
        </w:rPr>
        <w:t>。</w:t>
      </w:r>
    </w:p>
    <w:p>
      <w:pPr>
        <w:spacing w:line="360" w:lineRule="auto"/>
        <w:ind w:firstLine="480" w:firstLineChars="200"/>
        <w:rPr>
          <w:sz w:val="24"/>
          <w:szCs w:val="22"/>
        </w:rPr>
      </w:pPr>
      <w:r>
        <w:rPr>
          <w:sz w:val="24"/>
          <w:szCs w:val="22"/>
        </w:rPr>
        <w:t>本试验发现，模型组血清中ALT活性和ALB含量较高，说明石珍珠龙胆斑鱼肝脏受到较严重损伤，肝脏细胞可能发生破裂甚至死亡。而添加蒲公英提取物组血清中ALT活性有所降低，且添加0.1%和0.2%蒲公英提取物时其活性较低；该结果与Tan等</w:t>
      </w:r>
      <w:r>
        <w:rPr>
          <w:sz w:val="24"/>
          <w:szCs w:val="22"/>
          <w:vertAlign w:val="superscript"/>
        </w:rPr>
        <w:t>[9]</w:t>
      </w:r>
      <w:r>
        <w:rPr>
          <w:sz w:val="24"/>
          <w:szCs w:val="22"/>
        </w:rPr>
        <w:t>研究蒲公英提取物对改善金鲳幼鱼免疫功能的结果，以及Sun等</w:t>
      </w:r>
      <w:r>
        <w:rPr>
          <w:sz w:val="24"/>
          <w:szCs w:val="22"/>
          <w:vertAlign w:val="superscript"/>
        </w:rPr>
        <w:t>[22]</w:t>
      </w:r>
      <w:r>
        <w:rPr>
          <w:sz w:val="24"/>
          <w:szCs w:val="22"/>
        </w:rPr>
        <w:t>关于混合植物提取物对杂交石斑鱼血清生化指标影响的研究结果相似。同时，也有相关研究表明，蒲公英提取物中含有的蒲公英醇对肝炎具有抑制作用</w:t>
      </w:r>
      <w:r>
        <w:rPr>
          <w:sz w:val="24"/>
          <w:szCs w:val="22"/>
          <w:vertAlign w:val="superscript"/>
        </w:rPr>
        <w:t>[23]</w:t>
      </w:r>
      <w:r>
        <w:rPr>
          <w:sz w:val="24"/>
          <w:szCs w:val="22"/>
        </w:rPr>
        <w:t>，菊苣酸能有效抑制炎症细胞的形成</w:t>
      </w:r>
      <w:r>
        <w:rPr>
          <w:sz w:val="24"/>
          <w:szCs w:val="22"/>
          <w:vertAlign w:val="superscript"/>
        </w:rPr>
        <w:t>[24]</w:t>
      </w:r>
      <w:r>
        <w:rPr>
          <w:sz w:val="24"/>
          <w:szCs w:val="22"/>
        </w:rPr>
        <w:t>，这可能是蒲公英提取物对动物肝脏具有较好的保护作用。笔者推测，蒲公英提取物可能通过调节肝脏代谢途径，减少有害物质的积累，从而降低ALT的释放。此外，蒲公英提取物中的某些成分可能直接作用于免疫细胞，提高机体的免疫力，表现为血清ALB和GLOB含量的升高。</w:t>
      </w:r>
    </w:p>
    <w:p>
      <w:pPr>
        <w:spacing w:line="360" w:lineRule="auto"/>
        <w:rPr>
          <w:sz w:val="24"/>
          <w:szCs w:val="22"/>
        </w:rPr>
      </w:pPr>
      <w:r>
        <w:rPr>
          <w:sz w:val="24"/>
          <w:szCs w:val="22"/>
        </w:rPr>
        <w:t>3.3</w:t>
      </w:r>
      <w:r>
        <w:rPr>
          <w:rFonts w:hint="eastAsia"/>
          <w:sz w:val="24"/>
          <w:szCs w:val="22"/>
        </w:rPr>
        <w:t xml:space="preserve"> </w:t>
      </w:r>
      <w:r>
        <w:rPr>
          <w:sz w:val="24"/>
          <w:szCs w:val="22"/>
        </w:rPr>
        <w:t>蒲公英提取物对CCl</w:t>
      </w:r>
      <w:r>
        <w:rPr>
          <w:sz w:val="24"/>
          <w:szCs w:val="22"/>
          <w:vertAlign w:val="subscript"/>
        </w:rPr>
        <w:t>4</w:t>
      </w:r>
      <w:r>
        <w:rPr>
          <w:sz w:val="24"/>
          <w:szCs w:val="22"/>
        </w:rPr>
        <w:t>胁迫后珍珠龙胆石斑鱼抗氧化能力的影响</w:t>
      </w:r>
    </w:p>
    <w:p>
      <w:pPr>
        <w:spacing w:line="360" w:lineRule="auto"/>
        <w:ind w:firstLine="480" w:firstLineChars="200"/>
        <w:rPr>
          <w:sz w:val="24"/>
          <w:szCs w:val="22"/>
        </w:rPr>
      </w:pPr>
      <w:r>
        <w:rPr>
          <w:sz w:val="24"/>
          <w:szCs w:val="22"/>
        </w:rPr>
        <w:t>在正常生理状态下，动物体内活性氧处于动态平衡状态，但是许多外源性或内源性刺激会导致动物体内氧化还原状态趋向氧化，进而对动物体造成伤害。动物体的抗氧化系统酶促系统主要包括超氧化物歧化酶(SOD)、CAT、GPX、GR等</w:t>
      </w:r>
      <w:r>
        <w:rPr>
          <w:sz w:val="24"/>
          <w:szCs w:val="22"/>
          <w:vertAlign w:val="superscript"/>
        </w:rPr>
        <w:t>[25]</w:t>
      </w:r>
      <w:r>
        <w:rPr>
          <w:sz w:val="24"/>
          <w:szCs w:val="22"/>
        </w:rPr>
        <w:t>。Keap1</w:t>
      </w:r>
      <w:r>
        <w:rPr>
          <w:rFonts w:hint="eastAsia"/>
          <w:sz w:val="24"/>
          <w:szCs w:val="22"/>
        </w:rPr>
        <w:t>-</w:t>
      </w:r>
      <w:r>
        <w:rPr>
          <w:sz w:val="24"/>
          <w:szCs w:val="22"/>
        </w:rPr>
        <w:t>核因子E2相关因子2(Nrf2)信号通路是细胞氧化应激反应中的关键通路，其调控作用在细胞防御保护中发挥着重要作用</w:t>
      </w:r>
      <w:r>
        <w:rPr>
          <w:sz w:val="24"/>
          <w:szCs w:val="22"/>
          <w:vertAlign w:val="superscript"/>
        </w:rPr>
        <w:t>[26]</w:t>
      </w:r>
      <w:r>
        <w:rPr>
          <w:sz w:val="24"/>
          <w:szCs w:val="22"/>
        </w:rPr>
        <w:t>。该信号通路可作为衡量鱼类是否受到外界环境干扰的重要指标，在一定程度上反映鱼类的生理状况。本试验进一步分析了Keap1-Nrf2信号通路在其中的作用，发现蒲公英提取物可能通过抑制</w:t>
      </w:r>
      <w:r>
        <w:rPr>
          <w:i/>
          <w:iCs/>
          <w:sz w:val="24"/>
          <w:szCs w:val="22"/>
        </w:rPr>
        <w:t>Keap</w:t>
      </w:r>
      <w:r>
        <w:rPr>
          <w:sz w:val="24"/>
          <w:szCs w:val="22"/>
        </w:rPr>
        <w:t>1的表达，激活Nrf2信号通路，从而上调抗氧化酶的表达，提高机体的抗氧化能力。这一发现不仅揭示了蒲公英提取物对珍珠龙胆石斑鱼抗氧化能力的调控机制，也为其他水产动物的研究提供了新的思路。此外，本试验也深入挖掘了数据之间的关联性，发现蒲公英提取物能改善珍珠龙胆石斑鱼肝脏形态和提高其抗CCl</w:t>
      </w:r>
      <w:r>
        <w:rPr>
          <w:sz w:val="24"/>
          <w:szCs w:val="22"/>
          <w:vertAlign w:val="subscript"/>
        </w:rPr>
        <w:t>4</w:t>
      </w:r>
      <w:r>
        <w:rPr>
          <w:sz w:val="24"/>
          <w:szCs w:val="22"/>
        </w:rPr>
        <w:t>胁迫能力，可能是通过抑制肝脏炎症反应和提高肝脏抗氧化能力来实现的。</w:t>
      </w:r>
    </w:p>
    <w:p>
      <w:pPr>
        <w:spacing w:line="360" w:lineRule="auto"/>
        <w:ind w:firstLine="480" w:firstLineChars="200"/>
        <w:rPr>
          <w:sz w:val="24"/>
          <w:szCs w:val="22"/>
        </w:rPr>
      </w:pPr>
      <w:r>
        <w:rPr>
          <w:sz w:val="24"/>
          <w:szCs w:val="22"/>
        </w:rPr>
        <w:t>本试验发现饲料添加适量的蒲公英提取物能降低CCl</w:t>
      </w:r>
      <w:r>
        <w:rPr>
          <w:sz w:val="24"/>
          <w:szCs w:val="22"/>
          <w:vertAlign w:val="subscript"/>
        </w:rPr>
        <w:t>4</w:t>
      </w:r>
      <w:r>
        <w:rPr>
          <w:sz w:val="24"/>
          <w:szCs w:val="22"/>
        </w:rPr>
        <w:t>胁迫后珍珠龙胆石斑鱼肝脏、头肾和脾脏</w:t>
      </w:r>
      <w:r>
        <w:rPr>
          <w:i/>
          <w:iCs/>
          <w:sz w:val="24"/>
          <w:szCs w:val="22"/>
        </w:rPr>
        <w:t>Keap</w:t>
      </w:r>
      <w:r>
        <w:rPr>
          <w:sz w:val="24"/>
          <w:szCs w:val="22"/>
        </w:rPr>
        <w:t>1的mRNA相对表达量。与饲料中添加适量枸杞提取物</w:t>
      </w:r>
      <w:r>
        <w:rPr>
          <w:sz w:val="24"/>
          <w:szCs w:val="22"/>
          <w:vertAlign w:val="superscript"/>
        </w:rPr>
        <w:t>[27]</w:t>
      </w:r>
      <w:r>
        <w:rPr>
          <w:sz w:val="24"/>
          <w:szCs w:val="22"/>
        </w:rPr>
        <w:t>、千里光提取物</w:t>
      </w:r>
      <w:r>
        <w:rPr>
          <w:sz w:val="24"/>
          <w:szCs w:val="22"/>
          <w:vertAlign w:val="superscript"/>
        </w:rPr>
        <w:t>[28]</w:t>
      </w:r>
      <w:r>
        <w:rPr>
          <w:sz w:val="24"/>
          <w:szCs w:val="22"/>
        </w:rPr>
        <w:t>可以显著降低杂交石斑鱼的</w:t>
      </w:r>
      <w:r>
        <w:rPr>
          <w:i/>
          <w:iCs/>
          <w:sz w:val="24"/>
          <w:szCs w:val="22"/>
        </w:rPr>
        <w:t>Keap</w:t>
      </w:r>
      <w:r>
        <w:rPr>
          <w:sz w:val="24"/>
          <w:szCs w:val="22"/>
        </w:rPr>
        <w:t>1</w:t>
      </w:r>
      <w:r>
        <w:rPr>
          <w:rFonts w:hint="eastAsia"/>
          <w:sz w:val="24"/>
          <w:szCs w:val="22"/>
        </w:rPr>
        <w:t xml:space="preserve"> </w:t>
      </w:r>
      <w:r>
        <w:rPr>
          <w:sz w:val="24"/>
          <w:szCs w:val="22"/>
        </w:rPr>
        <w:t>mRNA相对表达量的结果相似。本试验中，料中添加适宜水平的蒲公英提取物能提高CCl</w:t>
      </w:r>
      <w:r>
        <w:rPr>
          <w:sz w:val="24"/>
          <w:szCs w:val="22"/>
          <w:vertAlign w:val="subscript"/>
        </w:rPr>
        <w:t>4</w:t>
      </w:r>
      <w:r>
        <w:rPr>
          <w:sz w:val="24"/>
          <w:szCs w:val="22"/>
        </w:rPr>
        <w:t>胁迫后石斑鱼肝脏、头肾和脾脏</w:t>
      </w:r>
      <w:r>
        <w:rPr>
          <w:i/>
          <w:iCs/>
          <w:sz w:val="24"/>
          <w:szCs w:val="22"/>
        </w:rPr>
        <w:t>MnSOD</w:t>
      </w:r>
      <w:r>
        <w:rPr>
          <w:sz w:val="24"/>
          <w:szCs w:val="22"/>
        </w:rPr>
        <w:t>、</w:t>
      </w:r>
      <w:r>
        <w:rPr>
          <w:i/>
          <w:iCs/>
          <w:sz w:val="24"/>
          <w:szCs w:val="22"/>
        </w:rPr>
        <w:t>CAT</w:t>
      </w:r>
      <w:r>
        <w:rPr>
          <w:sz w:val="24"/>
          <w:szCs w:val="22"/>
        </w:rPr>
        <w:t>和</w:t>
      </w:r>
      <w:r>
        <w:rPr>
          <w:i/>
          <w:iCs/>
          <w:sz w:val="24"/>
          <w:szCs w:val="22"/>
        </w:rPr>
        <w:t>GR</w:t>
      </w:r>
      <w:r>
        <w:rPr>
          <w:sz w:val="24"/>
          <w:szCs w:val="22"/>
        </w:rPr>
        <w:t>的mRNA相对表达量，这与鲤鱼</w:t>
      </w:r>
      <w:r>
        <w:rPr>
          <w:sz w:val="24"/>
          <w:szCs w:val="22"/>
          <w:vertAlign w:val="superscript"/>
        </w:rPr>
        <w:t>[7]</w:t>
      </w:r>
      <w:r>
        <w:rPr>
          <w:sz w:val="24"/>
          <w:szCs w:val="22"/>
        </w:rPr>
        <w:t>、杂交石斑鱼</w:t>
      </w:r>
      <w:r>
        <w:rPr>
          <w:sz w:val="24"/>
          <w:szCs w:val="22"/>
          <w:vertAlign w:val="superscript"/>
        </w:rPr>
        <w:t>[6]</w:t>
      </w:r>
      <w:r>
        <w:rPr>
          <w:sz w:val="24"/>
          <w:szCs w:val="22"/>
        </w:rPr>
        <w:t>、肉鸡</w:t>
      </w:r>
      <w:r>
        <w:rPr>
          <w:sz w:val="24"/>
          <w:szCs w:val="22"/>
          <w:vertAlign w:val="superscript"/>
        </w:rPr>
        <w:t>[29]</w:t>
      </w:r>
      <w:r>
        <w:rPr>
          <w:sz w:val="24"/>
          <w:szCs w:val="22"/>
        </w:rPr>
        <w:t>和蛋鸡</w:t>
      </w:r>
      <w:r>
        <w:rPr>
          <w:sz w:val="24"/>
          <w:szCs w:val="22"/>
          <w:vertAlign w:val="superscript"/>
        </w:rPr>
        <w:t>[30]</w:t>
      </w:r>
      <w:r>
        <w:rPr>
          <w:sz w:val="24"/>
          <w:szCs w:val="22"/>
        </w:rPr>
        <w:t>的研究结果相似。而饲粮中蒲公英提取物添加量为0.8%时，上述各基因的mRNA相对表达量接近于CCl</w:t>
      </w:r>
      <w:r>
        <w:rPr>
          <w:sz w:val="24"/>
          <w:szCs w:val="22"/>
          <w:vertAlign w:val="subscript"/>
        </w:rPr>
        <w:t>4</w:t>
      </w:r>
      <w:r>
        <w:rPr>
          <w:sz w:val="24"/>
          <w:szCs w:val="22"/>
        </w:rPr>
        <w:t>致损的模型组水平，这可能是因为蒲公英提取物添加过量所致。</w:t>
      </w:r>
    </w:p>
    <w:p>
      <w:pPr>
        <w:spacing w:line="360" w:lineRule="auto"/>
        <w:rPr>
          <w:sz w:val="24"/>
          <w:szCs w:val="22"/>
        </w:rPr>
      </w:pPr>
      <w:r>
        <w:rPr>
          <w:sz w:val="24"/>
          <w:szCs w:val="22"/>
        </w:rPr>
        <w:t>4</w:t>
      </w:r>
      <w:r>
        <w:rPr>
          <w:rFonts w:hint="eastAsia"/>
          <w:sz w:val="24"/>
          <w:szCs w:val="22"/>
        </w:rPr>
        <w:t xml:space="preserve"> </w:t>
      </w:r>
      <w:r>
        <w:rPr>
          <w:sz w:val="24"/>
          <w:szCs w:val="22"/>
        </w:rPr>
        <w:t>结论</w:t>
      </w:r>
    </w:p>
    <w:p>
      <w:pPr>
        <w:spacing w:line="360" w:lineRule="auto"/>
        <w:ind w:firstLine="480" w:firstLineChars="200"/>
        <w:rPr>
          <w:sz w:val="24"/>
          <w:szCs w:val="22"/>
        </w:rPr>
      </w:pPr>
      <w:r>
        <w:rPr>
          <w:sz w:val="24"/>
          <w:szCs w:val="22"/>
        </w:rPr>
        <w:t>在珍珠龙胆石斑鱼饲料中添加适量的蒲公英提取物，可以适当地减弱肝细胞被有害物质的侵害，保证肝脏正常的代谢和解毒功能，同时还能调控血清各生化指标，提高抗氧化能力，以增强石斑鱼的综合免疫力。本试验条件下，蒲公英提取物适宜添加量为0.1%～0.2%。</w:t>
      </w:r>
    </w:p>
    <w:p>
      <w:pPr>
        <w:spacing w:line="360" w:lineRule="auto"/>
        <w:rPr>
          <w:sz w:val="24"/>
        </w:rPr>
      </w:pPr>
      <w:r>
        <w:rPr>
          <w:rFonts w:hint="eastAsia"/>
          <w:sz w:val="24"/>
        </w:rPr>
        <w:t>参考文献：略</w:t>
      </w:r>
    </w:p>
    <w:p>
      <w:pPr>
        <w:widowControl/>
        <w:jc w:val="right"/>
        <w:rPr>
          <w:szCs w:val="21"/>
        </w:rPr>
      </w:pPr>
      <w:r>
        <w:rPr>
          <w:rFonts w:hint="eastAsia"/>
          <w:szCs w:val="21"/>
        </w:rPr>
        <w:t>原文刊登在《动物营养学报》2025</w:t>
      </w:r>
      <w:r>
        <w:rPr>
          <w:szCs w:val="21"/>
        </w:rPr>
        <w:t>年第</w:t>
      </w:r>
      <w:r>
        <w:rPr>
          <w:rFonts w:hint="eastAsia"/>
          <w:szCs w:val="21"/>
        </w:rPr>
        <w:t>6</w:t>
      </w:r>
      <w:r>
        <w:rPr>
          <w:szCs w:val="21"/>
        </w:rPr>
        <w:t>期</w:t>
      </w:r>
    </w:p>
    <w:p>
      <w:pPr>
        <w:jc w:val="center"/>
        <w:outlineLvl w:val="1"/>
        <w:rPr>
          <w:sz w:val="24"/>
          <w14:ligatures w14:val="standardContextual"/>
        </w:rPr>
      </w:pPr>
      <w:bookmarkStart w:id="53" w:name="_Toc206013211"/>
      <w:r>
        <w:rPr>
          <w:rFonts w:ascii="黑体" w:hAnsi="黑体" w:eastAsia="黑体"/>
          <w:b/>
          <w:bCs/>
          <w:sz w:val="32"/>
          <w:szCs w:val="32"/>
          <w14:ligatures w14:val="standardContextual"/>
        </w:rPr>
        <w:t>饲料中添加乙酸钠对小黄鱼生长性能和肝脏脂质组的影响</w:t>
      </w:r>
      <w:bookmarkEnd w:id="53"/>
    </w:p>
    <w:p>
      <w:pPr>
        <w:jc w:val="center"/>
        <w:rPr>
          <w:szCs w:val="21"/>
          <w14:ligatures w14:val="standardContextual"/>
        </w:rPr>
      </w:pPr>
      <w:r>
        <w:rPr>
          <w:szCs w:val="21"/>
          <w14:ligatures w14:val="standardContextual"/>
        </w:rPr>
        <w:t>谢小玲</w:t>
      </w:r>
      <w:r>
        <w:rPr>
          <w:szCs w:val="21"/>
          <w:vertAlign w:val="superscript"/>
          <w14:ligatures w14:val="standardContextual"/>
        </w:rPr>
        <w:t>1,2</w:t>
      </w:r>
      <w:r>
        <w:rPr>
          <w:szCs w:val="21"/>
          <w14:ligatures w14:val="standardContextual"/>
        </w:rPr>
        <w:t>，吴酬飞</w:t>
      </w:r>
      <w:r>
        <w:rPr>
          <w:szCs w:val="21"/>
          <w:vertAlign w:val="superscript"/>
          <w14:ligatures w14:val="standardContextual"/>
        </w:rPr>
        <w:t>1</w:t>
      </w:r>
      <w:r>
        <w:rPr>
          <w:szCs w:val="21"/>
          <w14:ligatures w14:val="standardContextual"/>
        </w:rPr>
        <w:t>，吕文涛</w:t>
      </w:r>
      <w:r>
        <w:rPr>
          <w:szCs w:val="21"/>
          <w:vertAlign w:val="superscript"/>
          <w14:ligatures w14:val="standardContextual"/>
        </w:rPr>
        <w:t>2</w:t>
      </w:r>
      <w:r>
        <w:rPr>
          <w:szCs w:val="21"/>
          <w14:ligatures w14:val="standardContextual"/>
        </w:rPr>
        <w:t>，任若琛</w:t>
      </w:r>
      <w:r>
        <w:rPr>
          <w:szCs w:val="21"/>
          <w:vertAlign w:val="superscript"/>
          <w14:ligatures w14:val="standardContextual"/>
        </w:rPr>
        <w:t>1</w:t>
      </w:r>
      <w:r>
        <w:rPr>
          <w:szCs w:val="21"/>
          <w14:ligatures w14:val="standardContextual"/>
        </w:rPr>
        <w:t>，楼宝</w:t>
      </w:r>
      <w:r>
        <w:rPr>
          <w:szCs w:val="21"/>
          <w:vertAlign w:val="superscript"/>
          <w14:ligatures w14:val="standardContextual"/>
        </w:rPr>
        <w:t>3</w:t>
      </w:r>
      <w:r>
        <w:rPr>
          <w:szCs w:val="21"/>
          <w14:ligatures w14:val="standardContextual"/>
        </w:rPr>
        <w:t>，张煜</w:t>
      </w:r>
      <w:r>
        <w:rPr>
          <w:szCs w:val="21"/>
          <w:vertAlign w:val="superscript"/>
          <w14:ligatures w14:val="standardContextual"/>
        </w:rPr>
        <w:t>3</w:t>
      </w:r>
      <w:r>
        <w:rPr>
          <w:szCs w:val="21"/>
          <w14:ligatures w14:val="standardContextual"/>
        </w:rPr>
        <w:t>，梁骁</w:t>
      </w:r>
      <w:r>
        <w:rPr>
          <w:szCs w:val="21"/>
          <w:vertAlign w:val="superscript"/>
          <w14:ligatures w14:val="standardContextual"/>
        </w:rPr>
        <w:t>3*</w:t>
      </w:r>
    </w:p>
    <w:p>
      <w:pPr>
        <w:jc w:val="center"/>
        <w:rPr>
          <w:szCs w:val="21"/>
          <w14:ligatures w14:val="standardContextual"/>
        </w:rPr>
      </w:pPr>
      <w:r>
        <w:rPr>
          <w:szCs w:val="21"/>
          <w14:ligatures w14:val="standardContextual"/>
        </w:rPr>
        <w:t>(1.湖州师范学院生命科学学院，浙江湖州313000；2.浙江省农业科学院省部共建农产品质量安全危害因子与风险防控国家重点实验室，农产品质量安全与营养研究所，浙江杭州310021；3.浙江省农业科学院水生生物研究所，浙江杭州310021)</w:t>
      </w:r>
    </w:p>
    <w:p>
      <w:pPr>
        <w:rPr>
          <w:szCs w:val="21"/>
          <w14:ligatures w14:val="standardContextual"/>
        </w:rPr>
      </w:pPr>
      <w:r>
        <w:rPr>
          <w:b/>
          <w:bCs/>
          <w:szCs w:val="21"/>
          <w14:ligatures w14:val="standardContextual"/>
        </w:rPr>
        <w:t>摘要</w:t>
      </w:r>
      <w:r>
        <w:rPr>
          <w:szCs w:val="21"/>
          <w14:ligatures w14:val="standardContextual"/>
        </w:rPr>
        <w:t>：为探究日粮中添加乙酸钠对小黄鱼(</w:t>
      </w:r>
      <w:r>
        <w:rPr>
          <w:i/>
          <w:iCs/>
          <w:szCs w:val="21"/>
          <w14:ligatures w14:val="standardContextual"/>
        </w:rPr>
        <w:t>Larimichthys polyactis</w:t>
      </w:r>
      <w:r>
        <w:rPr>
          <w:szCs w:val="21"/>
          <w14:ligatures w14:val="standardContextual"/>
        </w:rPr>
        <w:t>)生长性能和肝脏脂质组的影响，试验选择大小均一的小黄鱼幼鱼30尾，随机分为两组，对照组(C组)饲喂基础饲料，试验组(SA组)在基础饲料中添加0.5</w:t>
      </w:r>
      <w:r>
        <w:rPr>
          <w:rFonts w:hint="eastAsia"/>
          <w:szCs w:val="21"/>
          <w14:ligatures w14:val="standardContextual"/>
        </w:rPr>
        <w:t xml:space="preserve"> </w:t>
      </w:r>
      <w:r>
        <w:rPr>
          <w:szCs w:val="21"/>
          <w14:ligatures w14:val="standardContextual"/>
        </w:rPr>
        <w:t>g/kg乙酸钠，每天投喂两次，试验为期10周。试验结束后，测定小黄鱼的体重，采集肝脏组织，并利用液相色谱-质谱联用仪(LC-MS)对小黄鱼肝脏进行脂质组学分析。结果显示：饲料中添加0.5</w:t>
      </w:r>
      <w:r>
        <w:rPr>
          <w:rFonts w:hint="eastAsia"/>
          <w:szCs w:val="21"/>
          <w14:ligatures w14:val="standardContextual"/>
        </w:rPr>
        <w:t xml:space="preserve"> </w:t>
      </w:r>
      <w:r>
        <w:rPr>
          <w:szCs w:val="21"/>
          <w14:ligatures w14:val="standardContextual"/>
        </w:rPr>
        <w:t>g/kg乙酸钠可以显著提升小黄鱼的增重率(</w:t>
      </w:r>
      <w:r>
        <w:rPr>
          <w:i/>
          <w:iCs/>
          <w:szCs w:val="21"/>
          <w14:ligatures w14:val="standardContextual"/>
        </w:rPr>
        <w:t>P</w:t>
      </w:r>
      <w:r>
        <w:rPr>
          <w:szCs w:val="21"/>
          <w14:ligatures w14:val="standardContextual"/>
        </w:rPr>
        <w:t>＜0.05)。同时，饲料中添加0.5</w:t>
      </w:r>
      <w:r>
        <w:rPr>
          <w:rFonts w:hint="eastAsia"/>
          <w:szCs w:val="21"/>
          <w14:ligatures w14:val="standardContextual"/>
        </w:rPr>
        <w:t xml:space="preserve"> </w:t>
      </w:r>
      <w:r>
        <w:rPr>
          <w:szCs w:val="21"/>
          <w14:ligatures w14:val="standardContextual"/>
        </w:rPr>
        <w:t>g/kg乙酸钠会提升小黄鱼肝脏脂质总水平，且双甲基磷脂酸(BisMePA)、神经酰胺(Cer)等16种脂质亚类都呈显著上升趋势。进一步进行多维统计分析和单变量统计分析，以VIP≥1.6且</w:t>
      </w:r>
      <w:r>
        <w:rPr>
          <w:i/>
          <w:iCs/>
          <w:szCs w:val="21"/>
          <w14:ligatures w14:val="standardContextual"/>
        </w:rPr>
        <w:t>P</w:t>
      </w:r>
      <w:r>
        <w:rPr>
          <w:szCs w:val="21"/>
          <w14:ligatures w14:val="standardContextual"/>
        </w:rPr>
        <w:t>＜0.05为条件筛选到68个显著差异脂质分子，与C组相比，SA组有13个磷脂酰胆碱(PC)和6个Cer的水平显著上升。本试验探究了日粮乙酸钠对小黄鱼肝脏脂质组和生长性能的影响，为进一步阐明乙酸钠在水产养殖中的应用提供理论依据。</w:t>
      </w:r>
    </w:p>
    <w:p>
      <w:pPr>
        <w:rPr>
          <w:szCs w:val="21"/>
          <w14:ligatures w14:val="standardContextual"/>
        </w:rPr>
      </w:pPr>
      <w:r>
        <w:rPr>
          <w:b/>
          <w:bCs/>
          <w:szCs w:val="21"/>
          <w14:ligatures w14:val="standardContextual"/>
        </w:rPr>
        <w:t>关键词</w:t>
      </w:r>
      <w:r>
        <w:rPr>
          <w:szCs w:val="21"/>
          <w14:ligatures w14:val="standardContextual"/>
        </w:rPr>
        <w:t>：小黄鱼；乙酸钠；肝脏；脂质组</w:t>
      </w:r>
    </w:p>
    <w:p>
      <w:pPr>
        <w:jc w:val="center"/>
        <w:rPr>
          <w:b/>
          <w:bCs/>
          <w:color w:val="231F20"/>
          <w:kern w:val="0"/>
          <w:sz w:val="24"/>
        </w:rPr>
      </w:pPr>
      <w:r>
        <w:rPr>
          <w:b/>
          <w:bCs/>
          <w:color w:val="231F20"/>
          <w:kern w:val="0"/>
          <w:sz w:val="24"/>
        </w:rPr>
        <w:t>Effects of dietary sodium acetate on growth performance and liver lipidome of small yellow croaker(</w:t>
      </w:r>
      <w:r>
        <w:rPr>
          <w:b/>
          <w:bCs/>
          <w:i/>
          <w:iCs/>
          <w:color w:val="231F20"/>
          <w:kern w:val="0"/>
          <w:sz w:val="24"/>
        </w:rPr>
        <w:t>Larimichthys polyactis</w:t>
      </w:r>
      <w:r>
        <w:rPr>
          <w:b/>
          <w:bCs/>
          <w:color w:val="231F20"/>
          <w:kern w:val="0"/>
          <w:sz w:val="24"/>
        </w:rPr>
        <w:t>)</w:t>
      </w:r>
    </w:p>
    <w:p>
      <w:pPr>
        <w:jc w:val="center"/>
        <w:rPr>
          <w:color w:val="231F20"/>
          <w:kern w:val="0"/>
          <w:szCs w:val="21"/>
        </w:rPr>
      </w:pPr>
      <w:r>
        <w:rPr>
          <w:color w:val="231F20"/>
          <w:kern w:val="0"/>
          <w:szCs w:val="21"/>
        </w:rPr>
        <w:t>XIE Xiaoling</w:t>
      </w:r>
      <w:r>
        <w:rPr>
          <w:color w:val="231F20"/>
          <w:kern w:val="0"/>
          <w:szCs w:val="21"/>
          <w:vertAlign w:val="superscript"/>
        </w:rPr>
        <w:t>1,2</w:t>
      </w:r>
      <w:r>
        <w:rPr>
          <w:color w:val="231F20"/>
          <w:kern w:val="0"/>
          <w:szCs w:val="21"/>
        </w:rPr>
        <w:t xml:space="preserve"> ，WU Choufei</w:t>
      </w:r>
      <w:r>
        <w:rPr>
          <w:color w:val="231F20"/>
          <w:kern w:val="0"/>
          <w:szCs w:val="21"/>
          <w:vertAlign w:val="superscript"/>
        </w:rPr>
        <w:t>1</w:t>
      </w:r>
      <w:r>
        <w:rPr>
          <w:color w:val="231F20"/>
          <w:kern w:val="0"/>
          <w:szCs w:val="21"/>
        </w:rPr>
        <w:t xml:space="preserve"> ,LV Wentao</w:t>
      </w:r>
      <w:r>
        <w:rPr>
          <w:color w:val="231F20"/>
          <w:kern w:val="0"/>
          <w:szCs w:val="21"/>
          <w:vertAlign w:val="superscript"/>
        </w:rPr>
        <w:t>2</w:t>
      </w:r>
      <w:r>
        <w:rPr>
          <w:color w:val="231F20"/>
          <w:kern w:val="0"/>
          <w:szCs w:val="21"/>
        </w:rPr>
        <w:t xml:space="preserve"> ,REN Ruochen</w:t>
      </w:r>
      <w:r>
        <w:rPr>
          <w:color w:val="231F20"/>
          <w:kern w:val="0"/>
          <w:szCs w:val="21"/>
          <w:vertAlign w:val="superscript"/>
        </w:rPr>
        <w:t>1</w:t>
      </w:r>
      <w:r>
        <w:rPr>
          <w:color w:val="231F20"/>
          <w:kern w:val="0"/>
          <w:szCs w:val="21"/>
        </w:rPr>
        <w:t xml:space="preserve"> ,LOU Bao</w:t>
      </w:r>
      <w:r>
        <w:rPr>
          <w:color w:val="231F20"/>
          <w:kern w:val="0"/>
          <w:szCs w:val="21"/>
          <w:vertAlign w:val="superscript"/>
        </w:rPr>
        <w:t>3</w:t>
      </w:r>
      <w:r>
        <w:rPr>
          <w:color w:val="231F20"/>
          <w:kern w:val="0"/>
          <w:szCs w:val="21"/>
        </w:rPr>
        <w:t xml:space="preserve"> ,ZHANG Yu</w:t>
      </w:r>
      <w:r>
        <w:rPr>
          <w:color w:val="231F20"/>
          <w:kern w:val="0"/>
          <w:szCs w:val="21"/>
          <w:vertAlign w:val="superscript"/>
        </w:rPr>
        <w:t>3</w:t>
      </w:r>
      <w:r>
        <w:rPr>
          <w:color w:val="231F20"/>
          <w:kern w:val="0"/>
          <w:szCs w:val="21"/>
        </w:rPr>
        <w:t xml:space="preserve"> ,LIANG Xiao</w:t>
      </w:r>
      <w:r>
        <w:rPr>
          <w:color w:val="231F20"/>
          <w:kern w:val="0"/>
          <w:szCs w:val="21"/>
          <w:vertAlign w:val="superscript"/>
        </w:rPr>
        <w:t>3 *</w:t>
      </w:r>
    </w:p>
    <w:p>
      <w:pPr>
        <w:jc w:val="center"/>
        <w:rPr>
          <w:color w:val="231F20"/>
          <w:kern w:val="0"/>
          <w:szCs w:val="21"/>
        </w:rPr>
      </w:pPr>
      <w:r>
        <w:rPr>
          <w:color w:val="231F20"/>
          <w:kern w:val="0"/>
          <w:szCs w:val="21"/>
        </w:rPr>
        <w:t>(1.</w:t>
      </w:r>
      <w:r>
        <w:rPr>
          <w:i/>
          <w:iCs/>
          <w:color w:val="231F20"/>
          <w:kern w:val="0"/>
          <w:szCs w:val="21"/>
        </w:rPr>
        <w:t>College of Life Sciences</w:t>
      </w:r>
      <w:r>
        <w:rPr>
          <w:color w:val="231F20"/>
          <w:kern w:val="0"/>
          <w:szCs w:val="21"/>
        </w:rPr>
        <w:t>，</w:t>
      </w:r>
      <w:r>
        <w:rPr>
          <w:i/>
          <w:iCs/>
          <w:color w:val="231F20"/>
          <w:kern w:val="0"/>
          <w:szCs w:val="21"/>
        </w:rPr>
        <w:t>Huzhou University</w:t>
      </w:r>
      <w:r>
        <w:rPr>
          <w:color w:val="231F20"/>
          <w:kern w:val="0"/>
          <w:szCs w:val="21"/>
        </w:rPr>
        <w:t>，</w:t>
      </w:r>
      <w:r>
        <w:rPr>
          <w:i/>
          <w:iCs/>
          <w:color w:val="231F20"/>
          <w:kern w:val="0"/>
          <w:szCs w:val="21"/>
        </w:rPr>
        <w:t>Huzhou</w:t>
      </w:r>
      <w:r>
        <w:rPr>
          <w:color w:val="231F20"/>
          <w:kern w:val="0"/>
          <w:szCs w:val="21"/>
        </w:rPr>
        <w:t>，</w:t>
      </w:r>
      <w:r>
        <w:rPr>
          <w:i/>
          <w:iCs/>
          <w:color w:val="231F20"/>
          <w:kern w:val="0"/>
          <w:szCs w:val="21"/>
        </w:rPr>
        <w:t>Zhejiang Province 313000</w:t>
      </w:r>
      <w:r>
        <w:rPr>
          <w:color w:val="231F20"/>
          <w:kern w:val="0"/>
          <w:szCs w:val="21"/>
        </w:rPr>
        <w:t>，</w:t>
      </w:r>
      <w:r>
        <w:rPr>
          <w:i/>
          <w:iCs/>
          <w:color w:val="231F20"/>
          <w:kern w:val="0"/>
          <w:szCs w:val="21"/>
        </w:rPr>
        <w:t>China</w:t>
      </w:r>
      <w:r>
        <w:rPr>
          <w:color w:val="231F20"/>
          <w:kern w:val="0"/>
          <w:szCs w:val="21"/>
        </w:rPr>
        <w:t>； 2.</w:t>
      </w:r>
      <w:r>
        <w:rPr>
          <w:i/>
          <w:iCs/>
          <w:color w:val="231F20"/>
          <w:kern w:val="0"/>
          <w:szCs w:val="21"/>
        </w:rPr>
        <w:t>State Key Laboratory for Managing Biotic and Chemical Threats to the Quality and Safety of Agro- Products</w:t>
      </w:r>
      <w:r>
        <w:rPr>
          <w:color w:val="231F20"/>
          <w:kern w:val="0"/>
          <w:szCs w:val="21"/>
        </w:rPr>
        <w:t xml:space="preserve">， </w:t>
      </w:r>
      <w:r>
        <w:rPr>
          <w:i/>
          <w:iCs/>
          <w:color w:val="231F20"/>
          <w:kern w:val="0"/>
          <w:szCs w:val="21"/>
        </w:rPr>
        <w:t>Institute of Agro-Product Safety and Nutrition</w:t>
      </w:r>
      <w:r>
        <w:rPr>
          <w:color w:val="231F20"/>
          <w:kern w:val="0"/>
          <w:szCs w:val="21"/>
        </w:rPr>
        <w:t>，</w:t>
      </w:r>
      <w:r>
        <w:rPr>
          <w:i/>
          <w:iCs/>
          <w:color w:val="231F20"/>
          <w:kern w:val="0"/>
          <w:szCs w:val="21"/>
        </w:rPr>
        <w:t>Zhejiang Academy of Agricultural Sciences</w:t>
      </w:r>
      <w:r>
        <w:rPr>
          <w:color w:val="231F20"/>
          <w:kern w:val="0"/>
          <w:szCs w:val="21"/>
        </w:rPr>
        <w:t>，</w:t>
      </w:r>
      <w:r>
        <w:rPr>
          <w:i/>
          <w:iCs/>
          <w:color w:val="231F20"/>
          <w:kern w:val="0"/>
          <w:szCs w:val="21"/>
        </w:rPr>
        <w:t>Hangzhou</w:t>
      </w:r>
      <w:r>
        <w:rPr>
          <w:color w:val="231F20"/>
          <w:kern w:val="0"/>
          <w:szCs w:val="21"/>
        </w:rPr>
        <w:t>，</w:t>
      </w:r>
      <w:r>
        <w:rPr>
          <w:i/>
          <w:iCs/>
          <w:color w:val="231F20"/>
          <w:kern w:val="0"/>
          <w:szCs w:val="21"/>
        </w:rPr>
        <w:t>Zhejiang Province 310021</w:t>
      </w:r>
      <w:r>
        <w:rPr>
          <w:color w:val="231F20"/>
          <w:kern w:val="0"/>
          <w:szCs w:val="21"/>
        </w:rPr>
        <w:t xml:space="preserve">， </w:t>
      </w:r>
      <w:r>
        <w:rPr>
          <w:i/>
          <w:iCs/>
          <w:color w:val="231F20"/>
          <w:kern w:val="0"/>
          <w:szCs w:val="21"/>
        </w:rPr>
        <w:t>China</w:t>
      </w:r>
      <w:r>
        <w:rPr>
          <w:color w:val="231F20"/>
          <w:kern w:val="0"/>
          <w:szCs w:val="21"/>
        </w:rPr>
        <w:t>；3.</w:t>
      </w:r>
      <w:r>
        <w:rPr>
          <w:i/>
          <w:iCs/>
          <w:color w:val="231F20"/>
          <w:kern w:val="0"/>
          <w:szCs w:val="21"/>
        </w:rPr>
        <w:t>Institute of Hydrobiology</w:t>
      </w:r>
      <w:r>
        <w:rPr>
          <w:color w:val="231F20"/>
          <w:kern w:val="0"/>
          <w:szCs w:val="21"/>
        </w:rPr>
        <w:t>，</w:t>
      </w:r>
      <w:r>
        <w:rPr>
          <w:i/>
          <w:iCs/>
          <w:color w:val="231F20"/>
          <w:kern w:val="0"/>
          <w:szCs w:val="21"/>
        </w:rPr>
        <w:t>Zhejiang Academy of Agricultural Sciences</w:t>
      </w:r>
      <w:r>
        <w:rPr>
          <w:color w:val="231F20"/>
          <w:kern w:val="0"/>
          <w:szCs w:val="21"/>
        </w:rPr>
        <w:t>，</w:t>
      </w:r>
      <w:r>
        <w:rPr>
          <w:i/>
          <w:iCs/>
          <w:color w:val="231F20"/>
          <w:kern w:val="0"/>
          <w:szCs w:val="21"/>
        </w:rPr>
        <w:t>Hangzhou</w:t>
      </w:r>
      <w:r>
        <w:rPr>
          <w:color w:val="231F20"/>
          <w:kern w:val="0"/>
          <w:szCs w:val="21"/>
        </w:rPr>
        <w:t>，</w:t>
      </w:r>
      <w:r>
        <w:rPr>
          <w:i/>
          <w:iCs/>
          <w:color w:val="231F20"/>
          <w:kern w:val="0"/>
          <w:szCs w:val="21"/>
        </w:rPr>
        <w:t>Zhejiang Province 310021</w:t>
      </w:r>
      <w:r>
        <w:rPr>
          <w:color w:val="231F20"/>
          <w:kern w:val="0"/>
          <w:szCs w:val="21"/>
        </w:rPr>
        <w:t>，</w:t>
      </w:r>
      <w:r>
        <w:rPr>
          <w:i/>
          <w:iCs/>
          <w:color w:val="231F20"/>
          <w:kern w:val="0"/>
          <w:szCs w:val="21"/>
        </w:rPr>
        <w:t>China</w:t>
      </w:r>
      <w:r>
        <w:rPr>
          <w:color w:val="231F20"/>
          <w:kern w:val="0"/>
          <w:szCs w:val="21"/>
        </w:rPr>
        <w:t>)</w:t>
      </w:r>
    </w:p>
    <w:p>
      <w:pPr>
        <w:rPr>
          <w:color w:val="231F20"/>
          <w:kern w:val="0"/>
          <w:szCs w:val="21"/>
        </w:rPr>
      </w:pPr>
      <w:r>
        <w:rPr>
          <w:b/>
          <w:bCs/>
          <w:color w:val="231F20"/>
          <w:kern w:val="0"/>
          <w:szCs w:val="21"/>
        </w:rPr>
        <w:t>Abstract</w:t>
      </w:r>
      <w:r>
        <w:rPr>
          <w:rFonts w:hint="eastAsia"/>
          <w:color w:val="231F20"/>
          <w:kern w:val="0"/>
          <w:szCs w:val="21"/>
        </w:rPr>
        <w:t>:</w:t>
      </w:r>
      <w:r>
        <w:rPr>
          <w:color w:val="231F20"/>
          <w:kern w:val="0"/>
          <w:szCs w:val="21"/>
        </w:rPr>
        <w:t xml:space="preserve"> This study was conducted to investigate the effects of dietary supplementation with sodium acetate on the growth performance and liver lipidome of small yellow croaker (</w:t>
      </w:r>
      <w:r>
        <w:rPr>
          <w:i/>
          <w:iCs/>
          <w:color w:val="231F20"/>
          <w:kern w:val="0"/>
          <w:szCs w:val="21"/>
        </w:rPr>
        <w:t>Larimichthys polyactis</w:t>
      </w:r>
      <w:r>
        <w:rPr>
          <w:color w:val="231F20"/>
          <w:kern w:val="0"/>
          <w:szCs w:val="21"/>
        </w:rPr>
        <w:t>).The test selected 30 juvenile small yellow croakers of uniform size，which were randomly divided into two groups. The control group (group C) was fed with basic feed，and the test group (group SA)added 0.5 g/kg of sodium acetate on the basis and fed twice a day for 10 weeks. After the experiment，the body weight of the small yellow croaker was measured，the liver tissue was collected，and the lipidomics analysis of the liver of the small yellow croaker was carried out by liquid chromatography-mass spectrometer (LC-MS).The results showed that the addition of 0.5 g/kg sodium acetate to the diet could significantly increase the weight gain rate of small yellow croaker (</w:t>
      </w:r>
      <w:r>
        <w:rPr>
          <w:i/>
          <w:iCs/>
          <w:color w:val="231F20"/>
          <w:kern w:val="0"/>
          <w:szCs w:val="21"/>
        </w:rPr>
        <w:t>P</w:t>
      </w:r>
      <w:r>
        <w:rPr>
          <w:color w:val="231F20"/>
          <w:kern w:val="0"/>
          <w:szCs w:val="21"/>
        </w:rPr>
        <w:t xml:space="preserve">&lt; 0.05). At the same time，the addition of 0.5 g/kg sodium acetate to the feed increased the total lipid level in the liver of small yellow croaker，and 16 lipid subclasses such as Bis-methyl phosphatidic acid (BisMePA) and ceramide(Cer) showed a significant upward trend. Multidimensional statistical analysis and univariate statistical analysis were conducted，and 68 significantly different lipid molecules were screened under the conditions of VIP≥1.6 and </w:t>
      </w:r>
      <w:r>
        <w:rPr>
          <w:i/>
          <w:iCs/>
          <w:color w:val="231F20"/>
          <w:kern w:val="0"/>
          <w:szCs w:val="21"/>
        </w:rPr>
        <w:t>P</w:t>
      </w:r>
      <w:r>
        <w:rPr>
          <w:color w:val="231F20"/>
          <w:kern w:val="0"/>
          <w:szCs w:val="21"/>
        </w:rPr>
        <w:t xml:space="preserve">&lt; 0.05，and the levels of 13 species of phosphatidylcholine (PC) and 6 species of Cer were significantly higher in the group SA than in group C. This study explored the effect of dietary sodium acetate on the lipidome and growth performance of small yellow croaker liver，and provided a theoretical basis for exploring the potential of using sodium acetate in aquaculture. </w:t>
      </w:r>
    </w:p>
    <w:p>
      <w:pPr>
        <w:rPr>
          <w:color w:val="231F20"/>
          <w:kern w:val="0"/>
          <w:szCs w:val="21"/>
        </w:rPr>
      </w:pPr>
      <w:r>
        <w:rPr>
          <w:b/>
          <w:bCs/>
          <w:color w:val="231F20"/>
          <w:kern w:val="0"/>
          <w:szCs w:val="21"/>
        </w:rPr>
        <w:t>Key words</w:t>
      </w:r>
      <w:r>
        <w:rPr>
          <w:rFonts w:hint="eastAsia"/>
          <w:color w:val="231F20"/>
          <w:kern w:val="0"/>
          <w:szCs w:val="21"/>
        </w:rPr>
        <w:t xml:space="preserve">: </w:t>
      </w:r>
      <w:r>
        <w:rPr>
          <w:i/>
          <w:iCs/>
          <w:color w:val="231F20"/>
          <w:kern w:val="0"/>
          <w:szCs w:val="21"/>
        </w:rPr>
        <w:t>Larimichthys polyactis</w:t>
      </w:r>
      <w:r>
        <w:rPr>
          <w:color w:val="231F20"/>
          <w:kern w:val="0"/>
          <w:szCs w:val="21"/>
        </w:rPr>
        <w:t>；sodium acetate；liver；lipidome</w:t>
      </w:r>
    </w:p>
    <w:p>
      <w:pPr>
        <w:rPr>
          <w:color w:val="231F20"/>
          <w:kern w:val="0"/>
          <w:szCs w:val="21"/>
        </w:rPr>
      </w:pPr>
    </w:p>
    <w:p>
      <w:pPr>
        <w:spacing w:line="360" w:lineRule="auto"/>
        <w:ind w:firstLine="480" w:firstLineChars="200"/>
        <w:rPr>
          <w:color w:val="231F20"/>
          <w:kern w:val="0"/>
          <w:sz w:val="24"/>
        </w:rPr>
      </w:pPr>
      <w:r>
        <w:rPr>
          <w:color w:val="231F20"/>
          <w:kern w:val="0"/>
          <w:sz w:val="24"/>
        </w:rPr>
        <w:t>小黄鱼(</w:t>
      </w:r>
      <w:r>
        <w:rPr>
          <w:i/>
          <w:iCs/>
          <w:color w:val="231F20"/>
          <w:kern w:val="0"/>
          <w:sz w:val="24"/>
        </w:rPr>
        <w:t>Larimichthys polyactis</w:t>
      </w:r>
      <w:r>
        <w:rPr>
          <w:color w:val="231F20"/>
          <w:kern w:val="0"/>
          <w:sz w:val="24"/>
        </w:rPr>
        <w:t>)是一种重要的海洋鱼类，广泛分布于渤海、黄海和东海等地区(王腾等，2021)，因其味道鲜美、质地细嫩而深受消费者喜欢(Chen等，2022)。小黄鱼作为我国近海渔业中的重要经济物种(Zhang等，2022)，每年上岸量超过30万</w:t>
      </w:r>
      <w:r>
        <w:rPr>
          <w:rFonts w:hint="eastAsia"/>
          <w:color w:val="231F20"/>
          <w:kern w:val="0"/>
          <w:sz w:val="24"/>
        </w:rPr>
        <w:t xml:space="preserve"> </w:t>
      </w:r>
      <w:r>
        <w:rPr>
          <w:color w:val="231F20"/>
          <w:kern w:val="0"/>
          <w:sz w:val="24"/>
        </w:rPr>
        <w:t>t(Lin等，2018)，在近海食物网中发挥着至关重要的作用(王腾等，2021)。</w:t>
      </w:r>
    </w:p>
    <w:p>
      <w:pPr>
        <w:spacing w:line="360" w:lineRule="auto"/>
        <w:ind w:firstLine="480" w:firstLineChars="200"/>
        <w:rPr>
          <w:color w:val="231F20"/>
          <w:kern w:val="0"/>
          <w:sz w:val="24"/>
        </w:rPr>
      </w:pPr>
      <w:r>
        <w:rPr>
          <w:color w:val="231F20"/>
          <w:kern w:val="0"/>
          <w:sz w:val="24"/>
        </w:rPr>
        <w:t>肝脏是鱼类代谢、脂质积累、储存和消耗的重要器官(Zhang等，2022；Zheng等，2022；TenHove等，2020)，与鱼类的体重变化密切相关(Ahmmed等，2022)。鱼肝脏脂质积累是一个复杂的过程，涉及脂质转运、吸收、合成和分解代谢(Shearer等，2012)。鱼类肝脏中的脂肪组成与饲料中营养物质的消化和吸收有着紧密联系(Zheng等，2022；Xie等，2017；Shearer等，2012)。脂肪是提供能量的仓库，可以作为能量储存器发挥作用，是质膜、细胞器膜转运的主要构成部分(vanMeer，2005)。脂质还参与信号转导，与蛋白质具有相互调节作用(TenHove等，2020；Lydic和Goo，2018)。同时，脂质与免疫系统之间也有着紧密联系(Li等，2020；Safari等，2020)。</w:t>
      </w:r>
    </w:p>
    <w:p>
      <w:pPr>
        <w:spacing w:line="360" w:lineRule="auto"/>
        <w:ind w:firstLine="480" w:firstLineChars="200"/>
        <w:rPr>
          <w:color w:val="231F20"/>
          <w:kern w:val="0"/>
          <w:sz w:val="24"/>
        </w:rPr>
      </w:pPr>
      <w:r>
        <w:rPr>
          <w:color w:val="231F20"/>
          <w:kern w:val="0"/>
          <w:sz w:val="24"/>
        </w:rPr>
        <w:t>近年来，各种组学兴起，脂质组学也得到了快速的发展以及广泛的关注(Shearer等，2012)。脂质组学是对生物体中总脂肪含量的综合测量，为研究脂质代谢提供了一个强大的工具。非靶向脂质组学是脂质组学的一种，也称为全局脂质组学，通常用于识别已知、未知脂质分子种类的意外变化及其丰度变化来生成假设，对于发现新脂质和定义差异脂质非常重要(Han和Gross，2022)。</w:t>
      </w:r>
    </w:p>
    <w:p>
      <w:pPr>
        <w:spacing w:line="360" w:lineRule="auto"/>
        <w:ind w:firstLine="480" w:firstLineChars="200"/>
        <w:rPr>
          <w:color w:val="231F20"/>
          <w:kern w:val="0"/>
          <w:sz w:val="24"/>
        </w:rPr>
      </w:pPr>
      <w:r>
        <w:rPr>
          <w:color w:val="231F20"/>
          <w:kern w:val="0"/>
          <w:sz w:val="24"/>
        </w:rPr>
        <w:t>饲料的营养成分会对鱼肝脏脂质代谢产生直接影响，从而影响脂质在肝脏中的积累。乙酸钠等短链脂肪酸会通过多种形式影响细胞内脂质分解(Ma等，2024；Hernández等，2019)。乙酸钠可作为饲料添加剂，广泛用于鱼类的养殖(Bampidis等，2023；Zhou等，2023；Safari等，2020)。研究发现，日粮中添加乙酸钠可促进养殖水生物种的生长性能和饲料利用率，发挥保蛋白作用，这有助于降低成本(Kim等，2021；Sheikhzadeh等，2021；Li等，2020；Zhang等，2020)。同时，乙酸钠在增强免疫力以及调节能量代谢方面起着重要作用(Zhou等，2023；Safari等，2020；Sotoudeh等，2020；Zhang等，2020；刘宇，2018)，但是乙酸钠对养殖鱼类肝脏脂质代谢的影响目前仍不清楚。因此，本试验以小黄鱼为研究对象，利用液相色谱-质谱联用仪(LC</w:t>
      </w:r>
      <w:r>
        <w:rPr>
          <w:rFonts w:hint="eastAsia"/>
          <w:color w:val="231F20"/>
          <w:kern w:val="0"/>
          <w:sz w:val="24"/>
        </w:rPr>
        <w:t>-</w:t>
      </w:r>
      <w:r>
        <w:rPr>
          <w:color w:val="231F20"/>
          <w:kern w:val="0"/>
          <w:sz w:val="24"/>
        </w:rPr>
        <w:t>MS)和非靶向脂质组学，旨在解析添加乙酸钠对小黄鱼生长性能以及肝脏脂质组的影响，为水产养殖提供理论依据。</w:t>
      </w:r>
    </w:p>
    <w:p>
      <w:pPr>
        <w:spacing w:line="360" w:lineRule="auto"/>
        <w:rPr>
          <w:color w:val="231F20"/>
          <w:kern w:val="0"/>
          <w:sz w:val="24"/>
        </w:rPr>
      </w:pPr>
      <w:r>
        <w:rPr>
          <w:color w:val="231F20"/>
          <w:kern w:val="0"/>
          <w:sz w:val="24"/>
        </w:rPr>
        <w:t>1</w:t>
      </w:r>
      <w:r>
        <w:rPr>
          <w:rFonts w:hint="eastAsia"/>
          <w:color w:val="231F20"/>
          <w:kern w:val="0"/>
          <w:sz w:val="24"/>
        </w:rPr>
        <w:t xml:space="preserve">  </w:t>
      </w:r>
      <w:r>
        <w:rPr>
          <w:color w:val="231F20"/>
          <w:kern w:val="0"/>
          <w:sz w:val="24"/>
        </w:rPr>
        <w:t>材料与方法</w:t>
      </w:r>
    </w:p>
    <w:p>
      <w:pPr>
        <w:spacing w:line="360" w:lineRule="auto"/>
        <w:rPr>
          <w:color w:val="231F20"/>
          <w:kern w:val="0"/>
          <w:sz w:val="24"/>
        </w:rPr>
      </w:pPr>
      <w:r>
        <w:rPr>
          <w:color w:val="231F20"/>
          <w:kern w:val="0"/>
          <w:sz w:val="24"/>
        </w:rPr>
        <w:t>1.1  试验材料</w:t>
      </w:r>
    </w:p>
    <w:p>
      <w:pPr>
        <w:spacing w:line="360" w:lineRule="auto"/>
        <w:ind w:firstLine="480" w:firstLineChars="200"/>
        <w:rPr>
          <w:color w:val="231F20"/>
          <w:kern w:val="0"/>
          <w:sz w:val="24"/>
        </w:rPr>
      </w:pPr>
      <w:r>
        <w:rPr>
          <w:color w:val="231F20"/>
          <w:kern w:val="0"/>
          <w:sz w:val="24"/>
        </w:rPr>
        <w:t>乙酸钠购自上海阿拉丁生化科技股份有限公司。试验用小黄鱼为人工繁育获得，购自象山港湾水产苗种公司。</w:t>
      </w:r>
    </w:p>
    <w:p>
      <w:pPr>
        <w:spacing w:line="360" w:lineRule="auto"/>
        <w:rPr>
          <w:color w:val="231F20"/>
          <w:kern w:val="0"/>
          <w:sz w:val="24"/>
        </w:rPr>
      </w:pPr>
      <w:r>
        <w:rPr>
          <w:color w:val="231F20"/>
          <w:kern w:val="0"/>
          <w:sz w:val="24"/>
        </w:rPr>
        <w:t>1.2</w:t>
      </w:r>
      <w:r>
        <w:rPr>
          <w:rFonts w:hint="eastAsia"/>
          <w:color w:val="231F20"/>
          <w:kern w:val="0"/>
          <w:sz w:val="24"/>
        </w:rPr>
        <w:t xml:space="preserve">  </w:t>
      </w:r>
      <w:r>
        <w:rPr>
          <w:color w:val="231F20"/>
          <w:kern w:val="0"/>
          <w:sz w:val="24"/>
        </w:rPr>
        <w:t>试验设计</w:t>
      </w:r>
    </w:p>
    <w:p>
      <w:pPr>
        <w:spacing w:line="360" w:lineRule="auto"/>
        <w:ind w:firstLine="480" w:firstLineChars="200"/>
        <w:rPr>
          <w:color w:val="231F20"/>
          <w:kern w:val="0"/>
          <w:sz w:val="24"/>
        </w:rPr>
      </w:pPr>
      <w:r>
        <w:rPr>
          <w:color w:val="231F20"/>
          <w:kern w:val="0"/>
          <w:sz w:val="24"/>
        </w:rPr>
        <w:t>挑选健康且大小均一的小黄鱼幼鱼30尾，随机分为两组，对照组(C组)饲喂基础饲料，试验组(SA组)在基础饲料中添加0.5</w:t>
      </w:r>
      <w:r>
        <w:rPr>
          <w:rFonts w:hint="eastAsia"/>
          <w:color w:val="231F20"/>
          <w:kern w:val="0"/>
          <w:sz w:val="24"/>
        </w:rPr>
        <w:t xml:space="preserve"> </w:t>
      </w:r>
      <w:r>
        <w:rPr>
          <w:color w:val="231F20"/>
          <w:kern w:val="0"/>
          <w:sz w:val="24"/>
        </w:rPr>
        <w:t>g/kg乙酸钠。每天投喂两次，饲喂周期为10周。</w:t>
      </w:r>
    </w:p>
    <w:p>
      <w:pPr>
        <w:spacing w:line="360" w:lineRule="auto"/>
        <w:rPr>
          <w:color w:val="231F20"/>
          <w:kern w:val="0"/>
          <w:sz w:val="24"/>
        </w:rPr>
      </w:pPr>
      <w:r>
        <w:rPr>
          <w:color w:val="231F20"/>
          <w:kern w:val="0"/>
          <w:sz w:val="24"/>
        </w:rPr>
        <w:t>1.3</w:t>
      </w:r>
      <w:r>
        <w:rPr>
          <w:rFonts w:hint="eastAsia"/>
          <w:color w:val="231F20"/>
          <w:kern w:val="0"/>
          <w:sz w:val="24"/>
        </w:rPr>
        <w:t xml:space="preserve">  </w:t>
      </w:r>
      <w:r>
        <w:rPr>
          <w:color w:val="231F20"/>
          <w:kern w:val="0"/>
          <w:sz w:val="24"/>
        </w:rPr>
        <w:t>样本处理方法</w:t>
      </w:r>
    </w:p>
    <w:p>
      <w:pPr>
        <w:spacing w:line="360" w:lineRule="auto"/>
        <w:ind w:firstLine="480" w:firstLineChars="200"/>
        <w:rPr>
          <w:color w:val="231F20"/>
          <w:kern w:val="0"/>
          <w:sz w:val="24"/>
        </w:rPr>
      </w:pPr>
      <w:r>
        <w:rPr>
          <w:color w:val="231F20"/>
          <w:kern w:val="0"/>
          <w:sz w:val="24"/>
        </w:rPr>
        <w:t>测定小黄鱼的体重后，用酒精擦拭干净鱼体体表，取出肝脏，液氮冷冻后干冰运回实验室。室温下解冻后，使用匀浆机将每5尾小黄鱼的肝脏均匀混合成一个样本，用于脂质组分析。</w:t>
      </w:r>
    </w:p>
    <w:p>
      <w:pPr>
        <w:spacing w:line="360" w:lineRule="auto"/>
        <w:rPr>
          <w:color w:val="231F20"/>
          <w:kern w:val="0"/>
          <w:sz w:val="24"/>
        </w:rPr>
      </w:pPr>
      <w:r>
        <w:rPr>
          <w:color w:val="231F20"/>
          <w:kern w:val="0"/>
          <w:sz w:val="24"/>
        </w:rPr>
        <w:t>1.4</w:t>
      </w:r>
      <w:r>
        <w:rPr>
          <w:rFonts w:hint="eastAsia"/>
          <w:color w:val="231F20"/>
          <w:kern w:val="0"/>
          <w:sz w:val="24"/>
        </w:rPr>
        <w:t xml:space="preserve">  </w:t>
      </w:r>
      <w:r>
        <w:rPr>
          <w:color w:val="231F20"/>
          <w:kern w:val="0"/>
          <w:sz w:val="24"/>
        </w:rPr>
        <w:t>脂质提取和测定</w:t>
      </w:r>
    </w:p>
    <w:p>
      <w:pPr>
        <w:spacing w:line="360" w:lineRule="auto"/>
        <w:ind w:firstLine="480" w:firstLineChars="200"/>
        <w:rPr>
          <w:color w:val="231F20"/>
          <w:kern w:val="0"/>
          <w:sz w:val="24"/>
        </w:rPr>
      </w:pPr>
      <w:r>
        <w:rPr>
          <w:color w:val="231F20"/>
          <w:kern w:val="0"/>
          <w:sz w:val="24"/>
        </w:rPr>
        <w:t>脂质提取参考邓学丹(2022)等方法，将100</w:t>
      </w:r>
      <w:r>
        <w:rPr>
          <w:rFonts w:hint="eastAsia"/>
          <w:color w:val="231F20"/>
          <w:kern w:val="0"/>
          <w:sz w:val="24"/>
        </w:rPr>
        <w:t xml:space="preserve"> </w:t>
      </w:r>
      <w:r>
        <w:rPr>
          <w:color w:val="231F20"/>
          <w:kern w:val="0"/>
          <w:sz w:val="24"/>
        </w:rPr>
        <w:t>mg小黄鱼肝脏样本与氯仿甲醇液(氯仿：甲醇=2：1，-20</w:t>
      </w:r>
      <w:r>
        <w:rPr>
          <w:rFonts w:hint="eastAsia"/>
          <w:color w:val="231F20"/>
          <w:kern w:val="0"/>
          <w:sz w:val="24"/>
        </w:rPr>
        <w:t xml:space="preserve"> </w:t>
      </w:r>
      <w:r>
        <w:rPr>
          <w:color w:val="231F20"/>
          <w:kern w:val="0"/>
          <w:sz w:val="24"/>
        </w:rPr>
        <w:t>℃)混合，涡旋振荡30s后在室温下12000</w:t>
      </w:r>
      <w:r>
        <w:rPr>
          <w:rFonts w:hint="eastAsia"/>
          <w:color w:val="231F20"/>
          <w:kern w:val="0"/>
          <w:sz w:val="24"/>
        </w:rPr>
        <w:t xml:space="preserve"> </w:t>
      </w:r>
      <w:r>
        <w:rPr>
          <w:color w:val="231F20"/>
          <w:kern w:val="0"/>
          <w:sz w:val="24"/>
        </w:rPr>
        <w:t>r/min离心5</w:t>
      </w:r>
      <w:r>
        <w:rPr>
          <w:rFonts w:hint="eastAsia"/>
          <w:color w:val="231F20"/>
          <w:kern w:val="0"/>
          <w:sz w:val="24"/>
        </w:rPr>
        <w:t xml:space="preserve"> </w:t>
      </w:r>
      <w:r>
        <w:rPr>
          <w:color w:val="231F20"/>
          <w:kern w:val="0"/>
          <w:sz w:val="24"/>
        </w:rPr>
        <w:t>min，取下层液400</w:t>
      </w:r>
      <w:r>
        <w:rPr>
          <w:rFonts w:hint="eastAsia"/>
          <w:color w:val="231F20"/>
          <w:kern w:val="0"/>
          <w:sz w:val="24"/>
        </w:rPr>
        <w:t xml:space="preserve"> </w:t>
      </w:r>
      <w:r>
        <w:rPr>
          <w:color w:val="231F20"/>
          <w:kern w:val="0"/>
          <w:sz w:val="24"/>
        </w:rPr>
        <w:t>μL，用真空离心浓缩仪(eppendorf5305)浓缩，加入200</w:t>
      </w:r>
      <w:r>
        <w:rPr>
          <w:rFonts w:hint="eastAsia"/>
          <w:color w:val="231F20"/>
          <w:kern w:val="0"/>
          <w:sz w:val="24"/>
        </w:rPr>
        <w:t xml:space="preserve"> </w:t>
      </w:r>
      <w:r>
        <w:rPr>
          <w:color w:val="231F20"/>
          <w:kern w:val="0"/>
          <w:sz w:val="24"/>
        </w:rPr>
        <w:t>μL异丙醇溶解，涡旋1</w:t>
      </w:r>
      <w:r>
        <w:rPr>
          <w:rFonts w:hint="eastAsia"/>
          <w:color w:val="231F20"/>
          <w:kern w:val="0"/>
          <w:sz w:val="24"/>
        </w:rPr>
        <w:t xml:space="preserve"> </w:t>
      </w:r>
      <w:r>
        <w:rPr>
          <w:color w:val="231F20"/>
          <w:kern w:val="0"/>
          <w:sz w:val="24"/>
        </w:rPr>
        <w:t>min，过0.22</w:t>
      </w:r>
      <w:r>
        <w:rPr>
          <w:rFonts w:hint="eastAsia"/>
          <w:color w:val="231F20"/>
          <w:kern w:val="0"/>
          <w:sz w:val="24"/>
        </w:rPr>
        <w:t xml:space="preserve"> </w:t>
      </w:r>
      <w:r>
        <w:rPr>
          <w:color w:val="231F20"/>
          <w:kern w:val="0"/>
          <w:sz w:val="24"/>
        </w:rPr>
        <w:t>μm滤膜(JinTeng0.22μmPTFE)，用于LC</w:t>
      </w:r>
      <w:r>
        <w:rPr>
          <w:rFonts w:hint="eastAsia"/>
          <w:color w:val="231F20"/>
          <w:kern w:val="0"/>
          <w:sz w:val="24"/>
        </w:rPr>
        <w:t>-</w:t>
      </w:r>
      <w:r>
        <w:rPr>
          <w:color w:val="231F20"/>
          <w:kern w:val="0"/>
          <w:sz w:val="24"/>
        </w:rPr>
        <w:t>MS上机检测。</w:t>
      </w:r>
    </w:p>
    <w:p>
      <w:pPr>
        <w:spacing w:line="360" w:lineRule="auto"/>
        <w:rPr>
          <w:color w:val="231F20"/>
          <w:kern w:val="0"/>
          <w:sz w:val="24"/>
        </w:rPr>
      </w:pPr>
      <w:r>
        <w:rPr>
          <w:color w:val="231F20"/>
          <w:kern w:val="0"/>
          <w:sz w:val="24"/>
        </w:rPr>
        <w:t>1.5</w:t>
      </w:r>
      <w:r>
        <w:rPr>
          <w:rFonts w:hint="eastAsia"/>
          <w:color w:val="231F20"/>
          <w:kern w:val="0"/>
          <w:sz w:val="24"/>
        </w:rPr>
        <w:t xml:space="preserve">  </w:t>
      </w:r>
      <w:r>
        <w:rPr>
          <w:color w:val="231F20"/>
          <w:kern w:val="0"/>
          <w:sz w:val="24"/>
        </w:rPr>
        <w:t>色谱和质谱条件</w:t>
      </w:r>
    </w:p>
    <w:p>
      <w:pPr>
        <w:spacing w:line="360" w:lineRule="auto"/>
        <w:ind w:firstLine="480" w:firstLineChars="200"/>
        <w:rPr>
          <w:color w:val="231F20"/>
          <w:kern w:val="0"/>
          <w:sz w:val="24"/>
        </w:rPr>
      </w:pPr>
      <w:r>
        <w:rPr>
          <w:color w:val="231F20"/>
          <w:kern w:val="0"/>
          <w:sz w:val="24"/>
        </w:rPr>
        <w:t>色谱分离仪器采用Thermo</w:t>
      </w:r>
      <w:r>
        <w:rPr>
          <w:rFonts w:hint="eastAsia"/>
          <w:color w:val="231F20"/>
          <w:kern w:val="0"/>
          <w:sz w:val="24"/>
        </w:rPr>
        <w:t xml:space="preserve"> </w:t>
      </w:r>
      <w:r>
        <w:rPr>
          <w:color w:val="231F20"/>
          <w:kern w:val="0"/>
          <w:sz w:val="24"/>
        </w:rPr>
        <w:t>Vanquish，使用ACQUITY</w:t>
      </w:r>
      <w:r>
        <w:rPr>
          <w:rFonts w:hint="eastAsia"/>
          <w:color w:val="231F20"/>
          <w:kern w:val="0"/>
          <w:sz w:val="24"/>
        </w:rPr>
        <w:t xml:space="preserve"> </w:t>
      </w:r>
      <w:r>
        <w:rPr>
          <w:color w:val="231F20"/>
          <w:kern w:val="0"/>
          <w:sz w:val="24"/>
        </w:rPr>
        <w:t>UPLC</w:t>
      </w:r>
      <w:r>
        <w:rPr>
          <w:rFonts w:hint="eastAsia"/>
          <w:color w:val="231F20"/>
          <w:kern w:val="0"/>
          <w:sz w:val="24"/>
        </w:rPr>
        <w:t>R</w:t>
      </w:r>
      <w:r>
        <w:rPr>
          <w:color w:val="231F20"/>
          <w:kern w:val="0"/>
          <w:sz w:val="24"/>
        </w:rPr>
        <w:t>BEHC</w:t>
      </w:r>
      <w:r>
        <w:rPr>
          <w:color w:val="231F20"/>
          <w:kern w:val="0"/>
          <w:sz w:val="24"/>
          <w:vertAlign w:val="subscript"/>
        </w:rPr>
        <w:t>18</w:t>
      </w:r>
      <w:r>
        <w:rPr>
          <w:color w:val="231F20"/>
          <w:kern w:val="0"/>
          <w:sz w:val="24"/>
        </w:rPr>
        <w:t>1.7</w:t>
      </w:r>
      <w:r>
        <w:rPr>
          <w:rFonts w:hint="eastAsia"/>
          <w:color w:val="231F20"/>
          <w:kern w:val="0"/>
          <w:sz w:val="24"/>
        </w:rPr>
        <w:t xml:space="preserve"> </w:t>
      </w:r>
      <w:r>
        <w:rPr>
          <w:color w:val="231F20"/>
          <w:kern w:val="0"/>
          <w:sz w:val="24"/>
        </w:rPr>
        <w:t>μm(2.1</w:t>
      </w:r>
      <w:r>
        <w:rPr>
          <w:rFonts w:hint="eastAsia"/>
          <w:color w:val="231F20"/>
          <w:kern w:val="0"/>
          <w:sz w:val="24"/>
        </w:rPr>
        <w:t xml:space="preserve"> </w:t>
      </w:r>
      <w:r>
        <w:rPr>
          <w:color w:val="231F20"/>
          <w:kern w:val="0"/>
          <w:sz w:val="24"/>
        </w:rPr>
        <w:t>mm×100</w:t>
      </w:r>
      <w:r>
        <w:rPr>
          <w:rFonts w:hint="eastAsia"/>
          <w:color w:val="231F20"/>
          <w:kern w:val="0"/>
          <w:sz w:val="24"/>
        </w:rPr>
        <w:t xml:space="preserve"> </w:t>
      </w:r>
      <w:r>
        <w:rPr>
          <w:color w:val="231F20"/>
          <w:kern w:val="0"/>
          <w:sz w:val="24"/>
        </w:rPr>
        <w:t>mm)色谱柱，进样量为2</w:t>
      </w:r>
      <w:r>
        <w:rPr>
          <w:rFonts w:hint="eastAsia"/>
          <w:color w:val="231F20"/>
          <w:kern w:val="0"/>
          <w:sz w:val="24"/>
        </w:rPr>
        <w:t xml:space="preserve"> </w:t>
      </w:r>
      <w:r>
        <w:rPr>
          <w:color w:val="231F20"/>
          <w:kern w:val="0"/>
          <w:sz w:val="24"/>
        </w:rPr>
        <w:t>μL。</w:t>
      </w:r>
    </w:p>
    <w:p>
      <w:pPr>
        <w:spacing w:line="360" w:lineRule="auto"/>
        <w:ind w:firstLine="480" w:firstLineChars="200"/>
        <w:rPr>
          <w:color w:val="231F20"/>
          <w:kern w:val="0"/>
          <w:sz w:val="24"/>
        </w:rPr>
      </w:pPr>
      <w:r>
        <w:rPr>
          <w:color w:val="231F20"/>
          <w:kern w:val="0"/>
          <w:sz w:val="24"/>
        </w:rPr>
        <w:t>采用Thermo</w:t>
      </w:r>
      <w:r>
        <w:rPr>
          <w:rFonts w:hint="eastAsia"/>
          <w:color w:val="231F20"/>
          <w:kern w:val="0"/>
          <w:sz w:val="24"/>
        </w:rPr>
        <w:t xml:space="preserve"> </w:t>
      </w:r>
      <w:r>
        <w:rPr>
          <w:color w:val="231F20"/>
          <w:kern w:val="0"/>
          <w:sz w:val="24"/>
        </w:rPr>
        <w:t>Q</w:t>
      </w:r>
      <w:r>
        <w:rPr>
          <w:rFonts w:hint="eastAsia"/>
          <w:color w:val="231F20"/>
          <w:kern w:val="0"/>
          <w:sz w:val="24"/>
        </w:rPr>
        <w:t xml:space="preserve"> </w:t>
      </w:r>
      <w:r>
        <w:rPr>
          <w:color w:val="231F20"/>
          <w:kern w:val="0"/>
          <w:sz w:val="24"/>
        </w:rPr>
        <w:t>Exactive</w:t>
      </w:r>
      <w:r>
        <w:rPr>
          <w:rFonts w:hint="eastAsia"/>
          <w:color w:val="231F20"/>
          <w:kern w:val="0"/>
          <w:sz w:val="24"/>
        </w:rPr>
        <w:t xml:space="preserve"> </w:t>
      </w:r>
      <w:r>
        <w:rPr>
          <w:color w:val="231F20"/>
          <w:kern w:val="0"/>
          <w:sz w:val="24"/>
        </w:rPr>
        <w:t>Focus四级杆质谱仪，电喷雾离子源(ESI)分别在正、负离子电离模式下检测。正离子喷雾电压为3.50kV，负离子喷雾电压为2.50kV，鞘气30arb，辅助气10arb。毛细管温度为325℃，以分辨率35000进行全扫描，扫描范围150~2000Da，并采用HCD进行二级裂解，碰撞电压为30eV。</w:t>
      </w:r>
    </w:p>
    <w:p>
      <w:pPr>
        <w:spacing w:line="360" w:lineRule="auto"/>
        <w:rPr>
          <w:color w:val="231F20"/>
          <w:kern w:val="0"/>
          <w:sz w:val="24"/>
        </w:rPr>
      </w:pPr>
      <w:r>
        <w:rPr>
          <w:color w:val="231F20"/>
          <w:kern w:val="0"/>
          <w:sz w:val="24"/>
        </w:rPr>
        <w:t>1.6</w:t>
      </w:r>
      <w:r>
        <w:rPr>
          <w:rFonts w:hint="eastAsia"/>
          <w:color w:val="231F20"/>
          <w:kern w:val="0"/>
          <w:sz w:val="24"/>
        </w:rPr>
        <w:t xml:space="preserve">  </w:t>
      </w:r>
      <w:r>
        <w:rPr>
          <w:color w:val="231F20"/>
          <w:kern w:val="0"/>
          <w:sz w:val="24"/>
        </w:rPr>
        <w:t>样本数据预处理</w:t>
      </w:r>
    </w:p>
    <w:p>
      <w:pPr>
        <w:spacing w:line="360" w:lineRule="auto"/>
        <w:ind w:firstLine="480" w:firstLineChars="200"/>
        <w:rPr>
          <w:color w:val="231F20"/>
          <w:kern w:val="0"/>
          <w:sz w:val="24"/>
        </w:rPr>
      </w:pPr>
      <w:r>
        <w:rPr>
          <w:color w:val="231F20"/>
          <w:kern w:val="0"/>
          <w:sz w:val="24"/>
        </w:rPr>
        <w:t>通过Lipid</w:t>
      </w:r>
      <w:r>
        <w:rPr>
          <w:rFonts w:hint="eastAsia"/>
          <w:color w:val="231F20"/>
          <w:kern w:val="0"/>
          <w:sz w:val="24"/>
        </w:rPr>
        <w:t xml:space="preserve"> </w:t>
      </w:r>
      <w:r>
        <w:rPr>
          <w:color w:val="231F20"/>
          <w:kern w:val="0"/>
          <w:sz w:val="24"/>
        </w:rPr>
        <w:t>Search软件对原始数据进行峰识别、峰对齐、峰过滤。</w:t>
      </w:r>
    </w:p>
    <w:p>
      <w:pPr>
        <w:spacing w:line="360" w:lineRule="auto"/>
        <w:rPr>
          <w:color w:val="231F20"/>
          <w:kern w:val="0"/>
          <w:sz w:val="24"/>
        </w:rPr>
      </w:pPr>
      <w:r>
        <w:rPr>
          <w:color w:val="231F20"/>
          <w:kern w:val="0"/>
          <w:sz w:val="24"/>
        </w:rPr>
        <w:t>1.7</w:t>
      </w:r>
      <w:r>
        <w:rPr>
          <w:rFonts w:hint="eastAsia"/>
          <w:color w:val="231F20"/>
          <w:kern w:val="0"/>
          <w:sz w:val="24"/>
        </w:rPr>
        <w:t xml:space="preserve">  </w:t>
      </w:r>
      <w:r>
        <w:rPr>
          <w:color w:val="231F20"/>
          <w:kern w:val="0"/>
          <w:sz w:val="24"/>
        </w:rPr>
        <w:t>数据统计与分析</w:t>
      </w:r>
    </w:p>
    <w:p>
      <w:pPr>
        <w:spacing w:line="360" w:lineRule="auto"/>
        <w:ind w:firstLine="480" w:firstLineChars="200"/>
        <w:rPr>
          <w:color w:val="231F20"/>
          <w:kern w:val="0"/>
          <w:sz w:val="24"/>
        </w:rPr>
      </w:pPr>
      <w:r>
        <w:rPr>
          <w:color w:val="231F20"/>
          <w:kern w:val="0"/>
          <w:sz w:val="24"/>
        </w:rPr>
        <w:t>对数据进行自适(uv)归一化处理。用R语言(ropls包)进行偏最小二乘判别分析(PLS-DA)和正交偏最小二乘判别分析(OPLS-DA)。</w:t>
      </w:r>
    </w:p>
    <w:p>
      <w:pPr>
        <w:spacing w:line="360" w:lineRule="auto"/>
        <w:rPr>
          <w:color w:val="231F20"/>
          <w:kern w:val="0"/>
          <w:sz w:val="24"/>
        </w:rPr>
      </w:pPr>
      <w:r>
        <w:rPr>
          <w:color w:val="231F20"/>
          <w:kern w:val="0"/>
          <w:sz w:val="24"/>
        </w:rPr>
        <w:t>2</w:t>
      </w:r>
      <w:r>
        <w:rPr>
          <w:rFonts w:hint="eastAsia"/>
          <w:color w:val="231F20"/>
          <w:kern w:val="0"/>
          <w:sz w:val="24"/>
        </w:rPr>
        <w:t xml:space="preserve">  </w:t>
      </w:r>
      <w:r>
        <w:rPr>
          <w:color w:val="231F20"/>
          <w:kern w:val="0"/>
          <w:sz w:val="24"/>
        </w:rPr>
        <w:t>结果与分析</w:t>
      </w:r>
    </w:p>
    <w:p>
      <w:pPr>
        <w:spacing w:line="360" w:lineRule="auto"/>
        <w:rPr>
          <w:color w:val="231F20"/>
          <w:kern w:val="0"/>
          <w:sz w:val="24"/>
        </w:rPr>
      </w:pPr>
      <w:r>
        <w:rPr>
          <w:color w:val="231F20"/>
          <w:kern w:val="0"/>
          <w:sz w:val="24"/>
        </w:rPr>
        <w:t>2.1</w:t>
      </w:r>
      <w:r>
        <w:rPr>
          <w:rFonts w:hint="eastAsia"/>
          <w:color w:val="231F20"/>
          <w:kern w:val="0"/>
          <w:sz w:val="24"/>
        </w:rPr>
        <w:t xml:space="preserve">  </w:t>
      </w:r>
      <w:r>
        <w:rPr>
          <w:color w:val="231F20"/>
          <w:kern w:val="0"/>
          <w:sz w:val="24"/>
        </w:rPr>
        <w:t>饲粮添加乙酸钠对生长的影响</w:t>
      </w:r>
    </w:p>
    <w:p>
      <w:pPr>
        <w:spacing w:line="360" w:lineRule="auto"/>
        <w:ind w:firstLine="480" w:firstLineChars="200"/>
        <w:rPr>
          <w:color w:val="231F20"/>
          <w:kern w:val="0"/>
          <w:sz w:val="24"/>
        </w:rPr>
      </w:pPr>
      <w:r>
        <w:rPr>
          <w:color w:val="231F20"/>
          <w:kern w:val="0"/>
          <w:sz w:val="24"/>
        </w:rPr>
        <w:t>如表1所示，试验结束时，C组的小黄鱼体重为(14.791±0.310)</w:t>
      </w:r>
      <w:r>
        <w:rPr>
          <w:rFonts w:hint="eastAsia"/>
          <w:color w:val="231F20"/>
          <w:kern w:val="0"/>
          <w:sz w:val="24"/>
        </w:rPr>
        <w:t xml:space="preserve"> </w:t>
      </w:r>
      <w:r>
        <w:rPr>
          <w:color w:val="231F20"/>
          <w:kern w:val="0"/>
          <w:sz w:val="24"/>
        </w:rPr>
        <w:t>g，SA组的小黄鱼体重为(17.098±0.258)</w:t>
      </w:r>
      <w:r>
        <w:rPr>
          <w:rFonts w:hint="eastAsia"/>
          <w:color w:val="231F20"/>
          <w:kern w:val="0"/>
          <w:sz w:val="24"/>
        </w:rPr>
        <w:t xml:space="preserve"> </w:t>
      </w:r>
      <w:r>
        <w:rPr>
          <w:color w:val="231F20"/>
          <w:kern w:val="0"/>
          <w:sz w:val="24"/>
        </w:rPr>
        <w:t>g。与C组小黄鱼相比，SA组小黄鱼增重率显著提升(</w:t>
      </w:r>
      <w:r>
        <w:rPr>
          <w:i/>
          <w:iCs/>
          <w:color w:val="231F20"/>
          <w:kern w:val="0"/>
          <w:sz w:val="24"/>
        </w:rPr>
        <w:t>P</w:t>
      </w:r>
      <w:r>
        <w:rPr>
          <w:color w:val="231F20"/>
          <w:kern w:val="0"/>
          <w:sz w:val="24"/>
        </w:rPr>
        <w:t>＜0.05)，表明添加0.5g/kg乙酸钠可以促进小黄鱼的生长。</w:t>
      </w:r>
    </w:p>
    <w:p>
      <w:pPr>
        <w:spacing w:line="360" w:lineRule="auto"/>
        <w:jc w:val="center"/>
        <w:rPr>
          <w:color w:val="231F20"/>
          <w:kern w:val="0"/>
          <w:sz w:val="24"/>
        </w:rPr>
      </w:pPr>
      <w:r>
        <w:rPr>
          <w:sz w:val="24"/>
          <w14:ligatures w14:val="standardContextual"/>
        </w:rPr>
        <w:drawing>
          <wp:inline distT="0" distB="0" distL="0" distR="0">
            <wp:extent cx="4477385" cy="1802130"/>
            <wp:effectExtent l="0" t="0" r="0" b="7620"/>
            <wp:docPr id="8334312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3431213" name="图片 1"/>
                    <pic:cNvPicPr>
                      <a:picLocks noChangeAspect="1"/>
                    </pic:cNvPicPr>
                  </pic:nvPicPr>
                  <pic:blipFill>
                    <a:blip r:embed="rId39"/>
                    <a:stretch>
                      <a:fillRect/>
                    </a:stretch>
                  </pic:blipFill>
                  <pic:spPr>
                    <a:xfrm>
                      <a:off x="0" y="0"/>
                      <a:ext cx="4532228" cy="1824677"/>
                    </a:xfrm>
                    <a:prstGeom prst="rect">
                      <a:avLst/>
                    </a:prstGeom>
                  </pic:spPr>
                </pic:pic>
              </a:graphicData>
            </a:graphic>
          </wp:inline>
        </w:drawing>
      </w:r>
    </w:p>
    <w:p>
      <w:pPr>
        <w:spacing w:line="360" w:lineRule="auto"/>
        <w:rPr>
          <w:color w:val="231F20"/>
          <w:kern w:val="0"/>
          <w:sz w:val="24"/>
        </w:rPr>
      </w:pPr>
      <w:r>
        <w:rPr>
          <w:color w:val="231F20"/>
          <w:kern w:val="0"/>
          <w:sz w:val="24"/>
        </w:rPr>
        <w:t>2.2</w:t>
      </w:r>
      <w:r>
        <w:rPr>
          <w:rFonts w:hint="eastAsia"/>
          <w:color w:val="231F20"/>
          <w:kern w:val="0"/>
          <w:sz w:val="24"/>
        </w:rPr>
        <w:t xml:space="preserve">  </w:t>
      </w:r>
      <w:r>
        <w:rPr>
          <w:color w:val="231F20"/>
          <w:kern w:val="0"/>
          <w:sz w:val="24"/>
        </w:rPr>
        <w:t>脂质含量和脂类组成</w:t>
      </w:r>
    </w:p>
    <w:p>
      <w:pPr>
        <w:spacing w:line="360" w:lineRule="auto"/>
        <w:ind w:firstLine="480" w:firstLineChars="200"/>
        <w:rPr>
          <w:color w:val="231F20"/>
          <w:kern w:val="0"/>
          <w:sz w:val="24"/>
        </w:rPr>
      </w:pPr>
      <w:r>
        <w:rPr>
          <w:color w:val="231F20"/>
          <w:kern w:val="0"/>
          <w:sz w:val="24"/>
        </w:rPr>
        <w:t>试验检测到的脂质亚类和分子数量如表2所示。试验共检测到45个亚类脂质，脂质分子共1913种，其中甘油三酯(TG)、甲基磷胆碱(MePC)、磷脂酰胆碱(PC)、磷脂酰乙醇胺(PE)、二酰基甘油(DG)、神经酰胺(Cer)等是最主要的成分，在C组和SA组中分别占比为91.99</w:t>
      </w:r>
      <w:r>
        <w:rPr>
          <w:rFonts w:hint="eastAsia"/>
          <w:color w:val="231F20"/>
          <w:kern w:val="0"/>
          <w:sz w:val="24"/>
        </w:rPr>
        <w:t xml:space="preserve"> </w:t>
      </w:r>
      <w:r>
        <w:rPr>
          <w:color w:val="231F20"/>
          <w:kern w:val="0"/>
          <w:sz w:val="24"/>
        </w:rPr>
        <w:t>%和89.69</w:t>
      </w:r>
      <w:r>
        <w:rPr>
          <w:rFonts w:hint="eastAsia"/>
          <w:color w:val="231F20"/>
          <w:kern w:val="0"/>
          <w:sz w:val="24"/>
        </w:rPr>
        <w:t xml:space="preserve"> </w:t>
      </w:r>
      <w:r>
        <w:rPr>
          <w:color w:val="231F20"/>
          <w:kern w:val="0"/>
          <w:sz w:val="24"/>
        </w:rPr>
        <w:t>%。检测到的脂质亚类种类占比见图1A。</w:t>
      </w:r>
    </w:p>
    <w:p>
      <w:pPr>
        <w:spacing w:line="360" w:lineRule="auto"/>
        <w:ind w:firstLine="480" w:firstLineChars="200"/>
        <w:rPr>
          <w:color w:val="231F20"/>
          <w:kern w:val="0"/>
          <w:sz w:val="24"/>
        </w:rPr>
      </w:pPr>
      <w:r>
        <w:rPr>
          <w:color w:val="231F20"/>
          <w:kern w:val="0"/>
          <w:sz w:val="24"/>
        </w:rPr>
        <w:t>SA组脂质总水平高于C组(图1B)。试验发现，总脂质组成SA组中双甲基磷脂酸(BisMePA)、神经酰胺(Cer)、磷脂酰乙醇胺(PE)、鞘磷脂(SM)等16种脂质亚类都呈显著上升趋势(</w:t>
      </w:r>
      <w:r>
        <w:rPr>
          <w:i/>
          <w:iCs/>
          <w:color w:val="231F20"/>
          <w:kern w:val="0"/>
          <w:sz w:val="24"/>
        </w:rPr>
        <w:t>P</w:t>
      </w:r>
      <w:r>
        <w:rPr>
          <w:color w:val="231F20"/>
          <w:kern w:val="0"/>
          <w:sz w:val="24"/>
        </w:rPr>
        <w:t>＜0.05)，溶血磷脂酰乙醇胺(LPE)、溶血磷脂酰肌醇(LPI)、磷脂酰甘油(PG)呈显著下降趋势(</w:t>
      </w:r>
      <w:r>
        <w:rPr>
          <w:i/>
          <w:iCs/>
          <w:color w:val="231F20"/>
          <w:kern w:val="0"/>
          <w:sz w:val="24"/>
        </w:rPr>
        <w:t>P</w:t>
      </w:r>
      <w:r>
        <w:rPr>
          <w:color w:val="231F20"/>
          <w:kern w:val="0"/>
          <w:sz w:val="24"/>
        </w:rPr>
        <w:t>＜0.05)(图1C、1D)。</w:t>
      </w:r>
    </w:p>
    <w:p>
      <w:pPr>
        <w:spacing w:line="360" w:lineRule="auto"/>
        <w:rPr>
          <w:color w:val="231F20"/>
          <w:kern w:val="0"/>
          <w:sz w:val="24"/>
        </w:rPr>
      </w:pPr>
      <w:r>
        <w:rPr>
          <w:sz w:val="24"/>
          <w14:ligatures w14:val="standardContextual"/>
        </w:rPr>
        <w:drawing>
          <wp:inline distT="0" distB="0" distL="0" distR="0">
            <wp:extent cx="5976620" cy="4483100"/>
            <wp:effectExtent l="0" t="0" r="5080" b="0"/>
            <wp:docPr id="36397148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971486" name="图片 1"/>
                    <pic:cNvPicPr>
                      <a:picLocks noChangeAspect="1"/>
                    </pic:cNvPicPr>
                  </pic:nvPicPr>
                  <pic:blipFill>
                    <a:blip r:embed="rId40"/>
                    <a:stretch>
                      <a:fillRect/>
                    </a:stretch>
                  </pic:blipFill>
                  <pic:spPr>
                    <a:xfrm>
                      <a:off x="0" y="0"/>
                      <a:ext cx="5976620" cy="4483254"/>
                    </a:xfrm>
                    <a:prstGeom prst="rect">
                      <a:avLst/>
                    </a:prstGeom>
                  </pic:spPr>
                </pic:pic>
              </a:graphicData>
            </a:graphic>
          </wp:inline>
        </w:drawing>
      </w:r>
    </w:p>
    <w:p>
      <w:pPr>
        <w:spacing w:line="360" w:lineRule="auto"/>
        <w:jc w:val="center"/>
        <w:rPr>
          <w:color w:val="231F20"/>
          <w:kern w:val="0"/>
          <w:sz w:val="24"/>
        </w:rPr>
      </w:pPr>
      <w:r>
        <w:rPr>
          <w:sz w:val="24"/>
          <w14:ligatures w14:val="standardContextual"/>
        </w:rPr>
        <w:drawing>
          <wp:inline distT="0" distB="0" distL="0" distR="0">
            <wp:extent cx="5864860" cy="1750060"/>
            <wp:effectExtent l="0" t="0" r="2540" b="2540"/>
            <wp:docPr id="142248079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2480796" name="图片 1"/>
                    <pic:cNvPicPr>
                      <a:picLocks noChangeAspect="1"/>
                    </pic:cNvPicPr>
                  </pic:nvPicPr>
                  <pic:blipFill>
                    <a:blip r:embed="rId41"/>
                    <a:stretch>
                      <a:fillRect/>
                    </a:stretch>
                  </pic:blipFill>
                  <pic:spPr>
                    <a:xfrm>
                      <a:off x="0" y="0"/>
                      <a:ext cx="5869330" cy="1751754"/>
                    </a:xfrm>
                    <a:prstGeom prst="rect">
                      <a:avLst/>
                    </a:prstGeom>
                  </pic:spPr>
                </pic:pic>
              </a:graphicData>
            </a:graphic>
          </wp:inline>
        </w:drawing>
      </w:r>
    </w:p>
    <w:p>
      <w:pPr>
        <w:spacing w:line="360" w:lineRule="auto"/>
        <w:rPr>
          <w:color w:val="231F20"/>
          <w:kern w:val="0"/>
          <w:sz w:val="24"/>
        </w:rPr>
      </w:pPr>
      <w:r>
        <w:rPr>
          <w:color w:val="231F20"/>
          <w:kern w:val="0"/>
          <w:sz w:val="24"/>
        </w:rPr>
        <w:t>2.3</w:t>
      </w:r>
      <w:r>
        <w:rPr>
          <w:rFonts w:hint="eastAsia"/>
          <w:color w:val="231F20"/>
          <w:kern w:val="0"/>
          <w:sz w:val="24"/>
        </w:rPr>
        <w:t xml:space="preserve">  </w:t>
      </w:r>
      <w:r>
        <w:rPr>
          <w:color w:val="231F20"/>
          <w:kern w:val="0"/>
          <w:sz w:val="24"/>
        </w:rPr>
        <w:t>脂质分子多变量统计分析</w:t>
      </w:r>
    </w:p>
    <w:p>
      <w:pPr>
        <w:spacing w:line="360" w:lineRule="auto"/>
        <w:ind w:firstLine="480" w:firstLineChars="200"/>
        <w:rPr>
          <w:color w:val="231F20"/>
          <w:kern w:val="0"/>
          <w:sz w:val="24"/>
        </w:rPr>
      </w:pPr>
      <w:r>
        <w:rPr>
          <w:color w:val="231F20"/>
          <w:kern w:val="0"/>
          <w:sz w:val="24"/>
        </w:rPr>
        <w:t>PLS-DA和OPLS-DA可以对数据降维处理，并在二维平面可视化，并在组间方差最大化和组内方差最小化从而实现判别。小黄鱼PLS-DA见图2A，OPLS-DA见图2B，结果显示，两组样本的组内具有良好的一致性，组间具有良好的差异性。PLS-DA模型置换检验见图2C，OPLS-DA模型置换检验见图2D，模型不存在过拟合现象。借助</w:t>
      </w:r>
      <w:r>
        <w:rPr>
          <w:i/>
          <w:iCs/>
          <w:color w:val="231F20"/>
          <w:kern w:val="0"/>
          <w:sz w:val="24"/>
        </w:rPr>
        <w:t>R</w:t>
      </w:r>
      <w:r>
        <w:rPr>
          <w:color w:val="231F20"/>
          <w:kern w:val="0"/>
          <w:sz w:val="24"/>
          <w:vertAlign w:val="superscript"/>
        </w:rPr>
        <w:t>2</w:t>
      </w:r>
      <w:r>
        <w:rPr>
          <w:color w:val="231F20"/>
          <w:kern w:val="0"/>
          <w:sz w:val="24"/>
        </w:rPr>
        <w:t>(Y)、</w:t>
      </w:r>
      <w:r>
        <w:rPr>
          <w:i/>
          <w:iCs/>
          <w:color w:val="231F20"/>
          <w:kern w:val="0"/>
          <w:sz w:val="24"/>
        </w:rPr>
        <w:t>Q</w:t>
      </w:r>
      <w:r>
        <w:rPr>
          <w:color w:val="231F20"/>
          <w:kern w:val="0"/>
          <w:sz w:val="24"/>
          <w:vertAlign w:val="superscript"/>
        </w:rPr>
        <w:t>2</w:t>
      </w:r>
      <w:r>
        <w:rPr>
          <w:color w:val="231F20"/>
          <w:kern w:val="0"/>
          <w:sz w:val="24"/>
        </w:rPr>
        <w:t>等对正交偏最小二乘判别分析模型展开测试并对其性能加以评估，利用</w:t>
      </w:r>
      <w:r>
        <w:rPr>
          <w:i/>
          <w:iCs/>
          <w:color w:val="231F20"/>
          <w:kern w:val="0"/>
          <w:sz w:val="24"/>
        </w:rPr>
        <w:t>R</w:t>
      </w:r>
      <w:r>
        <w:rPr>
          <w:color w:val="231F20"/>
          <w:kern w:val="0"/>
          <w:sz w:val="24"/>
          <w:vertAlign w:val="superscript"/>
        </w:rPr>
        <w:t>2</w:t>
      </w:r>
      <w:r>
        <w:rPr>
          <w:color w:val="231F20"/>
          <w:kern w:val="0"/>
          <w:sz w:val="24"/>
        </w:rPr>
        <w:t>(Y)值对模型拟合度进行评估，利用</w:t>
      </w:r>
      <w:r>
        <w:rPr>
          <w:i/>
          <w:iCs/>
          <w:color w:val="231F20"/>
          <w:kern w:val="0"/>
          <w:sz w:val="24"/>
        </w:rPr>
        <w:t>Q</w:t>
      </w:r>
      <w:r>
        <w:rPr>
          <w:color w:val="231F20"/>
          <w:kern w:val="0"/>
          <w:sz w:val="24"/>
          <w:vertAlign w:val="superscript"/>
        </w:rPr>
        <w:t>2</w:t>
      </w:r>
      <w:r>
        <w:rPr>
          <w:color w:val="231F20"/>
          <w:kern w:val="0"/>
          <w:sz w:val="24"/>
        </w:rPr>
        <w:t>对模型的预测能力进行评价。通常，</w:t>
      </w:r>
      <w:r>
        <w:rPr>
          <w:i/>
          <w:iCs/>
          <w:color w:val="231F20"/>
          <w:kern w:val="0"/>
          <w:sz w:val="24"/>
        </w:rPr>
        <w:t>Q</w:t>
      </w:r>
      <w:r>
        <w:rPr>
          <w:color w:val="231F20"/>
          <w:kern w:val="0"/>
          <w:sz w:val="24"/>
          <w:vertAlign w:val="superscript"/>
        </w:rPr>
        <w:t>2</w:t>
      </w:r>
      <w:r>
        <w:rPr>
          <w:color w:val="231F20"/>
          <w:kern w:val="0"/>
          <w:sz w:val="24"/>
        </w:rPr>
        <w:t>值大于0.5的模型被认定为是优良的生物模型。分析可得PLS-DA和OPLS-DA两种模型中</w:t>
      </w:r>
      <w:r>
        <w:rPr>
          <w:i/>
          <w:iCs/>
          <w:color w:val="231F20"/>
          <w:kern w:val="0"/>
          <w:sz w:val="24"/>
        </w:rPr>
        <w:t>Q</w:t>
      </w:r>
      <w:r>
        <w:rPr>
          <w:color w:val="231F20"/>
          <w:kern w:val="0"/>
          <w:sz w:val="24"/>
          <w:vertAlign w:val="superscript"/>
        </w:rPr>
        <w:t>2</w:t>
      </w:r>
      <w:r>
        <w:rPr>
          <w:color w:val="231F20"/>
          <w:kern w:val="0"/>
          <w:sz w:val="24"/>
        </w:rPr>
        <w:t>值分别为0.80和0.81，证明模型稳定性良好。以上结果显示，饲料中添加0.5</w:t>
      </w:r>
      <w:r>
        <w:rPr>
          <w:rFonts w:hint="eastAsia"/>
          <w:color w:val="231F20"/>
          <w:kern w:val="0"/>
          <w:sz w:val="24"/>
        </w:rPr>
        <w:t xml:space="preserve"> </w:t>
      </w:r>
      <w:r>
        <w:rPr>
          <w:color w:val="231F20"/>
          <w:kern w:val="0"/>
          <w:sz w:val="24"/>
        </w:rPr>
        <w:t>g/kg乙酸钠会使小黄鱼脂质组发生显著改变。</w:t>
      </w:r>
    </w:p>
    <w:p>
      <w:pPr>
        <w:spacing w:line="360" w:lineRule="auto"/>
        <w:rPr>
          <w:color w:val="231F20"/>
          <w:kern w:val="0"/>
          <w:sz w:val="24"/>
        </w:rPr>
      </w:pPr>
      <w:r>
        <w:rPr>
          <w:color w:val="231F20"/>
          <w:kern w:val="0"/>
          <w:sz w:val="24"/>
        </w:rPr>
        <w:t>2.4</w:t>
      </w:r>
      <w:r>
        <w:rPr>
          <w:rFonts w:hint="eastAsia"/>
          <w:color w:val="231F20"/>
          <w:kern w:val="0"/>
          <w:sz w:val="24"/>
        </w:rPr>
        <w:t xml:space="preserve">  </w:t>
      </w:r>
      <w:r>
        <w:rPr>
          <w:color w:val="231F20"/>
          <w:kern w:val="0"/>
          <w:sz w:val="24"/>
        </w:rPr>
        <w:t>显著性差异脂质分子筛选</w:t>
      </w:r>
      <w:r>
        <w:rPr>
          <w:rFonts w:hint="eastAsia"/>
          <w:color w:val="231F20"/>
          <w:kern w:val="0"/>
          <w:sz w:val="24"/>
        </w:rPr>
        <w:t xml:space="preserve"> </w:t>
      </w:r>
    </w:p>
    <w:p>
      <w:pPr>
        <w:spacing w:line="360" w:lineRule="auto"/>
        <w:ind w:firstLine="480" w:firstLineChars="200"/>
        <w:rPr>
          <w:color w:val="231F20"/>
          <w:kern w:val="0"/>
          <w:sz w:val="24"/>
        </w:rPr>
      </w:pPr>
      <w:r>
        <w:rPr>
          <w:color w:val="231F20"/>
          <w:kern w:val="0"/>
          <w:sz w:val="24"/>
        </w:rPr>
        <w:t>基于OPLS-DA模型对两组之间的差异代谢物进行筛选，以OPLS-DA的变量权重值(VIP)和P值筛选C组和SA组差异显著的脂质。VIP值越大，表示变量的差异越明显。以VIP≥1.0和</w:t>
      </w:r>
      <w:r>
        <w:rPr>
          <w:i/>
          <w:iCs/>
          <w:color w:val="231F20"/>
          <w:kern w:val="0"/>
          <w:sz w:val="24"/>
        </w:rPr>
        <w:t>P</w:t>
      </w:r>
      <w:r>
        <w:rPr>
          <w:color w:val="231F20"/>
          <w:kern w:val="0"/>
          <w:sz w:val="24"/>
        </w:rPr>
        <w:t>＜0.05为条件筛选出来的差异脂质分子共810个，归属到36个亚类。进一步以VIP≥1.6和</w:t>
      </w:r>
      <w:r>
        <w:rPr>
          <w:i/>
          <w:iCs/>
          <w:color w:val="231F20"/>
          <w:kern w:val="0"/>
          <w:sz w:val="24"/>
        </w:rPr>
        <w:t>P</w:t>
      </w:r>
      <w:r>
        <w:rPr>
          <w:color w:val="231F20"/>
          <w:kern w:val="0"/>
          <w:sz w:val="24"/>
        </w:rPr>
        <w:t>＜0.05为条件筛选出68个差异及其显著的脂质分子，归属到10个亚类，其中SA组中13个PC和6个Cer均为显著上升趋势(图3、4)。为了进一步探究这些差异脂质分子与小黄鱼生长性能之间的关系，进行了spearman相关性系数分析，结果见表3，以VIP≥1.6和</w:t>
      </w:r>
      <w:r>
        <w:rPr>
          <w:i/>
          <w:iCs/>
          <w:color w:val="231F20"/>
          <w:kern w:val="0"/>
          <w:sz w:val="24"/>
        </w:rPr>
        <w:t>P</w:t>
      </w:r>
      <w:r>
        <w:rPr>
          <w:color w:val="231F20"/>
          <w:kern w:val="0"/>
          <w:sz w:val="24"/>
        </w:rPr>
        <w:t>＜0.05为条件筛选出的13个PC和6个Cer与体重和增重率呈显著正相关(</w:t>
      </w:r>
      <w:r>
        <w:rPr>
          <w:i/>
          <w:iCs/>
          <w:color w:val="231F20"/>
          <w:kern w:val="0"/>
          <w:sz w:val="24"/>
        </w:rPr>
        <w:t>P</w:t>
      </w:r>
      <w:r>
        <w:rPr>
          <w:color w:val="231F20"/>
          <w:kern w:val="0"/>
          <w:sz w:val="24"/>
        </w:rPr>
        <w:t>＜0.05)。</w:t>
      </w:r>
    </w:p>
    <w:p>
      <w:pPr>
        <w:spacing w:line="360" w:lineRule="auto"/>
        <w:jc w:val="center"/>
        <w:rPr>
          <w:color w:val="231F20"/>
          <w:kern w:val="0"/>
          <w:sz w:val="24"/>
        </w:rPr>
      </w:pPr>
      <w:r>
        <w:rPr>
          <w:sz w:val="24"/>
          <w14:ligatures w14:val="standardContextual"/>
        </w:rPr>
        <w:drawing>
          <wp:inline distT="0" distB="0" distL="0" distR="0">
            <wp:extent cx="5993130" cy="1637030"/>
            <wp:effectExtent l="0" t="0" r="7620" b="1270"/>
            <wp:docPr id="77181106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1811062" name="图片 1"/>
                    <pic:cNvPicPr>
                      <a:picLocks noChangeAspect="1"/>
                    </pic:cNvPicPr>
                  </pic:nvPicPr>
                  <pic:blipFill>
                    <a:blip r:embed="rId42"/>
                    <a:stretch>
                      <a:fillRect/>
                    </a:stretch>
                  </pic:blipFill>
                  <pic:spPr>
                    <a:xfrm>
                      <a:off x="0" y="0"/>
                      <a:ext cx="6002522" cy="1639745"/>
                    </a:xfrm>
                    <a:prstGeom prst="rect">
                      <a:avLst/>
                    </a:prstGeom>
                  </pic:spPr>
                </pic:pic>
              </a:graphicData>
            </a:graphic>
          </wp:inline>
        </w:drawing>
      </w:r>
    </w:p>
    <w:p>
      <w:pPr>
        <w:spacing w:line="360" w:lineRule="auto"/>
        <w:rPr>
          <w:color w:val="231F20"/>
          <w:kern w:val="0"/>
          <w:sz w:val="24"/>
        </w:rPr>
      </w:pPr>
      <w:r>
        <w:rPr>
          <w:color w:val="231F20"/>
          <w:kern w:val="0"/>
          <w:sz w:val="24"/>
        </w:rPr>
        <w:t>3</w:t>
      </w:r>
      <w:r>
        <w:rPr>
          <w:rFonts w:hint="eastAsia"/>
          <w:color w:val="231F20"/>
          <w:kern w:val="0"/>
          <w:sz w:val="24"/>
        </w:rPr>
        <w:t xml:space="preserve">  </w:t>
      </w:r>
      <w:r>
        <w:rPr>
          <w:color w:val="231F20"/>
          <w:kern w:val="0"/>
          <w:sz w:val="24"/>
        </w:rPr>
        <w:t>讨论</w:t>
      </w:r>
    </w:p>
    <w:p>
      <w:pPr>
        <w:spacing w:line="360" w:lineRule="auto"/>
        <w:ind w:firstLine="480" w:firstLineChars="200"/>
        <w:rPr>
          <w:color w:val="231F20"/>
          <w:kern w:val="0"/>
          <w:sz w:val="24"/>
        </w:rPr>
      </w:pPr>
      <w:r>
        <w:rPr>
          <w:color w:val="231F20"/>
          <w:kern w:val="0"/>
          <w:sz w:val="24"/>
        </w:rPr>
        <w:t>小黄鱼因其丰富的蛋白质和鲜美的味道一直在渔业占有重要地位，被认为是我国四大海产之一。乙酸钠作为最有前景的饲料添加剂之一(Bampidis等，2023；Zhou等，2023；Zhang等，2020)，对水生动物的生长有促进作用。肝脏是脂质积累、储存和消耗最活跃的部位(Zheng等，2022)。肝脏在代谢稳态中也起着重要作用，是参与脂质代谢和运输的关键器官(Ten</w:t>
      </w:r>
      <w:r>
        <w:rPr>
          <w:rFonts w:hint="eastAsia"/>
          <w:color w:val="231F20"/>
          <w:kern w:val="0"/>
          <w:sz w:val="24"/>
        </w:rPr>
        <w:t xml:space="preserve"> </w:t>
      </w:r>
      <w:r>
        <w:rPr>
          <w:color w:val="231F20"/>
          <w:kern w:val="0"/>
          <w:sz w:val="24"/>
        </w:rPr>
        <w:t>Hove等，2020)，同时也是乙酸钠代谢的重要器官(Tremaroli和B</w:t>
      </w:r>
      <w:r>
        <w:rPr>
          <w:rFonts w:hint="eastAsia"/>
          <w:color w:val="231F20"/>
          <w:kern w:val="0"/>
          <w:sz w:val="24"/>
        </w:rPr>
        <w:t>a</w:t>
      </w:r>
      <w:r>
        <w:rPr>
          <w:color w:val="231F20"/>
          <w:kern w:val="0"/>
          <w:sz w:val="24"/>
        </w:rPr>
        <w:t>ckhed，2012)。本试验探究了饲料中添加0.5</w:t>
      </w:r>
      <w:r>
        <w:rPr>
          <w:rFonts w:hint="eastAsia"/>
          <w:color w:val="231F20"/>
          <w:kern w:val="0"/>
          <w:sz w:val="24"/>
        </w:rPr>
        <w:t xml:space="preserve"> </w:t>
      </w:r>
      <w:r>
        <w:rPr>
          <w:color w:val="231F20"/>
          <w:kern w:val="0"/>
          <w:sz w:val="24"/>
        </w:rPr>
        <w:t>g/kg乙酸钠对小黄鱼肝脏脂质组和生长性能的影响。</w:t>
      </w:r>
    </w:p>
    <w:p>
      <w:pPr>
        <w:spacing w:line="360" w:lineRule="auto"/>
        <w:ind w:firstLine="480" w:firstLineChars="200"/>
        <w:rPr>
          <w:color w:val="231F20"/>
          <w:kern w:val="0"/>
          <w:sz w:val="24"/>
        </w:rPr>
      </w:pPr>
      <w:r>
        <w:rPr>
          <w:color w:val="231F20"/>
          <w:kern w:val="0"/>
          <w:sz w:val="24"/>
        </w:rPr>
        <w:t>本试验结果显示，乙酸钠组脂质总水平高于对照组，这与周文浩等(2023)的研究结果一致。饮食来源的乙酸钠被肠道吸收并通过门静脉到达肝脏，说明饲料中乙酸钠可能会影响肝脏脂质的组成(Li等，2023；Zhou等，2023)。饲料中乙酸钠引起的肝脏脂质积累主要是由于脂质分解代谢的抑制而非合成代谢的增加(Zhou等，2023)；还有研究表明，乙酸钠可以通过巨噬细胞与肝细胞的相互作用来调节肝脏脂质积累(Li等，2023)；然而乙酸钠作为能量来源，也可能是通过增加底物供应的方式来促进脂质的生成(Li等，2023)，肝脏脂质积累能促进机体体重增加(van</w:t>
      </w:r>
      <w:r>
        <w:rPr>
          <w:rFonts w:hint="eastAsia"/>
          <w:color w:val="231F20"/>
          <w:kern w:val="0"/>
          <w:sz w:val="24"/>
        </w:rPr>
        <w:t xml:space="preserve"> </w:t>
      </w:r>
      <w:r>
        <w:rPr>
          <w:color w:val="231F20"/>
          <w:kern w:val="0"/>
          <w:sz w:val="24"/>
        </w:rPr>
        <w:t>Herpen和Schrauwen-Hinderling，2008)。饲料中添加乙酸钠具有多种益处，可以上调水生动物中与生长和免疫相关基因的表达(Safari等，2020)，增强对嗜水气单胞菌的抗性(Li等，2020)，缓解肝细胞损伤(李林等，2022)，还可以显著抑制蛋白质、脂质和碳水化合物的分解代谢(Zhou等，2023)。除此之外，乙酸钠还在提高抗氧化能力上起着重要作用(Zhou等，2023；Sotoudeh等，2020)。试验共检测到45个亚类的1913种脂质分子，其中以TG、MePC和PC为最主要的成分，此结果与先前研究结果一致(Ahmmed等，2022；Lam等，2022；Sun等，2021)。TG是海洋鱼类组织样本中的主要脂类(Ahmmed等，2022；Lam等，2022；Sun等，2021)。Sun等(2021)在罗非鱼肌肉中检测到大量的TG、PC、PE和SM。Ahmmed等(2022)和Lam等(2022)在研究中表明，TG、PL和甾醇脂是海洋鱼类组织样本中的主要脂质。TG通常被认为在提供能量方面非常有效(Yin等，2023；Lin等，2018)，是能量和脂质储存的中间体。</w:t>
      </w:r>
    </w:p>
    <w:p>
      <w:pPr>
        <w:spacing w:line="360" w:lineRule="auto"/>
        <w:ind w:firstLine="480" w:firstLineChars="200"/>
        <w:rPr>
          <w:color w:val="231F20"/>
          <w:kern w:val="0"/>
          <w:sz w:val="24"/>
        </w:rPr>
      </w:pPr>
      <w:r>
        <w:rPr>
          <w:color w:val="231F20"/>
          <w:kern w:val="0"/>
          <w:sz w:val="24"/>
        </w:rPr>
        <w:t>本试验在两组样本间以VIP≥1.6和</w:t>
      </w:r>
      <w:r>
        <w:rPr>
          <w:i/>
          <w:iCs/>
          <w:color w:val="231F20"/>
          <w:kern w:val="0"/>
          <w:sz w:val="24"/>
        </w:rPr>
        <w:t>P</w:t>
      </w:r>
      <w:r>
        <w:rPr>
          <w:color w:val="231F20"/>
          <w:kern w:val="0"/>
          <w:sz w:val="24"/>
        </w:rPr>
        <w:t>＜0.05为条件筛选的差异脂质分子共68个，归属到10个亚类。对于筛选出的68种脂质分子，SA组与C组相比，54种脂质分子上调，其中PC、Cer、BisMePA、DG、PG这5种脂质亚类全部为上调，其中又以PC和Cer数量最高。这表明饲料中添加乙酸钠对小黄鱼肝脏中特定脂质分子的水平产生了显著影响，尤其是在PC和Cer上。据报道，磷脂具有保护肝脏、增强免疫力等作用(Murzina等，2022)。磷脂酰胆碱(PC)和磷脂酰甘油(PG)都是磷脂的重要组成部分。PC是肉类中含量最高的磷脂，是多不饱和脂肪酸的储存库(Enomoto等，2020)。磷脂在细胞中以不同的形式存在，可以从一种形式转化成另外一种形式，例如通过磷脂酰乙醇胺N-甲基转移酶(PEMT)的作用，催化PE向PC的转化(Dépatie等，2020)。PC的合成主要发生在肝细胞中，在脂质吸收和运转、细胞信号转导以及脂蛋白合成中起重要作用(Humer等，2016)。Imhasly等(2014)发现，血浆中6个PC亚种的浓度与肝脏脂质沉着的发生高度相关。本试验肝脏脂质中PC上调可能是经过PE或者其他脂质转化的结果。PC还是细胞膜形成的基本成分，在调节膜结构、流动性和信号转导中起着重要作用，与能量代谢也密切相关(Liu等，2019)，Kitano等(1998)观察到乙酸钠对黄茜草细胞膜中的脂质成分具有一定影响，特别是PC。这些发现表明，乙酸钠可能通过影响肝脏中PC的水平来调节膜结构和信号转导，进而对生物体的能量代谢产生影响。本试验中，SA组中PC显著上调(</w:t>
      </w:r>
      <w:r>
        <w:rPr>
          <w:i/>
          <w:iCs/>
          <w:color w:val="231F20"/>
          <w:kern w:val="0"/>
          <w:sz w:val="24"/>
        </w:rPr>
        <w:t>P</w:t>
      </w:r>
      <w:r>
        <w:rPr>
          <w:color w:val="231F20"/>
          <w:kern w:val="0"/>
          <w:sz w:val="24"/>
        </w:rPr>
        <w:t>＜0.05)，可能是通过乙酸钠对小黄鱼的信号转导、细胞膜结构等的影响来促进生长。</w:t>
      </w:r>
    </w:p>
    <w:p>
      <w:pPr>
        <w:spacing w:line="360" w:lineRule="auto"/>
        <w:jc w:val="center"/>
        <w:rPr>
          <w:color w:val="231F20"/>
          <w:kern w:val="0"/>
          <w:sz w:val="24"/>
        </w:rPr>
      </w:pPr>
      <w:r>
        <w:rPr>
          <w:sz w:val="24"/>
          <w14:ligatures w14:val="standardContextual"/>
        </w:rPr>
        <w:drawing>
          <wp:inline distT="0" distB="0" distL="0" distR="0">
            <wp:extent cx="3620770" cy="8551545"/>
            <wp:effectExtent l="0" t="0" r="0" b="1905"/>
            <wp:docPr id="205612365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123652" name="图片 1"/>
                    <pic:cNvPicPr>
                      <a:picLocks noChangeAspect="1"/>
                    </pic:cNvPicPr>
                  </pic:nvPicPr>
                  <pic:blipFill>
                    <a:blip r:embed="rId43"/>
                    <a:stretch>
                      <a:fillRect/>
                    </a:stretch>
                  </pic:blipFill>
                  <pic:spPr>
                    <a:xfrm>
                      <a:off x="0" y="0"/>
                      <a:ext cx="3654382" cy="8630770"/>
                    </a:xfrm>
                    <a:prstGeom prst="rect">
                      <a:avLst/>
                    </a:prstGeom>
                  </pic:spPr>
                </pic:pic>
              </a:graphicData>
            </a:graphic>
          </wp:inline>
        </w:drawing>
      </w:r>
      <w:r>
        <w:rPr>
          <w:sz w:val="24"/>
          <w14:ligatures w14:val="standardContextual"/>
        </w:rPr>
        <w:drawing>
          <wp:inline distT="0" distB="0" distL="0" distR="0">
            <wp:extent cx="4945380" cy="4554855"/>
            <wp:effectExtent l="0" t="0" r="7620" b="0"/>
            <wp:docPr id="13933461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3346124" name="图片 1"/>
                    <pic:cNvPicPr>
                      <a:picLocks noChangeAspect="1"/>
                    </pic:cNvPicPr>
                  </pic:nvPicPr>
                  <pic:blipFill>
                    <a:blip r:embed="rId44"/>
                    <a:stretch>
                      <a:fillRect/>
                    </a:stretch>
                  </pic:blipFill>
                  <pic:spPr>
                    <a:xfrm>
                      <a:off x="0" y="0"/>
                      <a:ext cx="4956227" cy="4564788"/>
                    </a:xfrm>
                    <a:prstGeom prst="rect">
                      <a:avLst/>
                    </a:prstGeom>
                  </pic:spPr>
                </pic:pic>
              </a:graphicData>
            </a:graphic>
          </wp:inline>
        </w:drawing>
      </w:r>
      <w:r>
        <w:rPr>
          <w:color w:val="231F20"/>
          <w:kern w:val="0"/>
          <w:sz w:val="24"/>
        </w:rPr>
        <w:drawing>
          <wp:inline distT="0" distB="0" distL="0" distR="0">
            <wp:extent cx="3061970" cy="3987800"/>
            <wp:effectExtent l="0" t="0" r="5080" b="0"/>
            <wp:docPr id="151569767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5697673" name="图片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a:xfrm>
                      <a:off x="0" y="0"/>
                      <a:ext cx="3075193" cy="4004563"/>
                    </a:xfrm>
                    <a:prstGeom prst="rect">
                      <a:avLst/>
                    </a:prstGeom>
                    <a:noFill/>
                  </pic:spPr>
                </pic:pic>
              </a:graphicData>
            </a:graphic>
          </wp:inline>
        </w:drawing>
      </w:r>
    </w:p>
    <w:p>
      <w:pPr>
        <w:spacing w:line="360" w:lineRule="auto"/>
        <w:ind w:firstLine="480" w:firstLineChars="200"/>
        <w:rPr>
          <w:color w:val="231F20"/>
          <w:kern w:val="0"/>
          <w:sz w:val="24"/>
        </w:rPr>
      </w:pPr>
      <w:r>
        <w:rPr>
          <w:color w:val="231F20"/>
          <w:kern w:val="0"/>
          <w:sz w:val="24"/>
        </w:rPr>
        <w:t>不同形式的脂质分子对生物活性和生物利用度的影响存在差异(Murzina等，2022)。神经酰胺(Cer)是鞘脂代谢的中心枢纽，可以为生产更复杂的脂质分子提供前体物质(Mucinski等，2023)。有研究表明，某些脂质亚类的水平与营养摄入水平的改变有关(Yetukuri等，2007)。本试验中在SA组小黄鱼肝脏中Cer呈显著上升趋势(</w:t>
      </w:r>
      <w:r>
        <w:rPr>
          <w:i/>
          <w:iCs/>
          <w:color w:val="231F20"/>
          <w:kern w:val="0"/>
          <w:sz w:val="24"/>
        </w:rPr>
        <w:t>P</w:t>
      </w:r>
      <w:r>
        <w:rPr>
          <w:color w:val="231F20"/>
          <w:kern w:val="0"/>
          <w:sz w:val="24"/>
        </w:rPr>
        <w:t>＜0.05)，证明Cer浓度的变化受饮食的影响(Qin等，2017)。Mucinski等(2023)也表明，在改变饲料组成之后，小鼠肝脏中Cer水平产生变化，其中高脂饮食组的线粒体Cer浓度显著升高。Cer在调节细胞分化、增殖、凋亡、衰老和其他生命活动中起着重要作用。但不同的Cer种类可能引发不同的生物学功能(Hla和Kolesnick，2014)，这与脂肪酰基的长度有关(Sheridan和Ogretmen，2021)。例如，C16：0神经酰胺可促进细胞凋亡(Raichur等，2014)，而C24：0等长链神经酰胺却促进细胞增殖(Taltavull等，2016)，具有抗凋亡作用。本试验中，肝脏中Cer的水平因饲料中乙酸钠的影响而升高，然而Cer发挥着各种各样的功能，对小黄鱼的影响还需深入探究。总之，SA组与C组之间的脂质成分存在差异，脂质差异主要体现在PC和Cer上。</w:t>
      </w:r>
    </w:p>
    <w:p>
      <w:pPr>
        <w:spacing w:line="360" w:lineRule="auto"/>
        <w:ind w:firstLine="480" w:firstLineChars="200"/>
        <w:rPr>
          <w:color w:val="231F20"/>
          <w:kern w:val="0"/>
          <w:sz w:val="24"/>
        </w:rPr>
      </w:pPr>
      <w:r>
        <w:rPr>
          <w:color w:val="231F20"/>
          <w:kern w:val="0"/>
          <w:sz w:val="24"/>
        </w:rPr>
        <w:t>本试验还评估了日粮中添加乙酸钠对小黄鱼生长性能的影响，结果表明在饲料中添加乙酸钠对小黄鱼有显著促生长作用，这与前人的研究结果一致(Zhou等，2023；Feng等，2022)。周文浩等(2023)在饲料中添加1</w:t>
      </w:r>
      <w:r>
        <w:rPr>
          <w:rFonts w:hint="eastAsia"/>
          <w:color w:val="231F20"/>
          <w:kern w:val="0"/>
          <w:sz w:val="24"/>
        </w:rPr>
        <w:t xml:space="preserve"> </w:t>
      </w:r>
      <w:r>
        <w:rPr>
          <w:color w:val="231F20"/>
          <w:kern w:val="0"/>
          <w:sz w:val="24"/>
        </w:rPr>
        <w:t>mg/kg的乙酸钠发现，可以显著提高尼罗罗非鱼的增重率和饲料利用率。冯俊昌等(2022)以鲤鱼为试验对象，在饲料中添加不同浓度的乙酸钠，结果发现补充乙酸钠组最终重量以及增重率都显著高于对照组。这可能是因为饲料中添加乙酸钠可以促进肠道酶活性，增加鱼类摄食量以及对食物的利用效率(Zhang等，2020)。但也有研究表明，饲料中乙酸钠对鱼生长的影响与其添加浓度息息相关(Sotoudeh等，2020；刘宇，2018)。这可能是因为鱼体重的增加与代谢活动以及摄食基因表达量的变化等因素有关(Safari等，2020；刘宇，2018)。因此，在水产养殖中使用乙酸钠时，需要综合考虑水生物种的特异性、饮食配方以及动物的健康状况等因素(Sotoudeh等，2020)。</w:t>
      </w:r>
    </w:p>
    <w:p>
      <w:pPr>
        <w:spacing w:line="360" w:lineRule="auto"/>
        <w:rPr>
          <w:color w:val="231F20"/>
          <w:kern w:val="0"/>
          <w:sz w:val="24"/>
        </w:rPr>
      </w:pPr>
      <w:r>
        <w:rPr>
          <w:color w:val="231F20"/>
          <w:kern w:val="0"/>
          <w:sz w:val="24"/>
        </w:rPr>
        <w:t>4</w:t>
      </w:r>
      <w:r>
        <w:rPr>
          <w:rFonts w:hint="eastAsia"/>
          <w:color w:val="231F20"/>
          <w:kern w:val="0"/>
          <w:sz w:val="24"/>
        </w:rPr>
        <w:t xml:space="preserve">  </w:t>
      </w:r>
      <w:r>
        <w:rPr>
          <w:color w:val="231F20"/>
          <w:kern w:val="0"/>
          <w:sz w:val="24"/>
        </w:rPr>
        <w:t>结论</w:t>
      </w:r>
    </w:p>
    <w:p>
      <w:pPr>
        <w:spacing w:line="360" w:lineRule="auto"/>
        <w:ind w:firstLine="480" w:firstLineChars="200"/>
        <w:rPr>
          <w:color w:val="231F20"/>
          <w:kern w:val="0"/>
          <w:sz w:val="24"/>
        </w:rPr>
      </w:pPr>
      <w:r>
        <w:rPr>
          <w:color w:val="231F20"/>
          <w:kern w:val="0"/>
          <w:sz w:val="24"/>
        </w:rPr>
        <w:t>本研究结果显示，饲料添加乙酸钠会显著促进小黄鱼肝脏中BisMePA、Cer、PE、SM等脂质亚类的上升。通过进一步对比发现两组之间差异脂质分子主要集中在13个PC和6个Cer上，表现为乙酸钠组高于对照组。同时，饲喂添加0.5</w:t>
      </w:r>
      <w:r>
        <w:rPr>
          <w:rFonts w:hint="eastAsia"/>
          <w:color w:val="231F20"/>
          <w:kern w:val="0"/>
          <w:sz w:val="24"/>
        </w:rPr>
        <w:t xml:space="preserve"> </w:t>
      </w:r>
      <w:r>
        <w:rPr>
          <w:color w:val="231F20"/>
          <w:kern w:val="0"/>
          <w:sz w:val="24"/>
        </w:rPr>
        <w:t>g/kg乙酸钠的日粮可以显著促进小黄鱼的生长。本试验结果可以为乙酸钠作为饲料添加剂在水产饲料中的使用提供参考。</w:t>
      </w:r>
    </w:p>
    <w:p>
      <w:pPr>
        <w:spacing w:line="360" w:lineRule="auto"/>
        <w:rPr>
          <w:sz w:val="24"/>
        </w:rPr>
      </w:pPr>
      <w:r>
        <w:rPr>
          <w:rFonts w:hint="eastAsia"/>
          <w:sz w:val="24"/>
        </w:rPr>
        <w:t>参考文献：略</w:t>
      </w:r>
    </w:p>
    <w:p>
      <w:pPr>
        <w:spacing w:line="360" w:lineRule="auto"/>
        <w:ind w:firstLine="420" w:firstLineChars="200"/>
        <w:jc w:val="right"/>
        <w:rPr>
          <w:rStyle w:val="96"/>
          <w:rFonts w:eastAsiaTheme="minorEastAsia"/>
          <w:szCs w:val="21"/>
        </w:rPr>
      </w:pPr>
      <w:r>
        <w:rPr>
          <w:szCs w:val="21"/>
        </w:rPr>
        <w:t>原文刊登在《</w:t>
      </w:r>
      <w:r>
        <w:rPr>
          <w:rFonts w:hint="eastAsia"/>
          <w:color w:val="333333"/>
          <w:szCs w:val="21"/>
          <w:shd w:val="clear" w:color="auto" w:fill="FFFFFF"/>
        </w:rPr>
        <w:t>中国饲料</w:t>
      </w:r>
      <w:r>
        <w:rPr>
          <w:szCs w:val="21"/>
        </w:rPr>
        <w:t>》</w:t>
      </w:r>
      <w:r>
        <w:rPr>
          <w:rFonts w:hint="eastAsia"/>
          <w:szCs w:val="21"/>
        </w:rPr>
        <w:t>2025年第7</w:t>
      </w:r>
      <w:r>
        <w:rPr>
          <w:szCs w:val="21"/>
        </w:rPr>
        <w:t>期</w:t>
      </w:r>
    </w:p>
    <w:sectPr>
      <w:footerReference r:id="rId3" w:type="default"/>
      <w:pgSz w:w="11906" w:h="16838"/>
      <w:pgMar w:top="1440" w:right="1247" w:bottom="1440" w:left="1247" w:header="851" w:footer="992" w:gutter="0"/>
      <w:pgNumType w:start="0"/>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Cambria">
    <w:panose1 w:val="02040503050406030204"/>
    <w:charset w:val="00"/>
    <w:family w:val="roman"/>
    <w:pitch w:val="default"/>
    <w:sig w:usb0="E00002FF" w:usb1="400004FF" w:usb2="00000000" w:usb3="00000000" w:csb0="2000019F" w:csb1="00000000"/>
  </w:font>
  <w:font w:name="仿宋_GB2312">
    <w:panose1 w:val="02010609030101010101"/>
    <w:charset w:val="86"/>
    <w:family w:val="modern"/>
    <w:pitch w:val="default"/>
    <w:sig w:usb0="00000001" w:usb1="080E0000" w:usb2="00000000" w:usb3="00000000" w:csb0="00040000" w:csb1="00000000"/>
  </w:font>
  <w:font w:name="TimesNewRomanPSMT">
    <w:altName w:val="Times New Roman"/>
    <w:panose1 w:val="00000000000000000000"/>
    <w:charset w:val="00"/>
    <w:family w:val="roman"/>
    <w:pitch w:val="default"/>
    <w:sig w:usb0="00000000" w:usb1="00000000" w:usb2="00000010" w:usb3="00000000" w:csb0="00040000" w:csb1="00000000"/>
  </w:font>
  <w:font w:name="TimesNewRomanPS-ItalicMT">
    <w:altName w:val="Times New Roman"/>
    <w:panose1 w:val="00000000000000000000"/>
    <w:charset w:val="00"/>
    <w:family w:val="auto"/>
    <w:pitch w:val="default"/>
    <w:sig w:usb0="00000000" w:usb1="00000000" w:usb2="00000000" w:usb3="00000000" w:csb0="00000000" w:csb1="00000000"/>
  </w:font>
  <w:font w:name="微软雅黑">
    <w:panose1 w:val="020B0503020204020204"/>
    <w:charset w:val="86"/>
    <w:family w:val="swiss"/>
    <w:pitch w:val="default"/>
    <w:sig w:usb0="80000287" w:usb1="280F3C52" w:usb2="00000016" w:usb3="00000000" w:csb0="0004001F" w:csb1="00000000"/>
  </w:font>
  <w:font w:name="等线">
    <w:altName w:val="微软雅黑"/>
    <w:panose1 w:val="02010600030101010101"/>
    <w:charset w:val="86"/>
    <w:family w:val="auto"/>
    <w:pitch w:val="default"/>
    <w:sig w:usb0="00000000" w:usb1="00000000" w:usb2="00000016" w:usb3="00000000" w:csb0="0004000F" w:csb1="00000000"/>
  </w:font>
  <w:font w:name="Times-Roman">
    <w:altName w:val="Times New Roman"/>
    <w:panose1 w:val="00000000000000000000"/>
    <w:charset w:val="00"/>
    <w:family w:val="auto"/>
    <w:pitch w:val="default"/>
    <w:sig w:usb0="00000000" w:usb1="00000000" w:usb2="00000000" w:usb3="00000000" w:csb0="00000000" w:csb1="00000000"/>
  </w:font>
  <w:font w:name="MS PGothic">
    <w:panose1 w:val="020B0600070205080204"/>
    <w:charset w:val="80"/>
    <w:family w:val="auto"/>
    <w:pitch w:val="default"/>
    <w:sig w:usb0="E00002FF" w:usb1="6AC7FDFB" w:usb2="00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979301473"/>
      <w:docPartObj>
        <w:docPartGallery w:val="autotext"/>
      </w:docPartObj>
    </w:sdtPr>
    <w:sdtContent>
      <w:p>
        <w:pPr>
          <w:pStyle w:val="12"/>
          <w:jc w:val="center"/>
        </w:pPr>
        <w:r>
          <w:fldChar w:fldCharType="begin"/>
        </w:r>
        <w:r>
          <w:instrText xml:space="preserve">PAGE   \* MERGEFORMAT</w:instrText>
        </w:r>
        <w:r>
          <w:fldChar w:fldCharType="separate"/>
        </w:r>
        <w:r>
          <w:rPr>
            <w:lang w:val="zh-CN"/>
          </w:rPr>
          <w:t>2</w:t>
        </w:r>
        <w:r>
          <w:fldChar w:fldCharType="end"/>
        </w:r>
      </w:p>
    </w:sdtContent>
  </w:sdt>
  <w:p>
    <w:pPr>
      <w:pStyle w:val="12"/>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mirrorMargins w:val="1"/>
  <w:bordersDoNotSurroundHeader w:val="1"/>
  <w:bordersDoNotSurroundFooter w:val="1"/>
  <w:hideSpellingErrors/>
  <w:documentProtection w:enforcement="0"/>
  <w:defaultTabStop w:val="420"/>
  <w:drawingGridHorizontalSpacing w:val="105"/>
  <w:drawingGridVerticalSpacing w:val="156"/>
  <w:displayHorizontalDrawingGridEvery w:val="2"/>
  <w:displayVerticalDrawingGridEvery w:val="2"/>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jllYTA0YmQzOTg4OTBhYTU4MzMyZGMwOWM5ZGU2MDcifQ=="/>
  </w:docVars>
  <w:rsids>
    <w:rsidRoot w:val="00172A27"/>
    <w:rsid w:val="00002115"/>
    <w:rsid w:val="00002BFE"/>
    <w:rsid w:val="00002E4A"/>
    <w:rsid w:val="0000389A"/>
    <w:rsid w:val="00005D5D"/>
    <w:rsid w:val="00006E4D"/>
    <w:rsid w:val="000078F8"/>
    <w:rsid w:val="000140DD"/>
    <w:rsid w:val="000162CE"/>
    <w:rsid w:val="00016E06"/>
    <w:rsid w:val="0001799F"/>
    <w:rsid w:val="00022032"/>
    <w:rsid w:val="0002235E"/>
    <w:rsid w:val="00023879"/>
    <w:rsid w:val="00024430"/>
    <w:rsid w:val="00024780"/>
    <w:rsid w:val="00024F8D"/>
    <w:rsid w:val="00026CC6"/>
    <w:rsid w:val="00032EB0"/>
    <w:rsid w:val="00035281"/>
    <w:rsid w:val="00036EAA"/>
    <w:rsid w:val="000378F3"/>
    <w:rsid w:val="00037F8A"/>
    <w:rsid w:val="00041E32"/>
    <w:rsid w:val="0004228A"/>
    <w:rsid w:val="00042A93"/>
    <w:rsid w:val="00043457"/>
    <w:rsid w:val="00045296"/>
    <w:rsid w:val="00046763"/>
    <w:rsid w:val="000507D7"/>
    <w:rsid w:val="00051224"/>
    <w:rsid w:val="000546FE"/>
    <w:rsid w:val="00054B42"/>
    <w:rsid w:val="00056AC4"/>
    <w:rsid w:val="00057A43"/>
    <w:rsid w:val="000601F4"/>
    <w:rsid w:val="00060368"/>
    <w:rsid w:val="00060549"/>
    <w:rsid w:val="000639F4"/>
    <w:rsid w:val="00067060"/>
    <w:rsid w:val="000674B3"/>
    <w:rsid w:val="00067CC5"/>
    <w:rsid w:val="00072F23"/>
    <w:rsid w:val="00074B36"/>
    <w:rsid w:val="00075DD3"/>
    <w:rsid w:val="000778A5"/>
    <w:rsid w:val="0008258D"/>
    <w:rsid w:val="00082714"/>
    <w:rsid w:val="0008527C"/>
    <w:rsid w:val="00086944"/>
    <w:rsid w:val="00086B20"/>
    <w:rsid w:val="00086BED"/>
    <w:rsid w:val="00087A85"/>
    <w:rsid w:val="00087D57"/>
    <w:rsid w:val="00091B87"/>
    <w:rsid w:val="00092844"/>
    <w:rsid w:val="000932DF"/>
    <w:rsid w:val="00095841"/>
    <w:rsid w:val="00097448"/>
    <w:rsid w:val="000A1544"/>
    <w:rsid w:val="000A2CB9"/>
    <w:rsid w:val="000A383F"/>
    <w:rsid w:val="000A3E04"/>
    <w:rsid w:val="000A45CC"/>
    <w:rsid w:val="000A5B38"/>
    <w:rsid w:val="000A615C"/>
    <w:rsid w:val="000A75D7"/>
    <w:rsid w:val="000B362C"/>
    <w:rsid w:val="000B3A02"/>
    <w:rsid w:val="000B3B35"/>
    <w:rsid w:val="000B3DB4"/>
    <w:rsid w:val="000B4EA4"/>
    <w:rsid w:val="000B4F43"/>
    <w:rsid w:val="000B5E61"/>
    <w:rsid w:val="000B7C99"/>
    <w:rsid w:val="000C000C"/>
    <w:rsid w:val="000C1E70"/>
    <w:rsid w:val="000C1F1B"/>
    <w:rsid w:val="000C2535"/>
    <w:rsid w:val="000C38D1"/>
    <w:rsid w:val="000C4200"/>
    <w:rsid w:val="000C4DD7"/>
    <w:rsid w:val="000C5A7E"/>
    <w:rsid w:val="000C5F62"/>
    <w:rsid w:val="000C6194"/>
    <w:rsid w:val="000C6B67"/>
    <w:rsid w:val="000C7025"/>
    <w:rsid w:val="000D0748"/>
    <w:rsid w:val="000D0869"/>
    <w:rsid w:val="000D0B84"/>
    <w:rsid w:val="000D10F7"/>
    <w:rsid w:val="000D17DD"/>
    <w:rsid w:val="000D1B49"/>
    <w:rsid w:val="000D2BF3"/>
    <w:rsid w:val="000D64CA"/>
    <w:rsid w:val="000D688D"/>
    <w:rsid w:val="000D6ACA"/>
    <w:rsid w:val="000D7731"/>
    <w:rsid w:val="000D7991"/>
    <w:rsid w:val="000E1DEF"/>
    <w:rsid w:val="000E2BBA"/>
    <w:rsid w:val="000E4383"/>
    <w:rsid w:val="000E5572"/>
    <w:rsid w:val="000E6948"/>
    <w:rsid w:val="000E6DAE"/>
    <w:rsid w:val="000F0055"/>
    <w:rsid w:val="000F0FCE"/>
    <w:rsid w:val="000F2DCC"/>
    <w:rsid w:val="000F30A4"/>
    <w:rsid w:val="000F3844"/>
    <w:rsid w:val="000F425B"/>
    <w:rsid w:val="000F6254"/>
    <w:rsid w:val="000F6417"/>
    <w:rsid w:val="000F642F"/>
    <w:rsid w:val="000F6E36"/>
    <w:rsid w:val="001000FA"/>
    <w:rsid w:val="001028F0"/>
    <w:rsid w:val="00102DB7"/>
    <w:rsid w:val="0010350D"/>
    <w:rsid w:val="00104062"/>
    <w:rsid w:val="00104F42"/>
    <w:rsid w:val="00105674"/>
    <w:rsid w:val="00105C63"/>
    <w:rsid w:val="00107626"/>
    <w:rsid w:val="00107696"/>
    <w:rsid w:val="00107B43"/>
    <w:rsid w:val="00107F13"/>
    <w:rsid w:val="00107F29"/>
    <w:rsid w:val="001109D0"/>
    <w:rsid w:val="00112132"/>
    <w:rsid w:val="00113EBF"/>
    <w:rsid w:val="001142B8"/>
    <w:rsid w:val="00114ABC"/>
    <w:rsid w:val="00114AF2"/>
    <w:rsid w:val="00114AF4"/>
    <w:rsid w:val="00115440"/>
    <w:rsid w:val="001164E0"/>
    <w:rsid w:val="001172CF"/>
    <w:rsid w:val="001178F0"/>
    <w:rsid w:val="00121953"/>
    <w:rsid w:val="001226B3"/>
    <w:rsid w:val="0012398F"/>
    <w:rsid w:val="0012437E"/>
    <w:rsid w:val="001255FE"/>
    <w:rsid w:val="00125783"/>
    <w:rsid w:val="001264F7"/>
    <w:rsid w:val="00130158"/>
    <w:rsid w:val="00130955"/>
    <w:rsid w:val="001323EA"/>
    <w:rsid w:val="0013329F"/>
    <w:rsid w:val="00133D64"/>
    <w:rsid w:val="001410FA"/>
    <w:rsid w:val="00141929"/>
    <w:rsid w:val="0014286D"/>
    <w:rsid w:val="00142DB1"/>
    <w:rsid w:val="00143A57"/>
    <w:rsid w:val="00144A33"/>
    <w:rsid w:val="00144A8E"/>
    <w:rsid w:val="00144F0E"/>
    <w:rsid w:val="00147484"/>
    <w:rsid w:val="00147815"/>
    <w:rsid w:val="00147A4B"/>
    <w:rsid w:val="00147D9B"/>
    <w:rsid w:val="00147FE6"/>
    <w:rsid w:val="0015008E"/>
    <w:rsid w:val="00151281"/>
    <w:rsid w:val="00151762"/>
    <w:rsid w:val="00151DBA"/>
    <w:rsid w:val="00151DDB"/>
    <w:rsid w:val="001525A7"/>
    <w:rsid w:val="0015316B"/>
    <w:rsid w:val="00155FA9"/>
    <w:rsid w:val="00156460"/>
    <w:rsid w:val="001571FA"/>
    <w:rsid w:val="00160661"/>
    <w:rsid w:val="00161685"/>
    <w:rsid w:val="0016314A"/>
    <w:rsid w:val="00164ECD"/>
    <w:rsid w:val="00165B8B"/>
    <w:rsid w:val="00171CD2"/>
    <w:rsid w:val="00171ED9"/>
    <w:rsid w:val="00172A27"/>
    <w:rsid w:val="00172E0D"/>
    <w:rsid w:val="00176536"/>
    <w:rsid w:val="001765D4"/>
    <w:rsid w:val="00177FBF"/>
    <w:rsid w:val="00181DD6"/>
    <w:rsid w:val="00183729"/>
    <w:rsid w:val="00185F05"/>
    <w:rsid w:val="00186AEA"/>
    <w:rsid w:val="00187D22"/>
    <w:rsid w:val="001901B0"/>
    <w:rsid w:val="001918A0"/>
    <w:rsid w:val="0019190F"/>
    <w:rsid w:val="001920E0"/>
    <w:rsid w:val="0019272A"/>
    <w:rsid w:val="00193590"/>
    <w:rsid w:val="00193B81"/>
    <w:rsid w:val="001947D3"/>
    <w:rsid w:val="00195B86"/>
    <w:rsid w:val="00195CAE"/>
    <w:rsid w:val="001969D8"/>
    <w:rsid w:val="001974DA"/>
    <w:rsid w:val="001A14D9"/>
    <w:rsid w:val="001A1E4D"/>
    <w:rsid w:val="001A559B"/>
    <w:rsid w:val="001A5FAD"/>
    <w:rsid w:val="001B036A"/>
    <w:rsid w:val="001B1379"/>
    <w:rsid w:val="001B1408"/>
    <w:rsid w:val="001B2750"/>
    <w:rsid w:val="001B34BE"/>
    <w:rsid w:val="001B3D2E"/>
    <w:rsid w:val="001B70C5"/>
    <w:rsid w:val="001C07B8"/>
    <w:rsid w:val="001C136B"/>
    <w:rsid w:val="001C1FB2"/>
    <w:rsid w:val="001C3405"/>
    <w:rsid w:val="001C3A5B"/>
    <w:rsid w:val="001C3F5B"/>
    <w:rsid w:val="001C4E29"/>
    <w:rsid w:val="001C5FD7"/>
    <w:rsid w:val="001C7EC0"/>
    <w:rsid w:val="001D0EA1"/>
    <w:rsid w:val="001D53B7"/>
    <w:rsid w:val="001D61B6"/>
    <w:rsid w:val="001E01CB"/>
    <w:rsid w:val="001E3265"/>
    <w:rsid w:val="001E60D4"/>
    <w:rsid w:val="001E6BB5"/>
    <w:rsid w:val="001E7BCF"/>
    <w:rsid w:val="001F1948"/>
    <w:rsid w:val="001F1E7F"/>
    <w:rsid w:val="001F60FD"/>
    <w:rsid w:val="001F61F5"/>
    <w:rsid w:val="001F65FA"/>
    <w:rsid w:val="001F7857"/>
    <w:rsid w:val="001F7F30"/>
    <w:rsid w:val="00200A87"/>
    <w:rsid w:val="00202D44"/>
    <w:rsid w:val="00202E7A"/>
    <w:rsid w:val="00205034"/>
    <w:rsid w:val="00205060"/>
    <w:rsid w:val="00206202"/>
    <w:rsid w:val="002079E0"/>
    <w:rsid w:val="002101F2"/>
    <w:rsid w:val="00210424"/>
    <w:rsid w:val="00210903"/>
    <w:rsid w:val="00210C08"/>
    <w:rsid w:val="00211E4F"/>
    <w:rsid w:val="0021214D"/>
    <w:rsid w:val="002134B2"/>
    <w:rsid w:val="00213B07"/>
    <w:rsid w:val="002154D2"/>
    <w:rsid w:val="00215661"/>
    <w:rsid w:val="002156F9"/>
    <w:rsid w:val="00215CD7"/>
    <w:rsid w:val="002177A1"/>
    <w:rsid w:val="00217AD4"/>
    <w:rsid w:val="002200C7"/>
    <w:rsid w:val="00221185"/>
    <w:rsid w:val="002219EF"/>
    <w:rsid w:val="0022243A"/>
    <w:rsid w:val="00222C72"/>
    <w:rsid w:val="00224612"/>
    <w:rsid w:val="00224A4B"/>
    <w:rsid w:val="002252BC"/>
    <w:rsid w:val="00226309"/>
    <w:rsid w:val="00226D0A"/>
    <w:rsid w:val="00226EFE"/>
    <w:rsid w:val="002302A1"/>
    <w:rsid w:val="00230958"/>
    <w:rsid w:val="00231324"/>
    <w:rsid w:val="00231625"/>
    <w:rsid w:val="0023213D"/>
    <w:rsid w:val="00232B41"/>
    <w:rsid w:val="00232DCA"/>
    <w:rsid w:val="00233A57"/>
    <w:rsid w:val="00235A3C"/>
    <w:rsid w:val="00236078"/>
    <w:rsid w:val="00236AE3"/>
    <w:rsid w:val="00236ED9"/>
    <w:rsid w:val="00237CC3"/>
    <w:rsid w:val="00240D6D"/>
    <w:rsid w:val="0024125E"/>
    <w:rsid w:val="00242377"/>
    <w:rsid w:val="00242686"/>
    <w:rsid w:val="002428B3"/>
    <w:rsid w:val="00244407"/>
    <w:rsid w:val="00244B43"/>
    <w:rsid w:val="00246ED3"/>
    <w:rsid w:val="0024777C"/>
    <w:rsid w:val="0025113D"/>
    <w:rsid w:val="00252BD2"/>
    <w:rsid w:val="00253683"/>
    <w:rsid w:val="00253761"/>
    <w:rsid w:val="00253F7D"/>
    <w:rsid w:val="002541A3"/>
    <w:rsid w:val="002546DC"/>
    <w:rsid w:val="0026078F"/>
    <w:rsid w:val="002613DB"/>
    <w:rsid w:val="00261A0C"/>
    <w:rsid w:val="00263ECA"/>
    <w:rsid w:val="00263FFB"/>
    <w:rsid w:val="0027180E"/>
    <w:rsid w:val="002739B1"/>
    <w:rsid w:val="00273D1E"/>
    <w:rsid w:val="002744E5"/>
    <w:rsid w:val="0027618B"/>
    <w:rsid w:val="00276648"/>
    <w:rsid w:val="00276E5F"/>
    <w:rsid w:val="00277A84"/>
    <w:rsid w:val="002807D3"/>
    <w:rsid w:val="00280947"/>
    <w:rsid w:val="002811F2"/>
    <w:rsid w:val="002818C3"/>
    <w:rsid w:val="00282030"/>
    <w:rsid w:val="0028211E"/>
    <w:rsid w:val="002825C7"/>
    <w:rsid w:val="00283CB0"/>
    <w:rsid w:val="0028488A"/>
    <w:rsid w:val="00285D4B"/>
    <w:rsid w:val="00286DFF"/>
    <w:rsid w:val="00292870"/>
    <w:rsid w:val="00292FC4"/>
    <w:rsid w:val="00293983"/>
    <w:rsid w:val="00293A08"/>
    <w:rsid w:val="00295B4C"/>
    <w:rsid w:val="00295B85"/>
    <w:rsid w:val="002966E9"/>
    <w:rsid w:val="00296760"/>
    <w:rsid w:val="0029698D"/>
    <w:rsid w:val="0029710F"/>
    <w:rsid w:val="00297DA6"/>
    <w:rsid w:val="002A0BD2"/>
    <w:rsid w:val="002A0E86"/>
    <w:rsid w:val="002A1C62"/>
    <w:rsid w:val="002A2269"/>
    <w:rsid w:val="002A2850"/>
    <w:rsid w:val="002A451D"/>
    <w:rsid w:val="002B103B"/>
    <w:rsid w:val="002B1F66"/>
    <w:rsid w:val="002B3AD5"/>
    <w:rsid w:val="002B4030"/>
    <w:rsid w:val="002B445F"/>
    <w:rsid w:val="002B455D"/>
    <w:rsid w:val="002B4B32"/>
    <w:rsid w:val="002B56F6"/>
    <w:rsid w:val="002B6020"/>
    <w:rsid w:val="002B65FB"/>
    <w:rsid w:val="002B6805"/>
    <w:rsid w:val="002B6A0A"/>
    <w:rsid w:val="002B7EA9"/>
    <w:rsid w:val="002C089B"/>
    <w:rsid w:val="002C31BB"/>
    <w:rsid w:val="002C4A76"/>
    <w:rsid w:val="002C6917"/>
    <w:rsid w:val="002C6BC0"/>
    <w:rsid w:val="002C70E6"/>
    <w:rsid w:val="002D06A5"/>
    <w:rsid w:val="002D1F0C"/>
    <w:rsid w:val="002D2E29"/>
    <w:rsid w:val="002D302C"/>
    <w:rsid w:val="002D5AB5"/>
    <w:rsid w:val="002D5C3F"/>
    <w:rsid w:val="002D6938"/>
    <w:rsid w:val="002D7969"/>
    <w:rsid w:val="002D7BF7"/>
    <w:rsid w:val="002E0157"/>
    <w:rsid w:val="002E104E"/>
    <w:rsid w:val="002E3AB3"/>
    <w:rsid w:val="002E492F"/>
    <w:rsid w:val="002E5994"/>
    <w:rsid w:val="002E6505"/>
    <w:rsid w:val="002E773C"/>
    <w:rsid w:val="002F19EF"/>
    <w:rsid w:val="002F3797"/>
    <w:rsid w:val="002F3D8B"/>
    <w:rsid w:val="002F4B8E"/>
    <w:rsid w:val="002F53F8"/>
    <w:rsid w:val="002F587F"/>
    <w:rsid w:val="002F642E"/>
    <w:rsid w:val="002F6848"/>
    <w:rsid w:val="0030036F"/>
    <w:rsid w:val="00300469"/>
    <w:rsid w:val="0030176B"/>
    <w:rsid w:val="00301D55"/>
    <w:rsid w:val="00301E3D"/>
    <w:rsid w:val="00303F9C"/>
    <w:rsid w:val="003047CB"/>
    <w:rsid w:val="003047E1"/>
    <w:rsid w:val="00304B2C"/>
    <w:rsid w:val="0030515C"/>
    <w:rsid w:val="00305D81"/>
    <w:rsid w:val="00310861"/>
    <w:rsid w:val="00310E5F"/>
    <w:rsid w:val="00311521"/>
    <w:rsid w:val="0031195C"/>
    <w:rsid w:val="003121CC"/>
    <w:rsid w:val="00312355"/>
    <w:rsid w:val="003133FA"/>
    <w:rsid w:val="00313F0F"/>
    <w:rsid w:val="0031414D"/>
    <w:rsid w:val="003150E5"/>
    <w:rsid w:val="00315176"/>
    <w:rsid w:val="003151F8"/>
    <w:rsid w:val="00315E65"/>
    <w:rsid w:val="003209C6"/>
    <w:rsid w:val="003213D2"/>
    <w:rsid w:val="00321753"/>
    <w:rsid w:val="0032346B"/>
    <w:rsid w:val="003235C3"/>
    <w:rsid w:val="00324714"/>
    <w:rsid w:val="00325FA3"/>
    <w:rsid w:val="00330A01"/>
    <w:rsid w:val="00331A39"/>
    <w:rsid w:val="0033358D"/>
    <w:rsid w:val="0033387B"/>
    <w:rsid w:val="003340F9"/>
    <w:rsid w:val="003352A9"/>
    <w:rsid w:val="00335A51"/>
    <w:rsid w:val="00341AB4"/>
    <w:rsid w:val="0034265A"/>
    <w:rsid w:val="0034293A"/>
    <w:rsid w:val="00342B08"/>
    <w:rsid w:val="00342B84"/>
    <w:rsid w:val="003438F4"/>
    <w:rsid w:val="00344540"/>
    <w:rsid w:val="003461C6"/>
    <w:rsid w:val="00346521"/>
    <w:rsid w:val="0034702D"/>
    <w:rsid w:val="0034773C"/>
    <w:rsid w:val="00351F8D"/>
    <w:rsid w:val="00353746"/>
    <w:rsid w:val="00353D25"/>
    <w:rsid w:val="00353FC8"/>
    <w:rsid w:val="003540E2"/>
    <w:rsid w:val="0035430E"/>
    <w:rsid w:val="003552DE"/>
    <w:rsid w:val="003556F1"/>
    <w:rsid w:val="0035671B"/>
    <w:rsid w:val="00357202"/>
    <w:rsid w:val="003619C5"/>
    <w:rsid w:val="00362017"/>
    <w:rsid w:val="00363FC6"/>
    <w:rsid w:val="00367E06"/>
    <w:rsid w:val="003717E5"/>
    <w:rsid w:val="0037230F"/>
    <w:rsid w:val="003723C4"/>
    <w:rsid w:val="003731B4"/>
    <w:rsid w:val="0037344F"/>
    <w:rsid w:val="003742F0"/>
    <w:rsid w:val="003760B7"/>
    <w:rsid w:val="003769C8"/>
    <w:rsid w:val="0037710B"/>
    <w:rsid w:val="0037746A"/>
    <w:rsid w:val="003777A9"/>
    <w:rsid w:val="00377896"/>
    <w:rsid w:val="00382D82"/>
    <w:rsid w:val="00383085"/>
    <w:rsid w:val="00384D19"/>
    <w:rsid w:val="0039220D"/>
    <w:rsid w:val="00392211"/>
    <w:rsid w:val="003928A0"/>
    <w:rsid w:val="0039500C"/>
    <w:rsid w:val="00395691"/>
    <w:rsid w:val="00396194"/>
    <w:rsid w:val="003967CE"/>
    <w:rsid w:val="003978E0"/>
    <w:rsid w:val="003A036C"/>
    <w:rsid w:val="003A0DFA"/>
    <w:rsid w:val="003A1756"/>
    <w:rsid w:val="003A2A90"/>
    <w:rsid w:val="003A3951"/>
    <w:rsid w:val="003A5602"/>
    <w:rsid w:val="003B1646"/>
    <w:rsid w:val="003B1C42"/>
    <w:rsid w:val="003B2EA9"/>
    <w:rsid w:val="003B319C"/>
    <w:rsid w:val="003B4345"/>
    <w:rsid w:val="003B53A9"/>
    <w:rsid w:val="003B5CE4"/>
    <w:rsid w:val="003B7223"/>
    <w:rsid w:val="003B7EDB"/>
    <w:rsid w:val="003C20D7"/>
    <w:rsid w:val="003C28AE"/>
    <w:rsid w:val="003C3330"/>
    <w:rsid w:val="003C4573"/>
    <w:rsid w:val="003C4BAD"/>
    <w:rsid w:val="003C72D8"/>
    <w:rsid w:val="003D3AFA"/>
    <w:rsid w:val="003D3D82"/>
    <w:rsid w:val="003D6A6E"/>
    <w:rsid w:val="003D6ACB"/>
    <w:rsid w:val="003D6F23"/>
    <w:rsid w:val="003D76DA"/>
    <w:rsid w:val="003E0704"/>
    <w:rsid w:val="003E0E5E"/>
    <w:rsid w:val="003E1429"/>
    <w:rsid w:val="003E191F"/>
    <w:rsid w:val="003E1F7F"/>
    <w:rsid w:val="003E20AD"/>
    <w:rsid w:val="003E2185"/>
    <w:rsid w:val="003E21BF"/>
    <w:rsid w:val="003E3581"/>
    <w:rsid w:val="003E470D"/>
    <w:rsid w:val="003E513B"/>
    <w:rsid w:val="003E6E28"/>
    <w:rsid w:val="003E74D0"/>
    <w:rsid w:val="003F0F3E"/>
    <w:rsid w:val="003F1372"/>
    <w:rsid w:val="003F366D"/>
    <w:rsid w:val="003F3D62"/>
    <w:rsid w:val="003F5232"/>
    <w:rsid w:val="00400693"/>
    <w:rsid w:val="00401B64"/>
    <w:rsid w:val="00402029"/>
    <w:rsid w:val="00402577"/>
    <w:rsid w:val="00402C8B"/>
    <w:rsid w:val="004034A8"/>
    <w:rsid w:val="00403775"/>
    <w:rsid w:val="00403AFA"/>
    <w:rsid w:val="00405824"/>
    <w:rsid w:val="00405844"/>
    <w:rsid w:val="00406215"/>
    <w:rsid w:val="00410441"/>
    <w:rsid w:val="00411276"/>
    <w:rsid w:val="00413245"/>
    <w:rsid w:val="004148FF"/>
    <w:rsid w:val="00414E6F"/>
    <w:rsid w:val="00414EF5"/>
    <w:rsid w:val="00414F24"/>
    <w:rsid w:val="004151C2"/>
    <w:rsid w:val="00415FC5"/>
    <w:rsid w:val="00416E34"/>
    <w:rsid w:val="00421268"/>
    <w:rsid w:val="00421302"/>
    <w:rsid w:val="00421EEE"/>
    <w:rsid w:val="004227EA"/>
    <w:rsid w:val="00422CC3"/>
    <w:rsid w:val="00424857"/>
    <w:rsid w:val="00424FF0"/>
    <w:rsid w:val="004259A9"/>
    <w:rsid w:val="00425C14"/>
    <w:rsid w:val="00425E59"/>
    <w:rsid w:val="00426191"/>
    <w:rsid w:val="00430134"/>
    <w:rsid w:val="00431953"/>
    <w:rsid w:val="0043219C"/>
    <w:rsid w:val="00432241"/>
    <w:rsid w:val="00432641"/>
    <w:rsid w:val="0043351C"/>
    <w:rsid w:val="00433AF3"/>
    <w:rsid w:val="0043465C"/>
    <w:rsid w:val="00435617"/>
    <w:rsid w:val="00441FA6"/>
    <w:rsid w:val="00442A99"/>
    <w:rsid w:val="00442F16"/>
    <w:rsid w:val="00443ECC"/>
    <w:rsid w:val="004514C8"/>
    <w:rsid w:val="00451E16"/>
    <w:rsid w:val="00453ED7"/>
    <w:rsid w:val="0045601B"/>
    <w:rsid w:val="00456CD5"/>
    <w:rsid w:val="004601A5"/>
    <w:rsid w:val="00460822"/>
    <w:rsid w:val="00462E48"/>
    <w:rsid w:val="00463A84"/>
    <w:rsid w:val="00464C28"/>
    <w:rsid w:val="00464F17"/>
    <w:rsid w:val="00465A03"/>
    <w:rsid w:val="0046749D"/>
    <w:rsid w:val="00470E14"/>
    <w:rsid w:val="00474023"/>
    <w:rsid w:val="00474BF2"/>
    <w:rsid w:val="00476D47"/>
    <w:rsid w:val="0047799E"/>
    <w:rsid w:val="00481145"/>
    <w:rsid w:val="00481513"/>
    <w:rsid w:val="00481A98"/>
    <w:rsid w:val="00481E6A"/>
    <w:rsid w:val="00484450"/>
    <w:rsid w:val="00484A62"/>
    <w:rsid w:val="00486A5F"/>
    <w:rsid w:val="004872C3"/>
    <w:rsid w:val="00487442"/>
    <w:rsid w:val="00487553"/>
    <w:rsid w:val="00491B2A"/>
    <w:rsid w:val="00491CA4"/>
    <w:rsid w:val="00492AF7"/>
    <w:rsid w:val="00494E6E"/>
    <w:rsid w:val="00495F48"/>
    <w:rsid w:val="004960F0"/>
    <w:rsid w:val="004973A6"/>
    <w:rsid w:val="00497D0E"/>
    <w:rsid w:val="004A036E"/>
    <w:rsid w:val="004A155F"/>
    <w:rsid w:val="004A6092"/>
    <w:rsid w:val="004A768E"/>
    <w:rsid w:val="004A7FE3"/>
    <w:rsid w:val="004B0073"/>
    <w:rsid w:val="004B0815"/>
    <w:rsid w:val="004B169B"/>
    <w:rsid w:val="004B1ACF"/>
    <w:rsid w:val="004B2803"/>
    <w:rsid w:val="004B2B9D"/>
    <w:rsid w:val="004B3D85"/>
    <w:rsid w:val="004B50FB"/>
    <w:rsid w:val="004B511D"/>
    <w:rsid w:val="004B7227"/>
    <w:rsid w:val="004C17EC"/>
    <w:rsid w:val="004C1E9A"/>
    <w:rsid w:val="004C2FD9"/>
    <w:rsid w:val="004C58A0"/>
    <w:rsid w:val="004D0AA6"/>
    <w:rsid w:val="004D21F0"/>
    <w:rsid w:val="004D2C00"/>
    <w:rsid w:val="004D3041"/>
    <w:rsid w:val="004D40C2"/>
    <w:rsid w:val="004D483C"/>
    <w:rsid w:val="004D4AF0"/>
    <w:rsid w:val="004D55AC"/>
    <w:rsid w:val="004D5A59"/>
    <w:rsid w:val="004E129B"/>
    <w:rsid w:val="004E1B39"/>
    <w:rsid w:val="004E70BA"/>
    <w:rsid w:val="004E71FA"/>
    <w:rsid w:val="004F0AEB"/>
    <w:rsid w:val="004F22BC"/>
    <w:rsid w:val="004F3C8A"/>
    <w:rsid w:val="004F42D4"/>
    <w:rsid w:val="004F4727"/>
    <w:rsid w:val="0050023E"/>
    <w:rsid w:val="00500E1E"/>
    <w:rsid w:val="00501554"/>
    <w:rsid w:val="00501892"/>
    <w:rsid w:val="00501B42"/>
    <w:rsid w:val="00502B7F"/>
    <w:rsid w:val="00504503"/>
    <w:rsid w:val="00504554"/>
    <w:rsid w:val="00507077"/>
    <w:rsid w:val="00507A20"/>
    <w:rsid w:val="00507C4E"/>
    <w:rsid w:val="005100F1"/>
    <w:rsid w:val="00513F5B"/>
    <w:rsid w:val="00514BE6"/>
    <w:rsid w:val="0051501E"/>
    <w:rsid w:val="00515776"/>
    <w:rsid w:val="0051680E"/>
    <w:rsid w:val="00517662"/>
    <w:rsid w:val="00520095"/>
    <w:rsid w:val="00520FFE"/>
    <w:rsid w:val="00521B5F"/>
    <w:rsid w:val="00523607"/>
    <w:rsid w:val="005236DE"/>
    <w:rsid w:val="00524DAC"/>
    <w:rsid w:val="00525950"/>
    <w:rsid w:val="00525EC5"/>
    <w:rsid w:val="00526513"/>
    <w:rsid w:val="005266BB"/>
    <w:rsid w:val="00530C26"/>
    <w:rsid w:val="00531EC3"/>
    <w:rsid w:val="0053360B"/>
    <w:rsid w:val="00533794"/>
    <w:rsid w:val="00533BA7"/>
    <w:rsid w:val="00533D55"/>
    <w:rsid w:val="00534159"/>
    <w:rsid w:val="005344A1"/>
    <w:rsid w:val="00535062"/>
    <w:rsid w:val="00535CCA"/>
    <w:rsid w:val="00540833"/>
    <w:rsid w:val="005422F4"/>
    <w:rsid w:val="00542F72"/>
    <w:rsid w:val="005450CF"/>
    <w:rsid w:val="005458A1"/>
    <w:rsid w:val="00546F0C"/>
    <w:rsid w:val="0054789A"/>
    <w:rsid w:val="00551D94"/>
    <w:rsid w:val="005523E2"/>
    <w:rsid w:val="00554DE6"/>
    <w:rsid w:val="0055524D"/>
    <w:rsid w:val="0055568F"/>
    <w:rsid w:val="005605BD"/>
    <w:rsid w:val="00560954"/>
    <w:rsid w:val="00562AB6"/>
    <w:rsid w:val="00564FBF"/>
    <w:rsid w:val="005653B4"/>
    <w:rsid w:val="005654B1"/>
    <w:rsid w:val="00566182"/>
    <w:rsid w:val="005664AE"/>
    <w:rsid w:val="0056688C"/>
    <w:rsid w:val="0056729B"/>
    <w:rsid w:val="0057146A"/>
    <w:rsid w:val="0057278E"/>
    <w:rsid w:val="005730AF"/>
    <w:rsid w:val="0057454F"/>
    <w:rsid w:val="00574AD2"/>
    <w:rsid w:val="00574CD9"/>
    <w:rsid w:val="00575903"/>
    <w:rsid w:val="00576E2D"/>
    <w:rsid w:val="00582B6B"/>
    <w:rsid w:val="0058538A"/>
    <w:rsid w:val="00585AAC"/>
    <w:rsid w:val="00585ECC"/>
    <w:rsid w:val="005864C4"/>
    <w:rsid w:val="00587DA3"/>
    <w:rsid w:val="00590C39"/>
    <w:rsid w:val="00590C6B"/>
    <w:rsid w:val="00591478"/>
    <w:rsid w:val="00591EAD"/>
    <w:rsid w:val="005927A6"/>
    <w:rsid w:val="005928C9"/>
    <w:rsid w:val="00594F65"/>
    <w:rsid w:val="00595356"/>
    <w:rsid w:val="00595548"/>
    <w:rsid w:val="00596379"/>
    <w:rsid w:val="005968DB"/>
    <w:rsid w:val="005A00FC"/>
    <w:rsid w:val="005A19A7"/>
    <w:rsid w:val="005A1FF7"/>
    <w:rsid w:val="005A6DDC"/>
    <w:rsid w:val="005A6E64"/>
    <w:rsid w:val="005A7DCB"/>
    <w:rsid w:val="005B1798"/>
    <w:rsid w:val="005B1D33"/>
    <w:rsid w:val="005B22B1"/>
    <w:rsid w:val="005B343C"/>
    <w:rsid w:val="005B46B8"/>
    <w:rsid w:val="005B57BA"/>
    <w:rsid w:val="005B5FA3"/>
    <w:rsid w:val="005C136B"/>
    <w:rsid w:val="005C174A"/>
    <w:rsid w:val="005C2A23"/>
    <w:rsid w:val="005C2B21"/>
    <w:rsid w:val="005C3896"/>
    <w:rsid w:val="005C3E78"/>
    <w:rsid w:val="005D00A0"/>
    <w:rsid w:val="005D1AA2"/>
    <w:rsid w:val="005D52B6"/>
    <w:rsid w:val="005D7E57"/>
    <w:rsid w:val="005E1DD2"/>
    <w:rsid w:val="005E2E18"/>
    <w:rsid w:val="005E369F"/>
    <w:rsid w:val="005E493E"/>
    <w:rsid w:val="005E5084"/>
    <w:rsid w:val="005E59BD"/>
    <w:rsid w:val="005E5D3B"/>
    <w:rsid w:val="005E641B"/>
    <w:rsid w:val="005E7629"/>
    <w:rsid w:val="005F329B"/>
    <w:rsid w:val="005F35FF"/>
    <w:rsid w:val="005F5768"/>
    <w:rsid w:val="005F5F44"/>
    <w:rsid w:val="005F62E7"/>
    <w:rsid w:val="005F6E17"/>
    <w:rsid w:val="005F6E3C"/>
    <w:rsid w:val="00600212"/>
    <w:rsid w:val="00601307"/>
    <w:rsid w:val="006016B6"/>
    <w:rsid w:val="00601DB6"/>
    <w:rsid w:val="00603115"/>
    <w:rsid w:val="00603184"/>
    <w:rsid w:val="006046B1"/>
    <w:rsid w:val="00605107"/>
    <w:rsid w:val="0060515F"/>
    <w:rsid w:val="006054F0"/>
    <w:rsid w:val="00605878"/>
    <w:rsid w:val="00605CE0"/>
    <w:rsid w:val="0060628F"/>
    <w:rsid w:val="00606FC6"/>
    <w:rsid w:val="00613EB0"/>
    <w:rsid w:val="006142E7"/>
    <w:rsid w:val="00614BF8"/>
    <w:rsid w:val="00620BC2"/>
    <w:rsid w:val="00621093"/>
    <w:rsid w:val="00623F8C"/>
    <w:rsid w:val="00624F4B"/>
    <w:rsid w:val="006261A1"/>
    <w:rsid w:val="0062741C"/>
    <w:rsid w:val="00627782"/>
    <w:rsid w:val="00627A37"/>
    <w:rsid w:val="00630903"/>
    <w:rsid w:val="00632922"/>
    <w:rsid w:val="00633E72"/>
    <w:rsid w:val="00635067"/>
    <w:rsid w:val="00635D0C"/>
    <w:rsid w:val="006364D6"/>
    <w:rsid w:val="006366B5"/>
    <w:rsid w:val="00637FAC"/>
    <w:rsid w:val="00640463"/>
    <w:rsid w:val="00641D7E"/>
    <w:rsid w:val="00646F30"/>
    <w:rsid w:val="00646F55"/>
    <w:rsid w:val="00647290"/>
    <w:rsid w:val="006474D3"/>
    <w:rsid w:val="006501A1"/>
    <w:rsid w:val="00651A2E"/>
    <w:rsid w:val="00652551"/>
    <w:rsid w:val="00653F07"/>
    <w:rsid w:val="0065478F"/>
    <w:rsid w:val="00654B98"/>
    <w:rsid w:val="00656708"/>
    <w:rsid w:val="006568E7"/>
    <w:rsid w:val="00661943"/>
    <w:rsid w:val="00661DED"/>
    <w:rsid w:val="00662E42"/>
    <w:rsid w:val="0066326D"/>
    <w:rsid w:val="0066461A"/>
    <w:rsid w:val="006647B0"/>
    <w:rsid w:val="00665091"/>
    <w:rsid w:val="00666052"/>
    <w:rsid w:val="00667C63"/>
    <w:rsid w:val="0067047B"/>
    <w:rsid w:val="006708F7"/>
    <w:rsid w:val="0067140C"/>
    <w:rsid w:val="006723E4"/>
    <w:rsid w:val="006727BA"/>
    <w:rsid w:val="0067380D"/>
    <w:rsid w:val="00673985"/>
    <w:rsid w:val="00675070"/>
    <w:rsid w:val="00675CC2"/>
    <w:rsid w:val="00677B2C"/>
    <w:rsid w:val="0068099D"/>
    <w:rsid w:val="00680B7C"/>
    <w:rsid w:val="00681408"/>
    <w:rsid w:val="006828A6"/>
    <w:rsid w:val="00683522"/>
    <w:rsid w:val="00683A27"/>
    <w:rsid w:val="00686A7D"/>
    <w:rsid w:val="00686A8B"/>
    <w:rsid w:val="00687670"/>
    <w:rsid w:val="0069033F"/>
    <w:rsid w:val="006912A9"/>
    <w:rsid w:val="006913D8"/>
    <w:rsid w:val="0069221A"/>
    <w:rsid w:val="006932D4"/>
    <w:rsid w:val="00693CEC"/>
    <w:rsid w:val="0069658E"/>
    <w:rsid w:val="00696977"/>
    <w:rsid w:val="006975E2"/>
    <w:rsid w:val="006A1B56"/>
    <w:rsid w:val="006A24BD"/>
    <w:rsid w:val="006A2947"/>
    <w:rsid w:val="006A2B98"/>
    <w:rsid w:val="006A39A6"/>
    <w:rsid w:val="006A68E7"/>
    <w:rsid w:val="006A7F9E"/>
    <w:rsid w:val="006B05BA"/>
    <w:rsid w:val="006B0CD0"/>
    <w:rsid w:val="006B105C"/>
    <w:rsid w:val="006B315A"/>
    <w:rsid w:val="006B327C"/>
    <w:rsid w:val="006B3346"/>
    <w:rsid w:val="006B3E6D"/>
    <w:rsid w:val="006B4BE6"/>
    <w:rsid w:val="006B5D12"/>
    <w:rsid w:val="006C30E6"/>
    <w:rsid w:val="006C363F"/>
    <w:rsid w:val="006C4283"/>
    <w:rsid w:val="006C465F"/>
    <w:rsid w:val="006C513F"/>
    <w:rsid w:val="006C5231"/>
    <w:rsid w:val="006C5B90"/>
    <w:rsid w:val="006D04D4"/>
    <w:rsid w:val="006D0948"/>
    <w:rsid w:val="006D1755"/>
    <w:rsid w:val="006D2447"/>
    <w:rsid w:val="006D2D7E"/>
    <w:rsid w:val="006D36D3"/>
    <w:rsid w:val="006D3C31"/>
    <w:rsid w:val="006D50E0"/>
    <w:rsid w:val="006D5192"/>
    <w:rsid w:val="006D6EEC"/>
    <w:rsid w:val="006D7547"/>
    <w:rsid w:val="006E0739"/>
    <w:rsid w:val="006E1274"/>
    <w:rsid w:val="006E19F1"/>
    <w:rsid w:val="006E255F"/>
    <w:rsid w:val="006F287F"/>
    <w:rsid w:val="006F2CE5"/>
    <w:rsid w:val="006F4D05"/>
    <w:rsid w:val="006F5B5C"/>
    <w:rsid w:val="006F5FFC"/>
    <w:rsid w:val="006F6F20"/>
    <w:rsid w:val="006F71E2"/>
    <w:rsid w:val="00700862"/>
    <w:rsid w:val="00700AF5"/>
    <w:rsid w:val="007026BB"/>
    <w:rsid w:val="007037C7"/>
    <w:rsid w:val="00703DB7"/>
    <w:rsid w:val="00705602"/>
    <w:rsid w:val="007112FC"/>
    <w:rsid w:val="007114DE"/>
    <w:rsid w:val="00712722"/>
    <w:rsid w:val="007130EC"/>
    <w:rsid w:val="00713DFA"/>
    <w:rsid w:val="00717555"/>
    <w:rsid w:val="00720CC2"/>
    <w:rsid w:val="00720F8E"/>
    <w:rsid w:val="00721941"/>
    <w:rsid w:val="00722755"/>
    <w:rsid w:val="007233EB"/>
    <w:rsid w:val="00724454"/>
    <w:rsid w:val="007255C5"/>
    <w:rsid w:val="0072593F"/>
    <w:rsid w:val="00726461"/>
    <w:rsid w:val="007266C2"/>
    <w:rsid w:val="00731196"/>
    <w:rsid w:val="00731392"/>
    <w:rsid w:val="00731A7B"/>
    <w:rsid w:val="0073322E"/>
    <w:rsid w:val="00734F3D"/>
    <w:rsid w:val="007365CD"/>
    <w:rsid w:val="00736683"/>
    <w:rsid w:val="0073792D"/>
    <w:rsid w:val="0074056E"/>
    <w:rsid w:val="007405A4"/>
    <w:rsid w:val="00740F25"/>
    <w:rsid w:val="00742DB4"/>
    <w:rsid w:val="00743435"/>
    <w:rsid w:val="00743A11"/>
    <w:rsid w:val="0074495F"/>
    <w:rsid w:val="0074719A"/>
    <w:rsid w:val="0075165E"/>
    <w:rsid w:val="00752213"/>
    <w:rsid w:val="0075556B"/>
    <w:rsid w:val="007560EE"/>
    <w:rsid w:val="00757CCA"/>
    <w:rsid w:val="00761341"/>
    <w:rsid w:val="00761C8B"/>
    <w:rsid w:val="00764E99"/>
    <w:rsid w:val="00765FC1"/>
    <w:rsid w:val="00766D7E"/>
    <w:rsid w:val="00770C04"/>
    <w:rsid w:val="0077349D"/>
    <w:rsid w:val="007768A2"/>
    <w:rsid w:val="00776B71"/>
    <w:rsid w:val="00776C62"/>
    <w:rsid w:val="0077709A"/>
    <w:rsid w:val="00777626"/>
    <w:rsid w:val="00777D21"/>
    <w:rsid w:val="00777D6B"/>
    <w:rsid w:val="00781E94"/>
    <w:rsid w:val="00783E4C"/>
    <w:rsid w:val="0078586A"/>
    <w:rsid w:val="007865A5"/>
    <w:rsid w:val="007870EE"/>
    <w:rsid w:val="007929DA"/>
    <w:rsid w:val="00794336"/>
    <w:rsid w:val="00795A62"/>
    <w:rsid w:val="007965BF"/>
    <w:rsid w:val="00797296"/>
    <w:rsid w:val="007A4A85"/>
    <w:rsid w:val="007A50FB"/>
    <w:rsid w:val="007A59FF"/>
    <w:rsid w:val="007A6730"/>
    <w:rsid w:val="007A69B3"/>
    <w:rsid w:val="007A6C37"/>
    <w:rsid w:val="007A7EF8"/>
    <w:rsid w:val="007B2014"/>
    <w:rsid w:val="007B468E"/>
    <w:rsid w:val="007B4AF0"/>
    <w:rsid w:val="007B67FE"/>
    <w:rsid w:val="007B68C8"/>
    <w:rsid w:val="007B7521"/>
    <w:rsid w:val="007B7E6E"/>
    <w:rsid w:val="007C1142"/>
    <w:rsid w:val="007C232B"/>
    <w:rsid w:val="007C340F"/>
    <w:rsid w:val="007C3C59"/>
    <w:rsid w:val="007C3DE3"/>
    <w:rsid w:val="007C5A60"/>
    <w:rsid w:val="007C7796"/>
    <w:rsid w:val="007D384A"/>
    <w:rsid w:val="007D5134"/>
    <w:rsid w:val="007D5346"/>
    <w:rsid w:val="007D64DF"/>
    <w:rsid w:val="007D6E48"/>
    <w:rsid w:val="007E059B"/>
    <w:rsid w:val="007E22E9"/>
    <w:rsid w:val="007E2B7B"/>
    <w:rsid w:val="007E2F10"/>
    <w:rsid w:val="007E3070"/>
    <w:rsid w:val="007E30A0"/>
    <w:rsid w:val="007E3B11"/>
    <w:rsid w:val="007E78F9"/>
    <w:rsid w:val="007F10C7"/>
    <w:rsid w:val="007F14BE"/>
    <w:rsid w:val="007F3C4C"/>
    <w:rsid w:val="007F4C42"/>
    <w:rsid w:val="007F5FAF"/>
    <w:rsid w:val="007F704A"/>
    <w:rsid w:val="00800DB3"/>
    <w:rsid w:val="0080112F"/>
    <w:rsid w:val="0080156E"/>
    <w:rsid w:val="00802B6E"/>
    <w:rsid w:val="00804165"/>
    <w:rsid w:val="008042A0"/>
    <w:rsid w:val="008048C0"/>
    <w:rsid w:val="0080661C"/>
    <w:rsid w:val="00807F74"/>
    <w:rsid w:val="00810A4D"/>
    <w:rsid w:val="00811857"/>
    <w:rsid w:val="00812AB0"/>
    <w:rsid w:val="00812C0D"/>
    <w:rsid w:val="00812F1D"/>
    <w:rsid w:val="008132FE"/>
    <w:rsid w:val="00814DEB"/>
    <w:rsid w:val="0081545F"/>
    <w:rsid w:val="00816544"/>
    <w:rsid w:val="00817969"/>
    <w:rsid w:val="00817EDC"/>
    <w:rsid w:val="00821541"/>
    <w:rsid w:val="00823280"/>
    <w:rsid w:val="00823832"/>
    <w:rsid w:val="00825494"/>
    <w:rsid w:val="00825C20"/>
    <w:rsid w:val="00826C95"/>
    <w:rsid w:val="008279AE"/>
    <w:rsid w:val="00832870"/>
    <w:rsid w:val="00833C43"/>
    <w:rsid w:val="00833ECF"/>
    <w:rsid w:val="008342F4"/>
    <w:rsid w:val="00835FB9"/>
    <w:rsid w:val="00841C73"/>
    <w:rsid w:val="00841E4F"/>
    <w:rsid w:val="008426FE"/>
    <w:rsid w:val="00842754"/>
    <w:rsid w:val="008432A0"/>
    <w:rsid w:val="00845BDD"/>
    <w:rsid w:val="00845C52"/>
    <w:rsid w:val="00845E7B"/>
    <w:rsid w:val="008463C3"/>
    <w:rsid w:val="008469F8"/>
    <w:rsid w:val="00847AD5"/>
    <w:rsid w:val="0085241A"/>
    <w:rsid w:val="00856A85"/>
    <w:rsid w:val="008575F6"/>
    <w:rsid w:val="0086000A"/>
    <w:rsid w:val="008608A5"/>
    <w:rsid w:val="00861DF0"/>
    <w:rsid w:val="00866DCD"/>
    <w:rsid w:val="00867760"/>
    <w:rsid w:val="00870F69"/>
    <w:rsid w:val="008729CC"/>
    <w:rsid w:val="008740D0"/>
    <w:rsid w:val="008746D6"/>
    <w:rsid w:val="008759D4"/>
    <w:rsid w:val="0088115C"/>
    <w:rsid w:val="00882CB6"/>
    <w:rsid w:val="0088515D"/>
    <w:rsid w:val="00885A24"/>
    <w:rsid w:val="008873E7"/>
    <w:rsid w:val="008900C3"/>
    <w:rsid w:val="0089025B"/>
    <w:rsid w:val="008916C0"/>
    <w:rsid w:val="00891CD5"/>
    <w:rsid w:val="0089212D"/>
    <w:rsid w:val="008924A9"/>
    <w:rsid w:val="0089271B"/>
    <w:rsid w:val="0089303E"/>
    <w:rsid w:val="00894047"/>
    <w:rsid w:val="0089504E"/>
    <w:rsid w:val="008967FD"/>
    <w:rsid w:val="00897ADD"/>
    <w:rsid w:val="008A0F25"/>
    <w:rsid w:val="008A1C5C"/>
    <w:rsid w:val="008A2C10"/>
    <w:rsid w:val="008A2ECD"/>
    <w:rsid w:val="008A2FEF"/>
    <w:rsid w:val="008A3E6D"/>
    <w:rsid w:val="008A6A67"/>
    <w:rsid w:val="008A7014"/>
    <w:rsid w:val="008B051F"/>
    <w:rsid w:val="008B06D1"/>
    <w:rsid w:val="008B1FFB"/>
    <w:rsid w:val="008B20D4"/>
    <w:rsid w:val="008B29AA"/>
    <w:rsid w:val="008B35B0"/>
    <w:rsid w:val="008B4DD4"/>
    <w:rsid w:val="008B5A8C"/>
    <w:rsid w:val="008B65F0"/>
    <w:rsid w:val="008B71FA"/>
    <w:rsid w:val="008C1408"/>
    <w:rsid w:val="008C32BF"/>
    <w:rsid w:val="008C41BD"/>
    <w:rsid w:val="008C51CF"/>
    <w:rsid w:val="008C569B"/>
    <w:rsid w:val="008C6061"/>
    <w:rsid w:val="008D1852"/>
    <w:rsid w:val="008D2482"/>
    <w:rsid w:val="008D2F4E"/>
    <w:rsid w:val="008D4253"/>
    <w:rsid w:val="008D641D"/>
    <w:rsid w:val="008D6B07"/>
    <w:rsid w:val="008D771D"/>
    <w:rsid w:val="008E35A1"/>
    <w:rsid w:val="008E3B44"/>
    <w:rsid w:val="008E548B"/>
    <w:rsid w:val="008E64CA"/>
    <w:rsid w:val="008E668E"/>
    <w:rsid w:val="008E68B7"/>
    <w:rsid w:val="008E698B"/>
    <w:rsid w:val="008F0A99"/>
    <w:rsid w:val="008F1DFC"/>
    <w:rsid w:val="008F2828"/>
    <w:rsid w:val="008F2BA2"/>
    <w:rsid w:val="008F4A2E"/>
    <w:rsid w:val="008F5E27"/>
    <w:rsid w:val="008F65F2"/>
    <w:rsid w:val="008F74A5"/>
    <w:rsid w:val="008F7F3E"/>
    <w:rsid w:val="00901138"/>
    <w:rsid w:val="00901CB3"/>
    <w:rsid w:val="009025BE"/>
    <w:rsid w:val="00902955"/>
    <w:rsid w:val="009034AC"/>
    <w:rsid w:val="00903935"/>
    <w:rsid w:val="00903B62"/>
    <w:rsid w:val="00903FBF"/>
    <w:rsid w:val="009040B4"/>
    <w:rsid w:val="0090548F"/>
    <w:rsid w:val="00906CA4"/>
    <w:rsid w:val="00906DE1"/>
    <w:rsid w:val="00906F2E"/>
    <w:rsid w:val="00907EBE"/>
    <w:rsid w:val="00910604"/>
    <w:rsid w:val="00912236"/>
    <w:rsid w:val="009124F3"/>
    <w:rsid w:val="0091344E"/>
    <w:rsid w:val="009153BA"/>
    <w:rsid w:val="009154BD"/>
    <w:rsid w:val="00915CEB"/>
    <w:rsid w:val="0092030A"/>
    <w:rsid w:val="0092069E"/>
    <w:rsid w:val="0092119C"/>
    <w:rsid w:val="009214FB"/>
    <w:rsid w:val="0092220B"/>
    <w:rsid w:val="0092357C"/>
    <w:rsid w:val="009238A1"/>
    <w:rsid w:val="00924749"/>
    <w:rsid w:val="00924F81"/>
    <w:rsid w:val="009256A0"/>
    <w:rsid w:val="00925C53"/>
    <w:rsid w:val="00925DEE"/>
    <w:rsid w:val="00926890"/>
    <w:rsid w:val="009273AA"/>
    <w:rsid w:val="00930B80"/>
    <w:rsid w:val="00931395"/>
    <w:rsid w:val="0093204E"/>
    <w:rsid w:val="00932889"/>
    <w:rsid w:val="00934D7A"/>
    <w:rsid w:val="009357DD"/>
    <w:rsid w:val="00936A21"/>
    <w:rsid w:val="0093757C"/>
    <w:rsid w:val="0094144E"/>
    <w:rsid w:val="00941A03"/>
    <w:rsid w:val="00941F9D"/>
    <w:rsid w:val="00942AD4"/>
    <w:rsid w:val="0094546D"/>
    <w:rsid w:val="00945532"/>
    <w:rsid w:val="00946820"/>
    <w:rsid w:val="00946DFD"/>
    <w:rsid w:val="00951413"/>
    <w:rsid w:val="00952198"/>
    <w:rsid w:val="00953E5D"/>
    <w:rsid w:val="00954D0A"/>
    <w:rsid w:val="0095565E"/>
    <w:rsid w:val="009562E6"/>
    <w:rsid w:val="00956304"/>
    <w:rsid w:val="00956F54"/>
    <w:rsid w:val="00957370"/>
    <w:rsid w:val="009632EF"/>
    <w:rsid w:val="00965D19"/>
    <w:rsid w:val="00967A5B"/>
    <w:rsid w:val="009719ED"/>
    <w:rsid w:val="0097250B"/>
    <w:rsid w:val="009734FD"/>
    <w:rsid w:val="0097385A"/>
    <w:rsid w:val="00973959"/>
    <w:rsid w:val="00973D48"/>
    <w:rsid w:val="00974083"/>
    <w:rsid w:val="009747D0"/>
    <w:rsid w:val="0097511E"/>
    <w:rsid w:val="0097638E"/>
    <w:rsid w:val="009777F2"/>
    <w:rsid w:val="00977C14"/>
    <w:rsid w:val="00980E29"/>
    <w:rsid w:val="00983466"/>
    <w:rsid w:val="00984BE4"/>
    <w:rsid w:val="00984D70"/>
    <w:rsid w:val="00985168"/>
    <w:rsid w:val="00985AC7"/>
    <w:rsid w:val="00987960"/>
    <w:rsid w:val="009921DB"/>
    <w:rsid w:val="00992C24"/>
    <w:rsid w:val="00992F39"/>
    <w:rsid w:val="00993162"/>
    <w:rsid w:val="00994451"/>
    <w:rsid w:val="00994EDD"/>
    <w:rsid w:val="00995AC8"/>
    <w:rsid w:val="00996BEA"/>
    <w:rsid w:val="009A04CD"/>
    <w:rsid w:val="009A0601"/>
    <w:rsid w:val="009A1B3D"/>
    <w:rsid w:val="009A2511"/>
    <w:rsid w:val="009A34A6"/>
    <w:rsid w:val="009A3956"/>
    <w:rsid w:val="009A4889"/>
    <w:rsid w:val="009A4B86"/>
    <w:rsid w:val="009A795D"/>
    <w:rsid w:val="009B1B86"/>
    <w:rsid w:val="009B2B39"/>
    <w:rsid w:val="009B48AF"/>
    <w:rsid w:val="009B638D"/>
    <w:rsid w:val="009B6C30"/>
    <w:rsid w:val="009B6E43"/>
    <w:rsid w:val="009B79BA"/>
    <w:rsid w:val="009B7F36"/>
    <w:rsid w:val="009C077F"/>
    <w:rsid w:val="009C120D"/>
    <w:rsid w:val="009C1437"/>
    <w:rsid w:val="009C29D8"/>
    <w:rsid w:val="009C3E71"/>
    <w:rsid w:val="009C4D24"/>
    <w:rsid w:val="009C6364"/>
    <w:rsid w:val="009C65A0"/>
    <w:rsid w:val="009D23B9"/>
    <w:rsid w:val="009D3376"/>
    <w:rsid w:val="009D57C9"/>
    <w:rsid w:val="009D78E5"/>
    <w:rsid w:val="009D7E8A"/>
    <w:rsid w:val="009E422B"/>
    <w:rsid w:val="009E4DD5"/>
    <w:rsid w:val="009E4F03"/>
    <w:rsid w:val="009E541A"/>
    <w:rsid w:val="009E55A7"/>
    <w:rsid w:val="009E64DD"/>
    <w:rsid w:val="009E64F6"/>
    <w:rsid w:val="009E671D"/>
    <w:rsid w:val="009E7B45"/>
    <w:rsid w:val="009F023C"/>
    <w:rsid w:val="009F0909"/>
    <w:rsid w:val="009F0E94"/>
    <w:rsid w:val="009F3CC6"/>
    <w:rsid w:val="009F4DE2"/>
    <w:rsid w:val="009F64D0"/>
    <w:rsid w:val="009F66A3"/>
    <w:rsid w:val="009F70F8"/>
    <w:rsid w:val="009F76CE"/>
    <w:rsid w:val="009F78EB"/>
    <w:rsid w:val="00A02EBE"/>
    <w:rsid w:val="00A04DE3"/>
    <w:rsid w:val="00A0758B"/>
    <w:rsid w:val="00A078B8"/>
    <w:rsid w:val="00A11B8F"/>
    <w:rsid w:val="00A11EF2"/>
    <w:rsid w:val="00A11F35"/>
    <w:rsid w:val="00A12FB4"/>
    <w:rsid w:val="00A1434E"/>
    <w:rsid w:val="00A17C6D"/>
    <w:rsid w:val="00A20A2B"/>
    <w:rsid w:val="00A2233B"/>
    <w:rsid w:val="00A23442"/>
    <w:rsid w:val="00A24B8B"/>
    <w:rsid w:val="00A26237"/>
    <w:rsid w:val="00A26335"/>
    <w:rsid w:val="00A26DB3"/>
    <w:rsid w:val="00A27A51"/>
    <w:rsid w:val="00A27EDA"/>
    <w:rsid w:val="00A27FCA"/>
    <w:rsid w:val="00A30AB4"/>
    <w:rsid w:val="00A30B10"/>
    <w:rsid w:val="00A31AD4"/>
    <w:rsid w:val="00A31DA6"/>
    <w:rsid w:val="00A329F6"/>
    <w:rsid w:val="00A32BE5"/>
    <w:rsid w:val="00A33DCB"/>
    <w:rsid w:val="00A343A0"/>
    <w:rsid w:val="00A343B8"/>
    <w:rsid w:val="00A358C9"/>
    <w:rsid w:val="00A36025"/>
    <w:rsid w:val="00A36D4B"/>
    <w:rsid w:val="00A37846"/>
    <w:rsid w:val="00A43398"/>
    <w:rsid w:val="00A44934"/>
    <w:rsid w:val="00A4510B"/>
    <w:rsid w:val="00A46A0D"/>
    <w:rsid w:val="00A47CAA"/>
    <w:rsid w:val="00A50CD1"/>
    <w:rsid w:val="00A52EFE"/>
    <w:rsid w:val="00A53608"/>
    <w:rsid w:val="00A54172"/>
    <w:rsid w:val="00A55041"/>
    <w:rsid w:val="00A55909"/>
    <w:rsid w:val="00A56278"/>
    <w:rsid w:val="00A61094"/>
    <w:rsid w:val="00A6126A"/>
    <w:rsid w:val="00A627A9"/>
    <w:rsid w:val="00A629E3"/>
    <w:rsid w:val="00A62BF5"/>
    <w:rsid w:val="00A62F9F"/>
    <w:rsid w:val="00A66481"/>
    <w:rsid w:val="00A67C7B"/>
    <w:rsid w:val="00A7039A"/>
    <w:rsid w:val="00A70A79"/>
    <w:rsid w:val="00A70C13"/>
    <w:rsid w:val="00A70C81"/>
    <w:rsid w:val="00A710BB"/>
    <w:rsid w:val="00A7307A"/>
    <w:rsid w:val="00A74655"/>
    <w:rsid w:val="00A76221"/>
    <w:rsid w:val="00A7650F"/>
    <w:rsid w:val="00A77D36"/>
    <w:rsid w:val="00A80EC7"/>
    <w:rsid w:val="00A823AF"/>
    <w:rsid w:val="00A8282D"/>
    <w:rsid w:val="00A83024"/>
    <w:rsid w:val="00A832C0"/>
    <w:rsid w:val="00A8371D"/>
    <w:rsid w:val="00A83FB1"/>
    <w:rsid w:val="00A849A4"/>
    <w:rsid w:val="00A86F74"/>
    <w:rsid w:val="00A901E6"/>
    <w:rsid w:val="00A903D2"/>
    <w:rsid w:val="00A9071E"/>
    <w:rsid w:val="00A909F4"/>
    <w:rsid w:val="00A911D9"/>
    <w:rsid w:val="00A941BC"/>
    <w:rsid w:val="00A96062"/>
    <w:rsid w:val="00A962EF"/>
    <w:rsid w:val="00A967E3"/>
    <w:rsid w:val="00A97A74"/>
    <w:rsid w:val="00AA0AE5"/>
    <w:rsid w:val="00AA0E2A"/>
    <w:rsid w:val="00AA16B6"/>
    <w:rsid w:val="00AA1D71"/>
    <w:rsid w:val="00AA25C4"/>
    <w:rsid w:val="00AA324F"/>
    <w:rsid w:val="00AA334E"/>
    <w:rsid w:val="00AA34B3"/>
    <w:rsid w:val="00AA3BF6"/>
    <w:rsid w:val="00AA465C"/>
    <w:rsid w:val="00AA6AA7"/>
    <w:rsid w:val="00AB3617"/>
    <w:rsid w:val="00AB3E14"/>
    <w:rsid w:val="00AB590F"/>
    <w:rsid w:val="00AB6E44"/>
    <w:rsid w:val="00AB71E7"/>
    <w:rsid w:val="00AC0DBB"/>
    <w:rsid w:val="00AC1A1F"/>
    <w:rsid w:val="00AC1F6C"/>
    <w:rsid w:val="00AC2E24"/>
    <w:rsid w:val="00AC4031"/>
    <w:rsid w:val="00AC4C72"/>
    <w:rsid w:val="00AC53A7"/>
    <w:rsid w:val="00AC6489"/>
    <w:rsid w:val="00AC697B"/>
    <w:rsid w:val="00AD0E86"/>
    <w:rsid w:val="00AD1928"/>
    <w:rsid w:val="00AD2116"/>
    <w:rsid w:val="00AD246C"/>
    <w:rsid w:val="00AD44E7"/>
    <w:rsid w:val="00AD5634"/>
    <w:rsid w:val="00AD60EA"/>
    <w:rsid w:val="00AD7C25"/>
    <w:rsid w:val="00AE07CA"/>
    <w:rsid w:val="00AE0C85"/>
    <w:rsid w:val="00AE2F94"/>
    <w:rsid w:val="00AE3983"/>
    <w:rsid w:val="00AE3ECF"/>
    <w:rsid w:val="00AE5DCF"/>
    <w:rsid w:val="00AE73F2"/>
    <w:rsid w:val="00AE75EB"/>
    <w:rsid w:val="00AF2AC3"/>
    <w:rsid w:val="00AF37E1"/>
    <w:rsid w:val="00AF3A22"/>
    <w:rsid w:val="00AF42C9"/>
    <w:rsid w:val="00AF546D"/>
    <w:rsid w:val="00AF6162"/>
    <w:rsid w:val="00B01EFE"/>
    <w:rsid w:val="00B02222"/>
    <w:rsid w:val="00B025DA"/>
    <w:rsid w:val="00B03BC8"/>
    <w:rsid w:val="00B0534F"/>
    <w:rsid w:val="00B06636"/>
    <w:rsid w:val="00B06C7B"/>
    <w:rsid w:val="00B06FF8"/>
    <w:rsid w:val="00B07124"/>
    <w:rsid w:val="00B07294"/>
    <w:rsid w:val="00B07C46"/>
    <w:rsid w:val="00B103A0"/>
    <w:rsid w:val="00B1141D"/>
    <w:rsid w:val="00B11968"/>
    <w:rsid w:val="00B12A59"/>
    <w:rsid w:val="00B12FA6"/>
    <w:rsid w:val="00B13AF5"/>
    <w:rsid w:val="00B17E35"/>
    <w:rsid w:val="00B17F02"/>
    <w:rsid w:val="00B20C0A"/>
    <w:rsid w:val="00B2242B"/>
    <w:rsid w:val="00B22CF0"/>
    <w:rsid w:val="00B22D4C"/>
    <w:rsid w:val="00B2514D"/>
    <w:rsid w:val="00B268BF"/>
    <w:rsid w:val="00B26A3D"/>
    <w:rsid w:val="00B30650"/>
    <w:rsid w:val="00B3205C"/>
    <w:rsid w:val="00B33A2A"/>
    <w:rsid w:val="00B33ACB"/>
    <w:rsid w:val="00B3569E"/>
    <w:rsid w:val="00B35956"/>
    <w:rsid w:val="00B4014B"/>
    <w:rsid w:val="00B40734"/>
    <w:rsid w:val="00B434D4"/>
    <w:rsid w:val="00B46A42"/>
    <w:rsid w:val="00B4710D"/>
    <w:rsid w:val="00B4755C"/>
    <w:rsid w:val="00B5179A"/>
    <w:rsid w:val="00B5186E"/>
    <w:rsid w:val="00B52307"/>
    <w:rsid w:val="00B52933"/>
    <w:rsid w:val="00B532E3"/>
    <w:rsid w:val="00B53595"/>
    <w:rsid w:val="00B53781"/>
    <w:rsid w:val="00B55346"/>
    <w:rsid w:val="00B558A3"/>
    <w:rsid w:val="00B60F9C"/>
    <w:rsid w:val="00B625A1"/>
    <w:rsid w:val="00B632A3"/>
    <w:rsid w:val="00B64088"/>
    <w:rsid w:val="00B6412B"/>
    <w:rsid w:val="00B64209"/>
    <w:rsid w:val="00B65194"/>
    <w:rsid w:val="00B65776"/>
    <w:rsid w:val="00B662C0"/>
    <w:rsid w:val="00B7090B"/>
    <w:rsid w:val="00B70F01"/>
    <w:rsid w:val="00B71018"/>
    <w:rsid w:val="00B7311B"/>
    <w:rsid w:val="00B744CD"/>
    <w:rsid w:val="00B806DC"/>
    <w:rsid w:val="00B8200A"/>
    <w:rsid w:val="00B83DCD"/>
    <w:rsid w:val="00B85A30"/>
    <w:rsid w:val="00B85C94"/>
    <w:rsid w:val="00B861ED"/>
    <w:rsid w:val="00B867B1"/>
    <w:rsid w:val="00B86C45"/>
    <w:rsid w:val="00B87B5D"/>
    <w:rsid w:val="00B87D3E"/>
    <w:rsid w:val="00B90277"/>
    <w:rsid w:val="00B90885"/>
    <w:rsid w:val="00B908C2"/>
    <w:rsid w:val="00B91BAD"/>
    <w:rsid w:val="00B92D03"/>
    <w:rsid w:val="00B93EFB"/>
    <w:rsid w:val="00BA0DB5"/>
    <w:rsid w:val="00BA13FD"/>
    <w:rsid w:val="00BA379F"/>
    <w:rsid w:val="00BA4025"/>
    <w:rsid w:val="00BA63E4"/>
    <w:rsid w:val="00BA6BA0"/>
    <w:rsid w:val="00BA7E3E"/>
    <w:rsid w:val="00BB02AA"/>
    <w:rsid w:val="00BB0E5C"/>
    <w:rsid w:val="00BB1B09"/>
    <w:rsid w:val="00BB30A1"/>
    <w:rsid w:val="00BB3408"/>
    <w:rsid w:val="00BB5576"/>
    <w:rsid w:val="00BB5B60"/>
    <w:rsid w:val="00BB6C0B"/>
    <w:rsid w:val="00BB75E4"/>
    <w:rsid w:val="00BC0CE5"/>
    <w:rsid w:val="00BC2BE9"/>
    <w:rsid w:val="00BC717C"/>
    <w:rsid w:val="00BC72FA"/>
    <w:rsid w:val="00BC7C31"/>
    <w:rsid w:val="00BD18E7"/>
    <w:rsid w:val="00BD1AC6"/>
    <w:rsid w:val="00BD4A7D"/>
    <w:rsid w:val="00BD4D7D"/>
    <w:rsid w:val="00BD4FB9"/>
    <w:rsid w:val="00BD5393"/>
    <w:rsid w:val="00BD79C7"/>
    <w:rsid w:val="00BD7B0F"/>
    <w:rsid w:val="00BE2B0D"/>
    <w:rsid w:val="00BE58DC"/>
    <w:rsid w:val="00BF0BE8"/>
    <w:rsid w:val="00BF0D33"/>
    <w:rsid w:val="00BF1093"/>
    <w:rsid w:val="00BF1B98"/>
    <w:rsid w:val="00BF1C48"/>
    <w:rsid w:val="00BF2CA0"/>
    <w:rsid w:val="00BF5152"/>
    <w:rsid w:val="00BF590E"/>
    <w:rsid w:val="00BF5BC0"/>
    <w:rsid w:val="00BF6A3F"/>
    <w:rsid w:val="00BF6F09"/>
    <w:rsid w:val="00BF795D"/>
    <w:rsid w:val="00BF7A65"/>
    <w:rsid w:val="00BF7C4D"/>
    <w:rsid w:val="00C01085"/>
    <w:rsid w:val="00C01857"/>
    <w:rsid w:val="00C01AE1"/>
    <w:rsid w:val="00C03393"/>
    <w:rsid w:val="00C04E96"/>
    <w:rsid w:val="00C1199A"/>
    <w:rsid w:val="00C11BFF"/>
    <w:rsid w:val="00C11E77"/>
    <w:rsid w:val="00C128C8"/>
    <w:rsid w:val="00C138F5"/>
    <w:rsid w:val="00C13E5D"/>
    <w:rsid w:val="00C14837"/>
    <w:rsid w:val="00C17ACD"/>
    <w:rsid w:val="00C17FA4"/>
    <w:rsid w:val="00C2328E"/>
    <w:rsid w:val="00C26915"/>
    <w:rsid w:val="00C27B1A"/>
    <w:rsid w:val="00C35AC8"/>
    <w:rsid w:val="00C36D85"/>
    <w:rsid w:val="00C36DFA"/>
    <w:rsid w:val="00C3706C"/>
    <w:rsid w:val="00C37337"/>
    <w:rsid w:val="00C37589"/>
    <w:rsid w:val="00C4068C"/>
    <w:rsid w:val="00C41020"/>
    <w:rsid w:val="00C41CC6"/>
    <w:rsid w:val="00C41D05"/>
    <w:rsid w:val="00C442B2"/>
    <w:rsid w:val="00C447E6"/>
    <w:rsid w:val="00C44B58"/>
    <w:rsid w:val="00C44E3F"/>
    <w:rsid w:val="00C46993"/>
    <w:rsid w:val="00C46E16"/>
    <w:rsid w:val="00C508F6"/>
    <w:rsid w:val="00C50CFC"/>
    <w:rsid w:val="00C51F1E"/>
    <w:rsid w:val="00C5236D"/>
    <w:rsid w:val="00C536FE"/>
    <w:rsid w:val="00C5457A"/>
    <w:rsid w:val="00C5686C"/>
    <w:rsid w:val="00C56AE7"/>
    <w:rsid w:val="00C609F8"/>
    <w:rsid w:val="00C61DF5"/>
    <w:rsid w:val="00C61EF4"/>
    <w:rsid w:val="00C6425F"/>
    <w:rsid w:val="00C6456F"/>
    <w:rsid w:val="00C64619"/>
    <w:rsid w:val="00C64875"/>
    <w:rsid w:val="00C6492E"/>
    <w:rsid w:val="00C64ADD"/>
    <w:rsid w:val="00C64E17"/>
    <w:rsid w:val="00C6708C"/>
    <w:rsid w:val="00C67A7D"/>
    <w:rsid w:val="00C7160D"/>
    <w:rsid w:val="00C72C7B"/>
    <w:rsid w:val="00C73250"/>
    <w:rsid w:val="00C7357E"/>
    <w:rsid w:val="00C73CF2"/>
    <w:rsid w:val="00C73EE8"/>
    <w:rsid w:val="00C7509E"/>
    <w:rsid w:val="00C75210"/>
    <w:rsid w:val="00C75B2A"/>
    <w:rsid w:val="00C76306"/>
    <w:rsid w:val="00C77DE3"/>
    <w:rsid w:val="00C80260"/>
    <w:rsid w:val="00C82090"/>
    <w:rsid w:val="00C850BA"/>
    <w:rsid w:val="00C852B4"/>
    <w:rsid w:val="00C859B4"/>
    <w:rsid w:val="00C87D46"/>
    <w:rsid w:val="00C91208"/>
    <w:rsid w:val="00C91617"/>
    <w:rsid w:val="00C91E48"/>
    <w:rsid w:val="00C9683B"/>
    <w:rsid w:val="00C9697C"/>
    <w:rsid w:val="00CA097C"/>
    <w:rsid w:val="00CA1956"/>
    <w:rsid w:val="00CA1AA6"/>
    <w:rsid w:val="00CA4909"/>
    <w:rsid w:val="00CA5920"/>
    <w:rsid w:val="00CA650C"/>
    <w:rsid w:val="00CA6DD5"/>
    <w:rsid w:val="00CA7546"/>
    <w:rsid w:val="00CB0A34"/>
    <w:rsid w:val="00CB1936"/>
    <w:rsid w:val="00CB2E45"/>
    <w:rsid w:val="00CB2EE8"/>
    <w:rsid w:val="00CB47A3"/>
    <w:rsid w:val="00CB4B04"/>
    <w:rsid w:val="00CB4B78"/>
    <w:rsid w:val="00CB57A0"/>
    <w:rsid w:val="00CC1502"/>
    <w:rsid w:val="00CC1B37"/>
    <w:rsid w:val="00CC3505"/>
    <w:rsid w:val="00CC528E"/>
    <w:rsid w:val="00CC5A46"/>
    <w:rsid w:val="00CC6C81"/>
    <w:rsid w:val="00CC773A"/>
    <w:rsid w:val="00CC7882"/>
    <w:rsid w:val="00CD0E86"/>
    <w:rsid w:val="00CD1A11"/>
    <w:rsid w:val="00CD2019"/>
    <w:rsid w:val="00CD2A3F"/>
    <w:rsid w:val="00CD3028"/>
    <w:rsid w:val="00CD52C5"/>
    <w:rsid w:val="00CD7CFC"/>
    <w:rsid w:val="00CE18B0"/>
    <w:rsid w:val="00CE3609"/>
    <w:rsid w:val="00CE3648"/>
    <w:rsid w:val="00CE42BB"/>
    <w:rsid w:val="00CE5E55"/>
    <w:rsid w:val="00CE5E66"/>
    <w:rsid w:val="00CE6BE1"/>
    <w:rsid w:val="00CE6D94"/>
    <w:rsid w:val="00CE6F5B"/>
    <w:rsid w:val="00CF01D6"/>
    <w:rsid w:val="00CF03B0"/>
    <w:rsid w:val="00CF044D"/>
    <w:rsid w:val="00CF15DE"/>
    <w:rsid w:val="00CF2BC2"/>
    <w:rsid w:val="00CF4A3D"/>
    <w:rsid w:val="00CF617C"/>
    <w:rsid w:val="00CF74E2"/>
    <w:rsid w:val="00CF7FBE"/>
    <w:rsid w:val="00D03913"/>
    <w:rsid w:val="00D04281"/>
    <w:rsid w:val="00D05E3F"/>
    <w:rsid w:val="00D0696A"/>
    <w:rsid w:val="00D07ABA"/>
    <w:rsid w:val="00D126B8"/>
    <w:rsid w:val="00D134B7"/>
    <w:rsid w:val="00D13EB7"/>
    <w:rsid w:val="00D145F9"/>
    <w:rsid w:val="00D1647D"/>
    <w:rsid w:val="00D17018"/>
    <w:rsid w:val="00D20E64"/>
    <w:rsid w:val="00D20F45"/>
    <w:rsid w:val="00D21BD9"/>
    <w:rsid w:val="00D257C3"/>
    <w:rsid w:val="00D2599C"/>
    <w:rsid w:val="00D25DAA"/>
    <w:rsid w:val="00D30579"/>
    <w:rsid w:val="00D30B08"/>
    <w:rsid w:val="00D31511"/>
    <w:rsid w:val="00D31B88"/>
    <w:rsid w:val="00D352A0"/>
    <w:rsid w:val="00D40760"/>
    <w:rsid w:val="00D41CA1"/>
    <w:rsid w:val="00D426E5"/>
    <w:rsid w:val="00D42E0B"/>
    <w:rsid w:val="00D45ACD"/>
    <w:rsid w:val="00D508DA"/>
    <w:rsid w:val="00D50A94"/>
    <w:rsid w:val="00D51D39"/>
    <w:rsid w:val="00D51D61"/>
    <w:rsid w:val="00D52F1B"/>
    <w:rsid w:val="00D5379C"/>
    <w:rsid w:val="00D54D94"/>
    <w:rsid w:val="00D6198E"/>
    <w:rsid w:val="00D64BE0"/>
    <w:rsid w:val="00D64D32"/>
    <w:rsid w:val="00D650C8"/>
    <w:rsid w:val="00D660D5"/>
    <w:rsid w:val="00D71469"/>
    <w:rsid w:val="00D71999"/>
    <w:rsid w:val="00D71E3E"/>
    <w:rsid w:val="00D76160"/>
    <w:rsid w:val="00D76C74"/>
    <w:rsid w:val="00D76E36"/>
    <w:rsid w:val="00D807C3"/>
    <w:rsid w:val="00D81A8F"/>
    <w:rsid w:val="00D81FC6"/>
    <w:rsid w:val="00D82640"/>
    <w:rsid w:val="00D8329A"/>
    <w:rsid w:val="00D84C89"/>
    <w:rsid w:val="00D856B2"/>
    <w:rsid w:val="00D85980"/>
    <w:rsid w:val="00D86B00"/>
    <w:rsid w:val="00D91BB6"/>
    <w:rsid w:val="00D92601"/>
    <w:rsid w:val="00D92A22"/>
    <w:rsid w:val="00D940CB"/>
    <w:rsid w:val="00D96669"/>
    <w:rsid w:val="00DA0C3B"/>
    <w:rsid w:val="00DA1BB2"/>
    <w:rsid w:val="00DA3297"/>
    <w:rsid w:val="00DA36DF"/>
    <w:rsid w:val="00DA45C5"/>
    <w:rsid w:val="00DA63C3"/>
    <w:rsid w:val="00DB0898"/>
    <w:rsid w:val="00DB1439"/>
    <w:rsid w:val="00DB18C8"/>
    <w:rsid w:val="00DB1DB0"/>
    <w:rsid w:val="00DB24B6"/>
    <w:rsid w:val="00DB3CEB"/>
    <w:rsid w:val="00DB4044"/>
    <w:rsid w:val="00DB4E19"/>
    <w:rsid w:val="00DB4FD6"/>
    <w:rsid w:val="00DB5552"/>
    <w:rsid w:val="00DB7020"/>
    <w:rsid w:val="00DB70BF"/>
    <w:rsid w:val="00DC0C49"/>
    <w:rsid w:val="00DC261A"/>
    <w:rsid w:val="00DC2998"/>
    <w:rsid w:val="00DC3DC5"/>
    <w:rsid w:val="00DC4328"/>
    <w:rsid w:val="00DC4E0E"/>
    <w:rsid w:val="00DC5893"/>
    <w:rsid w:val="00DC5948"/>
    <w:rsid w:val="00DD095E"/>
    <w:rsid w:val="00DD1C0F"/>
    <w:rsid w:val="00DD29FF"/>
    <w:rsid w:val="00DD3B3F"/>
    <w:rsid w:val="00DD5728"/>
    <w:rsid w:val="00DD5A5F"/>
    <w:rsid w:val="00DD5E8E"/>
    <w:rsid w:val="00DE0BCD"/>
    <w:rsid w:val="00DE15C2"/>
    <w:rsid w:val="00DE1D2D"/>
    <w:rsid w:val="00DE1FC2"/>
    <w:rsid w:val="00DE2DF3"/>
    <w:rsid w:val="00DE35ED"/>
    <w:rsid w:val="00DE4C92"/>
    <w:rsid w:val="00DE747C"/>
    <w:rsid w:val="00DE7BE9"/>
    <w:rsid w:val="00DE7C42"/>
    <w:rsid w:val="00DF2091"/>
    <w:rsid w:val="00DF2B8B"/>
    <w:rsid w:val="00DF2E05"/>
    <w:rsid w:val="00DF318E"/>
    <w:rsid w:val="00DF3CD6"/>
    <w:rsid w:val="00DF505F"/>
    <w:rsid w:val="00DF6324"/>
    <w:rsid w:val="00DF6B72"/>
    <w:rsid w:val="00E00C0D"/>
    <w:rsid w:val="00E0208D"/>
    <w:rsid w:val="00E02982"/>
    <w:rsid w:val="00E038E6"/>
    <w:rsid w:val="00E04EF6"/>
    <w:rsid w:val="00E053E0"/>
    <w:rsid w:val="00E05AC4"/>
    <w:rsid w:val="00E05E02"/>
    <w:rsid w:val="00E06B9E"/>
    <w:rsid w:val="00E07E09"/>
    <w:rsid w:val="00E07E44"/>
    <w:rsid w:val="00E10865"/>
    <w:rsid w:val="00E10CF2"/>
    <w:rsid w:val="00E12875"/>
    <w:rsid w:val="00E14FE1"/>
    <w:rsid w:val="00E151E8"/>
    <w:rsid w:val="00E15BC7"/>
    <w:rsid w:val="00E163A1"/>
    <w:rsid w:val="00E1651C"/>
    <w:rsid w:val="00E2260B"/>
    <w:rsid w:val="00E232C4"/>
    <w:rsid w:val="00E243D1"/>
    <w:rsid w:val="00E24875"/>
    <w:rsid w:val="00E25925"/>
    <w:rsid w:val="00E27942"/>
    <w:rsid w:val="00E31117"/>
    <w:rsid w:val="00E32CF1"/>
    <w:rsid w:val="00E3458E"/>
    <w:rsid w:val="00E35BB9"/>
    <w:rsid w:val="00E40FC4"/>
    <w:rsid w:val="00E41211"/>
    <w:rsid w:val="00E42A75"/>
    <w:rsid w:val="00E42BD0"/>
    <w:rsid w:val="00E44122"/>
    <w:rsid w:val="00E4422C"/>
    <w:rsid w:val="00E44E2C"/>
    <w:rsid w:val="00E45837"/>
    <w:rsid w:val="00E45C3D"/>
    <w:rsid w:val="00E46738"/>
    <w:rsid w:val="00E50587"/>
    <w:rsid w:val="00E50A95"/>
    <w:rsid w:val="00E51071"/>
    <w:rsid w:val="00E510A4"/>
    <w:rsid w:val="00E53B57"/>
    <w:rsid w:val="00E53DA8"/>
    <w:rsid w:val="00E5437E"/>
    <w:rsid w:val="00E54AD2"/>
    <w:rsid w:val="00E55648"/>
    <w:rsid w:val="00E578D4"/>
    <w:rsid w:val="00E61B44"/>
    <w:rsid w:val="00E62B1D"/>
    <w:rsid w:val="00E63287"/>
    <w:rsid w:val="00E63634"/>
    <w:rsid w:val="00E6458E"/>
    <w:rsid w:val="00E64613"/>
    <w:rsid w:val="00E65DD1"/>
    <w:rsid w:val="00E66432"/>
    <w:rsid w:val="00E675AD"/>
    <w:rsid w:val="00E70270"/>
    <w:rsid w:val="00E70513"/>
    <w:rsid w:val="00E70DEB"/>
    <w:rsid w:val="00E73290"/>
    <w:rsid w:val="00E75E99"/>
    <w:rsid w:val="00E76540"/>
    <w:rsid w:val="00E77FCD"/>
    <w:rsid w:val="00E80092"/>
    <w:rsid w:val="00E8141C"/>
    <w:rsid w:val="00E85642"/>
    <w:rsid w:val="00E85A5B"/>
    <w:rsid w:val="00E86445"/>
    <w:rsid w:val="00E8691D"/>
    <w:rsid w:val="00E86D97"/>
    <w:rsid w:val="00E90B65"/>
    <w:rsid w:val="00E926E0"/>
    <w:rsid w:val="00E9384B"/>
    <w:rsid w:val="00E9447E"/>
    <w:rsid w:val="00E94B0A"/>
    <w:rsid w:val="00E9794C"/>
    <w:rsid w:val="00EA1365"/>
    <w:rsid w:val="00EA1B8F"/>
    <w:rsid w:val="00EA1F60"/>
    <w:rsid w:val="00EA1F94"/>
    <w:rsid w:val="00EA3529"/>
    <w:rsid w:val="00EA35D5"/>
    <w:rsid w:val="00EA4061"/>
    <w:rsid w:val="00EA44D3"/>
    <w:rsid w:val="00EA4863"/>
    <w:rsid w:val="00EA4A15"/>
    <w:rsid w:val="00EA4CC1"/>
    <w:rsid w:val="00EA6F5A"/>
    <w:rsid w:val="00EA7784"/>
    <w:rsid w:val="00EB0409"/>
    <w:rsid w:val="00EB3B5E"/>
    <w:rsid w:val="00EB3BE0"/>
    <w:rsid w:val="00EB430C"/>
    <w:rsid w:val="00EB4DC3"/>
    <w:rsid w:val="00EB5156"/>
    <w:rsid w:val="00EB6DD0"/>
    <w:rsid w:val="00EC223B"/>
    <w:rsid w:val="00EC339F"/>
    <w:rsid w:val="00EC33BF"/>
    <w:rsid w:val="00EC4E51"/>
    <w:rsid w:val="00ED5895"/>
    <w:rsid w:val="00ED5AD3"/>
    <w:rsid w:val="00ED61F2"/>
    <w:rsid w:val="00EE2F5D"/>
    <w:rsid w:val="00EE4031"/>
    <w:rsid w:val="00EE4861"/>
    <w:rsid w:val="00EE5C5E"/>
    <w:rsid w:val="00EE6086"/>
    <w:rsid w:val="00EE6315"/>
    <w:rsid w:val="00EF053C"/>
    <w:rsid w:val="00EF13B7"/>
    <w:rsid w:val="00EF31A0"/>
    <w:rsid w:val="00EF68F4"/>
    <w:rsid w:val="00F0038C"/>
    <w:rsid w:val="00F01204"/>
    <w:rsid w:val="00F036BD"/>
    <w:rsid w:val="00F03D95"/>
    <w:rsid w:val="00F04C96"/>
    <w:rsid w:val="00F056B9"/>
    <w:rsid w:val="00F05C02"/>
    <w:rsid w:val="00F071E3"/>
    <w:rsid w:val="00F113AA"/>
    <w:rsid w:val="00F13770"/>
    <w:rsid w:val="00F14866"/>
    <w:rsid w:val="00F14A8C"/>
    <w:rsid w:val="00F153DA"/>
    <w:rsid w:val="00F15B07"/>
    <w:rsid w:val="00F1693C"/>
    <w:rsid w:val="00F17242"/>
    <w:rsid w:val="00F2179C"/>
    <w:rsid w:val="00F23198"/>
    <w:rsid w:val="00F235A4"/>
    <w:rsid w:val="00F2528D"/>
    <w:rsid w:val="00F26716"/>
    <w:rsid w:val="00F27EE2"/>
    <w:rsid w:val="00F31475"/>
    <w:rsid w:val="00F31B4A"/>
    <w:rsid w:val="00F32C98"/>
    <w:rsid w:val="00F3359D"/>
    <w:rsid w:val="00F336B2"/>
    <w:rsid w:val="00F33B4F"/>
    <w:rsid w:val="00F36556"/>
    <w:rsid w:val="00F36E22"/>
    <w:rsid w:val="00F37DF2"/>
    <w:rsid w:val="00F41ECF"/>
    <w:rsid w:val="00F42B8B"/>
    <w:rsid w:val="00F44AE3"/>
    <w:rsid w:val="00F46022"/>
    <w:rsid w:val="00F47FF5"/>
    <w:rsid w:val="00F530C1"/>
    <w:rsid w:val="00F5527C"/>
    <w:rsid w:val="00F56372"/>
    <w:rsid w:val="00F57033"/>
    <w:rsid w:val="00F60E66"/>
    <w:rsid w:val="00F61470"/>
    <w:rsid w:val="00F616EC"/>
    <w:rsid w:val="00F63AD0"/>
    <w:rsid w:val="00F659CE"/>
    <w:rsid w:val="00F66F31"/>
    <w:rsid w:val="00F70775"/>
    <w:rsid w:val="00F71588"/>
    <w:rsid w:val="00F767F5"/>
    <w:rsid w:val="00F8209F"/>
    <w:rsid w:val="00F82F41"/>
    <w:rsid w:val="00F83440"/>
    <w:rsid w:val="00F839A9"/>
    <w:rsid w:val="00F8402E"/>
    <w:rsid w:val="00F84CE1"/>
    <w:rsid w:val="00F84CF0"/>
    <w:rsid w:val="00F84F89"/>
    <w:rsid w:val="00F852E5"/>
    <w:rsid w:val="00F854EE"/>
    <w:rsid w:val="00F85FD1"/>
    <w:rsid w:val="00F86718"/>
    <w:rsid w:val="00F87E22"/>
    <w:rsid w:val="00F90398"/>
    <w:rsid w:val="00F90BA3"/>
    <w:rsid w:val="00F91771"/>
    <w:rsid w:val="00F91DAE"/>
    <w:rsid w:val="00F946B1"/>
    <w:rsid w:val="00F96359"/>
    <w:rsid w:val="00F965AC"/>
    <w:rsid w:val="00F97DDC"/>
    <w:rsid w:val="00FA5427"/>
    <w:rsid w:val="00FA684C"/>
    <w:rsid w:val="00FA6BA3"/>
    <w:rsid w:val="00FB00BF"/>
    <w:rsid w:val="00FB0AD1"/>
    <w:rsid w:val="00FB2F99"/>
    <w:rsid w:val="00FB325E"/>
    <w:rsid w:val="00FB4BC3"/>
    <w:rsid w:val="00FB66E6"/>
    <w:rsid w:val="00FC073A"/>
    <w:rsid w:val="00FC12D7"/>
    <w:rsid w:val="00FC17A9"/>
    <w:rsid w:val="00FC1C6D"/>
    <w:rsid w:val="00FC1D1F"/>
    <w:rsid w:val="00FC2670"/>
    <w:rsid w:val="00FC5325"/>
    <w:rsid w:val="00FC5E64"/>
    <w:rsid w:val="00FC6532"/>
    <w:rsid w:val="00FD00C9"/>
    <w:rsid w:val="00FD0387"/>
    <w:rsid w:val="00FD0D42"/>
    <w:rsid w:val="00FD113C"/>
    <w:rsid w:val="00FD13BB"/>
    <w:rsid w:val="00FD147B"/>
    <w:rsid w:val="00FD17A6"/>
    <w:rsid w:val="00FD29C0"/>
    <w:rsid w:val="00FD3155"/>
    <w:rsid w:val="00FD3B27"/>
    <w:rsid w:val="00FD3D69"/>
    <w:rsid w:val="00FD43F8"/>
    <w:rsid w:val="00FD5EDD"/>
    <w:rsid w:val="00FD68C6"/>
    <w:rsid w:val="00FD7C60"/>
    <w:rsid w:val="00FD7DD6"/>
    <w:rsid w:val="00FE0EFA"/>
    <w:rsid w:val="00FE15C0"/>
    <w:rsid w:val="00FE279C"/>
    <w:rsid w:val="00FE3BEB"/>
    <w:rsid w:val="00FE3DBD"/>
    <w:rsid w:val="00FE6662"/>
    <w:rsid w:val="00FE6F56"/>
    <w:rsid w:val="00FF08F6"/>
    <w:rsid w:val="00FF1197"/>
    <w:rsid w:val="00FF11FB"/>
    <w:rsid w:val="00FF1495"/>
    <w:rsid w:val="00FF178F"/>
    <w:rsid w:val="00FF263F"/>
    <w:rsid w:val="00FF2D2B"/>
    <w:rsid w:val="00FF3C3E"/>
    <w:rsid w:val="00FF5704"/>
    <w:rsid w:val="016022B4"/>
    <w:rsid w:val="017C011F"/>
    <w:rsid w:val="01B3161D"/>
    <w:rsid w:val="01EB5915"/>
    <w:rsid w:val="02182ED7"/>
    <w:rsid w:val="04AA5E4E"/>
    <w:rsid w:val="04F82025"/>
    <w:rsid w:val="05312CB9"/>
    <w:rsid w:val="067C20BB"/>
    <w:rsid w:val="06C80966"/>
    <w:rsid w:val="08693410"/>
    <w:rsid w:val="0A8235E3"/>
    <w:rsid w:val="0ACF1886"/>
    <w:rsid w:val="0B8E420A"/>
    <w:rsid w:val="0BC23F01"/>
    <w:rsid w:val="0C786F42"/>
    <w:rsid w:val="0EA855E3"/>
    <w:rsid w:val="0F3E7ED6"/>
    <w:rsid w:val="0F5F3AAE"/>
    <w:rsid w:val="0FB56CEA"/>
    <w:rsid w:val="0FCD4501"/>
    <w:rsid w:val="10964F66"/>
    <w:rsid w:val="11EE5E19"/>
    <w:rsid w:val="12323B41"/>
    <w:rsid w:val="12363F6F"/>
    <w:rsid w:val="12601C36"/>
    <w:rsid w:val="128F01D6"/>
    <w:rsid w:val="130354DD"/>
    <w:rsid w:val="137C2A53"/>
    <w:rsid w:val="145412D3"/>
    <w:rsid w:val="14BA74DA"/>
    <w:rsid w:val="152E66D7"/>
    <w:rsid w:val="15746553"/>
    <w:rsid w:val="15CF7F33"/>
    <w:rsid w:val="16322ABD"/>
    <w:rsid w:val="176435AF"/>
    <w:rsid w:val="179B3F36"/>
    <w:rsid w:val="18031D95"/>
    <w:rsid w:val="18480AED"/>
    <w:rsid w:val="19812123"/>
    <w:rsid w:val="19AA4271"/>
    <w:rsid w:val="1A632C0C"/>
    <w:rsid w:val="1BA60B00"/>
    <w:rsid w:val="1BB85CB8"/>
    <w:rsid w:val="1BC3390D"/>
    <w:rsid w:val="1BE4077B"/>
    <w:rsid w:val="1C83336F"/>
    <w:rsid w:val="1D302DD4"/>
    <w:rsid w:val="1D9A259A"/>
    <w:rsid w:val="1FA43022"/>
    <w:rsid w:val="21C3522A"/>
    <w:rsid w:val="22342CF6"/>
    <w:rsid w:val="26634398"/>
    <w:rsid w:val="26E946A3"/>
    <w:rsid w:val="29F35717"/>
    <w:rsid w:val="2A3458EC"/>
    <w:rsid w:val="2BE55033"/>
    <w:rsid w:val="2C1D0F66"/>
    <w:rsid w:val="2E2F35C9"/>
    <w:rsid w:val="2EFF4953"/>
    <w:rsid w:val="2F361B41"/>
    <w:rsid w:val="30476B7D"/>
    <w:rsid w:val="33A256C8"/>
    <w:rsid w:val="34A86C7B"/>
    <w:rsid w:val="35E2272C"/>
    <w:rsid w:val="3784323A"/>
    <w:rsid w:val="38517759"/>
    <w:rsid w:val="38F463A1"/>
    <w:rsid w:val="3C956DB4"/>
    <w:rsid w:val="3CB60D47"/>
    <w:rsid w:val="3CF00B88"/>
    <w:rsid w:val="3D55126E"/>
    <w:rsid w:val="3D762284"/>
    <w:rsid w:val="3E7B7FE0"/>
    <w:rsid w:val="3E997B5D"/>
    <w:rsid w:val="3EF7024F"/>
    <w:rsid w:val="3FD0375B"/>
    <w:rsid w:val="4001677D"/>
    <w:rsid w:val="403C6EEE"/>
    <w:rsid w:val="40524E9C"/>
    <w:rsid w:val="411512B3"/>
    <w:rsid w:val="414F0E71"/>
    <w:rsid w:val="41710606"/>
    <w:rsid w:val="41B46ADA"/>
    <w:rsid w:val="41BA6182"/>
    <w:rsid w:val="42AD7F63"/>
    <w:rsid w:val="43273C06"/>
    <w:rsid w:val="436E7263"/>
    <w:rsid w:val="43B703F2"/>
    <w:rsid w:val="43CC2F6A"/>
    <w:rsid w:val="43DF4E23"/>
    <w:rsid w:val="451F1218"/>
    <w:rsid w:val="452A2CE6"/>
    <w:rsid w:val="457D012D"/>
    <w:rsid w:val="457E510C"/>
    <w:rsid w:val="45FD27A1"/>
    <w:rsid w:val="48B54D35"/>
    <w:rsid w:val="4AC9433B"/>
    <w:rsid w:val="4BBD535F"/>
    <w:rsid w:val="4C013C65"/>
    <w:rsid w:val="4C8156FE"/>
    <w:rsid w:val="4DE329CA"/>
    <w:rsid w:val="51392C27"/>
    <w:rsid w:val="5180629F"/>
    <w:rsid w:val="5221410F"/>
    <w:rsid w:val="52A25FA4"/>
    <w:rsid w:val="532B74AA"/>
    <w:rsid w:val="55097A7F"/>
    <w:rsid w:val="57215678"/>
    <w:rsid w:val="59F64346"/>
    <w:rsid w:val="5A3D61AC"/>
    <w:rsid w:val="5C2E710D"/>
    <w:rsid w:val="5E3D2C0C"/>
    <w:rsid w:val="5F68269D"/>
    <w:rsid w:val="60583D40"/>
    <w:rsid w:val="608E7761"/>
    <w:rsid w:val="63F51C30"/>
    <w:rsid w:val="644236D4"/>
    <w:rsid w:val="648435DF"/>
    <w:rsid w:val="649B308B"/>
    <w:rsid w:val="663B0CDB"/>
    <w:rsid w:val="66FB505F"/>
    <w:rsid w:val="687F330A"/>
    <w:rsid w:val="68874E63"/>
    <w:rsid w:val="69392062"/>
    <w:rsid w:val="6A2E73C3"/>
    <w:rsid w:val="6B9132BE"/>
    <w:rsid w:val="6BFA7885"/>
    <w:rsid w:val="6F494779"/>
    <w:rsid w:val="6F5E6124"/>
    <w:rsid w:val="6F70246F"/>
    <w:rsid w:val="70D0658A"/>
    <w:rsid w:val="716530FF"/>
    <w:rsid w:val="71B92912"/>
    <w:rsid w:val="72917B3F"/>
    <w:rsid w:val="73451141"/>
    <w:rsid w:val="73F1457A"/>
    <w:rsid w:val="74165E03"/>
    <w:rsid w:val="74A12766"/>
    <w:rsid w:val="76C75323"/>
    <w:rsid w:val="780E734E"/>
    <w:rsid w:val="78662643"/>
    <w:rsid w:val="7A40506E"/>
    <w:rsid w:val="7C1853B7"/>
    <w:rsid w:val="7D6E320A"/>
    <w:rsid w:val="7E2272E3"/>
    <w:rsid w:val="7E816B6D"/>
    <w:rsid w:val="7EE7361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semiHidden="0" w:name="toc 1"/>
    <w:lsdException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qFormat="1"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5"/>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26"/>
    <w:qFormat/>
    <w:uiPriority w:val="9"/>
    <w:pPr>
      <w:widowControl/>
      <w:spacing w:before="100" w:beforeAutospacing="1" w:after="100" w:afterAutospacing="1"/>
      <w:jc w:val="left"/>
      <w:outlineLvl w:val="1"/>
    </w:pPr>
    <w:rPr>
      <w:rFonts w:ascii="宋体" w:hAnsi="宋体" w:cs="宋体"/>
      <w:b/>
      <w:bCs/>
      <w:kern w:val="0"/>
      <w:sz w:val="36"/>
      <w:szCs w:val="36"/>
    </w:rPr>
  </w:style>
  <w:style w:type="paragraph" w:styleId="4">
    <w:name w:val="heading 3"/>
    <w:basedOn w:val="1"/>
    <w:next w:val="1"/>
    <w:link w:val="27"/>
    <w:unhideWhenUsed/>
    <w:qFormat/>
    <w:uiPriority w:val="9"/>
    <w:pPr>
      <w:keepNext/>
      <w:keepLines/>
      <w:spacing w:before="260" w:after="260" w:line="416" w:lineRule="auto"/>
      <w:outlineLvl w:val="2"/>
    </w:pPr>
    <w:rPr>
      <w:rFonts w:asciiTheme="minorHAnsi" w:hAnsiTheme="minorHAnsi" w:eastAsiaTheme="minorEastAsia" w:cstheme="minorBidi"/>
      <w:b/>
      <w:bCs/>
      <w:sz w:val="32"/>
      <w:szCs w:val="32"/>
    </w:rPr>
  </w:style>
  <w:style w:type="paragraph" w:styleId="5">
    <w:name w:val="heading 4"/>
    <w:basedOn w:val="1"/>
    <w:next w:val="1"/>
    <w:link w:val="28"/>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paragraph" w:styleId="6">
    <w:name w:val="heading 5"/>
    <w:basedOn w:val="1"/>
    <w:next w:val="1"/>
    <w:link w:val="29"/>
    <w:semiHidden/>
    <w:unhideWhenUsed/>
    <w:qFormat/>
    <w:uiPriority w:val="9"/>
    <w:pPr>
      <w:keepNext/>
      <w:keepLines/>
      <w:spacing w:before="280" w:after="290" w:line="376" w:lineRule="auto"/>
      <w:outlineLvl w:val="4"/>
    </w:pPr>
    <w:rPr>
      <w:rFonts w:asciiTheme="minorHAnsi" w:hAnsiTheme="minorHAnsi" w:eastAsiaTheme="minorEastAsia" w:cstheme="minorBidi"/>
      <w:b/>
      <w:bCs/>
      <w:sz w:val="28"/>
      <w:szCs w:val="28"/>
    </w:rPr>
  </w:style>
  <w:style w:type="paragraph" w:styleId="7">
    <w:name w:val="heading 6"/>
    <w:basedOn w:val="1"/>
    <w:next w:val="1"/>
    <w:link w:val="30"/>
    <w:semiHidden/>
    <w:unhideWhenUsed/>
    <w:qFormat/>
    <w:uiPriority w:val="9"/>
    <w:pPr>
      <w:keepNext/>
      <w:keepLines/>
      <w:spacing w:before="240" w:after="64" w:line="320" w:lineRule="auto"/>
      <w:outlineLvl w:val="5"/>
    </w:pPr>
    <w:rPr>
      <w:rFonts w:asciiTheme="majorHAnsi" w:hAnsiTheme="majorHAnsi" w:eastAsiaTheme="majorEastAsia" w:cstheme="majorBidi"/>
      <w:b/>
      <w:bCs/>
      <w:sz w:val="24"/>
    </w:rPr>
  </w:style>
  <w:style w:type="character" w:default="1" w:styleId="20">
    <w:name w:val="Default Paragraph Font"/>
    <w:semiHidden/>
    <w:unhideWhenUsed/>
    <w:qFormat/>
    <w:uiPriority w:val="1"/>
  </w:style>
  <w:style w:type="table" w:default="1" w:styleId="18">
    <w:name w:val="Normal Table"/>
    <w:semiHidden/>
    <w:unhideWhenUsed/>
    <w:uiPriority w:val="99"/>
    <w:tblPr>
      <w:tblCellMar>
        <w:top w:w="0" w:type="dxa"/>
        <w:left w:w="108" w:type="dxa"/>
        <w:bottom w:w="0" w:type="dxa"/>
        <w:right w:w="108" w:type="dxa"/>
      </w:tblCellMar>
    </w:tblPr>
  </w:style>
  <w:style w:type="paragraph" w:styleId="8">
    <w:name w:val="Body Text"/>
    <w:basedOn w:val="1"/>
    <w:link w:val="98"/>
    <w:qFormat/>
    <w:uiPriority w:val="1"/>
    <w:pPr>
      <w:autoSpaceDE w:val="0"/>
      <w:autoSpaceDN w:val="0"/>
      <w:jc w:val="left"/>
    </w:pPr>
    <w:rPr>
      <w:rFonts w:eastAsia="Times New Roman"/>
      <w:kern w:val="0"/>
      <w:sz w:val="17"/>
      <w:szCs w:val="17"/>
      <w:lang w:eastAsia="en-US" w:bidi="en-US"/>
    </w:rPr>
  </w:style>
  <w:style w:type="paragraph" w:styleId="9">
    <w:name w:val="Date"/>
    <w:basedOn w:val="1"/>
    <w:next w:val="1"/>
    <w:link w:val="78"/>
    <w:semiHidden/>
    <w:unhideWhenUsed/>
    <w:qFormat/>
    <w:uiPriority w:val="99"/>
    <w:pPr>
      <w:ind w:left="100" w:leftChars="2500"/>
    </w:pPr>
  </w:style>
  <w:style w:type="paragraph" w:styleId="10">
    <w:name w:val="Body Text Indent 2"/>
    <w:basedOn w:val="1"/>
    <w:link w:val="194"/>
    <w:semiHidden/>
    <w:unhideWhenUsed/>
    <w:qFormat/>
    <w:uiPriority w:val="99"/>
    <w:pPr>
      <w:spacing w:after="120" w:line="480" w:lineRule="auto"/>
      <w:ind w:left="420" w:leftChars="200"/>
    </w:pPr>
  </w:style>
  <w:style w:type="paragraph" w:styleId="11">
    <w:name w:val="Balloon Text"/>
    <w:basedOn w:val="1"/>
    <w:link w:val="33"/>
    <w:semiHidden/>
    <w:unhideWhenUsed/>
    <w:qFormat/>
    <w:uiPriority w:val="99"/>
    <w:rPr>
      <w:sz w:val="18"/>
      <w:szCs w:val="18"/>
    </w:rPr>
  </w:style>
  <w:style w:type="paragraph" w:styleId="12">
    <w:name w:val="footer"/>
    <w:basedOn w:val="1"/>
    <w:link w:val="32"/>
    <w:unhideWhenUsed/>
    <w:qFormat/>
    <w:uiPriority w:val="99"/>
    <w:pPr>
      <w:tabs>
        <w:tab w:val="center" w:pos="4153"/>
        <w:tab w:val="right" w:pos="8306"/>
      </w:tabs>
      <w:snapToGrid w:val="0"/>
      <w:jc w:val="left"/>
    </w:pPr>
    <w:rPr>
      <w:rFonts w:asciiTheme="minorHAnsi" w:hAnsiTheme="minorHAnsi" w:eastAsiaTheme="minorEastAsia" w:cstheme="minorBidi"/>
      <w:sz w:val="18"/>
      <w:szCs w:val="18"/>
    </w:rPr>
  </w:style>
  <w:style w:type="paragraph" w:styleId="13">
    <w:name w:val="header"/>
    <w:basedOn w:val="1"/>
    <w:link w:val="31"/>
    <w:unhideWhenUsed/>
    <w:qFormat/>
    <w:uiPriority w:val="99"/>
    <w:pPr>
      <w:pBdr>
        <w:bottom w:val="single" w:color="auto" w:sz="6" w:space="1"/>
      </w:pBdr>
      <w:tabs>
        <w:tab w:val="center" w:pos="4153"/>
        <w:tab w:val="right" w:pos="8306"/>
      </w:tabs>
      <w:snapToGrid w:val="0"/>
      <w:jc w:val="center"/>
    </w:pPr>
    <w:rPr>
      <w:rFonts w:asciiTheme="minorHAnsi" w:hAnsiTheme="minorHAnsi" w:eastAsiaTheme="minorEastAsia" w:cstheme="minorBidi"/>
      <w:sz w:val="18"/>
      <w:szCs w:val="18"/>
    </w:rPr>
  </w:style>
  <w:style w:type="paragraph" w:styleId="14">
    <w:name w:val="toc 1"/>
    <w:basedOn w:val="1"/>
    <w:next w:val="1"/>
    <w:unhideWhenUsed/>
    <w:uiPriority w:val="39"/>
    <w:pPr>
      <w:tabs>
        <w:tab w:val="right" w:leader="dot" w:pos="9402"/>
      </w:tabs>
    </w:pPr>
    <w:rPr>
      <w:rFonts w:eastAsia="黑体"/>
      <w:b/>
      <w:bCs/>
    </w:rPr>
  </w:style>
  <w:style w:type="paragraph" w:styleId="15">
    <w:name w:val="toc 2"/>
    <w:basedOn w:val="1"/>
    <w:next w:val="1"/>
    <w:unhideWhenUsed/>
    <w:uiPriority w:val="39"/>
    <w:pPr>
      <w:ind w:left="420" w:leftChars="200"/>
    </w:pPr>
  </w:style>
  <w:style w:type="paragraph" w:styleId="16">
    <w:name w:val="HTML Preformatted"/>
    <w:basedOn w:val="1"/>
    <w:link w:val="195"/>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cs="Courier New"/>
      <w:color w:val="000000"/>
      <w:kern w:val="0"/>
      <w:sz w:val="20"/>
      <w:szCs w:val="20"/>
    </w:rPr>
  </w:style>
  <w:style w:type="paragraph" w:styleId="17">
    <w:name w:val="Normal (Web)"/>
    <w:basedOn w:val="1"/>
    <w:unhideWhenUsed/>
    <w:qFormat/>
    <w:uiPriority w:val="99"/>
    <w:pPr>
      <w:widowControl/>
      <w:spacing w:before="100" w:beforeAutospacing="1" w:after="100" w:afterAutospacing="1"/>
      <w:jc w:val="left"/>
    </w:pPr>
    <w:rPr>
      <w:rFonts w:ascii="宋体" w:hAnsi="宋体" w:cs="宋体"/>
      <w:kern w:val="0"/>
      <w:sz w:val="24"/>
    </w:rPr>
  </w:style>
  <w:style w:type="table" w:styleId="19">
    <w:name w:val="Table Grid"/>
    <w:basedOn w:val="18"/>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1">
    <w:name w:val="Strong"/>
    <w:basedOn w:val="20"/>
    <w:qFormat/>
    <w:uiPriority w:val="22"/>
    <w:rPr>
      <w:b/>
      <w:bCs/>
    </w:rPr>
  </w:style>
  <w:style w:type="character" w:styleId="22">
    <w:name w:val="FollowedHyperlink"/>
    <w:basedOn w:val="20"/>
    <w:semiHidden/>
    <w:unhideWhenUsed/>
    <w:qFormat/>
    <w:uiPriority w:val="99"/>
    <w:rPr>
      <w:color w:val="800080"/>
      <w:u w:val="single"/>
    </w:rPr>
  </w:style>
  <w:style w:type="character" w:styleId="23">
    <w:name w:val="Emphasis"/>
    <w:basedOn w:val="20"/>
    <w:qFormat/>
    <w:uiPriority w:val="20"/>
    <w:rPr>
      <w:i/>
      <w:iCs/>
    </w:rPr>
  </w:style>
  <w:style w:type="character" w:styleId="24">
    <w:name w:val="Hyperlink"/>
    <w:basedOn w:val="20"/>
    <w:unhideWhenUsed/>
    <w:qFormat/>
    <w:uiPriority w:val="99"/>
    <w:rPr>
      <w:color w:val="0000FF"/>
      <w:u w:val="single"/>
    </w:rPr>
  </w:style>
  <w:style w:type="character" w:customStyle="1" w:styleId="25">
    <w:name w:val="标题 1 字符"/>
    <w:basedOn w:val="20"/>
    <w:link w:val="2"/>
    <w:qFormat/>
    <w:uiPriority w:val="9"/>
    <w:rPr>
      <w:rFonts w:ascii="Times New Roman" w:hAnsi="Times New Roman" w:eastAsia="宋体" w:cs="Times New Roman"/>
      <w:b/>
      <w:bCs/>
      <w:kern w:val="44"/>
      <w:sz w:val="44"/>
      <w:szCs w:val="44"/>
    </w:rPr>
  </w:style>
  <w:style w:type="character" w:customStyle="1" w:styleId="26">
    <w:name w:val="标题 2 字符"/>
    <w:basedOn w:val="20"/>
    <w:link w:val="3"/>
    <w:qFormat/>
    <w:uiPriority w:val="9"/>
    <w:rPr>
      <w:rFonts w:ascii="宋体" w:hAnsi="宋体" w:eastAsia="宋体" w:cs="宋体"/>
      <w:b/>
      <w:bCs/>
      <w:kern w:val="0"/>
      <w:sz w:val="36"/>
      <w:szCs w:val="36"/>
    </w:rPr>
  </w:style>
  <w:style w:type="character" w:customStyle="1" w:styleId="27">
    <w:name w:val="标题 3 字符"/>
    <w:basedOn w:val="20"/>
    <w:link w:val="4"/>
    <w:qFormat/>
    <w:uiPriority w:val="9"/>
    <w:rPr>
      <w:b/>
      <w:bCs/>
      <w:sz w:val="32"/>
      <w:szCs w:val="32"/>
    </w:rPr>
  </w:style>
  <w:style w:type="character" w:customStyle="1" w:styleId="28">
    <w:name w:val="标题 4 字符"/>
    <w:basedOn w:val="20"/>
    <w:link w:val="5"/>
    <w:qFormat/>
    <w:uiPriority w:val="9"/>
    <w:rPr>
      <w:rFonts w:asciiTheme="majorHAnsi" w:hAnsiTheme="majorHAnsi" w:eastAsiaTheme="majorEastAsia" w:cstheme="majorBidi"/>
      <w:b/>
      <w:bCs/>
      <w:sz w:val="28"/>
      <w:szCs w:val="28"/>
    </w:rPr>
  </w:style>
  <w:style w:type="character" w:customStyle="1" w:styleId="29">
    <w:name w:val="标题 5 字符"/>
    <w:basedOn w:val="20"/>
    <w:link w:val="6"/>
    <w:semiHidden/>
    <w:qFormat/>
    <w:uiPriority w:val="9"/>
    <w:rPr>
      <w:b/>
      <w:bCs/>
      <w:sz w:val="28"/>
      <w:szCs w:val="28"/>
    </w:rPr>
  </w:style>
  <w:style w:type="character" w:customStyle="1" w:styleId="30">
    <w:name w:val="标题 6 字符"/>
    <w:basedOn w:val="20"/>
    <w:link w:val="7"/>
    <w:semiHidden/>
    <w:qFormat/>
    <w:uiPriority w:val="9"/>
    <w:rPr>
      <w:rFonts w:asciiTheme="majorHAnsi" w:hAnsiTheme="majorHAnsi" w:eastAsiaTheme="majorEastAsia" w:cstheme="majorBidi"/>
      <w:b/>
      <w:bCs/>
      <w:sz w:val="24"/>
      <w:szCs w:val="24"/>
    </w:rPr>
  </w:style>
  <w:style w:type="character" w:customStyle="1" w:styleId="31">
    <w:name w:val="页眉 字符"/>
    <w:basedOn w:val="20"/>
    <w:link w:val="13"/>
    <w:qFormat/>
    <w:uiPriority w:val="99"/>
    <w:rPr>
      <w:sz w:val="18"/>
      <w:szCs w:val="18"/>
    </w:rPr>
  </w:style>
  <w:style w:type="character" w:customStyle="1" w:styleId="32">
    <w:name w:val="页脚 字符"/>
    <w:basedOn w:val="20"/>
    <w:link w:val="12"/>
    <w:qFormat/>
    <w:uiPriority w:val="99"/>
    <w:rPr>
      <w:sz w:val="18"/>
      <w:szCs w:val="18"/>
    </w:rPr>
  </w:style>
  <w:style w:type="character" w:customStyle="1" w:styleId="33">
    <w:name w:val="批注框文本 字符"/>
    <w:basedOn w:val="20"/>
    <w:link w:val="11"/>
    <w:semiHidden/>
    <w:qFormat/>
    <w:uiPriority w:val="99"/>
    <w:rPr>
      <w:rFonts w:ascii="Times New Roman" w:hAnsi="Times New Roman" w:eastAsia="宋体" w:cs="Times New Roman"/>
      <w:sz w:val="18"/>
      <w:szCs w:val="18"/>
    </w:rPr>
  </w:style>
  <w:style w:type="character" w:customStyle="1" w:styleId="34">
    <w:name w:val="apple-converted-space"/>
    <w:basedOn w:val="20"/>
    <w:qFormat/>
    <w:uiPriority w:val="0"/>
  </w:style>
  <w:style w:type="paragraph" w:styleId="35">
    <w:name w:val="List Paragraph"/>
    <w:basedOn w:val="1"/>
    <w:qFormat/>
    <w:uiPriority w:val="34"/>
    <w:pPr>
      <w:ind w:firstLine="420" w:firstLineChars="200"/>
    </w:pPr>
    <w:rPr>
      <w:rFonts w:asciiTheme="minorHAnsi" w:hAnsiTheme="minorHAnsi" w:eastAsiaTheme="minorEastAsia" w:cstheme="minorBidi"/>
      <w:szCs w:val="22"/>
    </w:rPr>
  </w:style>
  <w:style w:type="paragraph" w:customStyle="1" w:styleId="36">
    <w:name w:val="article-author"/>
    <w:basedOn w:val="1"/>
    <w:qFormat/>
    <w:uiPriority w:val="0"/>
    <w:pPr>
      <w:widowControl/>
      <w:spacing w:before="100" w:beforeAutospacing="1" w:after="100" w:afterAutospacing="1"/>
      <w:jc w:val="left"/>
    </w:pPr>
    <w:rPr>
      <w:rFonts w:ascii="宋体" w:hAnsi="宋体" w:cs="宋体"/>
      <w:kern w:val="0"/>
      <w:sz w:val="24"/>
    </w:rPr>
  </w:style>
  <w:style w:type="paragraph" w:customStyle="1" w:styleId="37">
    <w:name w:val="article-info-en"/>
    <w:basedOn w:val="1"/>
    <w:qFormat/>
    <w:uiPriority w:val="0"/>
    <w:pPr>
      <w:widowControl/>
      <w:spacing w:before="100" w:beforeAutospacing="1" w:after="100" w:afterAutospacing="1"/>
      <w:jc w:val="left"/>
    </w:pPr>
    <w:rPr>
      <w:rFonts w:ascii="宋体" w:hAnsi="宋体" w:cs="宋体"/>
      <w:kern w:val="0"/>
      <w:sz w:val="24"/>
    </w:rPr>
  </w:style>
  <w:style w:type="character" w:customStyle="1" w:styleId="38">
    <w:name w:val="xref"/>
    <w:basedOn w:val="20"/>
    <w:qFormat/>
    <w:uiPriority w:val="0"/>
  </w:style>
  <w:style w:type="character" w:customStyle="1" w:styleId="39">
    <w:name w:val="sec-title"/>
    <w:basedOn w:val="20"/>
    <w:qFormat/>
    <w:uiPriority w:val="0"/>
  </w:style>
  <w:style w:type="character" w:customStyle="1" w:styleId="40">
    <w:name w:val="tabletext"/>
    <w:basedOn w:val="20"/>
    <w:qFormat/>
    <w:uiPriority w:val="0"/>
  </w:style>
  <w:style w:type="character" w:customStyle="1" w:styleId="41">
    <w:name w:val="figtext"/>
    <w:basedOn w:val="20"/>
    <w:qFormat/>
    <w:uiPriority w:val="0"/>
  </w:style>
  <w:style w:type="paragraph" w:customStyle="1" w:styleId="42">
    <w:name w:val="img_tit"/>
    <w:basedOn w:val="1"/>
    <w:qFormat/>
    <w:uiPriority w:val="0"/>
    <w:pPr>
      <w:widowControl/>
      <w:spacing w:before="100" w:beforeAutospacing="1" w:after="100" w:afterAutospacing="1"/>
      <w:jc w:val="left"/>
    </w:pPr>
    <w:rPr>
      <w:rFonts w:ascii="宋体" w:hAnsi="宋体" w:cs="宋体"/>
      <w:kern w:val="0"/>
      <w:sz w:val="24"/>
    </w:rPr>
  </w:style>
  <w:style w:type="paragraph" w:customStyle="1" w:styleId="43">
    <w:name w:val="img_note"/>
    <w:basedOn w:val="1"/>
    <w:qFormat/>
    <w:uiPriority w:val="0"/>
    <w:pPr>
      <w:widowControl/>
      <w:spacing w:before="100" w:beforeAutospacing="1" w:after="100" w:afterAutospacing="1"/>
      <w:jc w:val="left"/>
    </w:pPr>
    <w:rPr>
      <w:rFonts w:ascii="宋体" w:hAnsi="宋体" w:cs="宋体"/>
      <w:kern w:val="0"/>
      <w:sz w:val="24"/>
    </w:rPr>
  </w:style>
  <w:style w:type="character" w:customStyle="1" w:styleId="44">
    <w:name w:val="rich_media_meta"/>
    <w:basedOn w:val="20"/>
    <w:qFormat/>
    <w:uiPriority w:val="0"/>
  </w:style>
  <w:style w:type="character" w:customStyle="1" w:styleId="45">
    <w:name w:val="keys"/>
    <w:basedOn w:val="20"/>
    <w:qFormat/>
    <w:uiPriority w:val="0"/>
  </w:style>
  <w:style w:type="character" w:customStyle="1" w:styleId="46">
    <w:name w:val="续段落 Char"/>
    <w:link w:val="47"/>
    <w:qFormat/>
    <w:uiPriority w:val="0"/>
    <w:rPr>
      <w:rFonts w:eastAsia="仿宋_GB2312"/>
      <w:color w:val="000000"/>
      <w:sz w:val="28"/>
      <w:szCs w:val="28"/>
    </w:rPr>
  </w:style>
  <w:style w:type="paragraph" w:customStyle="1" w:styleId="47">
    <w:name w:val="续段落"/>
    <w:basedOn w:val="1"/>
    <w:link w:val="46"/>
    <w:qFormat/>
    <w:uiPriority w:val="0"/>
    <w:pPr>
      <w:spacing w:line="500" w:lineRule="exact"/>
      <w:ind w:firstLine="561"/>
    </w:pPr>
    <w:rPr>
      <w:rFonts w:eastAsia="仿宋_GB2312" w:asciiTheme="minorHAnsi" w:hAnsiTheme="minorHAnsi" w:cstheme="minorBidi"/>
      <w:color w:val="000000"/>
      <w:sz w:val="28"/>
      <w:szCs w:val="28"/>
    </w:rPr>
  </w:style>
  <w:style w:type="character" w:customStyle="1" w:styleId="48">
    <w:name w:val="key_title"/>
    <w:basedOn w:val="20"/>
    <w:qFormat/>
    <w:uiPriority w:val="0"/>
  </w:style>
  <w:style w:type="character" w:customStyle="1" w:styleId="49">
    <w:name w:val="keyword"/>
    <w:basedOn w:val="20"/>
    <w:qFormat/>
    <w:uiPriority w:val="0"/>
  </w:style>
  <w:style w:type="character" w:customStyle="1" w:styleId="50">
    <w:name w:val="paragraph_title"/>
    <w:basedOn w:val="20"/>
    <w:qFormat/>
    <w:uiPriority w:val="0"/>
  </w:style>
  <w:style w:type="character" w:customStyle="1" w:styleId="51">
    <w:name w:val="题注1"/>
    <w:basedOn w:val="20"/>
    <w:qFormat/>
    <w:uiPriority w:val="0"/>
  </w:style>
  <w:style w:type="character" w:customStyle="1" w:styleId="52">
    <w:name w:val="outline_anchor"/>
    <w:basedOn w:val="20"/>
    <w:qFormat/>
    <w:uiPriority w:val="0"/>
  </w:style>
  <w:style w:type="character" w:customStyle="1" w:styleId="53">
    <w:name w:val="z-窗体顶端 字符"/>
    <w:basedOn w:val="20"/>
    <w:link w:val="54"/>
    <w:semiHidden/>
    <w:qFormat/>
    <w:uiPriority w:val="99"/>
    <w:rPr>
      <w:rFonts w:ascii="Arial" w:hAnsi="Arial" w:eastAsia="宋体" w:cs="Arial"/>
      <w:vanish/>
      <w:kern w:val="0"/>
      <w:sz w:val="16"/>
      <w:szCs w:val="16"/>
    </w:rPr>
  </w:style>
  <w:style w:type="paragraph" w:customStyle="1" w:styleId="54">
    <w:name w:val="z-窗体顶端1"/>
    <w:basedOn w:val="1"/>
    <w:next w:val="1"/>
    <w:link w:val="53"/>
    <w:semiHidden/>
    <w:unhideWhenUsed/>
    <w:qFormat/>
    <w:uiPriority w:val="99"/>
    <w:pPr>
      <w:widowControl/>
      <w:pBdr>
        <w:bottom w:val="single" w:color="auto" w:sz="6" w:space="1"/>
      </w:pBdr>
      <w:jc w:val="center"/>
    </w:pPr>
    <w:rPr>
      <w:rFonts w:ascii="Arial" w:hAnsi="Arial" w:cs="Arial"/>
      <w:vanish/>
      <w:kern w:val="0"/>
      <w:sz w:val="16"/>
      <w:szCs w:val="16"/>
    </w:rPr>
  </w:style>
  <w:style w:type="character" w:customStyle="1" w:styleId="55">
    <w:name w:val="z-窗体顶端 Char1"/>
    <w:basedOn w:val="20"/>
    <w:semiHidden/>
    <w:qFormat/>
    <w:uiPriority w:val="99"/>
    <w:rPr>
      <w:rFonts w:ascii="Arial" w:hAnsi="Arial" w:eastAsia="宋体" w:cs="Arial"/>
      <w:vanish/>
      <w:sz w:val="16"/>
      <w:szCs w:val="16"/>
    </w:rPr>
  </w:style>
  <w:style w:type="character" w:customStyle="1" w:styleId="56">
    <w:name w:val="z-窗体底端 字符"/>
    <w:basedOn w:val="20"/>
    <w:link w:val="57"/>
    <w:semiHidden/>
    <w:qFormat/>
    <w:uiPriority w:val="99"/>
    <w:rPr>
      <w:rFonts w:ascii="Arial" w:hAnsi="Arial" w:eastAsia="宋体" w:cs="Arial"/>
      <w:vanish/>
      <w:kern w:val="0"/>
      <w:sz w:val="16"/>
      <w:szCs w:val="16"/>
    </w:rPr>
  </w:style>
  <w:style w:type="paragraph" w:customStyle="1" w:styleId="57">
    <w:name w:val="z-窗体底端1"/>
    <w:basedOn w:val="1"/>
    <w:next w:val="1"/>
    <w:link w:val="56"/>
    <w:semiHidden/>
    <w:unhideWhenUsed/>
    <w:qFormat/>
    <w:uiPriority w:val="99"/>
    <w:pPr>
      <w:widowControl/>
      <w:pBdr>
        <w:top w:val="single" w:color="auto" w:sz="6" w:space="1"/>
      </w:pBdr>
      <w:jc w:val="center"/>
    </w:pPr>
    <w:rPr>
      <w:rFonts w:ascii="Arial" w:hAnsi="Arial" w:cs="Arial"/>
      <w:vanish/>
      <w:kern w:val="0"/>
      <w:sz w:val="16"/>
      <w:szCs w:val="16"/>
    </w:rPr>
  </w:style>
  <w:style w:type="character" w:customStyle="1" w:styleId="58">
    <w:name w:val="z-窗体底端 Char1"/>
    <w:basedOn w:val="20"/>
    <w:semiHidden/>
    <w:qFormat/>
    <w:uiPriority w:val="99"/>
    <w:rPr>
      <w:rFonts w:ascii="Arial" w:hAnsi="Arial" w:eastAsia="宋体" w:cs="Arial"/>
      <w:vanish/>
      <w:sz w:val="16"/>
      <w:szCs w:val="16"/>
    </w:rPr>
  </w:style>
  <w:style w:type="paragraph" w:customStyle="1" w:styleId="59">
    <w:name w:val="reader-word-layer reader-word-s2-16"/>
    <w:basedOn w:val="1"/>
    <w:qFormat/>
    <w:uiPriority w:val="0"/>
    <w:pPr>
      <w:widowControl/>
      <w:spacing w:before="100" w:beforeAutospacing="1" w:after="100" w:afterAutospacing="1"/>
      <w:jc w:val="left"/>
    </w:pPr>
    <w:rPr>
      <w:rFonts w:ascii="宋体" w:hAnsi="宋体" w:cs="宋体"/>
      <w:kern w:val="0"/>
      <w:sz w:val="24"/>
    </w:rPr>
  </w:style>
  <w:style w:type="character" w:customStyle="1" w:styleId="60">
    <w:name w:val="bjh-p"/>
    <w:basedOn w:val="20"/>
    <w:qFormat/>
    <w:uiPriority w:val="0"/>
  </w:style>
  <w:style w:type="character" w:customStyle="1" w:styleId="61">
    <w:name w:val="bjh-strong"/>
    <w:basedOn w:val="20"/>
    <w:qFormat/>
    <w:uiPriority w:val="0"/>
  </w:style>
  <w:style w:type="character" w:customStyle="1" w:styleId="62">
    <w:name w:val="author_cn"/>
    <w:basedOn w:val="20"/>
    <w:qFormat/>
    <w:uiPriority w:val="0"/>
  </w:style>
  <w:style w:type="character" w:customStyle="1" w:styleId="63">
    <w:name w:val="author_en"/>
    <w:basedOn w:val="20"/>
    <w:qFormat/>
    <w:uiPriority w:val="0"/>
  </w:style>
  <w:style w:type="character" w:customStyle="1" w:styleId="64">
    <w:name w:val="题注2"/>
    <w:basedOn w:val="20"/>
    <w:qFormat/>
    <w:uiPriority w:val="0"/>
  </w:style>
  <w:style w:type="character" w:customStyle="1" w:styleId="65">
    <w:name w:val="tabtext"/>
    <w:basedOn w:val="20"/>
    <w:qFormat/>
    <w:uiPriority w:val="0"/>
  </w:style>
  <w:style w:type="character" w:customStyle="1" w:styleId="66">
    <w:name w:val="mathjax_preview"/>
    <w:basedOn w:val="20"/>
    <w:qFormat/>
    <w:uiPriority w:val="0"/>
  </w:style>
  <w:style w:type="character" w:customStyle="1" w:styleId="67">
    <w:name w:val="mathjax"/>
    <w:basedOn w:val="20"/>
    <w:qFormat/>
    <w:uiPriority w:val="0"/>
  </w:style>
  <w:style w:type="character" w:customStyle="1" w:styleId="68">
    <w:name w:val="math"/>
    <w:basedOn w:val="20"/>
    <w:qFormat/>
    <w:uiPriority w:val="0"/>
  </w:style>
  <w:style w:type="character" w:customStyle="1" w:styleId="69">
    <w:name w:val="mrow"/>
    <w:basedOn w:val="20"/>
    <w:qFormat/>
    <w:uiPriority w:val="0"/>
  </w:style>
  <w:style w:type="character" w:customStyle="1" w:styleId="70">
    <w:name w:val="mtable"/>
    <w:basedOn w:val="20"/>
    <w:qFormat/>
    <w:uiPriority w:val="0"/>
  </w:style>
  <w:style w:type="character" w:customStyle="1" w:styleId="71">
    <w:name w:val="mtd"/>
    <w:basedOn w:val="20"/>
    <w:qFormat/>
    <w:uiPriority w:val="0"/>
  </w:style>
  <w:style w:type="character" w:customStyle="1" w:styleId="72">
    <w:name w:val="texatom"/>
    <w:basedOn w:val="20"/>
    <w:qFormat/>
    <w:uiPriority w:val="0"/>
  </w:style>
  <w:style w:type="character" w:customStyle="1" w:styleId="73">
    <w:name w:val="mi"/>
    <w:basedOn w:val="20"/>
    <w:qFormat/>
    <w:uiPriority w:val="0"/>
  </w:style>
  <w:style w:type="character" w:customStyle="1" w:styleId="74">
    <w:name w:val="mo"/>
    <w:basedOn w:val="20"/>
    <w:qFormat/>
    <w:uiPriority w:val="0"/>
  </w:style>
  <w:style w:type="character" w:customStyle="1" w:styleId="75">
    <w:name w:val="msubsup"/>
    <w:basedOn w:val="20"/>
    <w:qFormat/>
    <w:uiPriority w:val="0"/>
  </w:style>
  <w:style w:type="character" w:customStyle="1" w:styleId="76">
    <w:name w:val="mn"/>
    <w:basedOn w:val="20"/>
    <w:qFormat/>
    <w:uiPriority w:val="0"/>
  </w:style>
  <w:style w:type="character" w:customStyle="1" w:styleId="77">
    <w:name w:val="mjx_assistive_mathml"/>
    <w:basedOn w:val="20"/>
    <w:qFormat/>
    <w:uiPriority w:val="0"/>
  </w:style>
  <w:style w:type="character" w:customStyle="1" w:styleId="78">
    <w:name w:val="日期 字符"/>
    <w:basedOn w:val="20"/>
    <w:link w:val="9"/>
    <w:semiHidden/>
    <w:qFormat/>
    <w:uiPriority w:val="99"/>
    <w:rPr>
      <w:rFonts w:ascii="Times New Roman" w:hAnsi="Times New Roman" w:eastAsia="宋体" w:cs="Times New Roman"/>
      <w:szCs w:val="24"/>
    </w:rPr>
  </w:style>
  <w:style w:type="paragraph" w:customStyle="1" w:styleId="79">
    <w:name w:val="msonormal"/>
    <w:basedOn w:val="1"/>
    <w:qFormat/>
    <w:uiPriority w:val="0"/>
    <w:pPr>
      <w:widowControl/>
      <w:spacing w:before="100" w:beforeAutospacing="1" w:after="100" w:afterAutospacing="1"/>
      <w:jc w:val="left"/>
    </w:pPr>
    <w:rPr>
      <w:rFonts w:ascii="宋体" w:hAnsi="宋体" w:cs="宋体"/>
      <w:kern w:val="0"/>
      <w:sz w:val="24"/>
    </w:rPr>
  </w:style>
  <w:style w:type="paragraph" w:customStyle="1" w:styleId="80">
    <w:name w:val="custom_unionstyle"/>
    <w:basedOn w:val="1"/>
    <w:qFormat/>
    <w:uiPriority w:val="0"/>
    <w:pPr>
      <w:widowControl/>
      <w:spacing w:before="100" w:beforeAutospacing="1" w:after="100" w:afterAutospacing="1"/>
      <w:jc w:val="left"/>
    </w:pPr>
    <w:rPr>
      <w:rFonts w:ascii="宋体" w:hAnsi="宋体" w:cs="宋体"/>
      <w:kern w:val="0"/>
      <w:sz w:val="24"/>
    </w:rPr>
  </w:style>
  <w:style w:type="paragraph" w:customStyle="1" w:styleId="81">
    <w:name w:val="li-pdf"/>
    <w:basedOn w:val="1"/>
    <w:qFormat/>
    <w:uiPriority w:val="0"/>
    <w:pPr>
      <w:widowControl/>
      <w:spacing w:before="100" w:beforeAutospacing="1" w:after="100" w:afterAutospacing="1"/>
      <w:jc w:val="left"/>
    </w:pPr>
    <w:rPr>
      <w:rFonts w:ascii="宋体" w:hAnsi="宋体" w:cs="宋体"/>
      <w:kern w:val="0"/>
      <w:sz w:val="24"/>
    </w:rPr>
  </w:style>
  <w:style w:type="paragraph" w:customStyle="1" w:styleId="82">
    <w:name w:val="li-excel"/>
    <w:basedOn w:val="1"/>
    <w:qFormat/>
    <w:uiPriority w:val="0"/>
    <w:pPr>
      <w:widowControl/>
      <w:spacing w:before="100" w:beforeAutospacing="1" w:after="100" w:afterAutospacing="1"/>
      <w:jc w:val="left"/>
    </w:pPr>
    <w:rPr>
      <w:rFonts w:ascii="宋体" w:hAnsi="宋体" w:cs="宋体"/>
      <w:kern w:val="0"/>
      <w:sz w:val="24"/>
    </w:rPr>
  </w:style>
  <w:style w:type="paragraph" w:customStyle="1" w:styleId="83">
    <w:name w:val="li-xml"/>
    <w:basedOn w:val="1"/>
    <w:qFormat/>
    <w:uiPriority w:val="0"/>
    <w:pPr>
      <w:widowControl/>
      <w:spacing w:before="100" w:beforeAutospacing="1" w:after="100" w:afterAutospacing="1"/>
      <w:jc w:val="left"/>
    </w:pPr>
    <w:rPr>
      <w:rFonts w:ascii="宋体" w:hAnsi="宋体" w:cs="宋体"/>
      <w:kern w:val="0"/>
      <w:sz w:val="24"/>
    </w:rPr>
  </w:style>
  <w:style w:type="character" w:customStyle="1" w:styleId="84">
    <w:name w:val="maincolor"/>
    <w:basedOn w:val="20"/>
    <w:qFormat/>
    <w:uiPriority w:val="0"/>
  </w:style>
  <w:style w:type="paragraph" w:customStyle="1" w:styleId="85">
    <w:name w:val="article_ceil_title"/>
    <w:basedOn w:val="1"/>
    <w:qFormat/>
    <w:uiPriority w:val="0"/>
    <w:pPr>
      <w:widowControl/>
      <w:spacing w:before="100" w:beforeAutospacing="1" w:after="100" w:afterAutospacing="1"/>
      <w:jc w:val="left"/>
    </w:pPr>
    <w:rPr>
      <w:rFonts w:ascii="宋体" w:hAnsi="宋体" w:cs="宋体"/>
      <w:kern w:val="0"/>
      <w:sz w:val="24"/>
    </w:rPr>
  </w:style>
  <w:style w:type="paragraph" w:customStyle="1" w:styleId="86">
    <w:name w:val="article_ceil_author"/>
    <w:basedOn w:val="1"/>
    <w:qFormat/>
    <w:uiPriority w:val="0"/>
    <w:pPr>
      <w:widowControl/>
      <w:spacing w:before="100" w:beforeAutospacing="1" w:after="100" w:afterAutospacing="1"/>
      <w:jc w:val="left"/>
    </w:pPr>
    <w:rPr>
      <w:rFonts w:ascii="宋体" w:hAnsi="宋体" w:cs="宋体"/>
      <w:kern w:val="0"/>
      <w:sz w:val="24"/>
    </w:rPr>
  </w:style>
  <w:style w:type="paragraph" w:customStyle="1" w:styleId="87">
    <w:name w:val="articletool_li1"/>
    <w:basedOn w:val="1"/>
    <w:qFormat/>
    <w:uiPriority w:val="0"/>
    <w:pPr>
      <w:widowControl/>
      <w:spacing w:before="100" w:beforeAutospacing="1" w:after="100" w:afterAutospacing="1"/>
      <w:jc w:val="left"/>
    </w:pPr>
    <w:rPr>
      <w:rFonts w:ascii="宋体" w:hAnsi="宋体" w:cs="宋体"/>
      <w:kern w:val="0"/>
      <w:sz w:val="24"/>
    </w:rPr>
  </w:style>
  <w:style w:type="paragraph" w:customStyle="1" w:styleId="88">
    <w:name w:val="articletool_li2"/>
    <w:basedOn w:val="1"/>
    <w:qFormat/>
    <w:uiPriority w:val="0"/>
    <w:pPr>
      <w:widowControl/>
      <w:spacing w:before="100" w:beforeAutospacing="1" w:after="100" w:afterAutospacing="1"/>
      <w:jc w:val="left"/>
    </w:pPr>
    <w:rPr>
      <w:rFonts w:ascii="宋体" w:hAnsi="宋体" w:cs="宋体"/>
      <w:kern w:val="0"/>
      <w:sz w:val="24"/>
    </w:rPr>
  </w:style>
  <w:style w:type="paragraph" w:customStyle="1" w:styleId="89">
    <w:name w:val="articletool_li3"/>
    <w:basedOn w:val="1"/>
    <w:qFormat/>
    <w:uiPriority w:val="0"/>
    <w:pPr>
      <w:widowControl/>
      <w:spacing w:before="100" w:beforeAutospacing="1" w:after="100" w:afterAutospacing="1"/>
      <w:jc w:val="left"/>
    </w:pPr>
    <w:rPr>
      <w:rFonts w:ascii="宋体" w:hAnsi="宋体" w:cs="宋体"/>
      <w:kern w:val="0"/>
      <w:sz w:val="24"/>
    </w:rPr>
  </w:style>
  <w:style w:type="paragraph" w:customStyle="1" w:styleId="90">
    <w:name w:val="figtabspan"/>
    <w:basedOn w:val="1"/>
    <w:qFormat/>
    <w:uiPriority w:val="0"/>
    <w:pPr>
      <w:widowControl/>
      <w:spacing w:before="100" w:beforeAutospacing="1" w:after="100" w:afterAutospacing="1"/>
      <w:jc w:val="left"/>
    </w:pPr>
    <w:rPr>
      <w:rFonts w:ascii="宋体" w:hAnsi="宋体" w:cs="宋体"/>
      <w:kern w:val="0"/>
      <w:sz w:val="24"/>
    </w:rPr>
  </w:style>
  <w:style w:type="character" w:customStyle="1" w:styleId="91">
    <w:name w:val="info"/>
    <w:basedOn w:val="20"/>
    <w:qFormat/>
    <w:uiPriority w:val="0"/>
  </w:style>
  <w:style w:type="character" w:customStyle="1" w:styleId="92">
    <w:name w:val="infoen"/>
    <w:basedOn w:val="20"/>
    <w:qFormat/>
    <w:uiPriority w:val="0"/>
  </w:style>
  <w:style w:type="character" w:customStyle="1" w:styleId="93">
    <w:name w:val="rich_media_meta_link"/>
    <w:basedOn w:val="20"/>
    <w:qFormat/>
    <w:uiPriority w:val="0"/>
  </w:style>
  <w:style w:type="character" w:customStyle="1" w:styleId="94">
    <w:name w:val="source"/>
    <w:basedOn w:val="20"/>
    <w:qFormat/>
    <w:uiPriority w:val="0"/>
  </w:style>
  <w:style w:type="paragraph" w:customStyle="1" w:styleId="95">
    <w:name w:val="one-p"/>
    <w:basedOn w:val="1"/>
    <w:qFormat/>
    <w:uiPriority w:val="0"/>
    <w:pPr>
      <w:widowControl/>
      <w:spacing w:before="100" w:beforeAutospacing="1" w:after="100" w:afterAutospacing="1"/>
      <w:jc w:val="left"/>
    </w:pPr>
    <w:rPr>
      <w:rFonts w:ascii="宋体" w:hAnsi="宋体" w:cs="宋体"/>
      <w:kern w:val="0"/>
      <w:sz w:val="24"/>
    </w:rPr>
  </w:style>
  <w:style w:type="character" w:customStyle="1" w:styleId="96">
    <w:name w:val="vm"/>
    <w:basedOn w:val="20"/>
    <w:qFormat/>
    <w:uiPriority w:val="0"/>
  </w:style>
  <w:style w:type="character" w:customStyle="1" w:styleId="97">
    <w:name w:val="article_title3"/>
    <w:basedOn w:val="20"/>
    <w:qFormat/>
    <w:uiPriority w:val="0"/>
  </w:style>
  <w:style w:type="character" w:customStyle="1" w:styleId="98">
    <w:name w:val="正文文本 字符"/>
    <w:basedOn w:val="20"/>
    <w:link w:val="8"/>
    <w:qFormat/>
    <w:uiPriority w:val="1"/>
    <w:rPr>
      <w:rFonts w:ascii="Times New Roman" w:hAnsi="Times New Roman" w:eastAsia="Times New Roman" w:cs="Times New Roman"/>
      <w:kern w:val="0"/>
      <w:sz w:val="17"/>
      <w:szCs w:val="17"/>
      <w:lang w:eastAsia="en-US" w:bidi="en-US"/>
    </w:rPr>
  </w:style>
  <w:style w:type="paragraph" w:customStyle="1" w:styleId="99">
    <w:name w:val="Table Paragraph"/>
    <w:basedOn w:val="1"/>
    <w:qFormat/>
    <w:uiPriority w:val="1"/>
    <w:pPr>
      <w:autoSpaceDE w:val="0"/>
      <w:autoSpaceDN w:val="0"/>
      <w:spacing w:before="46"/>
      <w:jc w:val="center"/>
    </w:pPr>
    <w:rPr>
      <w:rFonts w:eastAsia="Times New Roman"/>
      <w:kern w:val="0"/>
      <w:sz w:val="22"/>
      <w:szCs w:val="22"/>
      <w:lang w:eastAsia="en-US" w:bidi="en-US"/>
    </w:rPr>
  </w:style>
  <w:style w:type="paragraph" w:customStyle="1" w:styleId="100">
    <w:name w:val="pic_center"/>
    <w:basedOn w:val="1"/>
    <w:qFormat/>
    <w:uiPriority w:val="0"/>
    <w:pPr>
      <w:widowControl/>
      <w:spacing w:before="100" w:beforeAutospacing="1" w:after="100" w:afterAutospacing="1"/>
      <w:jc w:val="left"/>
    </w:pPr>
    <w:rPr>
      <w:rFonts w:ascii="宋体" w:hAnsi="宋体" w:cs="宋体"/>
      <w:kern w:val="0"/>
      <w:sz w:val="24"/>
    </w:rPr>
  </w:style>
  <w:style w:type="character" w:customStyle="1" w:styleId="101">
    <w:name w:val="anchor-a"/>
    <w:basedOn w:val="20"/>
    <w:qFormat/>
    <w:uiPriority w:val="0"/>
  </w:style>
  <w:style w:type="character" w:customStyle="1" w:styleId="102">
    <w:name w:val="未处理的提及1"/>
    <w:basedOn w:val="20"/>
    <w:semiHidden/>
    <w:unhideWhenUsed/>
    <w:qFormat/>
    <w:uiPriority w:val="99"/>
    <w:rPr>
      <w:color w:val="605E5C"/>
      <w:shd w:val="clear" w:color="auto" w:fill="E1DFDD"/>
    </w:rPr>
  </w:style>
  <w:style w:type="paragraph" w:styleId="103">
    <w:name w:val="No Spacing"/>
    <w:qFormat/>
    <w:uiPriority w:val="1"/>
    <w:pPr>
      <w:widowControl w:val="0"/>
      <w:jc w:val="both"/>
    </w:pPr>
    <w:rPr>
      <w:rFonts w:asciiTheme="minorHAnsi" w:hAnsiTheme="minorHAnsi" w:eastAsiaTheme="minorEastAsia" w:cstheme="minorBidi"/>
      <w:kern w:val="2"/>
      <w:sz w:val="21"/>
      <w:szCs w:val="22"/>
      <w:lang w:val="en-US" w:eastAsia="zh-CN" w:bidi="ar-SA"/>
    </w:rPr>
  </w:style>
  <w:style w:type="paragraph" w:customStyle="1" w:styleId="104">
    <w:name w:val="s1"/>
    <w:basedOn w:val="1"/>
    <w:qFormat/>
    <w:uiPriority w:val="0"/>
    <w:pPr>
      <w:widowControl/>
      <w:spacing w:before="100" w:beforeAutospacing="1" w:after="100" w:afterAutospacing="1"/>
      <w:jc w:val="left"/>
    </w:pPr>
    <w:rPr>
      <w:rFonts w:ascii="宋体" w:hAnsi="宋体" w:cs="宋体"/>
      <w:kern w:val="0"/>
      <w:sz w:val="24"/>
    </w:rPr>
  </w:style>
  <w:style w:type="character" w:customStyle="1" w:styleId="105">
    <w:name w:val="s2"/>
    <w:basedOn w:val="20"/>
    <w:qFormat/>
    <w:uiPriority w:val="0"/>
  </w:style>
  <w:style w:type="character" w:customStyle="1" w:styleId="106">
    <w:name w:val="s3"/>
    <w:basedOn w:val="20"/>
    <w:qFormat/>
    <w:uiPriority w:val="0"/>
  </w:style>
  <w:style w:type="paragraph" w:customStyle="1" w:styleId="107">
    <w:name w:val="s4"/>
    <w:basedOn w:val="1"/>
    <w:qFormat/>
    <w:uiPriority w:val="0"/>
    <w:pPr>
      <w:widowControl/>
      <w:spacing w:before="100" w:beforeAutospacing="1" w:after="100" w:afterAutospacing="1"/>
      <w:jc w:val="left"/>
    </w:pPr>
    <w:rPr>
      <w:rFonts w:ascii="宋体" w:hAnsi="宋体" w:cs="宋体"/>
      <w:kern w:val="0"/>
      <w:sz w:val="24"/>
    </w:rPr>
  </w:style>
  <w:style w:type="character" w:customStyle="1" w:styleId="108">
    <w:name w:val="s5"/>
    <w:basedOn w:val="20"/>
    <w:qFormat/>
    <w:uiPriority w:val="0"/>
  </w:style>
  <w:style w:type="character" w:customStyle="1" w:styleId="109">
    <w:name w:val="s6"/>
    <w:basedOn w:val="20"/>
    <w:qFormat/>
    <w:uiPriority w:val="0"/>
  </w:style>
  <w:style w:type="character" w:customStyle="1" w:styleId="110">
    <w:name w:val="p"/>
    <w:basedOn w:val="20"/>
    <w:qFormat/>
    <w:uiPriority w:val="0"/>
  </w:style>
  <w:style w:type="paragraph" w:customStyle="1" w:styleId="111">
    <w:name w:val="s7"/>
    <w:basedOn w:val="1"/>
    <w:qFormat/>
    <w:uiPriority w:val="0"/>
    <w:pPr>
      <w:widowControl/>
      <w:spacing w:before="100" w:beforeAutospacing="1" w:after="100" w:afterAutospacing="1"/>
      <w:jc w:val="left"/>
    </w:pPr>
    <w:rPr>
      <w:rFonts w:ascii="宋体" w:hAnsi="宋体" w:cs="宋体"/>
      <w:kern w:val="0"/>
      <w:sz w:val="24"/>
    </w:rPr>
  </w:style>
  <w:style w:type="character" w:customStyle="1" w:styleId="112">
    <w:name w:val="s41"/>
    <w:basedOn w:val="20"/>
    <w:qFormat/>
    <w:uiPriority w:val="0"/>
  </w:style>
  <w:style w:type="character" w:customStyle="1" w:styleId="113">
    <w:name w:val="h2"/>
    <w:basedOn w:val="20"/>
    <w:qFormat/>
    <w:uiPriority w:val="0"/>
  </w:style>
  <w:style w:type="paragraph" w:customStyle="1" w:styleId="114">
    <w:name w:val="s10"/>
    <w:basedOn w:val="1"/>
    <w:qFormat/>
    <w:uiPriority w:val="0"/>
    <w:pPr>
      <w:widowControl/>
      <w:spacing w:before="100" w:beforeAutospacing="1" w:after="100" w:afterAutospacing="1"/>
      <w:jc w:val="left"/>
    </w:pPr>
    <w:rPr>
      <w:rFonts w:ascii="宋体" w:hAnsi="宋体" w:cs="宋体"/>
      <w:kern w:val="0"/>
      <w:sz w:val="24"/>
    </w:rPr>
  </w:style>
  <w:style w:type="paragraph" w:customStyle="1" w:styleId="115">
    <w:name w:val="s9"/>
    <w:basedOn w:val="1"/>
    <w:qFormat/>
    <w:uiPriority w:val="0"/>
    <w:pPr>
      <w:widowControl/>
      <w:spacing w:before="100" w:beforeAutospacing="1" w:after="100" w:afterAutospacing="1"/>
      <w:jc w:val="left"/>
    </w:pPr>
    <w:rPr>
      <w:rFonts w:ascii="宋体" w:hAnsi="宋体" w:cs="宋体"/>
      <w:kern w:val="0"/>
      <w:sz w:val="24"/>
    </w:rPr>
  </w:style>
  <w:style w:type="character" w:customStyle="1" w:styleId="116">
    <w:name w:val="s11"/>
    <w:basedOn w:val="20"/>
    <w:qFormat/>
    <w:uiPriority w:val="0"/>
  </w:style>
  <w:style w:type="paragraph" w:customStyle="1" w:styleId="117">
    <w:name w:val="s14"/>
    <w:basedOn w:val="1"/>
    <w:qFormat/>
    <w:uiPriority w:val="0"/>
    <w:pPr>
      <w:widowControl/>
      <w:spacing w:before="100" w:beforeAutospacing="1" w:after="100" w:afterAutospacing="1"/>
      <w:jc w:val="left"/>
    </w:pPr>
    <w:rPr>
      <w:rFonts w:ascii="宋体" w:hAnsi="宋体" w:cs="宋体"/>
      <w:kern w:val="0"/>
      <w:sz w:val="24"/>
    </w:rPr>
  </w:style>
  <w:style w:type="character" w:customStyle="1" w:styleId="118">
    <w:name w:val="s12"/>
    <w:basedOn w:val="20"/>
    <w:qFormat/>
    <w:uiPriority w:val="0"/>
  </w:style>
  <w:style w:type="character" w:customStyle="1" w:styleId="119">
    <w:name w:val="s13"/>
    <w:basedOn w:val="20"/>
    <w:qFormat/>
    <w:uiPriority w:val="0"/>
  </w:style>
  <w:style w:type="paragraph" w:customStyle="1" w:styleId="120">
    <w:name w:val="s131"/>
    <w:basedOn w:val="1"/>
    <w:qFormat/>
    <w:uiPriority w:val="0"/>
    <w:pPr>
      <w:widowControl/>
      <w:spacing w:before="100" w:beforeAutospacing="1" w:after="100" w:afterAutospacing="1"/>
      <w:jc w:val="left"/>
    </w:pPr>
    <w:rPr>
      <w:rFonts w:ascii="宋体" w:hAnsi="宋体" w:cs="宋体"/>
      <w:kern w:val="0"/>
      <w:sz w:val="24"/>
    </w:rPr>
  </w:style>
  <w:style w:type="character" w:customStyle="1" w:styleId="121">
    <w:name w:val="h4"/>
    <w:basedOn w:val="20"/>
    <w:qFormat/>
    <w:uiPriority w:val="0"/>
  </w:style>
  <w:style w:type="character" w:customStyle="1" w:styleId="122">
    <w:name w:val="s141"/>
    <w:basedOn w:val="20"/>
    <w:qFormat/>
    <w:uiPriority w:val="0"/>
  </w:style>
  <w:style w:type="paragraph" w:customStyle="1" w:styleId="123">
    <w:name w:val="s121"/>
    <w:basedOn w:val="1"/>
    <w:qFormat/>
    <w:uiPriority w:val="0"/>
    <w:pPr>
      <w:widowControl/>
      <w:spacing w:before="100" w:beforeAutospacing="1" w:after="100" w:afterAutospacing="1"/>
      <w:jc w:val="left"/>
    </w:pPr>
    <w:rPr>
      <w:rFonts w:ascii="宋体" w:hAnsi="宋体" w:cs="宋体"/>
      <w:kern w:val="0"/>
      <w:sz w:val="24"/>
    </w:rPr>
  </w:style>
  <w:style w:type="paragraph" w:customStyle="1" w:styleId="124">
    <w:name w:val="s16"/>
    <w:basedOn w:val="1"/>
    <w:qFormat/>
    <w:uiPriority w:val="0"/>
    <w:pPr>
      <w:widowControl/>
      <w:spacing w:before="100" w:beforeAutospacing="1" w:after="100" w:afterAutospacing="1"/>
      <w:jc w:val="left"/>
    </w:pPr>
    <w:rPr>
      <w:rFonts w:ascii="宋体" w:hAnsi="宋体" w:cs="宋体"/>
      <w:kern w:val="0"/>
      <w:sz w:val="24"/>
    </w:rPr>
  </w:style>
  <w:style w:type="character" w:customStyle="1" w:styleId="125">
    <w:name w:val="s17"/>
    <w:basedOn w:val="20"/>
    <w:qFormat/>
    <w:uiPriority w:val="0"/>
  </w:style>
  <w:style w:type="character" w:customStyle="1" w:styleId="126">
    <w:name w:val="s18"/>
    <w:basedOn w:val="20"/>
    <w:qFormat/>
    <w:uiPriority w:val="0"/>
  </w:style>
  <w:style w:type="character" w:customStyle="1" w:styleId="127">
    <w:name w:val="s19"/>
    <w:basedOn w:val="20"/>
    <w:qFormat/>
    <w:uiPriority w:val="0"/>
  </w:style>
  <w:style w:type="character" w:customStyle="1" w:styleId="128">
    <w:name w:val="s20"/>
    <w:basedOn w:val="20"/>
    <w:qFormat/>
    <w:uiPriority w:val="0"/>
  </w:style>
  <w:style w:type="character" w:customStyle="1" w:styleId="129">
    <w:name w:val="s21"/>
    <w:basedOn w:val="20"/>
    <w:qFormat/>
    <w:uiPriority w:val="0"/>
  </w:style>
  <w:style w:type="paragraph" w:customStyle="1" w:styleId="130">
    <w:name w:val="s22"/>
    <w:basedOn w:val="1"/>
    <w:qFormat/>
    <w:uiPriority w:val="0"/>
    <w:pPr>
      <w:widowControl/>
      <w:spacing w:before="100" w:beforeAutospacing="1" w:after="100" w:afterAutospacing="1"/>
      <w:jc w:val="left"/>
    </w:pPr>
    <w:rPr>
      <w:rFonts w:ascii="宋体" w:hAnsi="宋体" w:cs="宋体"/>
      <w:kern w:val="0"/>
      <w:sz w:val="24"/>
    </w:rPr>
  </w:style>
  <w:style w:type="character" w:customStyle="1" w:styleId="131">
    <w:name w:val="s23"/>
    <w:basedOn w:val="20"/>
    <w:qFormat/>
    <w:uiPriority w:val="0"/>
  </w:style>
  <w:style w:type="character" w:customStyle="1" w:styleId="132">
    <w:name w:val="s24"/>
    <w:basedOn w:val="20"/>
    <w:qFormat/>
    <w:uiPriority w:val="0"/>
  </w:style>
  <w:style w:type="paragraph" w:customStyle="1" w:styleId="133">
    <w:name w:val="s25"/>
    <w:basedOn w:val="1"/>
    <w:qFormat/>
    <w:uiPriority w:val="0"/>
    <w:pPr>
      <w:widowControl/>
      <w:spacing w:before="100" w:beforeAutospacing="1" w:after="100" w:afterAutospacing="1"/>
      <w:jc w:val="left"/>
    </w:pPr>
    <w:rPr>
      <w:rFonts w:ascii="宋体" w:hAnsi="宋体" w:cs="宋体"/>
      <w:kern w:val="0"/>
      <w:sz w:val="24"/>
    </w:rPr>
  </w:style>
  <w:style w:type="character" w:customStyle="1" w:styleId="134">
    <w:name w:val="s221"/>
    <w:basedOn w:val="20"/>
    <w:qFormat/>
    <w:uiPriority w:val="0"/>
  </w:style>
  <w:style w:type="paragraph" w:customStyle="1" w:styleId="135">
    <w:name w:val="s27"/>
    <w:basedOn w:val="1"/>
    <w:qFormat/>
    <w:uiPriority w:val="0"/>
    <w:pPr>
      <w:widowControl/>
      <w:spacing w:before="100" w:beforeAutospacing="1" w:after="100" w:afterAutospacing="1"/>
      <w:jc w:val="left"/>
    </w:pPr>
    <w:rPr>
      <w:rFonts w:ascii="宋体" w:hAnsi="宋体" w:cs="宋体"/>
      <w:kern w:val="0"/>
      <w:sz w:val="24"/>
    </w:rPr>
  </w:style>
  <w:style w:type="paragraph" w:customStyle="1" w:styleId="136">
    <w:name w:val="s28"/>
    <w:basedOn w:val="1"/>
    <w:qFormat/>
    <w:uiPriority w:val="0"/>
    <w:pPr>
      <w:widowControl/>
      <w:spacing w:before="100" w:beforeAutospacing="1" w:after="100" w:afterAutospacing="1"/>
      <w:jc w:val="left"/>
    </w:pPr>
    <w:rPr>
      <w:rFonts w:ascii="宋体" w:hAnsi="宋体" w:cs="宋体"/>
      <w:kern w:val="0"/>
      <w:sz w:val="24"/>
    </w:rPr>
  </w:style>
  <w:style w:type="character" w:customStyle="1" w:styleId="137">
    <w:name w:val="s30"/>
    <w:basedOn w:val="20"/>
    <w:qFormat/>
    <w:uiPriority w:val="0"/>
  </w:style>
  <w:style w:type="paragraph" w:customStyle="1" w:styleId="138">
    <w:name w:val="s171"/>
    <w:basedOn w:val="1"/>
    <w:qFormat/>
    <w:uiPriority w:val="0"/>
    <w:pPr>
      <w:widowControl/>
      <w:spacing w:before="100" w:beforeAutospacing="1" w:after="100" w:afterAutospacing="1"/>
      <w:jc w:val="left"/>
    </w:pPr>
    <w:rPr>
      <w:rFonts w:ascii="宋体" w:hAnsi="宋体" w:cs="宋体"/>
      <w:kern w:val="0"/>
      <w:sz w:val="24"/>
    </w:rPr>
  </w:style>
  <w:style w:type="character" w:customStyle="1" w:styleId="139">
    <w:name w:val="s161"/>
    <w:basedOn w:val="20"/>
    <w:qFormat/>
    <w:uiPriority w:val="0"/>
  </w:style>
  <w:style w:type="paragraph" w:customStyle="1" w:styleId="140">
    <w:name w:val="s31"/>
    <w:basedOn w:val="1"/>
    <w:qFormat/>
    <w:uiPriority w:val="0"/>
    <w:pPr>
      <w:widowControl/>
      <w:spacing w:before="100" w:beforeAutospacing="1" w:after="100" w:afterAutospacing="1"/>
      <w:jc w:val="left"/>
    </w:pPr>
    <w:rPr>
      <w:rFonts w:ascii="宋体" w:hAnsi="宋体" w:cs="宋体"/>
      <w:kern w:val="0"/>
      <w:sz w:val="24"/>
    </w:rPr>
  </w:style>
  <w:style w:type="character" w:customStyle="1" w:styleId="141">
    <w:name w:val="s32"/>
    <w:basedOn w:val="20"/>
    <w:qFormat/>
    <w:uiPriority w:val="0"/>
  </w:style>
  <w:style w:type="paragraph" w:customStyle="1" w:styleId="142">
    <w:name w:val="s33"/>
    <w:basedOn w:val="1"/>
    <w:qFormat/>
    <w:uiPriority w:val="0"/>
    <w:pPr>
      <w:widowControl/>
      <w:spacing w:before="100" w:beforeAutospacing="1" w:after="100" w:afterAutospacing="1"/>
      <w:jc w:val="left"/>
    </w:pPr>
    <w:rPr>
      <w:rFonts w:ascii="宋体" w:hAnsi="宋体" w:cs="宋体"/>
      <w:kern w:val="0"/>
      <w:sz w:val="24"/>
    </w:rPr>
  </w:style>
  <w:style w:type="paragraph" w:customStyle="1" w:styleId="143">
    <w:name w:val="s34"/>
    <w:basedOn w:val="1"/>
    <w:qFormat/>
    <w:uiPriority w:val="0"/>
    <w:pPr>
      <w:widowControl/>
      <w:spacing w:before="100" w:beforeAutospacing="1" w:after="100" w:afterAutospacing="1"/>
      <w:jc w:val="left"/>
    </w:pPr>
    <w:rPr>
      <w:rFonts w:ascii="宋体" w:hAnsi="宋体" w:cs="宋体"/>
      <w:kern w:val="0"/>
      <w:sz w:val="24"/>
    </w:rPr>
  </w:style>
  <w:style w:type="character" w:customStyle="1" w:styleId="144">
    <w:name w:val="s331"/>
    <w:basedOn w:val="20"/>
    <w:qFormat/>
    <w:uiPriority w:val="0"/>
  </w:style>
  <w:style w:type="character" w:customStyle="1" w:styleId="145">
    <w:name w:val="s35"/>
    <w:basedOn w:val="20"/>
    <w:qFormat/>
    <w:uiPriority w:val="0"/>
  </w:style>
  <w:style w:type="character" w:customStyle="1" w:styleId="146">
    <w:name w:val="s36"/>
    <w:basedOn w:val="20"/>
    <w:qFormat/>
    <w:uiPriority w:val="0"/>
  </w:style>
  <w:style w:type="character" w:customStyle="1" w:styleId="147">
    <w:name w:val="s37"/>
    <w:basedOn w:val="20"/>
    <w:qFormat/>
    <w:uiPriority w:val="0"/>
  </w:style>
  <w:style w:type="character" w:customStyle="1" w:styleId="148">
    <w:name w:val="s38"/>
    <w:basedOn w:val="20"/>
    <w:qFormat/>
    <w:uiPriority w:val="0"/>
  </w:style>
  <w:style w:type="character" w:customStyle="1" w:styleId="149">
    <w:name w:val="s39"/>
    <w:basedOn w:val="20"/>
    <w:qFormat/>
    <w:uiPriority w:val="0"/>
  </w:style>
  <w:style w:type="character" w:customStyle="1" w:styleId="150">
    <w:name w:val="s40"/>
    <w:basedOn w:val="20"/>
    <w:qFormat/>
    <w:uiPriority w:val="0"/>
  </w:style>
  <w:style w:type="paragraph" w:customStyle="1" w:styleId="151">
    <w:name w:val="s42"/>
    <w:basedOn w:val="1"/>
    <w:qFormat/>
    <w:uiPriority w:val="0"/>
    <w:pPr>
      <w:widowControl/>
      <w:spacing w:before="100" w:beforeAutospacing="1" w:after="100" w:afterAutospacing="1"/>
      <w:jc w:val="left"/>
    </w:pPr>
    <w:rPr>
      <w:rFonts w:ascii="宋体" w:hAnsi="宋体" w:cs="宋体"/>
      <w:kern w:val="0"/>
      <w:sz w:val="24"/>
    </w:rPr>
  </w:style>
  <w:style w:type="character" w:customStyle="1" w:styleId="152">
    <w:name w:val="s43"/>
    <w:basedOn w:val="20"/>
    <w:qFormat/>
    <w:uiPriority w:val="0"/>
  </w:style>
  <w:style w:type="character" w:customStyle="1" w:styleId="153">
    <w:name w:val="s341"/>
    <w:basedOn w:val="20"/>
    <w:qFormat/>
    <w:uiPriority w:val="0"/>
  </w:style>
  <w:style w:type="paragraph" w:customStyle="1" w:styleId="154">
    <w:name w:val="s44"/>
    <w:basedOn w:val="1"/>
    <w:qFormat/>
    <w:uiPriority w:val="0"/>
    <w:pPr>
      <w:widowControl/>
      <w:spacing w:before="100" w:beforeAutospacing="1" w:after="100" w:afterAutospacing="1"/>
      <w:jc w:val="left"/>
    </w:pPr>
    <w:rPr>
      <w:rFonts w:ascii="宋体" w:hAnsi="宋体" w:cs="宋体"/>
      <w:kern w:val="0"/>
      <w:sz w:val="24"/>
    </w:rPr>
  </w:style>
  <w:style w:type="character" w:customStyle="1" w:styleId="155">
    <w:name w:val="s45"/>
    <w:basedOn w:val="20"/>
    <w:qFormat/>
    <w:uiPriority w:val="0"/>
  </w:style>
  <w:style w:type="character" w:customStyle="1" w:styleId="156">
    <w:name w:val="s46"/>
    <w:basedOn w:val="20"/>
    <w:qFormat/>
    <w:uiPriority w:val="0"/>
  </w:style>
  <w:style w:type="character" w:customStyle="1" w:styleId="157">
    <w:name w:val="s47"/>
    <w:basedOn w:val="20"/>
    <w:qFormat/>
    <w:uiPriority w:val="0"/>
  </w:style>
  <w:style w:type="character" w:customStyle="1" w:styleId="158">
    <w:name w:val="s48"/>
    <w:basedOn w:val="20"/>
    <w:qFormat/>
    <w:uiPriority w:val="0"/>
  </w:style>
  <w:style w:type="character" w:customStyle="1" w:styleId="159">
    <w:name w:val="s29"/>
    <w:basedOn w:val="20"/>
    <w:qFormat/>
    <w:uiPriority w:val="0"/>
  </w:style>
  <w:style w:type="character" w:customStyle="1" w:styleId="160">
    <w:name w:val="s50"/>
    <w:basedOn w:val="20"/>
    <w:qFormat/>
    <w:uiPriority w:val="0"/>
  </w:style>
  <w:style w:type="paragraph" w:customStyle="1" w:styleId="161">
    <w:name w:val="s241"/>
    <w:basedOn w:val="1"/>
    <w:qFormat/>
    <w:uiPriority w:val="0"/>
    <w:pPr>
      <w:widowControl/>
      <w:spacing w:before="100" w:beforeAutospacing="1" w:after="100" w:afterAutospacing="1"/>
      <w:jc w:val="left"/>
    </w:pPr>
    <w:rPr>
      <w:rFonts w:ascii="宋体" w:hAnsi="宋体" w:cs="宋体"/>
      <w:kern w:val="0"/>
      <w:sz w:val="24"/>
    </w:rPr>
  </w:style>
  <w:style w:type="character" w:customStyle="1" w:styleId="162">
    <w:name w:val="s51"/>
    <w:basedOn w:val="20"/>
    <w:qFormat/>
    <w:uiPriority w:val="0"/>
  </w:style>
  <w:style w:type="paragraph" w:customStyle="1" w:styleId="163">
    <w:name w:val="s511"/>
    <w:basedOn w:val="1"/>
    <w:qFormat/>
    <w:uiPriority w:val="0"/>
    <w:pPr>
      <w:widowControl/>
      <w:spacing w:before="100" w:beforeAutospacing="1" w:after="100" w:afterAutospacing="1"/>
      <w:jc w:val="left"/>
    </w:pPr>
    <w:rPr>
      <w:rFonts w:ascii="宋体" w:hAnsi="宋体" w:cs="宋体"/>
      <w:kern w:val="0"/>
      <w:sz w:val="24"/>
    </w:rPr>
  </w:style>
  <w:style w:type="paragraph" w:customStyle="1" w:styleId="164">
    <w:name w:val="s52"/>
    <w:basedOn w:val="1"/>
    <w:qFormat/>
    <w:uiPriority w:val="0"/>
    <w:pPr>
      <w:widowControl/>
      <w:spacing w:before="100" w:beforeAutospacing="1" w:after="100" w:afterAutospacing="1"/>
      <w:jc w:val="left"/>
    </w:pPr>
    <w:rPr>
      <w:rFonts w:ascii="宋体" w:hAnsi="宋体" w:cs="宋体"/>
      <w:kern w:val="0"/>
      <w:sz w:val="24"/>
    </w:rPr>
  </w:style>
  <w:style w:type="character" w:customStyle="1" w:styleId="165">
    <w:name w:val="s53"/>
    <w:basedOn w:val="20"/>
    <w:qFormat/>
    <w:uiPriority w:val="0"/>
  </w:style>
  <w:style w:type="paragraph" w:customStyle="1" w:styleId="166">
    <w:name w:val="s531"/>
    <w:basedOn w:val="1"/>
    <w:qFormat/>
    <w:uiPriority w:val="0"/>
    <w:pPr>
      <w:widowControl/>
      <w:spacing w:before="100" w:beforeAutospacing="1" w:after="100" w:afterAutospacing="1"/>
      <w:jc w:val="left"/>
    </w:pPr>
    <w:rPr>
      <w:rFonts w:ascii="宋体" w:hAnsi="宋体" w:cs="宋体"/>
      <w:kern w:val="0"/>
      <w:sz w:val="24"/>
    </w:rPr>
  </w:style>
  <w:style w:type="character" w:customStyle="1" w:styleId="167">
    <w:name w:val="s521"/>
    <w:basedOn w:val="20"/>
    <w:qFormat/>
    <w:uiPriority w:val="0"/>
  </w:style>
  <w:style w:type="paragraph" w:customStyle="1" w:styleId="168">
    <w:name w:val="s501"/>
    <w:basedOn w:val="1"/>
    <w:qFormat/>
    <w:uiPriority w:val="0"/>
    <w:pPr>
      <w:widowControl/>
      <w:spacing w:before="100" w:beforeAutospacing="1" w:after="100" w:afterAutospacing="1"/>
      <w:jc w:val="left"/>
    </w:pPr>
    <w:rPr>
      <w:rFonts w:ascii="宋体" w:hAnsi="宋体" w:cs="宋体"/>
      <w:kern w:val="0"/>
      <w:sz w:val="24"/>
    </w:rPr>
  </w:style>
  <w:style w:type="paragraph" w:customStyle="1" w:styleId="169">
    <w:name w:val="s8"/>
    <w:basedOn w:val="1"/>
    <w:qFormat/>
    <w:uiPriority w:val="0"/>
    <w:pPr>
      <w:widowControl/>
      <w:spacing w:before="100" w:beforeAutospacing="1" w:after="100" w:afterAutospacing="1"/>
      <w:jc w:val="left"/>
    </w:pPr>
    <w:rPr>
      <w:rFonts w:ascii="宋体" w:hAnsi="宋体" w:cs="宋体"/>
      <w:kern w:val="0"/>
      <w:sz w:val="24"/>
    </w:rPr>
  </w:style>
  <w:style w:type="paragraph" w:customStyle="1" w:styleId="170">
    <w:name w:val="s15"/>
    <w:basedOn w:val="1"/>
    <w:qFormat/>
    <w:uiPriority w:val="0"/>
    <w:pPr>
      <w:widowControl/>
      <w:spacing w:before="100" w:beforeAutospacing="1" w:after="100" w:afterAutospacing="1"/>
      <w:jc w:val="left"/>
    </w:pPr>
    <w:rPr>
      <w:rFonts w:ascii="宋体" w:hAnsi="宋体" w:cs="宋体"/>
      <w:kern w:val="0"/>
      <w:sz w:val="24"/>
    </w:rPr>
  </w:style>
  <w:style w:type="character" w:customStyle="1" w:styleId="171">
    <w:name w:val="h3"/>
    <w:basedOn w:val="20"/>
    <w:qFormat/>
    <w:uiPriority w:val="0"/>
  </w:style>
  <w:style w:type="paragraph" w:customStyle="1" w:styleId="172">
    <w:name w:val="s61"/>
    <w:basedOn w:val="1"/>
    <w:qFormat/>
    <w:uiPriority w:val="0"/>
    <w:pPr>
      <w:widowControl/>
      <w:spacing w:before="100" w:beforeAutospacing="1" w:after="100" w:afterAutospacing="1"/>
      <w:jc w:val="left"/>
    </w:pPr>
    <w:rPr>
      <w:rFonts w:ascii="宋体" w:hAnsi="宋体" w:cs="宋体"/>
      <w:kern w:val="0"/>
      <w:sz w:val="24"/>
    </w:rPr>
  </w:style>
  <w:style w:type="character" w:customStyle="1" w:styleId="173">
    <w:name w:val="s26"/>
    <w:basedOn w:val="20"/>
    <w:qFormat/>
    <w:uiPriority w:val="0"/>
  </w:style>
  <w:style w:type="paragraph" w:customStyle="1" w:styleId="174">
    <w:name w:val="s261"/>
    <w:basedOn w:val="1"/>
    <w:qFormat/>
    <w:uiPriority w:val="0"/>
    <w:pPr>
      <w:widowControl/>
      <w:spacing w:before="100" w:beforeAutospacing="1" w:after="100" w:afterAutospacing="1"/>
      <w:jc w:val="left"/>
    </w:pPr>
    <w:rPr>
      <w:rFonts w:ascii="宋体" w:hAnsi="宋体" w:cs="宋体"/>
      <w:kern w:val="0"/>
      <w:sz w:val="24"/>
    </w:rPr>
  </w:style>
  <w:style w:type="paragraph" w:customStyle="1" w:styleId="175">
    <w:name w:val="s291"/>
    <w:basedOn w:val="1"/>
    <w:qFormat/>
    <w:uiPriority w:val="0"/>
    <w:pPr>
      <w:widowControl/>
      <w:spacing w:before="100" w:beforeAutospacing="1" w:after="100" w:afterAutospacing="1"/>
      <w:jc w:val="left"/>
    </w:pPr>
    <w:rPr>
      <w:rFonts w:ascii="宋体" w:hAnsi="宋体" w:cs="宋体"/>
      <w:kern w:val="0"/>
      <w:sz w:val="24"/>
    </w:rPr>
  </w:style>
  <w:style w:type="character" w:customStyle="1" w:styleId="176">
    <w:name w:val="s281"/>
    <w:basedOn w:val="20"/>
    <w:qFormat/>
    <w:uiPriority w:val="0"/>
  </w:style>
  <w:style w:type="paragraph" w:customStyle="1" w:styleId="177">
    <w:name w:val="s211"/>
    <w:basedOn w:val="1"/>
    <w:qFormat/>
    <w:uiPriority w:val="0"/>
    <w:pPr>
      <w:widowControl/>
      <w:spacing w:before="100" w:beforeAutospacing="1" w:after="100" w:afterAutospacing="1"/>
      <w:jc w:val="left"/>
    </w:pPr>
    <w:rPr>
      <w:rFonts w:ascii="宋体" w:hAnsi="宋体" w:cs="宋体"/>
      <w:kern w:val="0"/>
      <w:sz w:val="24"/>
    </w:rPr>
  </w:style>
  <w:style w:type="paragraph" w:customStyle="1" w:styleId="178">
    <w:name w:val="s201"/>
    <w:basedOn w:val="1"/>
    <w:qFormat/>
    <w:uiPriority w:val="0"/>
    <w:pPr>
      <w:widowControl/>
      <w:spacing w:before="100" w:beforeAutospacing="1" w:after="100" w:afterAutospacing="1"/>
      <w:jc w:val="left"/>
    </w:pPr>
    <w:rPr>
      <w:rFonts w:ascii="宋体" w:hAnsi="宋体" w:cs="宋体"/>
      <w:kern w:val="0"/>
      <w:sz w:val="24"/>
    </w:rPr>
  </w:style>
  <w:style w:type="character" w:customStyle="1" w:styleId="179">
    <w:name w:val="s231"/>
    <w:basedOn w:val="20"/>
    <w:qFormat/>
    <w:uiPriority w:val="0"/>
  </w:style>
  <w:style w:type="character" w:customStyle="1" w:styleId="180">
    <w:name w:val="s271"/>
    <w:basedOn w:val="20"/>
    <w:qFormat/>
    <w:uiPriority w:val="0"/>
  </w:style>
  <w:style w:type="character" w:customStyle="1" w:styleId="181">
    <w:name w:val="s301"/>
    <w:basedOn w:val="20"/>
    <w:qFormat/>
    <w:uiPriority w:val="0"/>
  </w:style>
  <w:style w:type="character" w:customStyle="1" w:styleId="182">
    <w:name w:val="s351"/>
    <w:basedOn w:val="20"/>
    <w:qFormat/>
    <w:uiPriority w:val="0"/>
  </w:style>
  <w:style w:type="character" w:customStyle="1" w:styleId="183">
    <w:name w:val="fontstyle01"/>
    <w:basedOn w:val="20"/>
    <w:qFormat/>
    <w:uiPriority w:val="0"/>
    <w:rPr>
      <w:rFonts w:hint="eastAsia" w:ascii="宋体" w:hAnsi="宋体" w:eastAsia="宋体"/>
      <w:color w:val="000000"/>
      <w:sz w:val="22"/>
      <w:szCs w:val="22"/>
    </w:rPr>
  </w:style>
  <w:style w:type="character" w:customStyle="1" w:styleId="184">
    <w:name w:val="fontstyle21"/>
    <w:basedOn w:val="20"/>
    <w:qFormat/>
    <w:uiPriority w:val="0"/>
    <w:rPr>
      <w:rFonts w:hint="default" w:ascii="TimesNewRomanPSMT" w:hAnsi="TimesNewRomanPSMT"/>
      <w:color w:val="0000FF"/>
      <w:sz w:val="22"/>
      <w:szCs w:val="22"/>
    </w:rPr>
  </w:style>
  <w:style w:type="character" w:customStyle="1" w:styleId="185">
    <w:name w:val="fontstyle31"/>
    <w:basedOn w:val="20"/>
    <w:qFormat/>
    <w:uiPriority w:val="0"/>
    <w:rPr>
      <w:rFonts w:hint="default" w:ascii="TimesNewRomanPS-ItalicMT" w:hAnsi="TimesNewRomanPS-ItalicMT"/>
      <w:i/>
      <w:iCs/>
      <w:color w:val="000000"/>
      <w:sz w:val="22"/>
      <w:szCs w:val="22"/>
    </w:rPr>
  </w:style>
  <w:style w:type="character" w:customStyle="1" w:styleId="186">
    <w:name w:val="fontstyle11"/>
    <w:basedOn w:val="20"/>
    <w:qFormat/>
    <w:uiPriority w:val="0"/>
    <w:rPr>
      <w:rFonts w:hint="default" w:ascii="TimesNewRomanPSMT" w:hAnsi="TimesNewRomanPSMT"/>
      <w:color w:val="000000"/>
      <w:sz w:val="22"/>
      <w:szCs w:val="22"/>
    </w:rPr>
  </w:style>
  <w:style w:type="character" w:customStyle="1" w:styleId="187">
    <w:name w:val="fontstyle41"/>
    <w:basedOn w:val="20"/>
    <w:qFormat/>
    <w:uiPriority w:val="0"/>
    <w:rPr>
      <w:rFonts w:hint="default" w:ascii="TimesNewRomanPSMT" w:hAnsi="TimesNewRomanPSMT"/>
      <w:color w:val="000000"/>
      <w:sz w:val="20"/>
      <w:szCs w:val="20"/>
    </w:rPr>
  </w:style>
  <w:style w:type="paragraph" w:customStyle="1" w:styleId="188">
    <w:name w:val="cur"/>
    <w:basedOn w:val="1"/>
    <w:qFormat/>
    <w:uiPriority w:val="0"/>
    <w:pPr>
      <w:widowControl/>
      <w:spacing w:before="100" w:beforeAutospacing="1" w:after="100" w:afterAutospacing="1"/>
      <w:jc w:val="left"/>
    </w:pPr>
    <w:rPr>
      <w:rFonts w:ascii="宋体" w:hAnsi="宋体" w:cs="宋体"/>
      <w:kern w:val="0"/>
      <w:sz w:val="24"/>
    </w:rPr>
  </w:style>
  <w:style w:type="character" w:customStyle="1" w:styleId="189">
    <w:name w:val="shareboard"/>
    <w:basedOn w:val="20"/>
    <w:qFormat/>
    <w:uiPriority w:val="0"/>
  </w:style>
  <w:style w:type="character" w:customStyle="1" w:styleId="190">
    <w:name w:val="msqrt"/>
    <w:basedOn w:val="20"/>
    <w:qFormat/>
    <w:uiPriority w:val="0"/>
  </w:style>
  <w:style w:type="paragraph" w:customStyle="1" w:styleId="191">
    <w:name w:val="ql-align-justify"/>
    <w:basedOn w:val="1"/>
    <w:qFormat/>
    <w:uiPriority w:val="0"/>
    <w:pPr>
      <w:widowControl/>
      <w:spacing w:before="100" w:beforeAutospacing="1" w:after="100" w:afterAutospacing="1"/>
      <w:jc w:val="left"/>
    </w:pPr>
    <w:rPr>
      <w:rFonts w:ascii="宋体" w:hAnsi="宋体" w:cs="宋体"/>
      <w:kern w:val="0"/>
      <w:sz w:val="24"/>
    </w:rPr>
  </w:style>
  <w:style w:type="paragraph" w:customStyle="1" w:styleId="192">
    <w:name w:val="ql-align-center"/>
    <w:basedOn w:val="1"/>
    <w:qFormat/>
    <w:uiPriority w:val="0"/>
    <w:pPr>
      <w:widowControl/>
      <w:spacing w:before="100" w:beforeAutospacing="1" w:after="100" w:afterAutospacing="1"/>
      <w:jc w:val="left"/>
    </w:pPr>
    <w:rPr>
      <w:rFonts w:ascii="宋体" w:hAnsi="宋体" w:cs="宋体"/>
      <w:kern w:val="0"/>
      <w:sz w:val="24"/>
    </w:rPr>
  </w:style>
  <w:style w:type="character" w:customStyle="1" w:styleId="193">
    <w:name w:val="mtext"/>
    <w:basedOn w:val="20"/>
    <w:qFormat/>
    <w:uiPriority w:val="0"/>
  </w:style>
  <w:style w:type="character" w:customStyle="1" w:styleId="194">
    <w:name w:val="正文文本缩进 2 字符"/>
    <w:basedOn w:val="20"/>
    <w:link w:val="10"/>
    <w:semiHidden/>
    <w:qFormat/>
    <w:uiPriority w:val="99"/>
    <w:rPr>
      <w:rFonts w:ascii="Times New Roman" w:hAnsi="Times New Roman" w:eastAsia="宋体" w:cs="Times New Roman"/>
      <w:szCs w:val="24"/>
    </w:rPr>
  </w:style>
  <w:style w:type="character" w:customStyle="1" w:styleId="195">
    <w:name w:val="HTML 预设格式 字符"/>
    <w:basedOn w:val="20"/>
    <w:link w:val="16"/>
    <w:qFormat/>
    <w:uiPriority w:val="0"/>
    <w:rPr>
      <w:rFonts w:ascii="黑体" w:hAnsi="Courier New" w:eastAsia="黑体" w:cs="Courier New"/>
      <w:color w:val="000000"/>
      <w:kern w:val="0"/>
      <w:sz w:val="20"/>
      <w:szCs w:val="20"/>
    </w:rPr>
  </w:style>
  <w:style w:type="character" w:customStyle="1" w:styleId="196">
    <w:name w:val="rowtit"/>
    <w:basedOn w:val="20"/>
    <w:qFormat/>
    <w:uiPriority w:val="0"/>
  </w:style>
  <w:style w:type="character" w:customStyle="1" w:styleId="197">
    <w:name w:val="abstract-text"/>
    <w:basedOn w:val="20"/>
    <w:qFormat/>
    <w:uiPriority w:val="0"/>
  </w:style>
  <w:style w:type="paragraph" w:customStyle="1" w:styleId="198">
    <w:name w:val="keywords"/>
    <w:basedOn w:val="1"/>
    <w:qFormat/>
    <w:uiPriority w:val="0"/>
    <w:pPr>
      <w:widowControl/>
      <w:spacing w:before="100" w:beforeAutospacing="1" w:after="100" w:afterAutospacing="1"/>
      <w:jc w:val="left"/>
    </w:pPr>
    <w:rPr>
      <w:rFonts w:ascii="宋体" w:hAnsi="宋体" w:cs="宋体"/>
      <w:kern w:val="0"/>
      <w:sz w:val="24"/>
    </w:rPr>
  </w:style>
  <w:style w:type="paragraph" w:customStyle="1" w:styleId="199">
    <w:name w:val="code-formula"/>
    <w:basedOn w:val="1"/>
    <w:qFormat/>
    <w:uiPriority w:val="0"/>
    <w:pPr>
      <w:widowControl/>
      <w:spacing w:before="100" w:beforeAutospacing="1" w:after="100" w:afterAutospacing="1"/>
      <w:jc w:val="left"/>
    </w:pPr>
    <w:rPr>
      <w:rFonts w:ascii="宋体" w:hAnsi="宋体" w:cs="宋体"/>
      <w:kern w:val="0"/>
      <w:sz w:val="24"/>
    </w:rPr>
  </w:style>
  <w:style w:type="character" w:customStyle="1" w:styleId="200">
    <w:name w:val="未处理的提及2"/>
    <w:basedOn w:val="20"/>
    <w:semiHidden/>
    <w:unhideWhenUsed/>
    <w:qFormat/>
    <w:uiPriority w:val="99"/>
    <w:rPr>
      <w:color w:val="605E5C"/>
      <w:shd w:val="clear" w:color="auto" w:fill="E1DFDD"/>
    </w:rPr>
  </w:style>
  <w:style w:type="paragraph" w:customStyle="1" w:styleId="201">
    <w:name w:val="Default"/>
    <w:unhideWhenUsed/>
    <w:qFormat/>
    <w:uiPriority w:val="99"/>
    <w:pPr>
      <w:widowControl w:val="0"/>
      <w:autoSpaceDE w:val="0"/>
      <w:autoSpaceDN w:val="0"/>
      <w:adjustRightInd w:val="0"/>
    </w:pPr>
    <w:rPr>
      <w:rFonts w:hint="eastAsia" w:ascii="宋体" w:hAnsi="宋体" w:eastAsia="宋体" w:cs="Times New Roman"/>
      <w:color w:val="000000"/>
      <w:sz w:val="24"/>
      <w:szCs w:val="24"/>
      <w:lang w:val="en-US" w:eastAsia="zh-CN" w:bidi="ar-SA"/>
    </w:rPr>
  </w:style>
  <w:style w:type="paragraph" w:customStyle="1" w:styleId="202">
    <w:name w:val="TOC Heading"/>
    <w:basedOn w:val="2"/>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376092" w:themeColor="accent1" w:themeShade="BF"/>
      <w:kern w:val="0"/>
      <w:sz w:val="32"/>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8" Type="http://schemas.openxmlformats.org/officeDocument/2006/relationships/fontTable" Target="fontTable.xml"/><Relationship Id="rId47" Type="http://schemas.openxmlformats.org/officeDocument/2006/relationships/customXml" Target="../customXml/item2.xml"/><Relationship Id="rId46" Type="http://schemas.openxmlformats.org/officeDocument/2006/relationships/customXml" Target="../customXml/item1.xml"/><Relationship Id="rId45" Type="http://schemas.openxmlformats.org/officeDocument/2006/relationships/image" Target="media/image41.png"/><Relationship Id="rId44" Type="http://schemas.openxmlformats.org/officeDocument/2006/relationships/image" Target="media/image40.png"/><Relationship Id="rId43" Type="http://schemas.openxmlformats.org/officeDocument/2006/relationships/image" Target="media/image39.png"/><Relationship Id="rId42" Type="http://schemas.openxmlformats.org/officeDocument/2006/relationships/image" Target="media/image38.png"/><Relationship Id="rId41" Type="http://schemas.openxmlformats.org/officeDocument/2006/relationships/image" Target="media/image37.png"/><Relationship Id="rId40" Type="http://schemas.openxmlformats.org/officeDocument/2006/relationships/image" Target="media/image36.png"/><Relationship Id="rId4" Type="http://schemas.openxmlformats.org/officeDocument/2006/relationships/theme" Target="theme/theme1.xml"/><Relationship Id="rId39" Type="http://schemas.openxmlformats.org/officeDocument/2006/relationships/image" Target="media/image35.png"/><Relationship Id="rId38" Type="http://schemas.openxmlformats.org/officeDocument/2006/relationships/image" Target="media/image34.png"/><Relationship Id="rId37" Type="http://schemas.openxmlformats.org/officeDocument/2006/relationships/image" Target="media/image33.png"/><Relationship Id="rId36" Type="http://schemas.openxmlformats.org/officeDocument/2006/relationships/image" Target="media/image32.png"/><Relationship Id="rId35" Type="http://schemas.openxmlformats.org/officeDocument/2006/relationships/image" Target="media/image31.png"/><Relationship Id="rId34" Type="http://schemas.openxmlformats.org/officeDocument/2006/relationships/image" Target="media/image30.png"/><Relationship Id="rId33" Type="http://schemas.openxmlformats.org/officeDocument/2006/relationships/image" Target="media/image29.png"/><Relationship Id="rId32" Type="http://schemas.openxmlformats.org/officeDocument/2006/relationships/image" Target="media/image28.png"/><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footer" Target="foot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06614BF-1805-498F-BA73-BF7C705B37E9}">
  <ds:schemaRefs/>
</ds:datastoreItem>
</file>

<file path=docProps/app.xml><?xml version="1.0" encoding="utf-8"?>
<Properties xmlns="http://schemas.openxmlformats.org/officeDocument/2006/extended-properties" xmlns:vt="http://schemas.openxmlformats.org/officeDocument/2006/docPropsVTypes">
  <Template>Normal</Template>
  <Company>Win10NeT.COM</Company>
  <Pages>81</Pages>
  <Words>34859</Words>
  <Characters>46015</Characters>
  <Lines>1243</Lines>
  <Paragraphs>685</Paragraphs>
  <TotalTime>0</TotalTime>
  <ScaleCrop>false</ScaleCrop>
  <LinksUpToDate>false</LinksUpToDate>
  <CharactersWithSpaces>80189</CharactersWithSpaces>
  <Application>WPS Office_11.8.2.11813_F1E327BC-269C-435d-A152-05C5408002CA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2025-08-13T12:19:00Z</dcterms:created>
  <dc:creator>Administrator</dc:creator>
  <cp:lastModifiedBy>刘真</cp:lastModifiedBy>
  <cp:lastPrinted>2025-08-14T06:35:00Z</cp:lastPrinted>
  <dcterms:modified xsi:type="dcterms:W3CDTF">2025-08-22T09:05:11Z</dcterms:modified>
  <cp:revision>21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2052-11.8.2.11813</vt:lpwstr>
  </property>
  <property fmtid="{D5CDD505-2E9C-101B-9397-08002B2CF9AE}" pid="3" name="ICV">
    <vt:lpwstr>AB4334ED5FD54086BA35BE835A757B6F</vt:lpwstr>
  </property>
  <property fmtid="{D5CDD505-2E9C-101B-9397-08002B2CF9AE}" pid="4" name="KSOTemplateDocerSaveRecord">
    <vt:lpwstr>eyJoZGlkIjoiYWViMzQ5M2ZlYTk3N2UxYjU3MDlmMDQwNmI3MjNiYWIifQ==</vt:lpwstr>
  </property>
</Properties>
</file>